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459740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jc w:val="center"/>
        <w:ind w:left="500"/>
        <w:spacing w:after="0" w:line="210" w:lineRule="auto"/>
        <w:rPr>
          <w:sz w:val="20"/>
          <w:szCs w:val="20"/>
          <w:color w:val="auto"/>
        </w:rPr>
      </w:pPr>
      <w:r>
        <w:rPr>
          <w:rFonts w:ascii="Arial" w:cs="Arial" w:eastAsia="Arial" w:hAnsi="Arial"/>
          <w:sz w:val="20"/>
          <w:szCs w:val="20"/>
          <w:b w:val="1"/>
          <w:bCs w:val="1"/>
          <w:color w:val="auto"/>
        </w:rPr>
        <w:t>SECURITIES AND EXCHANGE COMMISSION</w:t>
      </w:r>
    </w:p>
    <w:p>
      <w:pPr>
        <w:jc w:val="center"/>
        <w:ind w:left="500"/>
        <w:spacing w:after="0" w:line="215" w:lineRule="auto"/>
        <w:rPr>
          <w:sz w:val="20"/>
          <w:szCs w:val="20"/>
          <w:color w:val="auto"/>
        </w:rPr>
      </w:pPr>
      <w:r>
        <w:rPr>
          <w:rFonts w:ascii="Arial" w:cs="Arial" w:eastAsia="Arial" w:hAnsi="Arial"/>
          <w:sz w:val="13"/>
          <w:szCs w:val="13"/>
          <w:b w:val="1"/>
          <w:bCs w:val="1"/>
          <w:color w:val="auto"/>
        </w:rPr>
        <w:t>WASHINGTON, D.C. 20549</w:t>
      </w:r>
    </w:p>
    <w:p>
      <w:pPr>
        <w:spacing w:after="0" w:line="1"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58" w:lineRule="exact"/>
        <w:rPr>
          <w:sz w:val="24"/>
          <w:szCs w:val="24"/>
          <w:color w:val="auto"/>
        </w:rPr>
      </w:pPr>
    </w:p>
    <w:p>
      <w:pPr>
        <w:jc w:val="center"/>
        <w:ind w:left="500"/>
        <w:spacing w:after="0"/>
        <w:rPr>
          <w:sz w:val="20"/>
          <w:szCs w:val="20"/>
          <w:color w:val="auto"/>
        </w:rPr>
      </w:pPr>
      <w:r>
        <w:rPr>
          <w:rFonts w:ascii="Arial" w:cs="Arial" w:eastAsia="Arial" w:hAnsi="Arial"/>
          <w:sz w:val="20"/>
          <w:szCs w:val="20"/>
          <w:b w:val="1"/>
          <w:bCs w:val="1"/>
          <w:color w:val="auto"/>
        </w:rPr>
        <w:t>FORM 10-K</w:t>
      </w:r>
    </w:p>
    <w:p>
      <w:pPr>
        <w:spacing w:after="0" w:line="2"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190"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14" w:lineRule="exact"/>
        <w:rPr>
          <w:sz w:val="24"/>
          <w:szCs w:val="24"/>
          <w:color w:val="auto"/>
        </w:rPr>
      </w:pPr>
    </w:p>
    <w:p>
      <w:pPr>
        <w:ind w:left="1680" w:hanging="642"/>
        <w:spacing w:after="0"/>
        <w:tabs>
          <w:tab w:leader="none" w:pos="168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78"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For the fiscal year ended October 31, 2021</w:t>
      </w:r>
    </w:p>
    <w:p>
      <w:pPr>
        <w:spacing w:after="0" w:line="33"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OR</w:t>
      </w:r>
    </w:p>
    <w:p>
      <w:pPr>
        <w:spacing w:after="0" w:line="219" w:lineRule="exact"/>
        <w:rPr>
          <w:sz w:val="24"/>
          <w:szCs w:val="24"/>
          <w:color w:val="auto"/>
        </w:rPr>
      </w:pPr>
    </w:p>
    <w:p>
      <w:pPr>
        <w:ind w:left="1700" w:hanging="662"/>
        <w:spacing w:after="0"/>
        <w:tabs>
          <w:tab w:leader="none" w:pos="170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78" w:lineRule="exact"/>
        <w:rPr>
          <w:sz w:val="24"/>
          <w:szCs w:val="24"/>
          <w:color w:val="auto"/>
        </w:rPr>
      </w:pPr>
    </w:p>
    <w:p>
      <w:pPr>
        <w:ind w:left="4380"/>
        <w:spacing w:after="0"/>
        <w:tabs>
          <w:tab w:leader="none" w:pos="664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3807460</wp:posOffset>
            </wp:positionH>
            <wp:positionV relativeFrom="paragraph">
              <wp:posOffset>0</wp:posOffset>
            </wp:positionV>
            <wp:extent cx="9055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6985"/>
                    </a:xfrm>
                    <a:prstGeom prst="rect">
                      <a:avLst/>
                    </a:prstGeom>
                    <a:noFill/>
                  </pic:spPr>
                </pic:pic>
              </a:graphicData>
            </a:graphic>
          </wp:anchor>
        </w:drawing>
      </w:r>
    </w:p>
    <w:p>
      <w:pPr>
        <w:spacing w:after="0" w:line="13"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Commission file number: 001-39561</w:t>
      </w:r>
    </w:p>
    <w:p>
      <w:pPr>
        <w:spacing w:after="0" w:line="9"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57785</wp:posOffset>
            </wp:positionV>
            <wp:extent cx="1347470" cy="572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7470" cy="572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232F84"/>
        </w:rPr>
        <w:t>MISSION PRODUCE, INC.</w:t>
      </w:r>
    </w:p>
    <w:p>
      <w:pPr>
        <w:sectPr>
          <w:pgSz w:w="11900" w:h="16838" w:orient="portrait"/>
          <w:cols w:equalWidth="0" w:num="1">
            <w:col w:w="11240"/>
          </w:cols>
          <w:pgMar w:left="300" w:top="823" w:right="359" w:bottom="1440" w:gutter="0" w:footer="0" w:header="0"/>
        </w:sectPr>
      </w:pPr>
    </w:p>
    <w:p>
      <w:pPr>
        <w:spacing w:after="0" w:line="32" w:lineRule="exact"/>
        <w:rPr>
          <w:sz w:val="24"/>
          <w:szCs w:val="24"/>
          <w:color w:val="auto"/>
        </w:rPr>
      </w:pPr>
    </w:p>
    <w:p>
      <w:pPr>
        <w:jc w:val="center"/>
        <w:ind w:left="4060"/>
        <w:spacing w:after="0"/>
        <w:rPr>
          <w:sz w:val="20"/>
          <w:szCs w:val="20"/>
          <w:color w:val="auto"/>
        </w:rPr>
      </w:pPr>
      <w:r>
        <w:rPr>
          <w:rFonts w:ascii="Arial" w:cs="Arial" w:eastAsia="Arial" w:hAnsi="Arial"/>
          <w:sz w:val="11"/>
          <w:szCs w:val="11"/>
          <w:b w:val="1"/>
          <w:bCs w:val="1"/>
          <w:color w:val="auto"/>
        </w:rPr>
        <w:t>(Exact name of Registrant as specified in its charter)</w:t>
      </w: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176"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Delaware</w:t>
      </w:r>
    </w:p>
    <w:p>
      <w:pPr>
        <w:spacing w:after="0" w:line="11" w:lineRule="exact"/>
        <w:rPr>
          <w:sz w:val="24"/>
          <w:szCs w:val="24"/>
          <w:color w:val="auto"/>
        </w:rPr>
      </w:pPr>
    </w:p>
    <w:p>
      <w:pPr>
        <w:ind w:left="2140"/>
        <w:spacing w:after="0"/>
        <w:rPr>
          <w:sz w:val="20"/>
          <w:szCs w:val="20"/>
          <w:color w:val="auto"/>
        </w:rPr>
      </w:pPr>
      <w:r>
        <w:rPr>
          <w:rFonts w:ascii="Arial" w:cs="Arial" w:eastAsia="Arial" w:hAnsi="Arial"/>
          <w:sz w:val="11"/>
          <w:szCs w:val="11"/>
          <w:b w:val="1"/>
          <w:bCs w:val="1"/>
          <w:color w:val="auto"/>
        </w:rPr>
        <w:t>(State or Other Jurisdiction of</w:t>
      </w:r>
    </w:p>
    <w:p>
      <w:pPr>
        <w:spacing w:after="0" w:line="1" w:lineRule="exact"/>
        <w:rPr>
          <w:sz w:val="24"/>
          <w:szCs w:val="24"/>
          <w:color w:val="auto"/>
        </w:rPr>
      </w:pPr>
    </w:p>
    <w:p>
      <w:pPr>
        <w:ind w:left="2120"/>
        <w:spacing w:after="0"/>
        <w:rPr>
          <w:sz w:val="20"/>
          <w:szCs w:val="20"/>
          <w:color w:val="auto"/>
        </w:rPr>
      </w:pPr>
      <w:r>
        <w:rPr>
          <w:rFonts w:ascii="Arial" w:cs="Arial" w:eastAsia="Arial" w:hAnsi="Arial"/>
          <w:sz w:val="11"/>
          <w:szCs w:val="11"/>
          <w:b w:val="1"/>
          <w:bCs w:val="1"/>
          <w:color w:val="auto"/>
        </w:rPr>
        <w:t>Incorporation or Organization)</w:t>
      </w:r>
    </w:p>
    <w:p>
      <w:pPr>
        <w:spacing w:after="0" w:line="118"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2710 Camino Del Sol</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Oxnard, California</w:t>
      </w:r>
    </w:p>
    <w:p>
      <w:pPr>
        <w:ind w:left="18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171" w:lineRule="exact"/>
        <w:rPr>
          <w:sz w:val="24"/>
          <w:szCs w:val="24"/>
          <w:color w:val="auto"/>
        </w:rPr>
      </w:pPr>
    </w:p>
    <w:p>
      <w:pPr>
        <w:jc w:val="center"/>
        <w:ind w:left="4060"/>
        <w:spacing w:after="0"/>
        <w:rPr>
          <w:sz w:val="20"/>
          <w:szCs w:val="20"/>
          <w:color w:val="auto"/>
        </w:rPr>
      </w:pPr>
      <w:r>
        <w:rPr>
          <w:rFonts w:ascii="Arial" w:cs="Arial" w:eastAsia="Arial" w:hAnsi="Arial"/>
          <w:sz w:val="11"/>
          <w:szCs w:val="11"/>
          <w:b w:val="1"/>
          <w:bCs w:val="1"/>
          <w:color w:val="auto"/>
        </w:rPr>
        <w:t>Registrant’s Telephone Number, Including Area Code: (805) 981-3650</w:t>
      </w:r>
    </w:p>
    <w:p>
      <w:pPr>
        <w:spacing w:after="0" w:line="9"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70" w:lineRule="exact"/>
        <w:rPr>
          <w:sz w:val="24"/>
          <w:szCs w:val="24"/>
          <w:color w:val="auto"/>
        </w:rPr>
      </w:pPr>
    </w:p>
    <w:p>
      <w:pPr>
        <w:ind w:left="4200"/>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000"/>
        <w:spacing w:after="0"/>
        <w:rPr>
          <w:sz w:val="20"/>
          <w:szCs w:val="20"/>
          <w:color w:val="auto"/>
        </w:rPr>
      </w:pPr>
      <w:r>
        <w:rPr>
          <w:rFonts w:ascii="Arial" w:cs="Arial" w:eastAsia="Arial" w:hAnsi="Arial"/>
          <w:sz w:val="11"/>
          <w:szCs w:val="11"/>
          <w:b w:val="1"/>
          <w:bCs w:val="1"/>
          <w:color w:val="auto"/>
        </w:rPr>
        <w:t>95-3847744</w:t>
      </w:r>
    </w:p>
    <w:p>
      <w:pPr>
        <w:spacing w:after="0" w:line="11" w:lineRule="exact"/>
        <w:rPr>
          <w:sz w:val="24"/>
          <w:szCs w:val="24"/>
          <w:color w:val="auto"/>
        </w:rPr>
      </w:pPr>
    </w:p>
    <w:p>
      <w:pPr>
        <w:jc w:val="center"/>
        <w:ind w:right="2000"/>
        <w:spacing w:after="0"/>
        <w:rPr>
          <w:sz w:val="20"/>
          <w:szCs w:val="20"/>
          <w:color w:val="auto"/>
        </w:rPr>
      </w:pPr>
      <w:r>
        <w:rPr>
          <w:rFonts w:ascii="Arial" w:cs="Arial" w:eastAsia="Arial" w:hAnsi="Arial"/>
          <w:sz w:val="11"/>
          <w:szCs w:val="11"/>
          <w:b w:val="1"/>
          <w:bCs w:val="1"/>
          <w:color w:val="auto"/>
        </w:rPr>
        <w:t>(I.R.S. Employer</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0"/>
          <w:szCs w:val="10"/>
          <w:b w:val="1"/>
          <w:bCs w:val="1"/>
          <w:color w:val="auto"/>
        </w:rPr>
        <w:t>Identification No.)</w:t>
      </w:r>
    </w:p>
    <w:p>
      <w:pPr>
        <w:spacing w:after="0" w:line="130" w:lineRule="exact"/>
        <w:rPr>
          <w:sz w:val="24"/>
          <w:szCs w:val="24"/>
          <w:color w:val="auto"/>
        </w:rPr>
      </w:pPr>
    </w:p>
    <w:p>
      <w:pPr>
        <w:jc w:val="center"/>
        <w:ind w:right="2000"/>
        <w:spacing w:after="0"/>
        <w:rPr>
          <w:sz w:val="20"/>
          <w:szCs w:val="20"/>
          <w:color w:val="auto"/>
        </w:rPr>
      </w:pPr>
      <w:r>
        <w:rPr>
          <w:rFonts w:ascii="Arial" w:cs="Arial" w:eastAsia="Arial" w:hAnsi="Arial"/>
          <w:sz w:val="11"/>
          <w:szCs w:val="11"/>
          <w:b w:val="1"/>
          <w:bCs w:val="1"/>
          <w:color w:val="auto"/>
        </w:rPr>
        <w:t>93030</w:t>
      </w:r>
    </w:p>
    <w:p>
      <w:pPr>
        <w:spacing w:after="0" w:line="11" w:lineRule="exact"/>
        <w:rPr>
          <w:sz w:val="24"/>
          <w:szCs w:val="24"/>
          <w:color w:val="auto"/>
        </w:rPr>
      </w:pPr>
    </w:p>
    <w:p>
      <w:pPr>
        <w:ind w:left="200"/>
        <w:spacing w:after="0"/>
        <w:rPr>
          <w:sz w:val="20"/>
          <w:szCs w:val="20"/>
          <w:color w:val="auto"/>
        </w:rPr>
      </w:pPr>
      <w:r>
        <w:rPr>
          <w:rFonts w:ascii="Arial" w:cs="Arial" w:eastAsia="Arial" w:hAnsi="Arial"/>
          <w:sz w:val="11"/>
          <w:szCs w:val="11"/>
          <w:b w:val="1"/>
          <w:bCs w:val="1"/>
          <w:color w:val="auto"/>
        </w:rPr>
        <w:t>(Zip Code)</w:t>
      </w:r>
    </w:p>
    <w:p>
      <w:pPr>
        <w:spacing w:after="0" w:line="911" w:lineRule="exact"/>
        <w:rPr>
          <w:sz w:val="24"/>
          <w:szCs w:val="24"/>
          <w:color w:val="auto"/>
        </w:rPr>
      </w:pPr>
    </w:p>
    <w:p>
      <w:pPr>
        <w:sectPr>
          <w:pgSz w:w="11900" w:h="16838" w:orient="portrait"/>
          <w:cols w:equalWidth="0" w:num="2">
            <w:col w:w="7740" w:space="600"/>
            <w:col w:w="2900"/>
          </w:cols>
          <w:pgMar w:left="300" w:top="823" w:right="359" w:bottom="1440" w:gutter="0" w:footer="0" w:header="0"/>
          <w:type w:val="continuous"/>
        </w:sectPr>
      </w:pPr>
    </w:p>
    <w:p>
      <w:pPr>
        <w:spacing w:after="0" w:line="66" w:lineRule="exact"/>
        <w:rPr>
          <w:sz w:val="24"/>
          <w:szCs w:val="24"/>
          <w:color w:val="auto"/>
        </w:rPr>
      </w:pPr>
    </w:p>
    <w:tbl>
      <w:tblPr>
        <w:tblLayout w:type="fixed"/>
        <w:tblInd w:w="360" w:type="dxa"/>
        <w:tblCellMar>
          <w:top w:w="0" w:type="dxa"/>
          <w:left w:w="0" w:type="dxa"/>
          <w:bottom w:w="0" w:type="dxa"/>
          <w:right w:w="0" w:type="dxa"/>
        </w:tblCellMar>
      </w:tblPr>
      <w:tr>
        <w:trPr>
          <w:trHeight w:val="148"/>
        </w:trPr>
        <w:tc>
          <w:tcPr>
            <w:tcW w:w="740" w:type="dxa"/>
            <w:vAlign w:val="bottom"/>
          </w:tcPr>
          <w:p>
            <w:pPr>
              <w:spacing w:after="0"/>
              <w:rPr>
                <w:sz w:val="12"/>
                <w:szCs w:val="12"/>
                <w:color w:val="auto"/>
              </w:rPr>
            </w:pPr>
          </w:p>
        </w:tc>
        <w:tc>
          <w:tcPr>
            <w:tcW w:w="372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rPr>
              <w:t>Title of each class</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1"/>
                <w:szCs w:val="11"/>
                <w:b w:val="1"/>
                <w:bCs w:val="1"/>
                <w:color w:val="auto"/>
              </w:rPr>
              <w:t>Trading Symbol(s)</w:t>
            </w:r>
          </w:p>
        </w:tc>
        <w:tc>
          <w:tcPr>
            <w:tcW w:w="120" w:type="dxa"/>
            <w:vAlign w:val="bottom"/>
          </w:tcPr>
          <w:p>
            <w:pPr>
              <w:spacing w:after="0"/>
              <w:rPr>
                <w:sz w:val="12"/>
                <w:szCs w:val="12"/>
                <w:color w:val="auto"/>
              </w:rPr>
            </w:pPr>
          </w:p>
        </w:tc>
        <w:tc>
          <w:tcPr>
            <w:tcW w:w="372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1"/>
        </w:trPr>
        <w:tc>
          <w:tcPr>
            <w:tcW w:w="740" w:type="dxa"/>
            <w:vAlign w:val="bottom"/>
          </w:tcPr>
          <w:p>
            <w:pPr>
              <w:spacing w:after="0"/>
              <w:rPr>
                <w:sz w:val="12"/>
                <w:szCs w:val="12"/>
                <w:color w:val="auto"/>
              </w:rPr>
            </w:pPr>
          </w:p>
        </w:tc>
        <w:tc>
          <w:tcPr>
            <w:tcW w:w="44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rPr>
              <w:t>Common Stock, par value $0.001 per share</w:t>
            </w:r>
          </w:p>
        </w:tc>
        <w:tc>
          <w:tcPr>
            <w:tcW w:w="420" w:type="dxa"/>
            <w:vAlign w:val="bottom"/>
          </w:tcPr>
          <w:p>
            <w:pPr>
              <w:spacing w:after="0"/>
              <w:rPr>
                <w:sz w:val="12"/>
                <w:szCs w:val="12"/>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rPr>
              <w:t>AVO</w:t>
            </w:r>
          </w:p>
        </w:tc>
        <w:tc>
          <w:tcPr>
            <w:tcW w:w="3720" w:type="dxa"/>
            <w:vAlign w:val="bottom"/>
          </w:tcPr>
          <w:p>
            <w:pPr>
              <w:jc w:val="center"/>
              <w:ind w:left="463"/>
              <w:spacing w:after="0"/>
              <w:rPr>
                <w:sz w:val="20"/>
                <w:szCs w:val="20"/>
                <w:color w:val="auto"/>
              </w:rPr>
            </w:pPr>
            <w:r>
              <w:rPr>
                <w:rFonts w:ascii="Arial" w:cs="Arial" w:eastAsia="Arial" w:hAnsi="Arial"/>
                <w:sz w:val="11"/>
                <w:szCs w:val="11"/>
                <w:b w:val="1"/>
                <w:bCs w:val="1"/>
                <w:color w:val="auto"/>
              </w:rPr>
              <w:t>NASDAQ Global Select Market</w:t>
            </w:r>
          </w:p>
        </w:tc>
      </w:tr>
      <w:tr>
        <w:trPr>
          <w:trHeight w:val="446"/>
        </w:trPr>
        <w:tc>
          <w:tcPr>
            <w:tcW w:w="5180" w:type="dxa"/>
            <w:vAlign w:val="bottom"/>
            <w:gridSpan w:val="4"/>
          </w:tcPr>
          <w:p>
            <w:pPr>
              <w:spacing w:after="0"/>
              <w:rPr>
                <w:sz w:val="20"/>
                <w:szCs w:val="20"/>
                <w:color w:val="auto"/>
              </w:rPr>
            </w:pPr>
            <w:r>
              <w:rPr>
                <w:rFonts w:ascii="Arial" w:cs="Arial" w:eastAsia="Arial" w:hAnsi="Arial"/>
                <w:sz w:val="10"/>
                <w:szCs w:val="10"/>
                <w:color w:val="auto"/>
                <w:w w:val="99"/>
              </w:rPr>
              <w:t>Indicate by check mark if the registrant is a well-known seasoned issuer, as defined in Rule 405 of the Securities Act.</w:t>
            </w:r>
          </w:p>
        </w:tc>
        <w:tc>
          <w:tcPr>
            <w:tcW w:w="420" w:type="dxa"/>
            <w:vAlign w:val="bottom"/>
          </w:tcPr>
          <w:p>
            <w:pPr>
              <w:ind w:left="4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tc>
        <w:tc>
          <w:tcPr>
            <w:tcW w:w="1000" w:type="dxa"/>
            <w:vAlign w:val="bottom"/>
            <w:gridSpan w:val="2"/>
          </w:tcPr>
          <w:p>
            <w:pPr>
              <w:ind w:left="2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3720" w:type="dxa"/>
            <w:vAlign w:val="bottom"/>
          </w:tcPr>
          <w:p>
            <w:pPr>
              <w:spacing w:after="0"/>
              <w:rPr>
                <w:sz w:val="24"/>
                <w:szCs w:val="24"/>
                <w:color w:val="auto"/>
              </w:rPr>
            </w:pPr>
          </w:p>
        </w:tc>
      </w:tr>
      <w:tr>
        <w:trPr>
          <w:trHeight w:val="154"/>
        </w:trPr>
        <w:tc>
          <w:tcPr>
            <w:tcW w:w="5180" w:type="dxa"/>
            <w:vAlign w:val="bottom"/>
            <w:gridSpan w:val="4"/>
          </w:tcPr>
          <w:p>
            <w:pPr>
              <w:spacing w:after="0"/>
              <w:rPr>
                <w:sz w:val="20"/>
                <w:szCs w:val="20"/>
                <w:color w:val="auto"/>
              </w:rPr>
            </w:pPr>
            <w:r>
              <w:rPr>
                <w:rFonts w:ascii="Arial" w:cs="Arial" w:eastAsia="Arial" w:hAnsi="Arial"/>
                <w:sz w:val="10"/>
                <w:szCs w:val="10"/>
                <w:color w:val="auto"/>
                <w:w w:val="98"/>
              </w:rPr>
              <w:t>Indicate by check mark if the registrant is not required to file reports pursuant to Section 13 or Section 15(d) of the Act.</w:t>
            </w:r>
          </w:p>
        </w:tc>
        <w:tc>
          <w:tcPr>
            <w:tcW w:w="420" w:type="dxa"/>
            <w:vAlign w:val="bottom"/>
          </w:tcPr>
          <w:p>
            <w:pPr>
              <w:ind w:left="100"/>
              <w:spacing w:after="0" w:line="115" w:lineRule="exact"/>
              <w:rPr>
                <w:sz w:val="20"/>
                <w:szCs w:val="20"/>
                <w:color w:val="auto"/>
              </w:rPr>
            </w:pPr>
            <w:r>
              <w:rPr>
                <w:rFonts w:ascii="Arial" w:cs="Arial" w:eastAsia="Arial" w:hAnsi="Arial"/>
                <w:sz w:val="10"/>
                <w:szCs w:val="10"/>
                <w:color w:val="auto"/>
                <w:w w:val="99"/>
              </w:rPr>
              <w:t xml:space="preserve">Yes </w:t>
            </w:r>
            <w:r>
              <w:rPr>
                <w:rFonts w:ascii="MS PGothic" w:cs="MS PGothic" w:eastAsia="MS PGothic" w:hAnsi="MS PGothic"/>
                <w:sz w:val="10"/>
                <w:szCs w:val="10"/>
                <w:color w:val="auto"/>
                <w:w w:val="99"/>
              </w:rPr>
              <w:t>☐</w:t>
            </w:r>
          </w:p>
        </w:tc>
        <w:tc>
          <w:tcPr>
            <w:tcW w:w="1000" w:type="dxa"/>
            <w:vAlign w:val="bottom"/>
            <w:gridSpan w:val="2"/>
          </w:tcPr>
          <w:p>
            <w:pPr>
              <w:ind w:left="8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3720" w:type="dxa"/>
            <w:vAlign w:val="bottom"/>
          </w:tcPr>
          <w:p>
            <w:pPr>
              <w:spacing w:after="0"/>
              <w:rPr>
                <w:sz w:val="13"/>
                <w:szCs w:val="13"/>
                <w:color w:val="auto"/>
              </w:rPr>
            </w:pPr>
          </w:p>
        </w:tc>
      </w:tr>
    </w:tbl>
    <w:p>
      <w:pPr>
        <w:spacing w:after="0" w:line="8" w:lineRule="exact"/>
        <w:rPr>
          <w:sz w:val="24"/>
          <w:szCs w:val="24"/>
          <w:color w:val="auto"/>
        </w:rPr>
      </w:pPr>
    </w:p>
    <w:p>
      <w:pPr>
        <w:ind w:right="60" w:firstLine="347"/>
        <w:spacing w:after="0" w:line="113"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 w:lineRule="exact"/>
        <w:rPr>
          <w:sz w:val="24"/>
          <w:szCs w:val="24"/>
          <w:color w:val="auto"/>
        </w:rPr>
      </w:pPr>
    </w:p>
    <w:p>
      <w:pPr>
        <w:ind w:right="200" w:firstLine="347"/>
        <w:spacing w:after="0" w:line="113"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9" w:lineRule="exact"/>
        <w:rPr>
          <w:sz w:val="24"/>
          <w:szCs w:val="24"/>
          <w:color w:val="auto"/>
        </w:rPr>
      </w:pPr>
    </w:p>
    <w:p>
      <w:pPr>
        <w:ind w:right="200" w:firstLine="347"/>
        <w:spacing w:after="0" w:line="222"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1040" w:type="dxa"/>
        <w:tblCellMar>
          <w:top w:w="0" w:type="dxa"/>
          <w:left w:w="0" w:type="dxa"/>
          <w:bottom w:w="0" w:type="dxa"/>
          <w:right w:w="0" w:type="dxa"/>
        </w:tblCellMar>
      </w:tblPr>
      <w:tr>
        <w:trPr>
          <w:trHeight w:val="138"/>
        </w:trPr>
        <w:tc>
          <w:tcPr>
            <w:tcW w:w="158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29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rPr>
              <w:t>☒</w:t>
            </w:r>
          </w:p>
        </w:tc>
        <w:tc>
          <w:tcPr>
            <w:tcW w:w="4020" w:type="dxa"/>
            <w:vAlign w:val="bottom"/>
          </w:tcPr>
          <w:p>
            <w:pPr>
              <w:ind w:left="2420"/>
              <w:spacing w:after="0"/>
              <w:rPr>
                <w:sz w:val="20"/>
                <w:szCs w:val="20"/>
                <w:color w:val="auto"/>
              </w:rPr>
            </w:pPr>
            <w:r>
              <w:rPr>
                <w:rFonts w:ascii="Arial" w:cs="Arial" w:eastAsia="Arial" w:hAnsi="Arial"/>
                <w:sz w:val="10"/>
                <w:szCs w:val="10"/>
                <w:color w:val="auto"/>
              </w:rPr>
              <w:t>Accelerated filer</w:t>
            </w:r>
          </w:p>
        </w:tc>
        <w:tc>
          <w:tcPr>
            <w:tcW w:w="520" w:type="dxa"/>
            <w:vAlign w:val="bottom"/>
          </w:tcPr>
          <w:p>
            <w:pPr>
              <w:ind w:left="440"/>
              <w:spacing w:after="0" w:line="71" w:lineRule="exact"/>
              <w:rPr>
                <w:sz w:val="20"/>
                <w:szCs w:val="20"/>
                <w:color w:val="auto"/>
              </w:rPr>
            </w:pPr>
            <w:r>
              <w:rPr>
                <w:rFonts w:ascii="MS PGothic" w:cs="MS PGothic" w:eastAsia="MS PGothic" w:hAnsi="MS PGothic"/>
                <w:sz w:val="7"/>
                <w:szCs w:val="7"/>
                <w:color w:val="auto"/>
                <w:w w:val="85"/>
              </w:rPr>
              <w:t>☐</w:t>
            </w:r>
          </w:p>
        </w:tc>
      </w:tr>
      <w:tr>
        <w:trPr>
          <w:trHeight w:val="138"/>
        </w:trPr>
        <w:tc>
          <w:tcPr>
            <w:tcW w:w="1580" w:type="dxa"/>
            <w:vAlign w:val="bottom"/>
          </w:tcPr>
          <w:p>
            <w:pPr>
              <w:spacing w:after="0"/>
              <w:rPr>
                <w:sz w:val="20"/>
                <w:szCs w:val="20"/>
                <w:color w:val="auto"/>
              </w:rPr>
            </w:pPr>
            <w:r>
              <w:rPr>
                <w:rFonts w:ascii="Arial" w:cs="Arial" w:eastAsia="Arial" w:hAnsi="Arial"/>
                <w:sz w:val="10"/>
                <w:szCs w:val="10"/>
                <w:color w:val="auto"/>
              </w:rPr>
              <w:t>Non-accelerated filer</w:t>
            </w:r>
          </w:p>
        </w:tc>
        <w:tc>
          <w:tcPr>
            <w:tcW w:w="29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rPr>
              <w:t>☐</w:t>
            </w:r>
          </w:p>
        </w:tc>
        <w:tc>
          <w:tcPr>
            <w:tcW w:w="4020" w:type="dxa"/>
            <w:vAlign w:val="bottom"/>
          </w:tcPr>
          <w:p>
            <w:pPr>
              <w:ind w:left="2420"/>
              <w:spacing w:after="0"/>
              <w:rPr>
                <w:sz w:val="20"/>
                <w:szCs w:val="20"/>
                <w:color w:val="auto"/>
              </w:rPr>
            </w:pPr>
            <w:r>
              <w:rPr>
                <w:rFonts w:ascii="Arial" w:cs="Arial" w:eastAsia="Arial" w:hAnsi="Arial"/>
                <w:sz w:val="10"/>
                <w:szCs w:val="10"/>
                <w:color w:val="auto"/>
              </w:rPr>
              <w:t>Smaller reporting company</w:t>
            </w:r>
          </w:p>
        </w:tc>
        <w:tc>
          <w:tcPr>
            <w:tcW w:w="520" w:type="dxa"/>
            <w:vAlign w:val="bottom"/>
          </w:tcPr>
          <w:p>
            <w:pPr>
              <w:ind w:left="440"/>
              <w:spacing w:after="0" w:line="71" w:lineRule="exact"/>
              <w:rPr>
                <w:sz w:val="20"/>
                <w:szCs w:val="20"/>
                <w:color w:val="auto"/>
              </w:rPr>
            </w:pPr>
            <w:r>
              <w:rPr>
                <w:rFonts w:ascii="MS PGothic" w:cs="MS PGothic" w:eastAsia="MS PGothic" w:hAnsi="MS PGothic"/>
                <w:sz w:val="7"/>
                <w:szCs w:val="7"/>
                <w:color w:val="auto"/>
                <w:w w:val="85"/>
              </w:rPr>
              <w:t>☐</w:t>
            </w:r>
          </w:p>
        </w:tc>
      </w:tr>
      <w:tr>
        <w:trPr>
          <w:trHeight w:val="154"/>
        </w:trPr>
        <w:tc>
          <w:tcPr>
            <w:tcW w:w="1580" w:type="dxa"/>
            <w:vAlign w:val="bottom"/>
          </w:tcPr>
          <w:p>
            <w:pPr>
              <w:spacing w:after="0"/>
              <w:rPr>
                <w:sz w:val="20"/>
                <w:szCs w:val="20"/>
                <w:color w:val="auto"/>
              </w:rPr>
            </w:pPr>
            <w:r>
              <w:rPr>
                <w:rFonts w:ascii="Arial" w:cs="Arial" w:eastAsia="Arial" w:hAnsi="Arial"/>
                <w:sz w:val="10"/>
                <w:szCs w:val="10"/>
                <w:color w:val="auto"/>
              </w:rPr>
              <w:t>Emerging growth company</w:t>
            </w:r>
          </w:p>
        </w:tc>
        <w:tc>
          <w:tcPr>
            <w:tcW w:w="2920" w:type="dxa"/>
            <w:vAlign w:val="bottom"/>
          </w:tcPr>
          <w:p>
            <w:pPr>
              <w:ind w:left="420"/>
              <w:spacing w:after="0" w:line="101" w:lineRule="exact"/>
              <w:rPr>
                <w:sz w:val="20"/>
                <w:szCs w:val="20"/>
                <w:color w:val="auto"/>
              </w:rPr>
            </w:pPr>
            <w:r>
              <w:rPr>
                <w:rFonts w:ascii="MS PGothic" w:cs="MS PGothic" w:eastAsia="MS PGothic" w:hAnsi="MS PGothic"/>
                <w:sz w:val="10"/>
                <w:szCs w:val="10"/>
                <w:color w:val="auto"/>
              </w:rPr>
              <w:t>☐</w:t>
            </w:r>
          </w:p>
        </w:tc>
        <w:tc>
          <w:tcPr>
            <w:tcW w:w="4020" w:type="dxa"/>
            <w:vAlign w:val="bottom"/>
          </w:tcPr>
          <w:p>
            <w:pPr>
              <w:spacing w:after="0"/>
              <w:rPr>
                <w:sz w:val="13"/>
                <w:szCs w:val="13"/>
                <w:color w:val="auto"/>
              </w:rPr>
            </w:pPr>
          </w:p>
        </w:tc>
        <w:tc>
          <w:tcPr>
            <w:tcW w:w="520" w:type="dxa"/>
            <w:vAlign w:val="bottom"/>
          </w:tcPr>
          <w:p>
            <w:pPr>
              <w:spacing w:after="0"/>
              <w:rPr>
                <w:sz w:val="13"/>
                <w:szCs w:val="13"/>
                <w:color w:val="auto"/>
              </w:rPr>
            </w:pPr>
          </w:p>
        </w:tc>
      </w:tr>
    </w:tbl>
    <w:p>
      <w:pPr>
        <w:spacing w:after="0" w:line="231" w:lineRule="exact"/>
        <w:rPr>
          <w:sz w:val="24"/>
          <w:szCs w:val="24"/>
          <w:color w:val="auto"/>
        </w:rPr>
      </w:pPr>
    </w:p>
    <w:p>
      <w:pPr>
        <w:ind w:left="36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15" w:lineRule="exact"/>
        <w:rPr>
          <w:sz w:val="20"/>
          <w:szCs w:val="20"/>
          <w:color w:val="auto"/>
        </w:rPr>
      </w:pPr>
      <w:r>
        <w:rPr>
          <w:rFonts w:ascii="Arial" w:cs="Arial" w:eastAsia="Arial" w:hAnsi="Arial"/>
          <w:sz w:val="10"/>
          <w:szCs w:val="10"/>
          <w:color w:val="auto"/>
        </w:rPr>
        <w:t xml:space="preserve">Act. </w:t>
      </w:r>
      <w:r>
        <w:rPr>
          <w:rFonts w:ascii="MS PGothic" w:cs="MS PGothic" w:eastAsia="MS PGothic" w:hAnsi="MS PGothic"/>
          <w:sz w:val="10"/>
          <w:szCs w:val="10"/>
          <w:color w:val="auto"/>
        </w:rPr>
        <w:t>☐</w:t>
      </w:r>
    </w:p>
    <w:p>
      <w:pPr>
        <w:spacing w:after="0" w:line="25" w:lineRule="exact"/>
        <w:rPr>
          <w:sz w:val="24"/>
          <w:szCs w:val="24"/>
          <w:color w:val="auto"/>
        </w:rPr>
      </w:pPr>
    </w:p>
    <w:p>
      <w:pPr>
        <w:ind w:firstLine="347"/>
        <w:spacing w:after="0" w:line="113"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360"/>
        <w:spacing w:after="0" w:line="115" w:lineRule="exact"/>
        <w:tabs>
          <w:tab w:leader="none" w:pos="524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31" w:lineRule="exact"/>
        <w:rPr>
          <w:sz w:val="24"/>
          <w:szCs w:val="24"/>
          <w:color w:val="auto"/>
        </w:rPr>
      </w:pPr>
    </w:p>
    <w:p>
      <w:pPr>
        <w:ind w:firstLine="347"/>
        <w:spacing w:after="0" w:line="222" w:lineRule="auto"/>
        <w:rPr>
          <w:sz w:val="20"/>
          <w:szCs w:val="20"/>
          <w:color w:val="auto"/>
        </w:rPr>
      </w:pPr>
      <w:r>
        <w:rPr>
          <w:rFonts w:ascii="Arial" w:cs="Arial" w:eastAsia="Arial" w:hAnsi="Arial"/>
          <w:sz w:val="10"/>
          <w:szCs w:val="10"/>
          <w:color w:val="auto"/>
        </w:rPr>
        <w:t>As of April 30, 2021, the aggregate market value of the registrant’s common stock held by non-affiliates of the registrant was approximately $798 million, based on the closing price of the registrant’s common stock on the Nasdaq Global Select Market of $20.20 per share.</w:t>
      </w:r>
    </w:p>
    <w:p>
      <w:pPr>
        <w:spacing w:after="0" w:line="21" w:lineRule="exact"/>
        <w:rPr>
          <w:sz w:val="24"/>
          <w:szCs w:val="24"/>
          <w:color w:val="auto"/>
        </w:rPr>
      </w:pPr>
    </w:p>
    <w:p>
      <w:pPr>
        <w:ind w:left="360"/>
        <w:spacing w:after="0"/>
        <w:rPr>
          <w:sz w:val="20"/>
          <w:szCs w:val="20"/>
          <w:color w:val="auto"/>
        </w:rPr>
      </w:pPr>
      <w:r>
        <w:rPr>
          <w:rFonts w:ascii="Arial" w:cs="Arial" w:eastAsia="Arial" w:hAnsi="Arial"/>
          <w:sz w:val="10"/>
          <w:szCs w:val="10"/>
          <w:color w:val="auto"/>
        </w:rPr>
        <w:t>As of December 1, 2021, the registrant had 70,631,525 shares of common stock at $0.001 par value outstanding.</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DOCUMENTS INCORPORATED BY REFERENCE</w:t>
      </w:r>
    </w:p>
    <w:p>
      <w:pPr>
        <w:spacing w:after="0" w:line="35" w:lineRule="exact"/>
        <w:rPr>
          <w:sz w:val="24"/>
          <w:szCs w:val="24"/>
          <w:color w:val="auto"/>
        </w:rPr>
      </w:pPr>
    </w:p>
    <w:p>
      <w:pPr>
        <w:ind w:right="180" w:firstLine="347"/>
        <w:spacing w:after="0" w:line="222" w:lineRule="auto"/>
        <w:rPr>
          <w:sz w:val="20"/>
          <w:szCs w:val="20"/>
          <w:color w:val="auto"/>
        </w:rPr>
      </w:pPr>
      <w:r>
        <w:rPr>
          <w:rFonts w:ascii="Arial" w:cs="Arial" w:eastAsia="Arial" w:hAnsi="Arial"/>
          <w:sz w:val="10"/>
          <w:szCs w:val="10"/>
          <w:color w:val="auto"/>
        </w:rPr>
        <w:t>Certain sections of the registrant’s definitive proxy statement for the 2022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421005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82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80" w:type="dxa"/>
            <w:vAlign w:val="bottom"/>
            <w:gridSpan w:val="7"/>
          </w:tcPr>
          <w:p>
            <w:pPr>
              <w:jc w:val="center"/>
              <w:ind w:right="4740"/>
              <w:spacing w:after="0"/>
              <w:rPr>
                <w:sz w:val="20"/>
                <w:szCs w:val="20"/>
                <w:color w:val="auto"/>
              </w:rPr>
            </w:pPr>
            <w:r>
              <w:rPr>
                <w:rFonts w:ascii="Arial" w:cs="Arial" w:eastAsia="Arial" w:hAnsi="Arial"/>
                <w:sz w:val="20"/>
                <w:szCs w:val="20"/>
                <w:b w:val="1"/>
                <w:bCs w:val="1"/>
                <w:color w:val="232F84"/>
                <w:w w:val="98"/>
              </w:rPr>
              <w:t>FORM 10-K</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40" w:type="dxa"/>
            <w:vAlign w:val="bottom"/>
            <w:gridSpan w:val="8"/>
          </w:tcPr>
          <w:p>
            <w:pPr>
              <w:jc w:val="center"/>
              <w:ind w:right="4380"/>
              <w:spacing w:after="0"/>
              <w:rPr>
                <w:sz w:val="20"/>
                <w:szCs w:val="20"/>
                <w:color w:val="auto"/>
              </w:rPr>
            </w:pPr>
            <w:r>
              <w:rPr>
                <w:rFonts w:ascii="Arial" w:cs="Arial" w:eastAsia="Arial" w:hAnsi="Arial"/>
                <w:sz w:val="20"/>
                <w:szCs w:val="20"/>
                <w:b w:val="1"/>
                <w:bCs w:val="1"/>
                <w:color w:val="232F84"/>
                <w:w w:val="99"/>
              </w:rPr>
              <w:t>FISCAL YEAR 2021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160" w:type="dxa"/>
            <w:vAlign w:val="bottom"/>
          </w:tcPr>
          <w:p>
            <w:pPr>
              <w:ind w:left="1040"/>
              <w:spacing w:after="0"/>
              <w:rPr>
                <w:sz w:val="20"/>
                <w:szCs w:val="20"/>
                <w:color w:val="auto"/>
              </w:rPr>
            </w:pPr>
            <w:r>
              <w:rPr>
                <w:rFonts w:ascii="Arial" w:cs="Arial" w:eastAsia="Arial" w:hAnsi="Arial"/>
                <w:sz w:val="11"/>
                <w:szCs w:val="11"/>
                <w:b w:val="1"/>
                <w:bCs w:val="1"/>
                <w:color w:val="auto"/>
              </w:rPr>
              <w:t>PART I</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1040"/>
              <w:spacing w:after="0" w:line="146" w:lineRule="exact"/>
              <w:rPr>
                <w:sz w:val="20"/>
                <w:szCs w:val="20"/>
                <w:color w:val="auto"/>
              </w:rPr>
            </w:pPr>
            <w:r>
              <w:rPr>
                <w:rFonts w:ascii="Arial" w:cs="Arial" w:eastAsia="Arial" w:hAnsi="Arial"/>
                <w:sz w:val="13"/>
                <w:szCs w:val="13"/>
                <w:color w:val="auto"/>
              </w:rPr>
              <w:t>Item 1.</w:t>
            </w:r>
          </w:p>
        </w:tc>
        <w:tc>
          <w:tcPr>
            <w:tcW w:w="8900" w:type="dxa"/>
            <w:vAlign w:val="bottom"/>
            <w:gridSpan w:val="20"/>
          </w:tcPr>
          <w:p>
            <w:pPr>
              <w:spacing w:after="0"/>
              <w:rPr>
                <w:rFonts w:ascii="Arial" w:cs="Arial" w:eastAsia="Arial" w:hAnsi="Arial"/>
                <w:sz w:val="11"/>
                <w:szCs w:val="11"/>
                <w:color w:val="0000FF"/>
              </w:rPr>
            </w:pPr>
            <w:hyperlink w:anchor="page4">
              <w:r>
                <w:rPr>
                  <w:rFonts w:ascii="Arial" w:cs="Arial" w:eastAsia="Arial" w:hAnsi="Arial"/>
                  <w:sz w:val="11"/>
                  <w:szCs w:val="11"/>
                  <w:color w:val="0000FF"/>
                </w:rPr>
                <w:t>Business</w:t>
              </w:r>
            </w:hyperlink>
          </w:p>
        </w:tc>
        <w:tc>
          <w:tcPr>
            <w:tcW w:w="60" w:type="dxa"/>
            <w:vAlign w:val="bottom"/>
          </w:tcPr>
          <w:p>
            <w:pPr>
              <w:spacing w:after="0"/>
              <w:rPr>
                <w:rFonts w:ascii="Arial" w:cs="Arial" w:eastAsia="Arial" w:hAnsi="Arial"/>
                <w:sz w:val="5"/>
                <w:szCs w:val="5"/>
                <w:color w:val="0000FF"/>
                <w:w w:val="70"/>
              </w:rPr>
            </w:pPr>
            <w:hyperlink w:anchor="page4">
              <w:r>
                <w:rPr>
                  <w:rFonts w:ascii="Arial" w:cs="Arial" w:eastAsia="Arial" w:hAnsi="Arial"/>
                  <w:sz w:val="5"/>
                  <w:szCs w:val="5"/>
                  <w:color w:val="0000FF"/>
                  <w:w w:val="70"/>
                </w:rPr>
                <w:t>1</w:t>
              </w:r>
            </w:hyperlink>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1A.</w:t>
            </w: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8900" w:type="dxa"/>
            <w:vAlign w:val="bottom"/>
            <w:gridSpan w:val="20"/>
          </w:tcPr>
          <w:p>
            <w:pPr>
              <w:spacing w:after="0"/>
              <w:rPr>
                <w:rFonts w:ascii="Arial" w:cs="Arial" w:eastAsia="Arial" w:hAnsi="Arial"/>
                <w:sz w:val="11"/>
                <w:szCs w:val="11"/>
                <w:color w:val="0000FF"/>
              </w:rPr>
            </w:pPr>
            <w:hyperlink w:anchor="page6">
              <w:r>
                <w:rPr>
                  <w:rFonts w:ascii="Arial" w:cs="Arial" w:eastAsia="Arial" w:hAnsi="Arial"/>
                  <w:sz w:val="11"/>
                  <w:szCs w:val="11"/>
                  <w:color w:val="0000FF"/>
                </w:rPr>
                <w:t>Risk Factors</w:t>
              </w:r>
            </w:hyperlink>
          </w:p>
        </w:tc>
        <w:tc>
          <w:tcPr>
            <w:tcW w:w="60" w:type="dxa"/>
            <w:vAlign w:val="bottom"/>
          </w:tcPr>
          <w:p>
            <w:pPr>
              <w:spacing w:after="0"/>
              <w:rPr>
                <w:rFonts w:ascii="Arial" w:cs="Arial" w:eastAsia="Arial" w:hAnsi="Arial"/>
                <w:sz w:val="5"/>
                <w:szCs w:val="5"/>
                <w:color w:val="0000FF"/>
                <w:w w:val="70"/>
              </w:rPr>
            </w:pPr>
            <w:hyperlink w:anchor="page6">
              <w:r>
                <w:rPr>
                  <w:rFonts w:ascii="Arial" w:cs="Arial" w:eastAsia="Arial" w:hAnsi="Arial"/>
                  <w:sz w:val="5"/>
                  <w:szCs w:val="5"/>
                  <w:color w:val="0000FF"/>
                  <w:w w:val="70"/>
                </w:rPr>
                <w:t>3</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60" w:type="dxa"/>
            <w:vAlign w:val="bottom"/>
          </w:tcPr>
          <w:p>
            <w:pPr>
              <w:ind w:left="1040"/>
              <w:spacing w:after="0"/>
              <w:rPr>
                <w:sz w:val="20"/>
                <w:szCs w:val="20"/>
                <w:color w:val="auto"/>
              </w:rPr>
            </w:pPr>
            <w:r>
              <w:rPr>
                <w:rFonts w:ascii="Arial" w:cs="Arial" w:eastAsia="Arial" w:hAnsi="Arial"/>
                <w:sz w:val="13"/>
                <w:szCs w:val="13"/>
                <w:color w:val="auto"/>
              </w:rPr>
              <w:t>Item</w:t>
            </w: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520"/>
              <w:spacing w:after="0" w:line="126" w:lineRule="exact"/>
              <w:rPr>
                <w:sz w:val="20"/>
                <w:szCs w:val="20"/>
                <w:color w:val="auto"/>
              </w:rPr>
            </w:pPr>
            <w:r>
              <w:rPr>
                <w:rFonts w:ascii="Arial" w:cs="Arial" w:eastAsia="Arial" w:hAnsi="Arial"/>
                <w:sz w:val="13"/>
                <w:szCs w:val="13"/>
                <w:color w:val="auto"/>
              </w:rPr>
              <w:t>1B.</w:t>
            </w:r>
          </w:p>
        </w:tc>
        <w:tc>
          <w:tcPr>
            <w:tcW w:w="1420" w:type="dxa"/>
            <w:vAlign w:val="bottom"/>
            <w:gridSpan w:val="9"/>
          </w:tcPr>
          <w:p>
            <w:pPr>
              <w:spacing w:after="0"/>
              <w:rPr>
                <w:rFonts w:ascii="Arial" w:cs="Arial" w:eastAsia="Arial" w:hAnsi="Arial"/>
                <w:sz w:val="11"/>
                <w:szCs w:val="11"/>
                <w:color w:val="0000FF"/>
              </w:rPr>
            </w:pPr>
            <w:hyperlink w:anchor="page16">
              <w:r>
                <w:rPr>
                  <w:rFonts w:ascii="Arial" w:cs="Arial" w:eastAsia="Arial" w:hAnsi="Arial"/>
                  <w:sz w:val="11"/>
                  <w:szCs w:val="11"/>
                  <w:color w:val="0000FF"/>
                </w:rPr>
                <w:t>Unresolved Staff Comments</w:t>
              </w:r>
            </w:hyperlink>
          </w:p>
        </w:tc>
        <w:tc>
          <w:tcPr>
            <w:tcW w:w="7480" w:type="dxa"/>
            <w:vAlign w:val="bottom"/>
            <w:gridSpan w:val="11"/>
          </w:tcPr>
          <w:p>
            <w:pPr>
              <w:spacing w:after="0"/>
              <w:rPr>
                <w:sz w:val="10"/>
                <w:szCs w:val="10"/>
                <w:color w:val="auto"/>
              </w:rPr>
            </w:pPr>
          </w:p>
        </w:tc>
        <w:tc>
          <w:tcPr>
            <w:tcW w:w="220" w:type="dxa"/>
            <w:vAlign w:val="bottom"/>
            <w:gridSpan w:val="2"/>
          </w:tcPr>
          <w:p>
            <w:pPr>
              <w:spacing w:after="0"/>
              <w:rPr>
                <w:rFonts w:ascii="Arial" w:cs="Arial" w:eastAsia="Arial" w:hAnsi="Arial"/>
                <w:sz w:val="11"/>
                <w:szCs w:val="11"/>
                <w:color w:val="0000FF"/>
              </w:rPr>
            </w:pPr>
            <w:hyperlink w:anchor="page16">
              <w:r>
                <w:rPr>
                  <w:rFonts w:ascii="Arial" w:cs="Arial" w:eastAsia="Arial" w:hAnsi="Arial"/>
                  <w:sz w:val="11"/>
                  <w:szCs w:val="11"/>
                  <w:color w:val="0000FF"/>
                </w:rPr>
                <w:t>13</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2.</w:t>
            </w: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520" w:type="dxa"/>
            <w:vAlign w:val="bottom"/>
            <w:gridSpan w:val="2"/>
          </w:tcPr>
          <w:p>
            <w:pPr>
              <w:spacing w:after="0"/>
              <w:rPr>
                <w:rFonts w:ascii="Arial" w:cs="Arial" w:eastAsia="Arial" w:hAnsi="Arial"/>
                <w:sz w:val="11"/>
                <w:szCs w:val="11"/>
                <w:color w:val="0000FF"/>
                <w:w w:val="99"/>
              </w:rPr>
            </w:pPr>
            <w:hyperlink w:anchor="page16">
              <w:r>
                <w:rPr>
                  <w:rFonts w:ascii="Arial" w:cs="Arial" w:eastAsia="Arial" w:hAnsi="Arial"/>
                  <w:sz w:val="11"/>
                  <w:szCs w:val="11"/>
                  <w:color w:val="0000FF"/>
                  <w:w w:val="99"/>
                </w:rPr>
                <w:t>Properties</w:t>
              </w:r>
            </w:hyperlink>
          </w:p>
        </w:tc>
        <w:tc>
          <w:tcPr>
            <w:tcW w:w="900" w:type="dxa"/>
            <w:vAlign w:val="bottom"/>
            <w:gridSpan w:val="7"/>
          </w:tcPr>
          <w:p>
            <w:pPr>
              <w:spacing w:after="0"/>
              <w:rPr>
                <w:sz w:val="13"/>
                <w:szCs w:val="13"/>
                <w:color w:val="auto"/>
              </w:rPr>
            </w:pPr>
          </w:p>
        </w:tc>
        <w:tc>
          <w:tcPr>
            <w:tcW w:w="7480" w:type="dxa"/>
            <w:vAlign w:val="bottom"/>
            <w:gridSpan w:val="11"/>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16">
              <w:r>
                <w:rPr>
                  <w:rFonts w:ascii="Arial" w:cs="Arial" w:eastAsia="Arial" w:hAnsi="Arial"/>
                  <w:sz w:val="11"/>
                  <w:szCs w:val="11"/>
                  <w:color w:val="0000FF"/>
                </w:rPr>
                <w:t>14</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3.</w:t>
            </w: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940" w:type="dxa"/>
            <w:vAlign w:val="bottom"/>
            <w:gridSpan w:val="5"/>
          </w:tcPr>
          <w:p>
            <w:pPr>
              <w:spacing w:after="0"/>
              <w:rPr>
                <w:rFonts w:ascii="Arial" w:cs="Arial" w:eastAsia="Arial" w:hAnsi="Arial"/>
                <w:sz w:val="11"/>
                <w:szCs w:val="11"/>
                <w:color w:val="0000FF"/>
                <w:w w:val="98"/>
              </w:rPr>
            </w:pPr>
            <w:hyperlink w:anchor="page17">
              <w:r>
                <w:rPr>
                  <w:rFonts w:ascii="Arial" w:cs="Arial" w:eastAsia="Arial" w:hAnsi="Arial"/>
                  <w:sz w:val="11"/>
                  <w:szCs w:val="11"/>
                  <w:color w:val="0000FF"/>
                  <w:w w:val="98"/>
                </w:rPr>
                <w:t>Legal Proceedings</w:t>
              </w:r>
            </w:hyperlink>
          </w:p>
        </w:tc>
        <w:tc>
          <w:tcPr>
            <w:tcW w:w="7960" w:type="dxa"/>
            <w:vAlign w:val="bottom"/>
            <w:gridSpan w:val="15"/>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17">
              <w:r>
                <w:rPr>
                  <w:rFonts w:ascii="Arial" w:cs="Arial" w:eastAsia="Arial" w:hAnsi="Arial"/>
                  <w:sz w:val="11"/>
                  <w:szCs w:val="11"/>
                  <w:color w:val="0000FF"/>
                </w:rPr>
                <w:t>14</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4.</w:t>
            </w: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8900" w:type="dxa"/>
            <w:vAlign w:val="bottom"/>
            <w:gridSpan w:val="20"/>
          </w:tcPr>
          <w:p>
            <w:pPr>
              <w:spacing w:after="0"/>
              <w:rPr>
                <w:rFonts w:ascii="Arial" w:cs="Arial" w:eastAsia="Arial" w:hAnsi="Arial"/>
                <w:sz w:val="11"/>
                <w:szCs w:val="11"/>
                <w:color w:val="0000FF"/>
              </w:rPr>
            </w:pPr>
            <w:hyperlink w:anchor="page20">
              <w:r>
                <w:rPr>
                  <w:rFonts w:ascii="Arial" w:cs="Arial" w:eastAsia="Arial" w:hAnsi="Arial"/>
                  <w:sz w:val="11"/>
                  <w:szCs w:val="11"/>
                  <w:color w:val="0000FF"/>
                </w:rPr>
                <w:t>Mine Safety Disclosures</w:t>
              </w:r>
            </w:hyperlink>
          </w:p>
        </w:tc>
        <w:tc>
          <w:tcPr>
            <w:tcW w:w="220" w:type="dxa"/>
            <w:vAlign w:val="bottom"/>
            <w:gridSpan w:val="2"/>
          </w:tcPr>
          <w:p>
            <w:pPr>
              <w:spacing w:after="0"/>
              <w:rPr>
                <w:rFonts w:ascii="Arial" w:cs="Arial" w:eastAsia="Arial" w:hAnsi="Arial"/>
                <w:sz w:val="11"/>
                <w:szCs w:val="11"/>
                <w:color w:val="0000FF"/>
              </w:rPr>
            </w:pPr>
            <w:hyperlink w:anchor="page20">
              <w:r>
                <w:rPr>
                  <w:rFonts w:ascii="Arial" w:cs="Arial" w:eastAsia="Arial" w:hAnsi="Arial"/>
                  <w:sz w:val="11"/>
                  <w:szCs w:val="11"/>
                  <w:color w:val="0000FF"/>
                </w:rPr>
                <w:t>17</w:t>
              </w:r>
            </w:hyperlink>
          </w:p>
        </w:tc>
        <w:tc>
          <w:tcPr>
            <w:tcW w:w="0" w:type="dxa"/>
            <w:vAlign w:val="bottom"/>
          </w:tcPr>
          <w:p>
            <w:pPr>
              <w:spacing w:after="0"/>
              <w:rPr>
                <w:sz w:val="1"/>
                <w:szCs w:val="1"/>
                <w:color w:val="auto"/>
              </w:rPr>
            </w:pPr>
          </w:p>
        </w:tc>
      </w:tr>
      <w:tr>
        <w:trPr>
          <w:trHeight w:val="343"/>
        </w:trPr>
        <w:tc>
          <w:tcPr>
            <w:tcW w:w="2160" w:type="dxa"/>
            <w:vAlign w:val="bottom"/>
          </w:tcPr>
          <w:p>
            <w:pPr>
              <w:ind w:left="1040"/>
              <w:spacing w:after="0"/>
              <w:rPr>
                <w:sz w:val="20"/>
                <w:szCs w:val="20"/>
                <w:color w:val="auto"/>
              </w:rPr>
            </w:pPr>
            <w:r>
              <w:rPr>
                <w:rFonts w:ascii="Arial" w:cs="Arial" w:eastAsia="Arial" w:hAnsi="Arial"/>
                <w:sz w:val="11"/>
                <w:szCs w:val="11"/>
                <w:b w:val="1"/>
                <w:bCs w:val="1"/>
                <w:color w:val="auto"/>
              </w:rPr>
              <w:t>PART II</w:t>
            </w: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1040"/>
              <w:spacing w:after="0" w:line="146" w:lineRule="exact"/>
              <w:rPr>
                <w:sz w:val="20"/>
                <w:szCs w:val="20"/>
                <w:color w:val="auto"/>
              </w:rPr>
            </w:pPr>
            <w:r>
              <w:rPr>
                <w:rFonts w:ascii="Arial" w:cs="Arial" w:eastAsia="Arial" w:hAnsi="Arial"/>
                <w:sz w:val="13"/>
                <w:szCs w:val="13"/>
                <w:color w:val="auto"/>
              </w:rPr>
              <w:t>Item 5.</w:t>
            </w:r>
          </w:p>
        </w:tc>
        <w:tc>
          <w:tcPr>
            <w:tcW w:w="5580" w:type="dxa"/>
            <w:vAlign w:val="bottom"/>
            <w:gridSpan w:val="19"/>
          </w:tcPr>
          <w:p>
            <w:pPr>
              <w:spacing w:after="0"/>
              <w:rPr>
                <w:rFonts w:ascii="Arial" w:cs="Arial" w:eastAsia="Arial" w:hAnsi="Arial"/>
                <w:sz w:val="11"/>
                <w:szCs w:val="11"/>
                <w:color w:val="0000FF"/>
              </w:rPr>
            </w:pPr>
            <w:hyperlink w:anchor="page19">
              <w:r>
                <w:rPr>
                  <w:rFonts w:ascii="Arial" w:cs="Arial" w:eastAsia="Arial" w:hAnsi="Arial"/>
                  <w:sz w:val="11"/>
                  <w:szCs w:val="11"/>
                  <w:color w:val="0000FF"/>
                </w:rPr>
                <w:t>Market for Registrant’s Common Equity, Related Stockholder Matters and Issuer Purchases of Equity Securities</w:t>
              </w:r>
            </w:hyperlink>
          </w:p>
        </w:tc>
        <w:tc>
          <w:tcPr>
            <w:tcW w:w="3320" w:type="dxa"/>
            <w:vAlign w:val="bottom"/>
          </w:tcPr>
          <w:p>
            <w:pPr>
              <w:spacing w:after="0"/>
              <w:rPr>
                <w:sz w:val="12"/>
                <w:szCs w:val="12"/>
                <w:color w:val="auto"/>
              </w:rPr>
            </w:pPr>
          </w:p>
        </w:tc>
        <w:tc>
          <w:tcPr>
            <w:tcW w:w="220" w:type="dxa"/>
            <w:vAlign w:val="bottom"/>
            <w:gridSpan w:val="2"/>
          </w:tcPr>
          <w:p>
            <w:pPr>
              <w:spacing w:after="0"/>
              <w:rPr>
                <w:rFonts w:ascii="Arial" w:cs="Arial" w:eastAsia="Arial" w:hAnsi="Arial"/>
                <w:sz w:val="11"/>
                <w:szCs w:val="11"/>
                <w:color w:val="0000FF"/>
              </w:rPr>
            </w:pPr>
            <w:hyperlink w:anchor="page19">
              <w:r>
                <w:rPr>
                  <w:rFonts w:ascii="Arial" w:cs="Arial" w:eastAsia="Arial" w:hAnsi="Arial"/>
                  <w:sz w:val="11"/>
                  <w:szCs w:val="11"/>
                  <w:color w:val="0000FF"/>
                </w:rPr>
                <w:t>16</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6.</w:t>
            </w: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1200" w:type="dxa"/>
            <w:vAlign w:val="bottom"/>
            <w:gridSpan w:val="7"/>
          </w:tcPr>
          <w:p>
            <w:pPr>
              <w:spacing w:after="0"/>
              <w:rPr>
                <w:rFonts w:ascii="Arial" w:cs="Arial" w:eastAsia="Arial" w:hAnsi="Arial"/>
                <w:sz w:val="11"/>
                <w:szCs w:val="11"/>
                <w:color w:val="0000FF"/>
              </w:rPr>
            </w:pPr>
            <w:hyperlink w:anchor="page17">
              <w:r>
                <w:rPr>
                  <w:rFonts w:ascii="Arial" w:cs="Arial" w:eastAsia="Arial" w:hAnsi="Arial"/>
                  <w:sz w:val="11"/>
                  <w:szCs w:val="11"/>
                  <w:color w:val="0000FF"/>
                </w:rPr>
                <w:t>Selected Financial Data</w:t>
              </w:r>
            </w:hyperlink>
          </w:p>
        </w:tc>
        <w:tc>
          <w:tcPr>
            <w:tcW w:w="4380" w:type="dxa"/>
            <w:vAlign w:val="bottom"/>
            <w:gridSpan w:val="12"/>
          </w:tcPr>
          <w:p>
            <w:pPr>
              <w:spacing w:after="0"/>
              <w:rPr>
                <w:sz w:val="13"/>
                <w:szCs w:val="13"/>
                <w:color w:val="auto"/>
              </w:rPr>
            </w:pPr>
          </w:p>
        </w:tc>
        <w:tc>
          <w:tcPr>
            <w:tcW w:w="3320" w:type="dxa"/>
            <w:vAlign w:val="bottom"/>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20">
              <w:r>
                <w:rPr>
                  <w:rFonts w:ascii="Arial" w:cs="Arial" w:eastAsia="Arial" w:hAnsi="Arial"/>
                  <w:sz w:val="11"/>
                  <w:szCs w:val="11"/>
                  <w:color w:val="0000FF"/>
                </w:rPr>
                <w:t>17</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7.</w:t>
            </w: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8900" w:type="dxa"/>
            <w:vAlign w:val="bottom"/>
            <w:gridSpan w:val="20"/>
          </w:tcPr>
          <w:p>
            <w:pPr>
              <w:spacing w:after="0"/>
              <w:rPr>
                <w:rFonts w:ascii="Arial" w:cs="Arial" w:eastAsia="Arial" w:hAnsi="Arial"/>
                <w:sz w:val="11"/>
                <w:szCs w:val="11"/>
                <w:color w:val="0000FF"/>
              </w:rPr>
            </w:pPr>
            <w:hyperlink w:anchor="page20">
              <w:r>
                <w:rPr>
                  <w:rFonts w:ascii="Arial" w:cs="Arial" w:eastAsia="Arial" w:hAnsi="Arial"/>
                  <w:sz w:val="11"/>
                  <w:szCs w:val="11"/>
                  <w:color w:val="0000FF"/>
                </w:rPr>
                <w:t>Management's Discussion and Analysis of Financial Condition and Results of Operations</w:t>
              </w:r>
            </w:hyperlink>
          </w:p>
        </w:tc>
        <w:tc>
          <w:tcPr>
            <w:tcW w:w="220" w:type="dxa"/>
            <w:vAlign w:val="bottom"/>
            <w:gridSpan w:val="2"/>
          </w:tcPr>
          <w:p>
            <w:pPr>
              <w:spacing w:after="0"/>
              <w:rPr>
                <w:rFonts w:ascii="Arial" w:cs="Arial" w:eastAsia="Arial" w:hAnsi="Arial"/>
                <w:sz w:val="11"/>
                <w:szCs w:val="11"/>
                <w:color w:val="0000FF"/>
              </w:rPr>
            </w:pPr>
            <w:hyperlink w:anchor="page20">
              <w:r>
                <w:rPr>
                  <w:rFonts w:ascii="Arial" w:cs="Arial" w:eastAsia="Arial" w:hAnsi="Arial"/>
                  <w:sz w:val="11"/>
                  <w:szCs w:val="11"/>
                  <w:color w:val="0000FF"/>
                </w:rPr>
                <w:t>17</w:t>
              </w:r>
            </w:hyperlink>
          </w:p>
        </w:tc>
        <w:tc>
          <w:tcPr>
            <w:tcW w:w="0" w:type="dxa"/>
            <w:vAlign w:val="bottom"/>
          </w:tcPr>
          <w:p>
            <w:pPr>
              <w:spacing w:after="0"/>
              <w:rPr>
                <w:sz w:val="1"/>
                <w:szCs w:val="1"/>
                <w:color w:val="auto"/>
              </w:rPr>
            </w:pPr>
          </w:p>
        </w:tc>
      </w:tr>
      <w:tr>
        <w:trPr>
          <w:trHeight w:val="151"/>
        </w:trPr>
        <w:tc>
          <w:tcPr>
            <w:tcW w:w="2160" w:type="dxa"/>
            <w:vAlign w:val="bottom"/>
          </w:tcPr>
          <w:p>
            <w:pPr>
              <w:ind w:left="1040"/>
              <w:spacing w:after="0"/>
              <w:rPr>
                <w:sz w:val="20"/>
                <w:szCs w:val="20"/>
                <w:color w:val="auto"/>
              </w:rPr>
            </w:pPr>
            <w:r>
              <w:rPr>
                <w:rFonts w:ascii="Arial" w:cs="Arial" w:eastAsia="Arial" w:hAnsi="Arial"/>
                <w:sz w:val="13"/>
                <w:szCs w:val="13"/>
                <w:color w:val="auto"/>
              </w:rPr>
              <w:t>Item</w:t>
            </w: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520"/>
              <w:spacing w:after="0" w:line="126" w:lineRule="exact"/>
              <w:rPr>
                <w:sz w:val="20"/>
                <w:szCs w:val="20"/>
                <w:color w:val="auto"/>
              </w:rPr>
            </w:pPr>
            <w:r>
              <w:rPr>
                <w:rFonts w:ascii="Arial" w:cs="Arial" w:eastAsia="Arial" w:hAnsi="Arial"/>
                <w:sz w:val="13"/>
                <w:szCs w:val="13"/>
                <w:color w:val="auto"/>
              </w:rPr>
              <w:t>7A.</w:t>
            </w:r>
          </w:p>
        </w:tc>
        <w:tc>
          <w:tcPr>
            <w:tcW w:w="8900" w:type="dxa"/>
            <w:vAlign w:val="bottom"/>
            <w:gridSpan w:val="20"/>
          </w:tcPr>
          <w:p>
            <w:pPr>
              <w:spacing w:after="0"/>
              <w:rPr>
                <w:rFonts w:ascii="Arial" w:cs="Arial" w:eastAsia="Arial" w:hAnsi="Arial"/>
                <w:sz w:val="11"/>
                <w:szCs w:val="11"/>
                <w:color w:val="0000FF"/>
              </w:rPr>
            </w:pPr>
            <w:hyperlink w:anchor="page29">
              <w:r>
                <w:rPr>
                  <w:rFonts w:ascii="Arial" w:cs="Arial" w:eastAsia="Arial" w:hAnsi="Arial"/>
                  <w:sz w:val="11"/>
                  <w:szCs w:val="11"/>
                  <w:color w:val="0000FF"/>
                </w:rPr>
                <w:t>Quantitative and Qualitative Disclosures About Market Risk</w:t>
              </w:r>
            </w:hyperlink>
          </w:p>
        </w:tc>
        <w:tc>
          <w:tcPr>
            <w:tcW w:w="220" w:type="dxa"/>
            <w:vAlign w:val="bottom"/>
            <w:gridSpan w:val="2"/>
          </w:tcPr>
          <w:p>
            <w:pPr>
              <w:spacing w:after="0"/>
              <w:rPr>
                <w:rFonts w:ascii="Arial" w:cs="Arial" w:eastAsia="Arial" w:hAnsi="Arial"/>
                <w:sz w:val="11"/>
                <w:szCs w:val="11"/>
                <w:color w:val="0000FF"/>
              </w:rPr>
            </w:pPr>
            <w:hyperlink w:anchor="page29">
              <w:r>
                <w:rPr>
                  <w:rFonts w:ascii="Arial" w:cs="Arial" w:eastAsia="Arial" w:hAnsi="Arial"/>
                  <w:sz w:val="11"/>
                  <w:szCs w:val="11"/>
                  <w:color w:val="0000FF"/>
                </w:rPr>
                <w:t>26</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8.</w:t>
            </w: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2340" w:type="dxa"/>
            <w:vAlign w:val="bottom"/>
            <w:gridSpan w:val="11"/>
          </w:tcPr>
          <w:p>
            <w:pPr>
              <w:spacing w:after="0"/>
              <w:rPr>
                <w:rFonts w:ascii="Arial" w:cs="Arial" w:eastAsia="Arial" w:hAnsi="Arial"/>
                <w:sz w:val="11"/>
                <w:szCs w:val="11"/>
                <w:color w:val="0000FF"/>
              </w:rPr>
            </w:pPr>
            <w:hyperlink w:anchor="page30">
              <w:r>
                <w:rPr>
                  <w:rFonts w:ascii="Arial" w:cs="Arial" w:eastAsia="Arial" w:hAnsi="Arial"/>
                  <w:sz w:val="11"/>
                  <w:szCs w:val="11"/>
                  <w:color w:val="0000FF"/>
                </w:rPr>
                <w:t>Financial Statements and Supplementary Data</w:t>
              </w:r>
            </w:hyperlink>
          </w:p>
        </w:tc>
        <w:tc>
          <w:tcPr>
            <w:tcW w:w="620" w:type="dxa"/>
            <w:vAlign w:val="bottom"/>
            <w:gridSpan w:val="3"/>
          </w:tcPr>
          <w:p>
            <w:pPr>
              <w:spacing w:after="0"/>
              <w:rPr>
                <w:sz w:val="13"/>
                <w:szCs w:val="13"/>
                <w:color w:val="auto"/>
              </w:rPr>
            </w:pPr>
          </w:p>
        </w:tc>
        <w:tc>
          <w:tcPr>
            <w:tcW w:w="5940" w:type="dxa"/>
            <w:vAlign w:val="bottom"/>
            <w:gridSpan w:val="6"/>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0">
              <w:r>
                <w:rPr>
                  <w:rFonts w:ascii="Arial" w:cs="Arial" w:eastAsia="Arial" w:hAnsi="Arial"/>
                  <w:sz w:val="11"/>
                  <w:szCs w:val="11"/>
                  <w:color w:val="0000FF"/>
                </w:rPr>
                <w:t>27</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9.</w:t>
            </w:r>
          </w:p>
        </w:tc>
        <w:tc>
          <w:tcPr>
            <w:tcW w:w="54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8900" w:type="dxa"/>
            <w:vAlign w:val="bottom"/>
            <w:gridSpan w:val="20"/>
          </w:tcPr>
          <w:p>
            <w:pPr>
              <w:spacing w:after="0"/>
              <w:rPr>
                <w:rFonts w:ascii="Arial" w:cs="Arial" w:eastAsia="Arial" w:hAnsi="Arial"/>
                <w:sz w:val="11"/>
                <w:szCs w:val="11"/>
                <w:color w:val="0000FF"/>
              </w:rPr>
            </w:pPr>
            <w:hyperlink w:anchor="page30">
              <w:r>
                <w:rPr>
                  <w:rFonts w:ascii="Arial" w:cs="Arial" w:eastAsia="Arial" w:hAnsi="Arial"/>
                  <w:sz w:val="11"/>
                  <w:szCs w:val="11"/>
                  <w:color w:val="0000FF"/>
                </w:rPr>
                <w:t>Changes in and Disagreements with Accountants on Accounting and Financial Disclosure</w:t>
              </w:r>
            </w:hyperlink>
          </w:p>
        </w:tc>
        <w:tc>
          <w:tcPr>
            <w:tcW w:w="220" w:type="dxa"/>
            <w:vAlign w:val="bottom"/>
            <w:gridSpan w:val="2"/>
          </w:tcPr>
          <w:p>
            <w:pPr>
              <w:spacing w:after="0"/>
              <w:rPr>
                <w:rFonts w:ascii="Arial" w:cs="Arial" w:eastAsia="Arial" w:hAnsi="Arial"/>
                <w:sz w:val="11"/>
                <w:szCs w:val="11"/>
                <w:color w:val="0000FF"/>
              </w:rPr>
            </w:pPr>
            <w:hyperlink w:anchor="page30">
              <w:r>
                <w:rPr>
                  <w:rFonts w:ascii="Arial" w:cs="Arial" w:eastAsia="Arial" w:hAnsi="Arial"/>
                  <w:sz w:val="11"/>
                  <w:szCs w:val="11"/>
                  <w:color w:val="0000FF"/>
                </w:rPr>
                <w:t>27</w:t>
              </w:r>
            </w:hyperlink>
          </w:p>
        </w:tc>
        <w:tc>
          <w:tcPr>
            <w:tcW w:w="0" w:type="dxa"/>
            <w:vAlign w:val="bottom"/>
          </w:tcPr>
          <w:p>
            <w:pPr>
              <w:spacing w:after="0"/>
              <w:rPr>
                <w:sz w:val="1"/>
                <w:szCs w:val="1"/>
                <w:color w:val="auto"/>
              </w:rPr>
            </w:pPr>
          </w:p>
        </w:tc>
      </w:tr>
      <w:tr>
        <w:trPr>
          <w:trHeight w:val="151"/>
        </w:trPr>
        <w:tc>
          <w:tcPr>
            <w:tcW w:w="2160" w:type="dxa"/>
            <w:vAlign w:val="bottom"/>
          </w:tcPr>
          <w:p>
            <w:pPr>
              <w:ind w:left="1040"/>
              <w:spacing w:after="0"/>
              <w:rPr>
                <w:sz w:val="20"/>
                <w:szCs w:val="20"/>
                <w:color w:val="auto"/>
              </w:rPr>
            </w:pPr>
            <w:r>
              <w:rPr>
                <w:rFonts w:ascii="Arial" w:cs="Arial" w:eastAsia="Arial" w:hAnsi="Arial"/>
                <w:sz w:val="13"/>
                <w:szCs w:val="13"/>
                <w:color w:val="auto"/>
              </w:rPr>
              <w:t>Item</w:t>
            </w: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520"/>
              <w:spacing w:after="0" w:line="126" w:lineRule="exact"/>
              <w:rPr>
                <w:sz w:val="20"/>
                <w:szCs w:val="20"/>
                <w:color w:val="auto"/>
              </w:rPr>
            </w:pPr>
            <w:r>
              <w:rPr>
                <w:rFonts w:ascii="Arial" w:cs="Arial" w:eastAsia="Arial" w:hAnsi="Arial"/>
                <w:sz w:val="13"/>
                <w:szCs w:val="13"/>
                <w:color w:val="auto"/>
              </w:rPr>
              <w:t>9A.</w:t>
            </w:r>
          </w:p>
        </w:tc>
        <w:tc>
          <w:tcPr>
            <w:tcW w:w="8900" w:type="dxa"/>
            <w:vAlign w:val="bottom"/>
            <w:gridSpan w:val="20"/>
          </w:tcPr>
          <w:p>
            <w:pPr>
              <w:spacing w:after="0"/>
              <w:rPr>
                <w:sz w:val="20"/>
                <w:szCs w:val="20"/>
                <w:color w:val="auto"/>
              </w:rPr>
            </w:pPr>
            <w:r>
              <w:rPr>
                <w:rFonts w:ascii="Arial" w:cs="Arial" w:eastAsia="Arial" w:hAnsi="Arial"/>
                <w:sz w:val="11"/>
                <w:szCs w:val="11"/>
                <w:color w:val="0000FF"/>
              </w:rPr>
              <w:t>Controls and Procedures</w:t>
            </w:r>
          </w:p>
        </w:tc>
        <w:tc>
          <w:tcPr>
            <w:tcW w:w="220" w:type="dxa"/>
            <w:vAlign w:val="bottom"/>
            <w:gridSpan w:val="2"/>
          </w:tcPr>
          <w:p>
            <w:pPr>
              <w:spacing w:after="0"/>
              <w:rPr>
                <w:rFonts w:ascii="Arial" w:cs="Arial" w:eastAsia="Arial" w:hAnsi="Arial"/>
                <w:sz w:val="11"/>
                <w:szCs w:val="11"/>
                <w:color w:val="0000FF"/>
              </w:rPr>
            </w:pPr>
            <w:hyperlink w:anchor="page30">
              <w:r>
                <w:rPr>
                  <w:rFonts w:ascii="Arial" w:cs="Arial" w:eastAsia="Arial" w:hAnsi="Arial"/>
                  <w:sz w:val="11"/>
                  <w:szCs w:val="11"/>
                  <w:color w:val="0000FF"/>
                </w:rPr>
                <w:t>27</w:t>
              </w:r>
            </w:hyperlink>
          </w:p>
        </w:tc>
        <w:tc>
          <w:tcPr>
            <w:tcW w:w="0" w:type="dxa"/>
            <w:vAlign w:val="bottom"/>
          </w:tcPr>
          <w:p>
            <w:pPr>
              <w:spacing w:after="0"/>
              <w:rPr>
                <w:sz w:val="1"/>
                <w:szCs w:val="1"/>
                <w:color w:val="auto"/>
              </w:rPr>
            </w:pPr>
          </w:p>
        </w:tc>
      </w:tr>
      <w:tr>
        <w:trPr>
          <w:trHeight w:val="151"/>
        </w:trPr>
        <w:tc>
          <w:tcPr>
            <w:tcW w:w="2160" w:type="dxa"/>
            <w:vAlign w:val="bottom"/>
          </w:tcPr>
          <w:p>
            <w:pPr>
              <w:ind w:left="1040"/>
              <w:spacing w:after="0"/>
              <w:rPr>
                <w:sz w:val="20"/>
                <w:szCs w:val="20"/>
                <w:color w:val="auto"/>
              </w:rPr>
            </w:pPr>
            <w:r>
              <w:rPr>
                <w:rFonts w:ascii="Arial" w:cs="Arial" w:eastAsia="Arial" w:hAnsi="Arial"/>
                <w:sz w:val="13"/>
                <w:szCs w:val="13"/>
                <w:color w:val="auto"/>
              </w:rPr>
              <w:t>Item</w:t>
            </w: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520"/>
              <w:spacing w:after="0" w:line="126" w:lineRule="exact"/>
              <w:rPr>
                <w:sz w:val="20"/>
                <w:szCs w:val="20"/>
                <w:color w:val="auto"/>
              </w:rPr>
            </w:pPr>
            <w:r>
              <w:rPr>
                <w:rFonts w:ascii="Arial" w:cs="Arial" w:eastAsia="Arial" w:hAnsi="Arial"/>
                <w:sz w:val="13"/>
                <w:szCs w:val="13"/>
                <w:color w:val="auto"/>
              </w:rPr>
              <w:t>9B.</w:t>
            </w:r>
          </w:p>
        </w:tc>
        <w:tc>
          <w:tcPr>
            <w:tcW w:w="8900" w:type="dxa"/>
            <w:vAlign w:val="bottom"/>
            <w:gridSpan w:val="20"/>
          </w:tcPr>
          <w:p>
            <w:pPr>
              <w:spacing w:after="0"/>
              <w:rPr>
                <w:rFonts w:ascii="Arial" w:cs="Arial" w:eastAsia="Arial" w:hAnsi="Arial"/>
                <w:sz w:val="11"/>
                <w:szCs w:val="11"/>
                <w:color w:val="0000FF"/>
              </w:rPr>
            </w:pPr>
            <w:hyperlink w:anchor="page31">
              <w:r>
                <w:rPr>
                  <w:rFonts w:ascii="Arial" w:cs="Arial" w:eastAsia="Arial" w:hAnsi="Arial"/>
                  <w:sz w:val="11"/>
                  <w:szCs w:val="11"/>
                  <w:color w:val="0000FF"/>
                </w:rPr>
                <w:t>Other Information</w:t>
              </w:r>
            </w:hyperlink>
          </w:p>
        </w:tc>
        <w:tc>
          <w:tcPr>
            <w:tcW w:w="220" w:type="dxa"/>
            <w:vAlign w:val="bottom"/>
            <w:gridSpan w:val="2"/>
          </w:tcPr>
          <w:p>
            <w:pPr>
              <w:spacing w:after="0"/>
              <w:rPr>
                <w:rFonts w:ascii="Arial" w:cs="Arial" w:eastAsia="Arial" w:hAnsi="Arial"/>
                <w:sz w:val="11"/>
                <w:szCs w:val="11"/>
                <w:color w:val="0000FF"/>
              </w:rPr>
            </w:pPr>
            <w:hyperlink w:anchor="page31">
              <w:r>
                <w:rPr>
                  <w:rFonts w:ascii="Arial" w:cs="Arial" w:eastAsia="Arial" w:hAnsi="Arial"/>
                  <w:sz w:val="11"/>
                  <w:szCs w:val="11"/>
                  <w:color w:val="0000FF"/>
                </w:rPr>
                <w:t>28</w:t>
              </w:r>
            </w:hyperlink>
          </w:p>
        </w:tc>
        <w:tc>
          <w:tcPr>
            <w:tcW w:w="0" w:type="dxa"/>
            <w:vAlign w:val="bottom"/>
          </w:tcPr>
          <w:p>
            <w:pPr>
              <w:spacing w:after="0"/>
              <w:rPr>
                <w:sz w:val="1"/>
                <w:szCs w:val="1"/>
                <w:color w:val="auto"/>
              </w:rPr>
            </w:pPr>
          </w:p>
        </w:tc>
      </w:tr>
      <w:tr>
        <w:trPr>
          <w:trHeight w:val="290"/>
        </w:trPr>
        <w:tc>
          <w:tcPr>
            <w:tcW w:w="2160" w:type="dxa"/>
            <w:vAlign w:val="bottom"/>
          </w:tcPr>
          <w:p>
            <w:pPr>
              <w:ind w:left="1040"/>
              <w:spacing w:after="0"/>
              <w:rPr>
                <w:sz w:val="20"/>
                <w:szCs w:val="20"/>
                <w:color w:val="auto"/>
              </w:rPr>
            </w:pPr>
            <w:r>
              <w:rPr>
                <w:rFonts w:ascii="Arial" w:cs="Arial" w:eastAsia="Arial" w:hAnsi="Arial"/>
                <w:sz w:val="11"/>
                <w:szCs w:val="11"/>
                <w:b w:val="1"/>
                <w:bCs w:val="1"/>
                <w:color w:val="auto"/>
              </w:rPr>
              <w:t>PART III</w:t>
            </w: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1040"/>
              <w:spacing w:after="0" w:line="146" w:lineRule="exact"/>
              <w:rPr>
                <w:sz w:val="20"/>
                <w:szCs w:val="20"/>
                <w:color w:val="auto"/>
              </w:rPr>
            </w:pPr>
            <w:r>
              <w:rPr>
                <w:rFonts w:ascii="Arial" w:cs="Arial" w:eastAsia="Arial" w:hAnsi="Arial"/>
                <w:sz w:val="13"/>
                <w:szCs w:val="13"/>
                <w:color w:val="auto"/>
              </w:rPr>
              <w:t>Item 10.</w:t>
            </w:r>
          </w:p>
        </w:tc>
        <w:tc>
          <w:tcPr>
            <w:tcW w:w="8900" w:type="dxa"/>
            <w:vAlign w:val="bottom"/>
            <w:gridSpan w:val="20"/>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Directors, Executive Officers and Corporate Governance</w:t>
              </w:r>
            </w:hyperlink>
          </w:p>
        </w:tc>
        <w:tc>
          <w:tcPr>
            <w:tcW w:w="220" w:type="dxa"/>
            <w:vAlign w:val="bottom"/>
            <w:gridSpan w:val="2"/>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29</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11.</w:t>
            </w: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1260" w:type="dxa"/>
            <w:vAlign w:val="bottom"/>
            <w:gridSpan w:val="8"/>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Executive Compensation</w:t>
              </w:r>
            </w:hyperlink>
          </w:p>
        </w:tc>
        <w:tc>
          <w:tcPr>
            <w:tcW w:w="1560" w:type="dxa"/>
            <w:vAlign w:val="bottom"/>
            <w:gridSpan w:val="5"/>
          </w:tcPr>
          <w:p>
            <w:pPr>
              <w:spacing w:after="0"/>
              <w:rPr>
                <w:sz w:val="13"/>
                <w:szCs w:val="13"/>
                <w:color w:val="auto"/>
              </w:rPr>
            </w:pPr>
          </w:p>
        </w:tc>
        <w:tc>
          <w:tcPr>
            <w:tcW w:w="6080" w:type="dxa"/>
            <w:vAlign w:val="bottom"/>
            <w:gridSpan w:val="7"/>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29</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12.</w:t>
            </w: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5040" w:type="dxa"/>
            <w:vAlign w:val="bottom"/>
            <w:gridSpan w:val="18"/>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Security Ownership of Certain Beneficial Owners and Management and Related Stockholder Matters</w:t>
              </w:r>
            </w:hyperlink>
          </w:p>
        </w:tc>
        <w:tc>
          <w:tcPr>
            <w:tcW w:w="3860" w:type="dxa"/>
            <w:vAlign w:val="bottom"/>
            <w:gridSpan w:val="2"/>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29</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13.</w:t>
            </w: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3820" w:type="dxa"/>
            <w:vAlign w:val="bottom"/>
            <w:gridSpan w:val="15"/>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Certain Relationships and Related Transactions, and Director Independence</w:t>
              </w:r>
            </w:hyperlink>
          </w:p>
        </w:tc>
        <w:tc>
          <w:tcPr>
            <w:tcW w:w="1220" w:type="dxa"/>
            <w:vAlign w:val="bottom"/>
            <w:gridSpan w:val="3"/>
          </w:tcPr>
          <w:p>
            <w:pPr>
              <w:spacing w:after="0"/>
              <w:rPr>
                <w:sz w:val="13"/>
                <w:szCs w:val="13"/>
                <w:color w:val="auto"/>
              </w:rPr>
            </w:pPr>
          </w:p>
        </w:tc>
        <w:tc>
          <w:tcPr>
            <w:tcW w:w="3860" w:type="dxa"/>
            <w:vAlign w:val="bottom"/>
            <w:gridSpan w:val="2"/>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29</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14.</w:t>
            </w: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3820" w:type="dxa"/>
            <w:vAlign w:val="bottom"/>
            <w:gridSpan w:val="15"/>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Principal Accounting Fees and Services</w:t>
              </w:r>
            </w:hyperlink>
          </w:p>
        </w:tc>
        <w:tc>
          <w:tcPr>
            <w:tcW w:w="5080" w:type="dxa"/>
            <w:vAlign w:val="bottom"/>
            <w:gridSpan w:val="5"/>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2">
              <w:r>
                <w:rPr>
                  <w:rFonts w:ascii="Arial" w:cs="Arial" w:eastAsia="Arial" w:hAnsi="Arial"/>
                  <w:sz w:val="11"/>
                  <w:szCs w:val="11"/>
                  <w:color w:val="0000FF"/>
                </w:rPr>
                <w:t>29</w:t>
              </w:r>
            </w:hyperlink>
          </w:p>
        </w:tc>
        <w:tc>
          <w:tcPr>
            <w:tcW w:w="0" w:type="dxa"/>
            <w:vAlign w:val="bottom"/>
          </w:tcPr>
          <w:p>
            <w:pPr>
              <w:spacing w:after="0"/>
              <w:rPr>
                <w:sz w:val="1"/>
                <w:szCs w:val="1"/>
                <w:color w:val="auto"/>
              </w:rPr>
            </w:pPr>
          </w:p>
        </w:tc>
      </w:tr>
      <w:tr>
        <w:trPr>
          <w:trHeight w:val="343"/>
        </w:trPr>
        <w:tc>
          <w:tcPr>
            <w:tcW w:w="2160" w:type="dxa"/>
            <w:vAlign w:val="bottom"/>
          </w:tcPr>
          <w:p>
            <w:pPr>
              <w:ind w:left="1040"/>
              <w:spacing w:after="0"/>
              <w:rPr>
                <w:sz w:val="20"/>
                <w:szCs w:val="20"/>
                <w:color w:val="auto"/>
              </w:rPr>
            </w:pPr>
            <w:r>
              <w:rPr>
                <w:rFonts w:ascii="Arial" w:cs="Arial" w:eastAsia="Arial" w:hAnsi="Arial"/>
                <w:sz w:val="11"/>
                <w:szCs w:val="11"/>
                <w:b w:val="1"/>
                <w:bCs w:val="1"/>
                <w:color w:val="auto"/>
              </w:rPr>
              <w:t>PART IV</w:t>
            </w: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1040"/>
              <w:spacing w:after="0" w:line="146" w:lineRule="exact"/>
              <w:rPr>
                <w:sz w:val="20"/>
                <w:szCs w:val="20"/>
                <w:color w:val="auto"/>
              </w:rPr>
            </w:pPr>
            <w:r>
              <w:rPr>
                <w:rFonts w:ascii="Arial" w:cs="Arial" w:eastAsia="Arial" w:hAnsi="Arial"/>
                <w:sz w:val="13"/>
                <w:szCs w:val="13"/>
                <w:color w:val="auto"/>
              </w:rPr>
              <w:t>Item 15.</w:t>
            </w:r>
          </w:p>
        </w:tc>
        <w:tc>
          <w:tcPr>
            <w:tcW w:w="2460" w:type="dxa"/>
            <w:vAlign w:val="bottom"/>
            <w:gridSpan w:val="12"/>
          </w:tcPr>
          <w:p>
            <w:pPr>
              <w:spacing w:after="0"/>
              <w:rPr>
                <w:rFonts w:ascii="Arial" w:cs="Arial" w:eastAsia="Arial" w:hAnsi="Arial"/>
                <w:sz w:val="11"/>
                <w:szCs w:val="11"/>
                <w:color w:val="0000FF"/>
              </w:rPr>
            </w:pPr>
            <w:hyperlink w:anchor="page33">
              <w:r>
                <w:rPr>
                  <w:rFonts w:ascii="Arial" w:cs="Arial" w:eastAsia="Arial" w:hAnsi="Arial"/>
                  <w:sz w:val="11"/>
                  <w:szCs w:val="11"/>
                  <w:color w:val="0000FF"/>
                </w:rPr>
                <w:t>Item 15. Exhibits, Financial Statement Schedules</w:t>
              </w:r>
            </w:hyperlink>
          </w:p>
        </w:tc>
        <w:tc>
          <w:tcPr>
            <w:tcW w:w="6440" w:type="dxa"/>
            <w:vAlign w:val="bottom"/>
            <w:gridSpan w:val="8"/>
          </w:tcPr>
          <w:p>
            <w:pPr>
              <w:spacing w:after="0"/>
              <w:rPr>
                <w:sz w:val="12"/>
                <w:szCs w:val="12"/>
                <w:color w:val="auto"/>
              </w:rPr>
            </w:pPr>
          </w:p>
        </w:tc>
        <w:tc>
          <w:tcPr>
            <w:tcW w:w="220" w:type="dxa"/>
            <w:vAlign w:val="bottom"/>
            <w:gridSpan w:val="2"/>
          </w:tcPr>
          <w:p>
            <w:pPr>
              <w:spacing w:after="0"/>
              <w:rPr>
                <w:rFonts w:ascii="Arial" w:cs="Arial" w:eastAsia="Arial" w:hAnsi="Arial"/>
                <w:sz w:val="11"/>
                <w:szCs w:val="11"/>
                <w:color w:val="0000FF"/>
              </w:rPr>
            </w:pPr>
            <w:hyperlink w:anchor="page33">
              <w:r>
                <w:rPr>
                  <w:rFonts w:ascii="Arial" w:cs="Arial" w:eastAsia="Arial" w:hAnsi="Arial"/>
                  <w:sz w:val="11"/>
                  <w:szCs w:val="11"/>
                  <w:color w:val="0000FF"/>
                </w:rPr>
                <w:t>30</w:t>
              </w:r>
            </w:hyperlink>
          </w:p>
        </w:tc>
        <w:tc>
          <w:tcPr>
            <w:tcW w:w="0" w:type="dxa"/>
            <w:vAlign w:val="bottom"/>
          </w:tcPr>
          <w:p>
            <w:pPr>
              <w:spacing w:after="0"/>
              <w:rPr>
                <w:sz w:val="1"/>
                <w:szCs w:val="1"/>
                <w:color w:val="auto"/>
              </w:rPr>
            </w:pPr>
          </w:p>
        </w:tc>
      </w:tr>
      <w:tr>
        <w:trPr>
          <w:trHeight w:val="20"/>
        </w:trPr>
        <w:tc>
          <w:tcPr>
            <w:tcW w:w="2160" w:type="dxa"/>
            <w:vAlign w:val="bottom"/>
            <w:vMerge w:val="restart"/>
          </w:tcPr>
          <w:p>
            <w:pPr>
              <w:ind w:left="1040"/>
              <w:spacing w:after="0"/>
              <w:rPr>
                <w:sz w:val="20"/>
                <w:szCs w:val="20"/>
                <w:color w:val="auto"/>
              </w:rPr>
            </w:pPr>
            <w:r>
              <w:rPr>
                <w:rFonts w:ascii="Arial" w:cs="Arial" w:eastAsia="Arial" w:hAnsi="Arial"/>
                <w:sz w:val="13"/>
                <w:szCs w:val="13"/>
                <w:color w:val="auto"/>
              </w:rPr>
              <w:t>Item 16.</w:t>
            </w: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vMerge w:val="continue"/>
          </w:tcPr>
          <w:p>
            <w:pPr>
              <w:spacing w:after="0"/>
              <w:rPr>
                <w:sz w:val="13"/>
                <w:szCs w:val="13"/>
                <w:color w:val="auto"/>
              </w:rPr>
            </w:pPr>
          </w:p>
        </w:tc>
        <w:tc>
          <w:tcPr>
            <w:tcW w:w="1060" w:type="dxa"/>
            <w:vAlign w:val="bottom"/>
            <w:gridSpan w:val="6"/>
          </w:tcPr>
          <w:p>
            <w:pPr>
              <w:spacing w:after="0"/>
              <w:rPr>
                <w:rFonts w:ascii="Arial" w:cs="Arial" w:eastAsia="Arial" w:hAnsi="Arial"/>
                <w:sz w:val="11"/>
                <w:szCs w:val="11"/>
                <w:color w:val="0000FF"/>
              </w:rPr>
            </w:pPr>
            <w:hyperlink w:anchor="page34">
              <w:r>
                <w:rPr>
                  <w:rFonts w:ascii="Arial" w:cs="Arial" w:eastAsia="Arial" w:hAnsi="Arial"/>
                  <w:sz w:val="11"/>
                  <w:szCs w:val="11"/>
                  <w:color w:val="0000FF"/>
                </w:rPr>
                <w:t>Form 10-K Summary</w:t>
              </w:r>
            </w:hyperlink>
          </w:p>
        </w:tc>
        <w:tc>
          <w:tcPr>
            <w:tcW w:w="1400" w:type="dxa"/>
            <w:vAlign w:val="bottom"/>
            <w:gridSpan w:val="6"/>
          </w:tcPr>
          <w:p>
            <w:pPr>
              <w:spacing w:after="0"/>
              <w:rPr>
                <w:sz w:val="13"/>
                <w:szCs w:val="13"/>
                <w:color w:val="auto"/>
              </w:rPr>
            </w:pPr>
          </w:p>
        </w:tc>
        <w:tc>
          <w:tcPr>
            <w:tcW w:w="6440" w:type="dxa"/>
            <w:vAlign w:val="bottom"/>
            <w:gridSpan w:val="8"/>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4">
              <w:r>
                <w:rPr>
                  <w:rFonts w:ascii="Arial" w:cs="Arial" w:eastAsia="Arial" w:hAnsi="Arial"/>
                  <w:sz w:val="11"/>
                  <w:szCs w:val="11"/>
                  <w:color w:val="0000FF"/>
                </w:rPr>
                <w:t>31</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60" w:type="dxa"/>
            <w:vAlign w:val="bottom"/>
          </w:tcPr>
          <w:p>
            <w:pPr>
              <w:spacing w:after="0"/>
              <w:rPr>
                <w:sz w:val="13"/>
                <w:szCs w:val="13"/>
                <w:color w:val="auto"/>
              </w:rPr>
            </w:pPr>
          </w:p>
        </w:tc>
        <w:tc>
          <w:tcPr>
            <w:tcW w:w="1060" w:type="dxa"/>
            <w:vAlign w:val="bottom"/>
            <w:gridSpan w:val="6"/>
          </w:tcPr>
          <w:p>
            <w:pPr>
              <w:spacing w:after="0"/>
              <w:rPr>
                <w:sz w:val="20"/>
                <w:szCs w:val="20"/>
                <w:color w:val="auto"/>
              </w:rPr>
            </w:pPr>
            <w:r>
              <w:rPr>
                <w:rFonts w:ascii="Arial" w:cs="Arial" w:eastAsia="Arial" w:hAnsi="Arial"/>
                <w:sz w:val="11"/>
                <w:szCs w:val="11"/>
                <w:color w:val="0000FF"/>
              </w:rPr>
              <w:t>Signatures</w:t>
            </w:r>
          </w:p>
        </w:tc>
        <w:tc>
          <w:tcPr>
            <w:tcW w:w="7840" w:type="dxa"/>
            <w:vAlign w:val="bottom"/>
            <w:gridSpan w:val="14"/>
          </w:tcPr>
          <w:p>
            <w:pPr>
              <w:spacing w:after="0"/>
              <w:rPr>
                <w:sz w:val="13"/>
                <w:szCs w:val="13"/>
                <w:color w:val="auto"/>
              </w:rPr>
            </w:pPr>
          </w:p>
        </w:tc>
        <w:tc>
          <w:tcPr>
            <w:tcW w:w="220" w:type="dxa"/>
            <w:vAlign w:val="bottom"/>
            <w:gridSpan w:val="2"/>
          </w:tcPr>
          <w:p>
            <w:pPr>
              <w:spacing w:after="0"/>
              <w:rPr>
                <w:rFonts w:ascii="Arial" w:cs="Arial" w:eastAsia="Arial" w:hAnsi="Arial"/>
                <w:sz w:val="11"/>
                <w:szCs w:val="11"/>
                <w:color w:val="0000FF"/>
              </w:rPr>
            </w:pPr>
            <w:hyperlink w:anchor="page34">
              <w:r>
                <w:rPr>
                  <w:rFonts w:ascii="Arial" w:cs="Arial" w:eastAsia="Arial" w:hAnsi="Arial"/>
                  <w:sz w:val="11"/>
                  <w:szCs w:val="11"/>
                  <w:color w:val="0000FF"/>
                </w:rPr>
                <w:t>32</w:t>
              </w:r>
            </w:hyperlink>
          </w:p>
        </w:tc>
        <w:tc>
          <w:tcPr>
            <w:tcW w:w="0" w:type="dxa"/>
            <w:vAlign w:val="bottom"/>
          </w:tcPr>
          <w:p>
            <w:pPr>
              <w:spacing w:after="0"/>
              <w:rPr>
                <w:sz w:val="1"/>
                <w:szCs w:val="1"/>
                <w:color w:val="auto"/>
              </w:rPr>
            </w:pPr>
          </w:p>
        </w:tc>
      </w:tr>
      <w:tr>
        <w:trPr>
          <w:trHeight w:val="671"/>
        </w:trPr>
        <w:tc>
          <w:tcPr>
            <w:tcW w:w="21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70"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232F84"/>
        </w:rPr>
        <w:t>FORWARD LOOKING STATEMENTS</w:t>
      </w:r>
    </w:p>
    <w:p>
      <w:pPr>
        <w:spacing w:after="0" w:line="18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3"/>
          <w:szCs w:val="13"/>
          <w:color w:val="auto"/>
        </w:rPr>
        <w:t>This annual report on Form 10-K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57" w:lineRule="exact"/>
        <w:rPr>
          <w:sz w:val="20"/>
          <w:szCs w:val="20"/>
          <w:color w:val="auto"/>
        </w:rPr>
      </w:pPr>
    </w:p>
    <w:p>
      <w:pPr>
        <w:ind w:left="520" w:right="160" w:hanging="260"/>
        <w:spacing w:after="0" w:line="261" w:lineRule="auto"/>
        <w:tabs>
          <w:tab w:leader="none" w:pos="501"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related to our business, including: limitations regarding the supply of avocados, either through purchasing or growing; the loss of one or more of our largest customers or a reduction in the level of purchases by customers; doing business internationally, including Mexican and Peruvian economic, political and/or societal conditions; fluctuations in market prices of avocados; increasing competition; inherent farming risks; variations in operating results due to the seasonality of the business; general economic conditions; the effects of the COVID-19 pandemic, including resulting economic conditions; inflationary pressures and increases in costs of commodities or other products used in our business; food safety events and recalls of our products; changes to USDA and FDA regulations, U.S. trade policy, and/or tariff and import/export regulations; restrictions due to health and safety laws; significant costs associated with compliance with environmental laws and regulations; acquisitions of other businesses; the ability of our infrastructure to handle our business needs; supply chain failures or disruptions; disruption to the supply of reliable and cost-effective transportation; failure to recruit and retain key personnel and an adequate labor supply and lack of good employee relations; information system security risks, data protection breaches and systems integration issues; changes in privacy and/or information security laws, policies and/or contractual arrangements; material litigation or adverse governmental actions; failure to maintain or protect our brand; changes in tax rates or international tax legislation; and risks associated with our indebtedness.</w:t>
      </w:r>
    </w:p>
    <w:p>
      <w:pPr>
        <w:spacing w:after="0" w:line="134" w:lineRule="exact"/>
        <w:rPr>
          <w:rFonts w:ascii="Arial" w:cs="Arial" w:eastAsia="Arial" w:hAnsi="Arial"/>
          <w:sz w:val="12"/>
          <w:szCs w:val="12"/>
          <w:color w:val="auto"/>
        </w:rPr>
      </w:pPr>
    </w:p>
    <w:p>
      <w:pPr>
        <w:ind w:left="520" w:right="140" w:hanging="260"/>
        <w:spacing w:after="0" w:line="239" w:lineRule="auto"/>
        <w:tabs>
          <w:tab w:leader="none" w:pos="501"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common stock, including: the viability of an active, liquid, and orderly market for our common stock; volatility in the trading price of our common stock; concentration of control in our executive officers, directors and principal stockholders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57"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7" w:lineRule="exact"/>
        <w:rPr>
          <w:sz w:val="20"/>
          <w:szCs w:val="20"/>
          <w:color w:val="auto"/>
        </w:rPr>
      </w:pPr>
    </w:p>
    <w:p>
      <w:pPr>
        <w:ind w:right="80" w:firstLine="509"/>
        <w:spacing w:after="0"/>
        <w:rPr>
          <w:sz w:val="20"/>
          <w:szCs w:val="20"/>
          <w:color w:val="auto"/>
        </w:rPr>
      </w:pPr>
      <w:r>
        <w:rPr>
          <w:rFonts w:ascii="Arial" w:cs="Arial" w:eastAsia="Arial" w:hAnsi="Arial"/>
          <w:sz w:val="13"/>
          <w:szCs w:val="13"/>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5" w:lineRule="exact"/>
        <w:rPr>
          <w:sz w:val="20"/>
          <w:szCs w:val="20"/>
          <w:color w:val="auto"/>
        </w:rPr>
      </w:pPr>
    </w:p>
    <w:p>
      <w:pPr>
        <w:ind w:right="40" w:firstLine="509"/>
        <w:spacing w:after="0" w:line="284" w:lineRule="auto"/>
        <w:rPr>
          <w:sz w:val="20"/>
          <w:szCs w:val="20"/>
          <w:color w:val="auto"/>
        </w:rPr>
      </w:pPr>
      <w:r>
        <w:rPr>
          <w:rFonts w:ascii="Arial" w:cs="Arial" w:eastAsia="Arial" w:hAnsi="Arial"/>
          <w:sz w:val="12"/>
          <w:szCs w:val="12"/>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30"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52" w:lineRule="exact"/>
        <w:rPr>
          <w:sz w:val="20"/>
          <w:szCs w:val="20"/>
          <w:color w:val="auto"/>
        </w:rPr>
      </w:pPr>
    </w:p>
    <w:p>
      <w:pPr>
        <w:ind w:right="60" w:firstLine="509"/>
        <w:spacing w:after="0" w:line="271" w:lineRule="auto"/>
        <w:rPr>
          <w:sz w:val="20"/>
          <w:szCs w:val="20"/>
          <w:color w:val="auto"/>
        </w:rPr>
      </w:pPr>
      <w:r>
        <w:rPr>
          <w:rFonts w:ascii="Arial" w:cs="Arial" w:eastAsia="Arial" w:hAnsi="Arial"/>
          <w:sz w:val="12"/>
          <w:szCs w:val="12"/>
          <w:color w:val="auto"/>
        </w:rPr>
        <w:t>This annual report may also include trademarks, tradenames and service marks that are the property of the Company and also certain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27" w:lineRule="exact"/>
        <w:rPr>
          <w:sz w:val="20"/>
          <w:szCs w:val="20"/>
          <w:color w:val="auto"/>
        </w:rPr>
      </w:pPr>
    </w:p>
    <w:p>
      <w:pPr>
        <w:ind w:right="60" w:firstLine="509"/>
        <w:spacing w:after="0" w:line="241" w:lineRule="auto"/>
        <w:rPr>
          <w:sz w:val="20"/>
          <w:szCs w:val="20"/>
          <w:color w:val="auto"/>
        </w:rPr>
      </w:pPr>
      <w:r>
        <w:rPr>
          <w:rFonts w:ascii="Arial" w:cs="Arial" w:eastAsia="Arial" w:hAnsi="Arial"/>
          <w:sz w:val="13"/>
          <w:szCs w:val="13"/>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360680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232F84"/>
        </w:rPr>
        <w:t>PART I</w:t>
      </w:r>
    </w:p>
    <w:p>
      <w:pPr>
        <w:spacing w:after="0" w:line="173"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232F84"/>
        </w:rPr>
        <w:t>Item 1.</w:t>
      </w:r>
      <w:r>
        <w:rPr>
          <w:sz w:val="20"/>
          <w:szCs w:val="20"/>
          <w:color w:val="auto"/>
        </w:rPr>
        <w:tab/>
      </w:r>
      <w:r>
        <w:rPr>
          <w:rFonts w:ascii="Arial" w:cs="Arial" w:eastAsia="Arial" w:hAnsi="Arial"/>
          <w:sz w:val="19"/>
          <w:szCs w:val="19"/>
          <w:b w:val="1"/>
          <w:bCs w:val="1"/>
          <w:color w:val="232F84"/>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Overview</w:t>
      </w:r>
    </w:p>
    <w:p>
      <w:pPr>
        <w:spacing w:after="0" w:line="188" w:lineRule="exact"/>
        <w:rPr>
          <w:sz w:val="20"/>
          <w:szCs w:val="20"/>
          <w:color w:val="auto"/>
        </w:rPr>
      </w:pPr>
    </w:p>
    <w:p>
      <w:pPr>
        <w:ind w:right="240" w:firstLine="509"/>
        <w:spacing w:after="0" w:line="244" w:lineRule="auto"/>
        <w:rPr>
          <w:sz w:val="20"/>
          <w:szCs w:val="20"/>
          <w:color w:val="auto"/>
        </w:rPr>
      </w:pPr>
      <w:r>
        <w:rPr>
          <w:rFonts w:ascii="Arial" w:cs="Arial" w:eastAsia="Arial" w:hAnsi="Arial"/>
          <w:sz w:val="13"/>
          <w:szCs w:val="13"/>
          <w:color w:val="auto"/>
        </w:rPr>
        <w:t>Mission Produce, Inc. (“Mission Produce” or the “Company,” “Registrant,” or “Issuer,” and generally referred to as “we” or “us”) is a world leader in sourcing, producing and distributing fresh avocados, serving retail, wholesale and foodservice customers.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have two operating segments which are also reporting segments:</w:t>
      </w:r>
    </w:p>
    <w:p>
      <w:pPr>
        <w:spacing w:after="0" w:line="155" w:lineRule="exact"/>
        <w:rPr>
          <w:sz w:val="20"/>
          <w:szCs w:val="20"/>
          <w:color w:val="auto"/>
        </w:rPr>
      </w:pPr>
    </w:p>
    <w:p>
      <w:pPr>
        <w:ind w:left="1000" w:hanging="231"/>
        <w:spacing w:after="0"/>
        <w:tabs>
          <w:tab w:leader="none" w:pos="1000" w:val="left"/>
        </w:tabs>
        <w:numPr>
          <w:ilvl w:val="0"/>
          <w:numId w:val="4"/>
        </w:numPr>
        <w:rPr>
          <w:rFonts w:ascii="Arial" w:cs="Arial" w:eastAsia="Arial" w:hAnsi="Arial"/>
          <w:sz w:val="13"/>
          <w:szCs w:val="13"/>
          <w:b w:val="1"/>
          <w:bCs w:val="1"/>
          <w:i w:val="1"/>
          <w:iCs w:val="1"/>
          <w:color w:val="232F84"/>
        </w:rPr>
      </w:pPr>
      <w:r>
        <w:rPr>
          <w:rFonts w:ascii="Arial" w:cs="Arial" w:eastAsia="Arial" w:hAnsi="Arial"/>
          <w:sz w:val="13"/>
          <w:szCs w:val="13"/>
          <w:b w:val="1"/>
          <w:bCs w:val="1"/>
          <w:i w:val="1"/>
          <w:iCs w:val="1"/>
          <w:color w:val="232F84"/>
        </w:rPr>
        <w:t xml:space="preserve">Marketing and Distribution </w:t>
      </w:r>
      <w:r>
        <w:rPr>
          <w:rFonts w:ascii="Arial" w:cs="Arial" w:eastAsia="Arial" w:hAnsi="Arial"/>
          <w:sz w:val="13"/>
          <w:szCs w:val="13"/>
          <w:color w:val="000000"/>
        </w:rPr>
        <w:t>sources fruit primarily from growers and then distributes fruit through our global distribution network;</w:t>
      </w:r>
    </w:p>
    <w:p>
      <w:pPr>
        <w:spacing w:after="0" w:line="168" w:lineRule="exact"/>
        <w:rPr>
          <w:rFonts w:ascii="Arial" w:cs="Arial" w:eastAsia="Arial" w:hAnsi="Arial"/>
          <w:sz w:val="13"/>
          <w:szCs w:val="13"/>
          <w:b w:val="1"/>
          <w:bCs w:val="1"/>
          <w:i w:val="1"/>
          <w:iCs w:val="1"/>
          <w:color w:val="232F84"/>
        </w:rPr>
      </w:pPr>
    </w:p>
    <w:p>
      <w:pPr>
        <w:ind w:left="1020" w:right="40" w:hanging="251"/>
        <w:spacing w:after="0" w:line="252" w:lineRule="auto"/>
        <w:tabs>
          <w:tab w:leader="none" w:pos="1001" w:val="left"/>
        </w:tabs>
        <w:numPr>
          <w:ilvl w:val="0"/>
          <w:numId w:val="4"/>
        </w:numPr>
        <w:rPr>
          <w:rFonts w:ascii="Arial" w:cs="Arial" w:eastAsia="Arial" w:hAnsi="Arial"/>
          <w:sz w:val="13"/>
          <w:szCs w:val="13"/>
          <w:b w:val="1"/>
          <w:bCs w:val="1"/>
          <w:i w:val="1"/>
          <w:iCs w:val="1"/>
          <w:color w:val="232F84"/>
        </w:rPr>
      </w:pPr>
      <w:r>
        <w:rPr>
          <w:rFonts w:ascii="Arial" w:cs="Arial" w:eastAsia="Arial" w:hAnsi="Arial"/>
          <w:sz w:val="13"/>
          <w:szCs w:val="13"/>
          <w:b w:val="1"/>
          <w:bCs w:val="1"/>
          <w:i w:val="1"/>
          <w:iCs w:val="1"/>
          <w:color w:val="232F84"/>
        </w:rPr>
        <w:t xml:space="preserve">International Farming </w:t>
      </w:r>
      <w:r>
        <w:rPr>
          <w:rFonts w:ascii="Arial" w:cs="Arial" w:eastAsia="Arial" w:hAnsi="Arial"/>
          <w:sz w:val="13"/>
          <w:szCs w:val="13"/>
          <w:color w:val="000000"/>
        </w:rPr>
        <w:t>owns and operates orchards from which substantially all fruit produced is sold to our Marketing and Distribution segment. The segment’s farming activities</w:t>
      </w:r>
      <w:r>
        <w:rPr>
          <w:rFonts w:ascii="Arial" w:cs="Arial" w:eastAsia="Arial" w:hAnsi="Arial"/>
          <w:sz w:val="13"/>
          <w:szCs w:val="13"/>
          <w:b w:val="1"/>
          <w:bCs w:val="1"/>
          <w:i w:val="1"/>
          <w:iCs w:val="1"/>
          <w:color w:val="232F84"/>
        </w:rPr>
        <w:t xml:space="preserve"> </w:t>
      </w:r>
      <w:r>
        <w:rPr>
          <w:rFonts w:ascii="Arial" w:cs="Arial" w:eastAsia="Arial" w:hAnsi="Arial"/>
          <w:sz w:val="13"/>
          <w:szCs w:val="13"/>
          <w:color w:val="000000"/>
        </w:rPr>
        <w:t>range from cultivating early-stage plantings to harvesting from mature trees. The segment also earns service revenues for packing and processing for producers of other crops during the avocado off-harvest season. The International Farming segment is principally located in Peru, with smaller operations emerging in other areas of Latin America.</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Products and services</w:t>
      </w:r>
    </w:p>
    <w:p>
      <w:pPr>
        <w:spacing w:after="0" w:line="162" w:lineRule="exact"/>
        <w:rPr>
          <w:sz w:val="20"/>
          <w:szCs w:val="20"/>
          <w:color w:val="auto"/>
        </w:rPr>
      </w:pPr>
    </w:p>
    <w:p>
      <w:pPr>
        <w:ind w:right="120" w:firstLine="509"/>
        <w:spacing w:after="0"/>
        <w:rPr>
          <w:sz w:val="20"/>
          <w:szCs w:val="20"/>
          <w:color w:val="auto"/>
        </w:rPr>
      </w:pPr>
      <w:r>
        <w:rPr>
          <w:rFonts w:ascii="Arial" w:cs="Arial" w:eastAsia="Arial" w:hAnsi="Arial"/>
          <w:sz w:val="13"/>
          <w:szCs w:val="13"/>
          <w:color w:val="auto"/>
        </w:rPr>
        <w:t>We source, produce, pack and distribute avocados. The avocados we sell are primarily of the Hass variety. We sort and pack avocados and match their specifications to respective customer requirements. We sell both pre-ripe and ripened avocados, and with our network of ripening facilities, we can adjust the level of ripeness to the needs of our customers. Our custom ripening programs provide customers with the option of ordering avocados at five different stages of ripeness – hard, preconditioned, breaking, firm-ripe and ripe – which are delivered on specifically tailored schedules according to stage of ripeness.</w:t>
      </w:r>
    </w:p>
    <w:p>
      <w:pPr>
        <w:spacing w:after="0" w:line="155"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We also provide value-added services including ripening, bagging, custom packing and logistical management. In addition, we provide our customers with merchandising and promotional support, insights on market trends and hands-on training to assist with their retail sales of our avocados. For example, we operate category management, merchandising and packaging programs, such as our “Avocado Intel,” “Minis,” “Emeralds in the Rough,” “Ready,” “Size Minded,” “small but mighty,” “Jumbos—more to eat, more to love” and shelf-life extension programs, to promote the sale of avocados that might otherwise be underutilized, to identify ready-to-eat and various size avocados for consumers and to increase shelf life.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Customers</w:t>
      </w:r>
    </w:p>
    <w:p>
      <w:pPr>
        <w:spacing w:after="0" w:line="172" w:lineRule="exact"/>
        <w:rPr>
          <w:sz w:val="20"/>
          <w:szCs w:val="20"/>
          <w:color w:val="auto"/>
        </w:rPr>
      </w:pPr>
    </w:p>
    <w:p>
      <w:pPr>
        <w:ind w:right="120" w:firstLine="509"/>
        <w:spacing w:after="0"/>
        <w:rPr>
          <w:sz w:val="20"/>
          <w:szCs w:val="20"/>
          <w:color w:val="auto"/>
        </w:rPr>
      </w:pPr>
      <w:r>
        <w:rPr>
          <w:rFonts w:ascii="Arial" w:cs="Arial" w:eastAsia="Arial" w:hAnsi="Arial"/>
          <w:sz w:val="13"/>
          <w:szCs w:val="13"/>
          <w:color w:val="auto"/>
        </w:rPr>
        <w:t>We primarily serve retail, wholesale and foodservice customers. We focus on delivering quality avocados on time and within customer specifications. Owning and farming our own avocado orchards also helps to mitigate potential disruptions across our third-party grower supply relationships. We forecast avocado sourcing costs for the season for our own production, which enables us to enter into fixed price contracts with customers for a season without bearing pricing risk from spot market purchases. We do not have long-term contracts with our customers and focus instead on building strong, long-term relationships based on product quality and specifications, on-time delivery and customer support and service.</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Supply chain and distribution network</w:t>
      </w:r>
    </w:p>
    <w:p>
      <w:pPr>
        <w:spacing w:after="0" w:line="162"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Our global distribution network includes twelve forward distribution centers in North America, China and Europe that offer value-added services such as ripening, bagging, custom packing and logistical management. In fiscal 2021, we opened a mega distribution center in Laredo, Texas, improving our ability to efficiently distribute Mexican avocados throughout North America. Its strategic position near the Mexican border fosters enhanced customer service, increased flexibility and expanded capabilities for our customer base. Our network of distribution facilities puts us in close proximity to our customers, allowing us to better provide fruit on time and to specification, and to adapt to changing customer volume and ripeness needs. Within the United States, our distribution network enables the delivery of avocados within approximately eight hours or less. Internationally, we have distribution centers and investments in other distributors in Europe and Asia to serve the growing retail demand outside of the United States.</w:t>
      </w:r>
    </w:p>
    <w:p>
      <w:pPr>
        <w:spacing w:after="0" w:line="157" w:lineRule="exact"/>
        <w:rPr>
          <w:sz w:val="20"/>
          <w:szCs w:val="20"/>
          <w:color w:val="auto"/>
        </w:rPr>
      </w:pPr>
    </w:p>
    <w:p>
      <w:pPr>
        <w:ind w:right="300" w:firstLine="509"/>
        <w:spacing w:after="0" w:line="241" w:lineRule="auto"/>
        <w:rPr>
          <w:sz w:val="20"/>
          <w:szCs w:val="20"/>
          <w:color w:val="auto"/>
        </w:rPr>
      </w:pPr>
      <w:r>
        <w:rPr>
          <w:rFonts w:ascii="Arial" w:cs="Arial" w:eastAsia="Arial" w:hAnsi="Arial"/>
          <w:sz w:val="13"/>
          <w:szCs w:val="13"/>
          <w:color w:val="auto"/>
        </w:rPr>
        <w:t>Before being forwarded to distribution centers, avocados are sorted and packed at one of our four state-of-art packing facilities in Mexico, Peru, and California, or by co-packers in various locations. Transportation logistics are managed across truck, ocean, air and rail platforms to bring product from their source to end markets. Proximity to growers enables us to develop stronger relationships, control the logistics of the supply chain from tree to packing, and export fruit from the country of origin faster.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Competition</w:t>
      </w:r>
    </w:p>
    <w:p>
      <w:pPr>
        <w:spacing w:after="0" w:line="188" w:lineRule="exact"/>
        <w:rPr>
          <w:sz w:val="20"/>
          <w:szCs w:val="20"/>
          <w:color w:val="auto"/>
        </w:rPr>
      </w:pPr>
    </w:p>
    <w:p>
      <w:pPr>
        <w:ind w:right="280" w:firstLine="509"/>
        <w:spacing w:after="0" w:line="244" w:lineRule="auto"/>
        <w:rPr>
          <w:sz w:val="20"/>
          <w:szCs w:val="20"/>
          <w:color w:val="auto"/>
        </w:rPr>
      </w:pPr>
      <w:r>
        <w:rPr>
          <w:rFonts w:ascii="Arial" w:cs="Arial" w:eastAsia="Arial" w:hAnsi="Arial"/>
          <w:sz w:val="13"/>
          <w:szCs w:val="13"/>
          <w:color w:val="auto"/>
        </w:rPr>
        <w:t>We compete based on a variety of factors, including the appearance, taste, size, shelf life and overall quality of our products, price and distribution terms, the timeliness of our deliveries to customers and the availability of our products. The avocado and fresh produce business is</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4" w:name="page5"/>
    <w:bookmarkEnd w:id="4"/>
    <w:p>
      <w:pPr>
        <w:spacing w:after="0" w:line="244" w:lineRule="auto"/>
        <w:rPr>
          <w:sz w:val="20"/>
          <w:szCs w:val="20"/>
          <w:color w:val="auto"/>
        </w:rPr>
      </w:pPr>
      <w:r>
        <w:rPr>
          <w:rFonts w:ascii="Arial" w:cs="Arial" w:eastAsia="Arial" w:hAnsi="Arial"/>
          <w:sz w:val="13"/>
          <w:szCs w:val="13"/>
          <w:color w:val="auto"/>
        </w:rPr>
        <w:t>highly competitive, and the effect of competition is intensified because our products are perishable. Competition over marketing fruit comes from competing producers and distributors. We also compete with smaller packers and marketers.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Resources</w:t>
      </w:r>
    </w:p>
    <w:p>
      <w:pPr>
        <w:spacing w:after="0" w:line="188" w:lineRule="exact"/>
        <w:rPr>
          <w:sz w:val="20"/>
          <w:szCs w:val="20"/>
          <w:color w:val="auto"/>
        </w:rPr>
      </w:pPr>
    </w:p>
    <w:p>
      <w:pPr>
        <w:ind w:right="320" w:firstLine="509"/>
        <w:spacing w:after="0" w:line="244" w:lineRule="auto"/>
        <w:rPr>
          <w:sz w:val="20"/>
          <w:szCs w:val="20"/>
          <w:color w:val="auto"/>
        </w:rPr>
      </w:pPr>
      <w:r>
        <w:rPr>
          <w:rFonts w:ascii="Arial" w:cs="Arial" w:eastAsia="Arial" w:hAnsi="Arial"/>
          <w:sz w:val="13"/>
          <w:szCs w:val="13"/>
          <w:color w:val="auto"/>
        </w:rPr>
        <w:t>We source avocados primarily from Mexico, Peru, and California, as well as Colombia, Guatemala, South Africa, and Chile. Our diverse sourcing network mitigates the impact of potential geographical or grower-specific supply disruptions and optimizes our ability to fulfill year-round global demand. We do not have exclusive sourcing contracts with growers.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Third-party growers</w:t>
      </w:r>
    </w:p>
    <w:p>
      <w:pPr>
        <w:spacing w:after="0" w:line="162" w:lineRule="exact"/>
        <w:rPr>
          <w:sz w:val="20"/>
          <w:szCs w:val="20"/>
          <w:color w:val="auto"/>
        </w:rPr>
      </w:pPr>
    </w:p>
    <w:p>
      <w:pPr>
        <w:ind w:right="380" w:firstLine="509"/>
        <w:spacing w:after="0" w:line="244" w:lineRule="auto"/>
        <w:rPr>
          <w:sz w:val="20"/>
          <w:szCs w:val="20"/>
          <w:color w:val="auto"/>
        </w:rPr>
      </w:pPr>
      <w:r>
        <w:rPr>
          <w:rFonts w:ascii="Arial" w:cs="Arial" w:eastAsia="Arial" w:hAnsi="Arial"/>
          <w:sz w:val="13"/>
          <w:szCs w:val="13"/>
          <w:color w:val="auto"/>
        </w:rPr>
        <w:t>We have relationships with thousands of third-party growers. Our large scale and long track record of working with growers contributes to strong existing relationships and facilitates new relationships with third-party growers.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Farming</w:t>
      </w:r>
    </w:p>
    <w:p>
      <w:pPr>
        <w:spacing w:after="0" w:line="172"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In addition to purchasing avocados from third-party growers, we grow avocados on owned or leased land to further diversify our sourcing network and provide additional control over our supply. In Peru, we own farmland with developed orchards that are in various stages of maturity as well as undeveloped land that we intend to plant in future years. In fiscal 2020, we secured farmland under long term leases in Guatemala that we have begun to develop. We also invest in a joint venture in Colombia that owns land that is under development. After planting, our avocado trees begin to produce avocados in approximately three years and reach full production in approximately five to seven years, depending on location.</w:t>
      </w:r>
    </w:p>
    <w:p>
      <w:pPr>
        <w:spacing w:after="0" w:line="155" w:lineRule="exact"/>
        <w:rPr>
          <w:sz w:val="20"/>
          <w:szCs w:val="20"/>
          <w:color w:val="auto"/>
        </w:rPr>
      </w:pPr>
    </w:p>
    <w:p>
      <w:pPr>
        <w:ind w:right="80" w:firstLine="509"/>
        <w:spacing w:after="0" w:line="241" w:lineRule="auto"/>
        <w:rPr>
          <w:sz w:val="20"/>
          <w:szCs w:val="20"/>
          <w:color w:val="auto"/>
        </w:rPr>
      </w:pPr>
      <w:r>
        <w:rPr>
          <w:rFonts w:ascii="Arial" w:cs="Arial" w:eastAsia="Arial" w:hAnsi="Arial"/>
          <w:sz w:val="13"/>
          <w:szCs w:val="13"/>
          <w:color w:val="auto"/>
        </w:rPr>
        <w:t>We are also involved in the farming of other products on a limited scale. We have planted mango orchards in Peru to enable us to realize synergies from labor and facility management during the avocado off-season. We have also invested in a blueberry farming joint venture, Moruga. While we do not market blueberries, our investment in Moruga further allows us to leverage labor and facility investments in Peru.</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Research and development</w:t>
      </w:r>
    </w:p>
    <w:p>
      <w:pPr>
        <w:spacing w:after="0" w:line="162" w:lineRule="exact"/>
        <w:rPr>
          <w:sz w:val="20"/>
          <w:szCs w:val="20"/>
          <w:color w:val="auto"/>
        </w:rPr>
      </w:pPr>
    </w:p>
    <w:p>
      <w:pPr>
        <w:ind w:right="200" w:firstLine="509"/>
        <w:spacing w:after="0" w:line="241" w:lineRule="auto"/>
        <w:rPr>
          <w:sz w:val="20"/>
          <w:szCs w:val="20"/>
          <w:color w:val="auto"/>
        </w:rPr>
      </w:pPr>
      <w:r>
        <w:rPr>
          <w:rFonts w:ascii="Arial" w:cs="Arial" w:eastAsia="Arial" w:hAnsi="Arial"/>
          <w:sz w:val="13"/>
          <w:szCs w:val="13"/>
          <w:color w:val="auto"/>
        </w:rPr>
        <w:t>We have a dedicated research and development department focused on finding new ways to innovate across our value chain. In 2021, we focused on the reduction of food waste and extending overall fruit-quality, tailored to our customers’ needs. Our International Farming segment also performs studies to innovate our farming practices, such as soil-analysis, test plots, and seed research. Total research and development expense was $0.4 million, $0.5 million, and $0.3 million for the years ended October 31, 2021, 2020, and 2019,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Intellectual property</w:t>
      </w:r>
    </w:p>
    <w:p>
      <w:pPr>
        <w:spacing w:after="0" w:line="172" w:lineRule="exact"/>
        <w:rPr>
          <w:sz w:val="20"/>
          <w:szCs w:val="20"/>
          <w:color w:val="auto"/>
        </w:rPr>
      </w:pPr>
    </w:p>
    <w:p>
      <w:pPr>
        <w:ind w:right="40" w:firstLine="509"/>
        <w:spacing w:after="0" w:line="244" w:lineRule="auto"/>
        <w:rPr>
          <w:sz w:val="20"/>
          <w:szCs w:val="20"/>
          <w:color w:val="auto"/>
        </w:rPr>
      </w:pPr>
      <w:r>
        <w:rPr>
          <w:rFonts w:ascii="Arial" w:cs="Arial" w:eastAsia="Arial" w:hAnsi="Arial"/>
          <w:sz w:val="13"/>
          <w:szCs w:val="13"/>
          <w:color w:val="auto"/>
        </w:rPr>
        <w:t>We have registered or submitted registrations for certain trademarks with the United Stated Patent and Trademark Office and with the appropriate bodies in international jurisdictions, including the Mission tower logo design. In addition we have several issued patents that are not material to our business at this time.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Seasonality</w:t>
      </w:r>
    </w:p>
    <w:p>
      <w:pPr>
        <w:spacing w:after="0" w:line="188" w:lineRule="exact"/>
        <w:rPr>
          <w:sz w:val="20"/>
          <w:szCs w:val="20"/>
          <w:color w:val="auto"/>
        </w:rPr>
      </w:pPr>
    </w:p>
    <w:p>
      <w:pPr>
        <w:ind w:right="360" w:firstLine="509"/>
        <w:spacing w:after="0" w:line="267" w:lineRule="auto"/>
        <w:rPr>
          <w:sz w:val="20"/>
          <w:szCs w:val="20"/>
          <w:color w:val="auto"/>
        </w:rPr>
      </w:pPr>
      <w:r>
        <w:rPr>
          <w:rFonts w:ascii="Arial" w:cs="Arial" w:eastAsia="Arial" w:hAnsi="Arial"/>
          <w:sz w:val="12"/>
          <w:szCs w:val="12"/>
          <w:color w:val="auto"/>
        </w:rPr>
        <w:t>The total sales and sales price of avocados fluctuates throughout the year due to variations in supply of avocados based on geographic location. For example, in California and Peru, the production of avocados peaks between April and August. In Mexico, avocados are harvested year-round, but production peaks between December through March. Although these geographical differences may lead to fluctuations in the purchase price of avocados, our diverse geographical avocado growth and production capabilities help us mitigate volatility in our access to supply of avocados. As a result of the volumes sourced from our farming operations in Peru, we realize a greater portion of our gross profit during the third and fourth quarters of our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Human Capital</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As of October 31, 2021, we had approximately 2,800 employees located worldwide, 1,500 of which were located in Peru, 700 of which were located in Mexico, 400 of which were located in the U.S., and 200 in other regions such as Guatemala, Europe, and Canada. Due to the cyclical nature of avocado production, we also hire temporary and seasonal workers on our farms in Peru and packing houses in the U.S. to meet our needs.</w:t>
      </w:r>
    </w:p>
    <w:p>
      <w:pPr>
        <w:spacing w:after="0" w:line="15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3"/>
          <w:szCs w:val="13"/>
          <w:color w:val="auto"/>
        </w:rPr>
        <w:t>For nearly four decades, we have remained rooted in honesty, respect, and loyalty. Globally, we support our people in the distinct ways needed according to their respective regions and environment and commit to treating every individual with dignity and respect by following our human rights declaration. We’ve made actionable goals to address the incorporation of Diversity, Equity, and Inclusion (“DE&amp;I”) in our organization and industry by sponsoring and participating in certifications and trainings. Appointed teams continually work to improve the working conditions of our people through our Health and Safety program. Additionally, in fiscal year 2021, we reported a 93% global employee retention rate. Our social initiatives embody our core values: Fun, Innovative, Reliable, Successful, and Trustworthy. Our corporate culture embodies these values and, as a result, we believe we have a highly motivated and skilled workforce that is committed to the success of our business.</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232F84"/>
        </w:rPr>
        <w:t>Regulation and Industry Associations</w:t>
      </w:r>
    </w:p>
    <w:p>
      <w:pPr>
        <w:spacing w:after="0" w:line="188"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Our business is impacted by environmental, health and safety, government procurement, anti-bribery and other government regulations and requirements. Below is a summary of some of the significant regulations that impact our business.</w:t>
      </w:r>
    </w:p>
    <w:p>
      <w:pPr>
        <w:spacing w:after="0" w:line="152"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As an agricultural producer and marketer of consumable products, our operations are subject to extensive regulation by various federal government agencies, including the FDA, the USDA and the Federal Trade Commission (“FTC”), as well as state and local agencies, with respect to product attributes, packing,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health and safety regulations, including those issued under the Occupational Safety and Health Act (“OSHA”). Our packing facilities and products are subject to periodic inspection by federal, state and local authorities, including the California State Department of Food and Agriculture (“CFDA”), which oversees weights &amp; measures compliance at our California packing facilities. All of our US facilities are also in compliance with the FDA’s Food Safety Modernization Act (“FSMA”). In addition, our operations in Mexico are subject to Mexican regulations and our operations in Peru are subject to Peruvian regulations.</w:t>
      </w:r>
    </w:p>
    <w:p>
      <w:pPr>
        <w:spacing w:after="0" w:line="146" w:lineRule="exact"/>
        <w:rPr>
          <w:sz w:val="20"/>
          <w:szCs w:val="20"/>
          <w:color w:val="auto"/>
        </w:rPr>
      </w:pPr>
    </w:p>
    <w:p>
      <w:pPr>
        <w:ind w:right="160" w:firstLine="509"/>
        <w:spacing w:after="0" w:line="244" w:lineRule="auto"/>
        <w:rPr>
          <w:sz w:val="20"/>
          <w:szCs w:val="20"/>
          <w:color w:val="auto"/>
        </w:rPr>
      </w:pPr>
      <w:r>
        <w:rPr>
          <w:rFonts w:ascii="Arial" w:cs="Arial" w:eastAsia="Arial" w:hAnsi="Arial"/>
          <w:sz w:val="13"/>
          <w:szCs w:val="13"/>
          <w:color w:val="auto"/>
        </w:rPr>
        <w:t>The agricultural products sold and marketed by us are subject to additional specific government acts or regulations, including the Hass Avocado Promotion, Research and Information Act of 2000 for our avocados.</w:t>
      </w:r>
    </w:p>
    <w:p>
      <w:pPr>
        <w:spacing w:after="0" w:line="152" w:lineRule="exact"/>
        <w:rPr>
          <w:sz w:val="20"/>
          <w:szCs w:val="20"/>
          <w:color w:val="auto"/>
        </w:rPr>
      </w:pPr>
    </w:p>
    <w:p>
      <w:pPr>
        <w:ind w:right="20" w:firstLine="509"/>
        <w:spacing w:after="0" w:line="241" w:lineRule="auto"/>
        <w:rPr>
          <w:sz w:val="20"/>
          <w:szCs w:val="20"/>
          <w:color w:val="auto"/>
        </w:rPr>
      </w:pPr>
      <w:r>
        <w:rPr>
          <w:rFonts w:ascii="Arial" w:cs="Arial" w:eastAsia="Arial" w:hAnsi="Arial"/>
          <w:sz w:val="13"/>
          <w:szCs w:val="13"/>
          <w:color w:val="auto"/>
        </w:rPr>
        <w:t>We are subject to numerous federal, state, local and foreign environmental laws and regulations. These laws and regulations govern, among other matters, the treatment, handling, storage, use and disposal of, and exposure to, hazardous materials and waste, including herbicides, fertilizers, pesticides and other agricultural products, the remediation of contaminated properties and climate change.</w:t>
      </w:r>
    </w:p>
    <w:p>
      <w:pPr>
        <w:spacing w:after="0" w:line="154"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In the U.S., the Hass Avocado Board was established by the USDA to promote the sale of Hass variety avocados. This board provides a basis for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Similarly, Avocados from Mexico (“AFM”) was formed in 2013 as the marketing arm of the Mexican Hass Avocados Importers Association (“MHAIA”) and the Association of Growers and Packers of Avocados From Mexico (“APEAM”).</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seek to comply at all times with all such laws and regulations and to obtain any necessary permits and licenses, and we are not aware of any instances of material non-compliance.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Available Information</w:t>
      </w:r>
    </w:p>
    <w:p>
      <w:pPr>
        <w:spacing w:after="0" w:line="188" w:lineRule="exact"/>
        <w:rPr>
          <w:sz w:val="20"/>
          <w:szCs w:val="20"/>
          <w:color w:val="auto"/>
        </w:rPr>
      </w:pPr>
    </w:p>
    <w:p>
      <w:pPr>
        <w:ind w:right="300" w:firstLine="509"/>
        <w:spacing w:after="0" w:line="244" w:lineRule="auto"/>
        <w:rPr>
          <w:sz w:val="20"/>
          <w:szCs w:val="20"/>
          <w:color w:val="auto"/>
        </w:rPr>
      </w:pPr>
      <w:r>
        <w:rPr>
          <w:rFonts w:ascii="Arial" w:cs="Arial" w:eastAsia="Arial" w:hAnsi="Arial"/>
          <w:sz w:val="13"/>
          <w:szCs w:val="13"/>
          <w:color w:val="auto"/>
        </w:rPr>
        <w:t>Our corporate headquarters are located at 2710 Camino Del Sol, Oxnard, California, and our telephone number is (805) 981-3650. Our internet address is www.missionproduce.com. The information on or that can be accessed through our website is not incorporated by reference in this report.</w:t>
      </w:r>
    </w:p>
    <w:p>
      <w:pPr>
        <w:spacing w:after="0" w:line="152"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We make available free of charge certain reports and amendments that we file with the SEC, such as our annual reports on Form 10-K, quarterly reports on Form 10-Q, current reports on Form 8-K, our directors’ and officers’ Section 16 reports, as soon as reasonably practicable after filing or furnishing such materials to the SEC on the “Investor relations” section of our website. They are also available free of charge on the SEC’s website at www.sec.gov.</w:t>
      </w:r>
    </w:p>
    <w:p>
      <w:pPr>
        <w:spacing w:after="0" w:line="200" w:lineRule="exact"/>
        <w:rPr>
          <w:sz w:val="20"/>
          <w:szCs w:val="20"/>
          <w:color w:val="auto"/>
        </w:rPr>
      </w:pPr>
    </w:p>
    <w:p>
      <w:pPr>
        <w:spacing w:after="0" w:line="23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232F84"/>
        </w:rPr>
        <w:t>Item 1A.</w:t>
      </w:r>
      <w:r>
        <w:rPr>
          <w:sz w:val="20"/>
          <w:szCs w:val="20"/>
          <w:color w:val="auto"/>
        </w:rPr>
        <w:tab/>
      </w:r>
      <w:r>
        <w:rPr>
          <w:rFonts w:ascii="Arial" w:cs="Arial" w:eastAsia="Arial" w:hAnsi="Arial"/>
          <w:sz w:val="19"/>
          <w:szCs w:val="19"/>
          <w:b w:val="1"/>
          <w:bCs w:val="1"/>
          <w:color w:val="232F84"/>
        </w:rPr>
        <w:t>Risk Factors</w:t>
      </w:r>
    </w:p>
    <w:p>
      <w:pPr>
        <w:spacing w:after="0" w:line="197"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Risks Related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Our ability to generate revenues is limited by the supply of avocados and our ability to purchase or grow additional avocados.</w:t>
      </w:r>
    </w:p>
    <w:p>
      <w:pPr>
        <w:spacing w:after="0" w:line="172"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Our ability to distribute avocados is limited by our ability to acquire supply from third-party growers and to produce on our own farms. With a limited number of avocado trees on our farms and on the farms from which we purchase, our ability to obtain supply from third parties and adapt to any changes in demand of our product is constrained. If we are unable to purchase sufficient volumes from third-party growers at acceptable prices or demand for our products were to increase in the future, we would need additional production capacity, which may take time, whether by purchasing additional fruit from third-party suppliers or by waiting for our younger avocado trees to bear fruit. These purchases may expose us to increases in short-term costs and additional production may expose us to additional long-term operating costs. If supply were to</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6" w:name="page7"/>
    <w:bookmarkEnd w:id="6"/>
    <w:p>
      <w:pPr>
        <w:ind w:right="120"/>
        <w:spacing w:after="0" w:line="284" w:lineRule="auto"/>
        <w:rPr>
          <w:sz w:val="20"/>
          <w:szCs w:val="20"/>
          <w:color w:val="auto"/>
        </w:rPr>
      </w:pPr>
      <w:r>
        <w:rPr>
          <w:rFonts w:ascii="Arial" w:cs="Arial" w:eastAsia="Arial" w:hAnsi="Arial"/>
          <w:sz w:val="12"/>
          <w:szCs w:val="12"/>
          <w:color w:val="auto"/>
        </w:rPr>
        <w:t>decrease dramatically in the future, whether as a result of damage to farms, inclement weather, drought, labor issues, or other problems, we may not be able to purchase sufficient fruit or prices could dramatically increase. The impact of the limited supply and increased prices could decrease our revenues or increase our costs of goods sold, which would harm our business and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The loss of one or more of our largest customers, or a reduction in the level of purchases made by these customers, could negatively impact our sales and profits.</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Sales to our top 10 customers amounted to approximately 59%, 64%, and 60% of our net sales for the years ended October 31, 2021, 2020 and 2019, respectively.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or increase in the number of suppliers from which they purchase, may adversely affect our sales. Additionally, our customers may face financial or other difficulties which may impact their operations and cause them to reduce their level of purchases from us, which could adversely affect the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We are subject to the risks of doing business internationally and our current international operations are subject to a number of inherent risks.</w:t>
      </w:r>
    </w:p>
    <w:p>
      <w:pPr>
        <w:spacing w:after="0" w:line="172" w:lineRule="exact"/>
        <w:rPr>
          <w:sz w:val="20"/>
          <w:szCs w:val="20"/>
          <w:color w:val="auto"/>
        </w:rPr>
      </w:pPr>
    </w:p>
    <w:p>
      <w:pPr>
        <w:jc w:val="both"/>
        <w:ind w:right="80" w:firstLine="509"/>
        <w:spacing w:after="0"/>
        <w:rPr>
          <w:sz w:val="20"/>
          <w:szCs w:val="20"/>
          <w:color w:val="auto"/>
        </w:rPr>
      </w:pPr>
      <w:r>
        <w:rPr>
          <w:rFonts w:ascii="Arial" w:cs="Arial" w:eastAsia="Arial" w:hAnsi="Arial"/>
          <w:sz w:val="13"/>
          <w:szCs w:val="13"/>
          <w:color w:val="auto"/>
        </w:rPr>
        <w:t>We conduct a substantial amount of business internationally, including: doing business with growers and customers who are located outside the United States; purchasing fruit from growers and packers in Mexico and other countries; owning or leasing thousands of acres of farms in other countries, operating packing facilities in Peru and Mexico, having farming joint ventures in Colombia and South Africa, operating sales and distribution offices in China and in Europe, and selling products to foreign customers. We also continually explore sourcing, distribution and sales opportunities in additional countries. Conducting business internationally exposes us to a variety of risks, including:</w:t>
      </w:r>
    </w:p>
    <w:p>
      <w:pPr>
        <w:spacing w:after="0" w:line="113" w:lineRule="exact"/>
        <w:rPr>
          <w:sz w:val="20"/>
          <w:szCs w:val="20"/>
          <w:color w:val="auto"/>
        </w:rPr>
      </w:pPr>
    </w:p>
    <w:p>
      <w:pPr>
        <w:ind w:left="520" w:right="12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Changes in legal or regulatory requirements affecting foreign investment, taxes, imports and exports or changes in or interpretations of foreign regulations that may adversely affect our ability to sell our products, repatriate profits to the United States or operate our foreign-located facilities;</w:t>
      </w:r>
    </w:p>
    <w:p>
      <w:pPr>
        <w:spacing w:after="0" w:line="99" w:lineRule="exact"/>
        <w:rPr>
          <w:rFonts w:ascii="Arial" w:cs="Arial" w:eastAsia="Arial" w:hAnsi="Arial"/>
          <w:sz w:val="13"/>
          <w:szCs w:val="13"/>
          <w:color w:val="auto"/>
        </w:rPr>
      </w:pPr>
    </w:p>
    <w:p>
      <w:pPr>
        <w:ind w:left="520" w:right="28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increased demands on our limited resources created by our operations may constrain the capabilities of our administrative and operational resources and restrict our ability to attract, train, manage and retain qualified management, technicians, scientists and other personnel;</w:t>
      </w:r>
    </w:p>
    <w:p>
      <w:pPr>
        <w:spacing w:after="0" w:line="109"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difficulties associated with staffing and managing foreign operations;</w:t>
      </w:r>
    </w:p>
    <w:p>
      <w:pPr>
        <w:spacing w:after="0" w:line="115" w:lineRule="exact"/>
        <w:rPr>
          <w:rFonts w:ascii="Arial" w:cs="Arial" w:eastAsia="Arial" w:hAnsi="Arial"/>
          <w:sz w:val="13"/>
          <w:szCs w:val="13"/>
          <w:color w:val="auto"/>
        </w:rPr>
      </w:pPr>
    </w:p>
    <w:p>
      <w:pPr>
        <w:ind w:left="520" w:right="60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multiple, conflicting and changing laws and regulations such as tariffs and tax laws, export and import restrictions, employment laws, regulatory requirements and other governmental approvals, permits and licenses;</w:t>
      </w:r>
    </w:p>
    <w:p>
      <w:pPr>
        <w:spacing w:after="0" w:line="99"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failure by us or third parties we rely on to obtain and/or maintain regulatory approvals for the sale or use of our products in various countries;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difficulties in managing global operations;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logistics and regulations associated with shipping products, including infrastructure conditions and transportation delays;</w:t>
      </w:r>
    </w:p>
    <w:p>
      <w:pPr>
        <w:spacing w:after="0" w:line="10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financial risks, such as longer payment cycles, difficulty enforcing contracts and collecting accounts receivable, and exposure to currency exchange rate fluctuations;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reduced protection for intellectual property rights, or lack of them in certain jurisdictions;</w:t>
      </w:r>
    </w:p>
    <w:p>
      <w:pPr>
        <w:spacing w:after="0" w:line="115" w:lineRule="exact"/>
        <w:rPr>
          <w:rFonts w:ascii="Arial" w:cs="Arial" w:eastAsia="Arial" w:hAnsi="Arial"/>
          <w:sz w:val="13"/>
          <w:szCs w:val="13"/>
          <w:color w:val="auto"/>
        </w:rPr>
      </w:pPr>
    </w:p>
    <w:p>
      <w:pPr>
        <w:ind w:left="520" w:right="6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economic weakness or instability, economic recessions, political and economic instability, including corruption, wars, terrorism and political unrest, outbreak of disease, boycotts, curtailment of trade and other business restrictions;</w:t>
      </w:r>
    </w:p>
    <w:p>
      <w:pPr>
        <w:spacing w:after="0" w:line="99" w:lineRule="exact"/>
        <w:rPr>
          <w:rFonts w:ascii="Arial" w:cs="Arial" w:eastAsia="Arial" w:hAnsi="Arial"/>
          <w:sz w:val="13"/>
          <w:szCs w:val="13"/>
          <w:color w:val="auto"/>
        </w:rPr>
      </w:pPr>
    </w:p>
    <w:p>
      <w:pPr>
        <w:ind w:left="520" w:right="20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09"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failure to comply with restrictions on the ability of companies to do business in foreign countries;</w:t>
      </w:r>
    </w:p>
    <w:p>
      <w:pPr>
        <w:spacing w:after="0" w:line="115" w:lineRule="exact"/>
        <w:rPr>
          <w:rFonts w:ascii="Arial" w:cs="Arial" w:eastAsia="Arial" w:hAnsi="Arial"/>
          <w:sz w:val="13"/>
          <w:szCs w:val="13"/>
          <w:color w:val="auto"/>
        </w:rPr>
      </w:pPr>
    </w:p>
    <w:p>
      <w:pPr>
        <w:ind w:left="520" w:right="140" w:hanging="260"/>
        <w:spacing w:after="0" w:line="244" w:lineRule="auto"/>
        <w:tabs>
          <w:tab w:leader="none" w:pos="501" w:val="left"/>
        </w:tabs>
        <w:numPr>
          <w:ilvl w:val="0"/>
          <w:numId w:val="5"/>
        </w:numPr>
        <w:rPr>
          <w:rFonts w:ascii="Arial" w:cs="Arial" w:eastAsia="Arial" w:hAnsi="Arial"/>
          <w:sz w:val="13"/>
          <w:szCs w:val="13"/>
          <w:color w:val="auto"/>
        </w:rPr>
      </w:pPr>
      <w:r>
        <w:rPr>
          <w:rFonts w:ascii="Arial" w:cs="Arial" w:eastAsia="Arial" w:hAnsi="Arial"/>
          <w:sz w:val="13"/>
          <w:szCs w:val="13"/>
          <w:color w:val="auto"/>
        </w:rPr>
        <w:t>restrictive U.S. and foreign governmental actions, such as restrictions on transfers of funds and trade protection measures, including import/export duties and quotas and customs duties and tariffs, or unexpected changes in tariffs, trade barriers and regulatory requirements;</w:t>
      </w:r>
    </w:p>
    <w:p>
      <w:pPr>
        <w:spacing w:after="0" w:line="99"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compliance with tax, employment, immigration and labor laws;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taxes, including withholding of payroll taxes;</w:t>
      </w:r>
    </w:p>
    <w:p>
      <w:pPr>
        <w:spacing w:after="0" w:line="10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currency fluctuations, which could result in increased operating expenses and reduced revenue, and other obligations incident to doing business in another country;</w:t>
      </w:r>
    </w:p>
    <w:p>
      <w:pPr>
        <w:spacing w:after="0" w:line="3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7" w:name="page8"/>
    <w:bookmarkEnd w:id="7"/>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workforce uncertainty in countries where labor unrest is more common than in the United States;</w:t>
      </w:r>
    </w:p>
    <w:p>
      <w:pPr>
        <w:spacing w:after="0" w:line="105"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production shortages or disruptions in supply, labor, transportation and trading; and</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business and shipping interruptions resulting from pandemics and natural or other disasters including earthquakes, volcanic activity, hurricanes, floods and fires.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Any of these risks, if encountered, could harm our international expansion and operations and, consequently, have an adverse effect on our financial condition, results of operations and cash</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flows.</w:t>
      </w:r>
    </w:p>
    <w:p>
      <w:pPr>
        <w:spacing w:after="0" w:line="148"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Our business is also impacted by the negotiation and implementation of free trade agreements between the United States and other countries, particularly in Mexico, which is the largest source of our supply of avocados. Such agreements can reduce or increase barriers to international trade and thus affect the cost of conducting business internationally, including the cost of purchasing avocados.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Mexican economic, political and societal conditions may have an adverse impact on our business.</w:t>
      </w:r>
    </w:p>
    <w:p>
      <w:pPr>
        <w:spacing w:after="0" w:line="172"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Mexico is the largest source of our supply of avocados, and our business is affected by developments in that country. Shipments from Mexico to the United States are dependent on the border remaining open to imports, which has closed from time to time. In addition, security institutions in Mexico are under significant stress as a result of organized crime and gang and drug-related violence, which also could affect avocado production and shipments. This situation creates potential risks that could affect a large part of our sourcing in Mexico and would harm our operations if it impacts our facilities or personnel. In addition, Mexican growers strike from time to time to obtain higher prices for their avocados. We cannot provide any assurance that economic conditions or political developments, including any changes to economic policies or the adoption of other reforms proposed by existing or future administrations, in or affecting Mexico will not have a material adverse effect on market conditions or our business,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Peruvian economic and political conditions may have an adverse impact on our business.</w:t>
      </w:r>
    </w:p>
    <w:p>
      <w:pPr>
        <w:spacing w:after="0" w:line="17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A significant part of our farming operations are conducted in Peru. Accordingly, our business, financial condition or results of operations could be affected by changes in economic or other policies of the Peruvian government or other political, regulatory or economic developments in the country. During the past several decades, Peru has had a succession of regimes with differing policies and programs. Past governments have frequently intervened in the nation’s economy and social structure, and also faced money laundering and corruption issues. Among other actions, past governments have imposed controls on prices, exchange rates and local and foreign investments, as well as limitations on imports, have restricted the ability of companies to dismiss employees and have prohibited the remittance of profits to foreign investors.</w:t>
      </w:r>
    </w:p>
    <w:p>
      <w:pPr>
        <w:spacing w:after="0" w:line="14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Because we have significant operations in Peru, we cannot provide any assurance that political developments and economic conditions, including any changes to economic policies or the adoption of other reforms proposed by existing or future administrations, in Peru and/or other factors will not have a material adverse effect on market conditions, prices of our securities, our ability to obtain financing and our results of operations and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Our earnings are sensitive to fluctuations in market prices of avocados.</w:t>
      </w:r>
    </w:p>
    <w:p>
      <w:pPr>
        <w:spacing w:after="0" w:line="172" w:lineRule="exact"/>
        <w:rPr>
          <w:sz w:val="20"/>
          <w:szCs w:val="20"/>
          <w:color w:val="auto"/>
        </w:rPr>
      </w:pPr>
    </w:p>
    <w:p>
      <w:pPr>
        <w:jc w:val="both"/>
        <w:ind w:right="180" w:firstLine="509"/>
        <w:spacing w:after="0" w:line="284" w:lineRule="auto"/>
        <w:rPr>
          <w:sz w:val="20"/>
          <w:szCs w:val="20"/>
          <w:color w:val="auto"/>
        </w:rPr>
      </w:pPr>
      <w:r>
        <w:rPr>
          <w:rFonts w:ascii="Arial" w:cs="Arial" w:eastAsia="Arial" w:hAnsi="Arial"/>
          <w:sz w:val="12"/>
          <w:szCs w:val="12"/>
          <w:color w:val="auto"/>
        </w:rPr>
        <w:t>The pricing of avocados depends on supply, and excess supply can lead to price competition in our industry. Growing conditions in various parts of the world, particularly weather conditions such as windstorms, floods, droughts, wildfires and freezes, as well as diseases and pests, are primary factors affecting market prices because of their influence on the supply and quality of product.</w:t>
      </w:r>
    </w:p>
    <w:p>
      <w:pPr>
        <w:spacing w:after="0" w:line="130" w:lineRule="exact"/>
        <w:rPr>
          <w:sz w:val="20"/>
          <w:szCs w:val="20"/>
          <w:color w:val="auto"/>
        </w:rPr>
      </w:pPr>
    </w:p>
    <w:p>
      <w:pPr>
        <w:ind w:right="60" w:firstLine="509"/>
        <w:spacing w:after="0" w:line="244" w:lineRule="auto"/>
        <w:rPr>
          <w:sz w:val="20"/>
          <w:szCs w:val="20"/>
          <w:color w:val="auto"/>
        </w:rPr>
      </w:pPr>
      <w:r>
        <w:rPr>
          <w:rFonts w:ascii="Arial" w:cs="Arial" w:eastAsia="Arial" w:hAnsi="Arial"/>
          <w:sz w:val="13"/>
          <w:szCs w:val="13"/>
          <w:color w:val="auto"/>
        </w:rPr>
        <w:t>Pricing also depends on quality. Fresh produce is highly perishable and generally must be brought to market and sold soon after harvest. The selling price received depends on the availability and quality offered by us to customers and available in the market generally.</w:t>
      </w:r>
    </w:p>
    <w:p>
      <w:pPr>
        <w:spacing w:after="0" w:line="14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3"/>
          <w:szCs w:val="13"/>
          <w:color w:val="auto"/>
        </w:rPr>
        <w:t>Pricing also depends on demand, and consumer preferences for particular food products are subject to fluctuations over time. Shifts in consumer preferences that can impact demand at any given time can result from a number of factors, including dietary trends, attention to particular nutritional aspects, concerns regarding the health effects of particular products, attention given to product sourcing practices and general public perception of food safety risks. Consumer demand for our products also may be impacted by any public commentary that consumers may make regarding our products, as well as by changes in the level of advertising or promotional support that we employ or that are employed by relevant industry groups or third parties. If consumer preferences trend negatively with respect to avocados, our sales volumes may decline as a result.</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We are subject to increasing competition that may adversely affect our operating results.</w:t>
      </w:r>
    </w:p>
    <w:p>
      <w:pPr>
        <w:spacing w:after="0" w:line="172" w:lineRule="exact"/>
        <w:rPr>
          <w:sz w:val="20"/>
          <w:szCs w:val="20"/>
          <w:color w:val="auto"/>
        </w:rPr>
      </w:pPr>
    </w:p>
    <w:p>
      <w:pPr>
        <w:ind w:right="240" w:firstLine="509"/>
        <w:spacing w:after="0"/>
        <w:rPr>
          <w:sz w:val="20"/>
          <w:szCs w:val="20"/>
          <w:color w:val="auto"/>
        </w:rPr>
      </w:pPr>
      <w:r>
        <w:rPr>
          <w:rFonts w:ascii="Arial" w:cs="Arial" w:eastAsia="Arial" w:hAnsi="Arial"/>
          <w:sz w:val="13"/>
          <w:szCs w:val="13"/>
          <w:color w:val="auto"/>
        </w:rPr>
        <w:t>The market for avocados and processed avocado products is highly competitive. Competition for the purchase of avocados from suppliers and the sale of avocados to distributors primarily comes from other avocado distributors. If we are unable to consistently pay growers a competitive price for their avocados, these growers may choose to have their avocados marketed by alternate distributors. If we are unable to offer attractive prices or consistent supply to retail and wholesale customers, they may choose to purchase from other companies. Such competition may adversely affect our volumes and prices, which would harm our business and results of operations.</w:t>
      </w:r>
    </w:p>
    <w:p>
      <w:pPr>
        <w:spacing w:after="0" w:line="35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7"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i w:val="1"/>
          <w:iCs w:val="1"/>
          <w:color w:val="232F84"/>
        </w:rPr>
        <w:t>We and our growers are subject to the risks that are inherent in farming.</w:t>
      </w:r>
    </w:p>
    <w:p>
      <w:pPr>
        <w:spacing w:after="0" w:line="172" w:lineRule="exact"/>
        <w:rPr>
          <w:sz w:val="20"/>
          <w:szCs w:val="20"/>
          <w:color w:val="auto"/>
        </w:rPr>
      </w:pPr>
    </w:p>
    <w:p>
      <w:pPr>
        <w:jc w:val="both"/>
        <w:ind w:right="160" w:firstLine="509"/>
        <w:spacing w:after="0" w:line="241" w:lineRule="auto"/>
        <w:rPr>
          <w:sz w:val="20"/>
          <w:szCs w:val="20"/>
          <w:color w:val="auto"/>
        </w:rPr>
      </w:pPr>
      <w:r>
        <w:rPr>
          <w:rFonts w:ascii="Arial" w:cs="Arial" w:eastAsia="Arial" w:hAnsi="Arial"/>
          <w:sz w:val="13"/>
          <w:szCs w:val="13"/>
          <w:color w:val="auto"/>
        </w:rPr>
        <w:t>Our results of operations may be adversely affected by numerous factors over which we have little or no control and that are inherent in farming, including reductions in the market prices for our products, adverse weather including drought, high winds, earthquakes and wildfires. Growing conditions, pest and disease problems and new government regulations regarding farming and the marketing of agricultural products can impose additional costs on, or make it more difficult to conduct,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Due to the seasonality of the business, our revenue and operating results may vary from quarter to quarter and year to year.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earnings may be affected by seasonal factors, including:</w:t>
      </w:r>
    </w:p>
    <w:p>
      <w:pPr>
        <w:spacing w:after="0" w:line="116"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availability, quality and price of fruit;</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timing and effects of ripening and perishability;</w:t>
      </w:r>
    </w:p>
    <w:p>
      <w:pPr>
        <w:spacing w:after="0" w:line="105"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ability to process perishable raw materials in a timely manner;</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fixed overhead costs during off-season months at our farms; and</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impacts on consumer demand based on seasonal and holiday timing.</w:t>
      </w:r>
    </w:p>
    <w:p>
      <w:pPr>
        <w:spacing w:after="0" w:line="147"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3"/>
          <w:szCs w:val="13"/>
          <w:color w:val="auto"/>
        </w:rPr>
        <w:t>In particular, our farming operations in Peru are affected by seasonal factors, as the harvest in Peru is generally concentrated in the third and fourth fiscal quarters.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Our performance may be impacted by general economic conditions or an economic downturn.</w:t>
      </w:r>
    </w:p>
    <w:p>
      <w:pPr>
        <w:spacing w:after="0" w:line="172" w:lineRule="exact"/>
        <w:rPr>
          <w:sz w:val="20"/>
          <w:szCs w:val="20"/>
          <w:color w:val="auto"/>
        </w:rPr>
      </w:pPr>
    </w:p>
    <w:p>
      <w:pPr>
        <w:ind w:firstLine="509"/>
        <w:spacing w:after="0" w:line="263" w:lineRule="auto"/>
        <w:rPr>
          <w:sz w:val="20"/>
          <w:szCs w:val="20"/>
          <w:color w:val="auto"/>
        </w:rPr>
      </w:pPr>
      <w:r>
        <w:rPr>
          <w:rFonts w:ascii="Arial" w:cs="Arial" w:eastAsia="Arial" w:hAnsi="Arial"/>
          <w:sz w:val="12"/>
          <w:szCs w:val="12"/>
          <w:color w:val="auto"/>
        </w:rPr>
        <w:t>An overall decline in economic activity could adversely impact our business and financial results. Economic uncertainty or inflationary pressures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40"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i w:val="1"/>
          <w:iCs w:val="1"/>
          <w:color w:val="232F84"/>
        </w:rPr>
        <w:t>The ongoing COVID-19 pandemic, restrictions intended to prevent its spread and resulting worldwide economic conditions could adversely impact our business, financial condition and results of operations.</w:t>
      </w:r>
    </w:p>
    <w:p>
      <w:pPr>
        <w:spacing w:after="0" w:line="139"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The ongoing COVID-19 pandemic, and restrictions intended to prevent its spread, have had a significant adverse impact on economic conditions around the world, including the United States and the geographic markets in which we operate or sell our products. The impact of the COVID-19 pandemic continues to evolve. Continued economic deterioration in the markets in which our products are sold, including unemployment, reductions in disposable income, declining consumer confidence, and perception of our products as non-essential, could result in future declines in the demand for our products. Going forward, the extent to which COVID-19 may impact our business will depend on future developments, which are highly uncertain and cannot be predicted with confidence, such as the emergence of variants, the ultimate geographic spread of the disease, the duration of the outbreak, travel restrictions, mask and vaccine mandates, and social distancing in the United States and other countries, business closures or business disruptions and the effectiveness of actions taken in the United States and other countries to contain and treat the disease.</w:t>
      </w:r>
    </w:p>
    <w:p>
      <w:pPr>
        <w:spacing w:after="0" w:line="147" w:lineRule="exact"/>
        <w:rPr>
          <w:sz w:val="20"/>
          <w:szCs w:val="20"/>
          <w:color w:val="auto"/>
        </w:rPr>
      </w:pPr>
    </w:p>
    <w:p>
      <w:pPr>
        <w:ind w:right="280" w:firstLine="509"/>
        <w:spacing w:after="0" w:line="267" w:lineRule="auto"/>
        <w:rPr>
          <w:sz w:val="20"/>
          <w:szCs w:val="20"/>
          <w:color w:val="auto"/>
        </w:rPr>
      </w:pPr>
      <w:r>
        <w:rPr>
          <w:rFonts w:ascii="Arial" w:cs="Arial" w:eastAsia="Arial" w:hAnsi="Arial"/>
          <w:sz w:val="12"/>
          <w:szCs w:val="12"/>
          <w:color w:val="auto"/>
        </w:rPr>
        <w:t>Should the coronavirus pandemic continue, our business operations could be further delayed or interrupted. For instance, if we experience a COVID-19 outbreak at our headquarters in Oxnard, California, the domestic or international farms from which we source fruit or our shipping and packing facilities, we may experience a decrease in labor availability from our employees. Government-imposed travel restrictions could also affect our supply and distribution chain. The spread of COVID-19 throughout the world has also created global economic uncertainty, which may cause potential customers and avocado consumers to closely monitor their costs and reduce their spending budget. Any of the foregoing could materially adversely affect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2F84"/>
        </w:rPr>
        <w:t>Inflationary pressures and increases in costs of commodities or other products we use in our business, such as fuel, packing, and paper, could adversely affect our operating results.</w:t>
      </w:r>
    </w:p>
    <w:p>
      <w:pPr>
        <w:spacing w:after="0" w:line="184" w:lineRule="exact"/>
        <w:rPr>
          <w:sz w:val="20"/>
          <w:szCs w:val="20"/>
          <w:color w:val="auto"/>
        </w:rPr>
      </w:pPr>
    </w:p>
    <w:p>
      <w:pPr>
        <w:jc w:val="both"/>
        <w:ind w:right="120" w:firstLine="509"/>
        <w:spacing w:after="0" w:line="241" w:lineRule="auto"/>
        <w:rPr>
          <w:sz w:val="20"/>
          <w:szCs w:val="20"/>
          <w:color w:val="auto"/>
        </w:rPr>
      </w:pPr>
      <w:r>
        <w:rPr>
          <w:rFonts w:ascii="Arial" w:cs="Arial" w:eastAsia="Arial" w:hAnsi="Arial"/>
          <w:sz w:val="13"/>
          <w:szCs w:val="13"/>
          <w:color w:val="auto"/>
        </w:rPr>
        <w:t>The price of various products that we use in shipping or distributing avocados can significantly affect our costs. Fuel and transportation costs are a significant cost component and make up a meaningful portion of the price of much of the fruit that we purchase from growers, and such costs have recently been increasing. There can be no assurance that we will be able to, or to what extent we can, pass on to our customers the increased costs we incur in these respects.</w:t>
      </w:r>
    </w:p>
    <w:p>
      <w:pPr>
        <w:spacing w:after="0" w:line="154" w:lineRule="exact"/>
        <w:rPr>
          <w:sz w:val="20"/>
          <w:szCs w:val="20"/>
          <w:color w:val="auto"/>
        </w:rPr>
      </w:pPr>
    </w:p>
    <w:p>
      <w:pPr>
        <w:ind w:right="340" w:firstLine="509"/>
        <w:spacing w:after="0" w:line="244" w:lineRule="auto"/>
        <w:rPr>
          <w:sz w:val="20"/>
          <w:szCs w:val="20"/>
          <w:color w:val="auto"/>
        </w:rPr>
      </w:pPr>
      <w:r>
        <w:rPr>
          <w:rFonts w:ascii="Arial" w:cs="Arial" w:eastAsia="Arial" w:hAnsi="Arial"/>
          <w:sz w:val="13"/>
          <w:szCs w:val="13"/>
          <w:color w:val="auto"/>
        </w:rPr>
        <w:t>The cost of paper is also significant to us because most of our products are packed in cardboard boxes. If the price of paper increases and we are not able to effectively pass these price increases along to our customers, then our operating income will decrease.</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6"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i w:val="1"/>
          <w:iCs w:val="1"/>
          <w:color w:val="232F84"/>
        </w:rPr>
        <w:t>Food safety events, including instances of food-borne illness involving avocados, could create negative publicity for our customers and adversely affect sales and operating results.</w:t>
      </w:r>
    </w:p>
    <w:p>
      <w:pPr>
        <w:spacing w:after="0" w:line="172"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Food safety is a top priority, and we dedicate substantial resources to ensure that our customers enjoy safe, quality products. However, food safety events, including instances of food-borne illness, have occurred with avocados in the past, and could occur in the future. Food safety events at customers, whether or not they involve avocados, could adversely affect sales to those customers. In addition, customers who purchase our avocados for their food products could experience negative publicity, or experience a significant increase in food costs if there are food safety events. If such customers experience a decline in sales as a result of such food safety event, our results of operations would be adversely affected.</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b w:val="1"/>
          <w:bCs w:val="1"/>
          <w:i w:val="1"/>
          <w:iCs w:val="1"/>
          <w:color w:val="232F84"/>
        </w:rPr>
        <w:t>A recall of our products could have a material adverse effect on our business. In addition, we may be subject to significant liability claims should the consumption of any of our products cause injury, illness or death.</w:t>
      </w:r>
    </w:p>
    <w:p>
      <w:pPr>
        <w:spacing w:after="0" w:line="128" w:lineRule="exact"/>
        <w:rPr>
          <w:sz w:val="20"/>
          <w:szCs w:val="20"/>
          <w:color w:val="auto"/>
        </w:rPr>
      </w:pPr>
    </w:p>
    <w:p>
      <w:pPr>
        <w:ind w:firstLine="509"/>
        <w:spacing w:after="0" w:line="264" w:lineRule="auto"/>
        <w:rPr>
          <w:sz w:val="20"/>
          <w:szCs w:val="20"/>
          <w:color w:val="auto"/>
        </w:rPr>
      </w:pPr>
      <w:r>
        <w:rPr>
          <w:rFonts w:ascii="Arial" w:cs="Arial" w:eastAsia="Arial" w:hAnsi="Arial"/>
          <w:sz w:val="12"/>
          <w:szCs w:val="12"/>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39"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b w:val="1"/>
          <w:bCs w:val="1"/>
          <w:i w:val="1"/>
          <w:iCs w:val="1"/>
          <w:color w:val="232F84"/>
        </w:rPr>
        <w:t>We are subject to possible changing United States Department of Agriculture and Food and Drug Administration regulations that govern the importation of foreign avocados into the United States.</w:t>
      </w:r>
    </w:p>
    <w:p>
      <w:pPr>
        <w:spacing w:after="0" w:line="139" w:lineRule="exact"/>
        <w:rPr>
          <w:sz w:val="20"/>
          <w:szCs w:val="20"/>
          <w:color w:val="auto"/>
        </w:rPr>
      </w:pPr>
    </w:p>
    <w:p>
      <w:pPr>
        <w:jc w:val="both"/>
        <w:ind w:right="320" w:firstLine="509"/>
        <w:spacing w:after="0" w:line="241" w:lineRule="auto"/>
        <w:rPr>
          <w:sz w:val="20"/>
          <w:szCs w:val="20"/>
          <w:color w:val="auto"/>
        </w:rPr>
      </w:pPr>
      <w:r>
        <w:rPr>
          <w:rFonts w:ascii="Arial" w:cs="Arial" w:eastAsia="Arial" w:hAnsi="Arial"/>
          <w:sz w:val="13"/>
          <w:szCs w:val="13"/>
          <w:color w:val="auto"/>
        </w:rPr>
        <w:t>The USDA has established, and continues to modify, regulations governing the importation of avocados into the United States, and also limits the countries from which avocados may be imported.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5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3"/>
          <w:szCs w:val="13"/>
          <w:color w:val="auto"/>
        </w:rPr>
        <w:t>The FDA establishes, and continues to modify, regulations governing the distribution of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Changes to U.S. trade policy, tariff and import/export regulations may adversely affect our operating results.</w:t>
      </w:r>
    </w:p>
    <w:p>
      <w:pPr>
        <w:spacing w:after="0" w:line="162"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presidential administration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spacing w:after="0" w:line="155"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As a result of policy changes and government proposals of the U.S. presidential administration,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w:t>
      </w:r>
    </w:p>
    <w:p>
      <w:pPr>
        <w:spacing w:after="0" w:line="152"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b w:val="1"/>
          <w:bCs w:val="1"/>
          <w:i w:val="1"/>
          <w:iCs w:val="1"/>
          <w:color w:val="232F84"/>
        </w:rPr>
        <w:t>We are subject to health and safety laws, which may restrict our operations, result in operational delays or increase our operating costs and adversely affect our financial results of operations.</w:t>
      </w:r>
    </w:p>
    <w:p>
      <w:pPr>
        <w:spacing w:after="0" w:line="139" w:lineRule="exact"/>
        <w:rPr>
          <w:sz w:val="20"/>
          <w:szCs w:val="20"/>
          <w:color w:val="auto"/>
        </w:rPr>
      </w:pPr>
    </w:p>
    <w:p>
      <w:pPr>
        <w:ind w:right="20" w:firstLine="509"/>
        <w:spacing w:after="0"/>
        <w:rPr>
          <w:sz w:val="20"/>
          <w:szCs w:val="20"/>
          <w:color w:val="auto"/>
        </w:rPr>
      </w:pPr>
      <w:r>
        <w:rPr>
          <w:rFonts w:ascii="Arial" w:cs="Arial" w:eastAsia="Arial" w:hAnsi="Arial"/>
          <w:sz w:val="13"/>
          <w:szCs w:val="13"/>
          <w:color w:val="auto"/>
        </w:rPr>
        <w:t>We are required to comply with health and safety laws and regulations in the United States, and in other countries where we do business and/or conduct our operations, including Peru and Mexico, and are subject to periodic inspections by the relevant governmental authorities. These laws and regulations govern, among others, health and safety work place conditions, including high risk labor and the handling, storage and disposal of chemical and other hazardous substances. Compliance with these laws and regulations and new or existing regulations that may be applicable to us in the future could increase our operating costs and adversely affect our financial results of operations and cash flows.</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b w:val="1"/>
          <w:bCs w:val="1"/>
          <w:i w:val="1"/>
          <w:iCs w:val="1"/>
          <w:color w:val="232F84"/>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128"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We are subject to a variety of federal, state, local and foreign laws and regulations relating to environmental matters. In particular, our business depends on the use of herbicides, fertilizers, pesticides and other agricultural products and the use and disposal of these products in some jurisdictions are subject to regulation by various agencies. These laws and regulations may require that only certified or professional users apply the product or that certain products only be used in certain types of locations. These laws and regulations may also require users to post notices on properties at which products have been or will be applied, notification to individuals in the vicinity that products will be applied in the future, or labeling of certain products or may restrict or ban the use of certain products. We can give no assurance that we can prevent violations of these or</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6" w:right="359" w:bottom="1440" w:gutter="0" w:footer="0" w:header="0"/>
        </w:sectPr>
      </w:pPr>
    </w:p>
    <w:bookmarkStart w:id="10" w:name="page11"/>
    <w:bookmarkEnd w:id="10"/>
    <w:p>
      <w:pPr>
        <w:ind w:right="20"/>
        <w:spacing w:after="0" w:line="239" w:lineRule="auto"/>
        <w:rPr>
          <w:sz w:val="20"/>
          <w:szCs w:val="20"/>
          <w:color w:val="auto"/>
        </w:rPr>
      </w:pPr>
      <w:r>
        <w:rPr>
          <w:rFonts w:ascii="Arial" w:cs="Arial" w:eastAsia="Arial" w:hAnsi="Arial"/>
          <w:sz w:val="13"/>
          <w:szCs w:val="13"/>
          <w:color w:val="auto"/>
        </w:rPr>
        <w:t>other laws and regulations from occurring. If we fail to comply with these laws and regulations, we could be subject to, among other things, substantial penalties or fines, partial or complete cessation of our operations or a ban on the sale of part or all of our products in a jurisdiction. Even if we are able to comply with all such laws and regulations and obtain all necessary registrations and licenses, we cannot assure you that the herbicides, fertilizers, pesticides or other products we apply, or the manner in which we apply them, will not be alleged to cause injury to the environment, people or animals, or that such products will not be restricted or banned in certain circumstances. A decision by a regulatory agency to significantly restrict the use of or ban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U.S. Environmental Protection Agency, or EPA, undertakes a series of regulatory actions relating to the evaluation and use of pesticides in the food industry. Similarly, in the EU, Regulation (EC) No. 1107/2009, which became effective on June 14, 2011, fundamentally changed the pesticide approval process from the current risk base to hazard criteria based on the intrinsic properties of the substance. Actions regarding the availability and use of herbicides, fertilizers, pesticides and other agricultural products, the costs of compliance, consequences of non-compliance, remediation costs and liabilities, unfavorable public perceptions of such products or products liability lawsuits could have a material adverse effect on our business, results of operations, financial position, cash flows and reputation.</w:t>
      </w:r>
    </w:p>
    <w:p>
      <w:pPr>
        <w:spacing w:after="0" w:line="145"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There has been a broad range of proposed and promulgated state, national, local and international regulation aimed at reducing the effects of climate change. Such regulations apply or could apply in countries where we conduct operations or have interests or could conduct operations or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while it is not possible to accurately estimate either a timetable for implementation or our future compliance costs relating to implementation, such regulation could have a material effect on our business, results of operations, financial position or capital expenditures.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The acquisition of other businesses could pose risks to our financial condition and results.</w:t>
      </w:r>
    </w:p>
    <w:p>
      <w:pPr>
        <w:spacing w:after="0" w:line="17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3"/>
          <w:szCs w:val="13"/>
          <w:color w:val="auto"/>
        </w:rPr>
        <w:t>We intend to review acquisition and investment prospects that would complement our business.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assumption of liabilities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We may also not be able to achieve an attractive return on our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We depend on our infrastructure to have sufficient capacity to handle our business needs.</w:t>
      </w:r>
    </w:p>
    <w:p>
      <w:pPr>
        <w:spacing w:after="0" w:line="172" w:lineRule="exact"/>
        <w:rPr>
          <w:sz w:val="20"/>
          <w:szCs w:val="20"/>
          <w:color w:val="auto"/>
        </w:rPr>
      </w:pPr>
    </w:p>
    <w:p>
      <w:pPr>
        <w:jc w:val="both"/>
        <w:ind w:right="20" w:firstLine="509"/>
        <w:spacing w:after="0" w:line="241" w:lineRule="auto"/>
        <w:rPr>
          <w:sz w:val="20"/>
          <w:szCs w:val="20"/>
          <w:color w:val="auto"/>
        </w:rPr>
      </w:pPr>
      <w:r>
        <w:rPr>
          <w:rFonts w:ascii="Arial" w:cs="Arial" w:eastAsia="Arial" w:hAnsi="Arial"/>
          <w:sz w:val="13"/>
          <w:szCs w:val="13"/>
          <w:color w:val="auto"/>
        </w:rPr>
        <w:t>We have an infrastructure that supports our production and distribution, but if we lose machinery or facilities due to natural disasters, mechanical failures, or other reasons, we may not be able to operate at a sufficient capacity to meet our needs. We will also continue to make investments in existing and new facilities to meet our needs. Any inability to have sufficient facilities, or loss or failure of facilities, could have a material adverse effect on our business, which could impact our results of operations and our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Failure to optimize our supply chain or disruption of our supply chain could have an adverse effect on our business, financial condition and results of operations.</w:t>
      </w:r>
    </w:p>
    <w:p>
      <w:pPr>
        <w:spacing w:after="0" w:line="162"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Our ability to make, move and sell products in coordination with our suppliers is critical to our success. Our inability to maintain sufficient internal production capacity or our inability to enter into co-packing arrangements on terms that are beneficial to the Company could have an adverse effect on our business. Failure to adequately handle increasing production costs and complexity, turnover of personnel, or production capability and efficiency issues could materially impact our ability to cost effectively produce our products and meet customer demand.</w:t>
      </w:r>
    </w:p>
    <w:p>
      <w:pPr>
        <w:spacing w:after="0" w:line="154" w:lineRule="exact"/>
        <w:rPr>
          <w:sz w:val="20"/>
          <w:szCs w:val="20"/>
          <w:color w:val="auto"/>
        </w:rPr>
      </w:pPr>
    </w:p>
    <w:p>
      <w:pPr>
        <w:ind w:right="20" w:firstLine="509"/>
        <w:spacing w:after="0"/>
        <w:rPr>
          <w:sz w:val="20"/>
          <w:szCs w:val="20"/>
          <w:color w:val="auto"/>
        </w:rPr>
      </w:pPr>
      <w:r>
        <w:rPr>
          <w:rFonts w:ascii="Arial" w:cs="Arial" w:eastAsia="Arial" w:hAnsi="Arial"/>
          <w:sz w:val="13"/>
          <w:szCs w:val="13"/>
          <w:color w:val="auto"/>
        </w:rPr>
        <w:t>Additionally, damage or disruption to our collective production or distribution capabilities resulting from weather, any potential effects of climate change, natural disaster, disease, crop spoilage, fire or explosion, terrorism, pandemics, strikes, repairs or enhancements at our facilities, or other reasons, could impair our ability to produce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52"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b w:val="1"/>
          <w:bCs w:val="1"/>
          <w:i w:val="1"/>
          <w:iCs w:val="1"/>
          <w:color w:val="232F84"/>
        </w:rPr>
        <w:t>Our ability to serve our customers is a function of reliable and cost-effective transportation. Disruption of the supply of these services and/or significant increases in the cost of these services could impact our operating income.</w:t>
      </w:r>
    </w:p>
    <w:p>
      <w:pPr>
        <w:spacing w:after="0" w:line="139"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We use multiple forms of transportation to bring our products to market. They include sea, truck and air-cargo. Transportation costs include ship and truck operating expenses, using chartered refrigerated ships and trucks and container equipment related costs. Disruption to the timely supply of these services or dramatic increases in the cost of these services for any reason including availability of fuel or labor for such services, labor disputes, governmental regulation, or governmental restrictions limiting specific forms of transportation could have an adverse effect on our ability to serve our customers and consumers and could have an adverse effect on our financial performance.</w:t>
      </w:r>
    </w:p>
    <w:p>
      <w:pPr>
        <w:spacing w:after="0" w:line="145" w:lineRule="exact"/>
        <w:rPr>
          <w:sz w:val="20"/>
          <w:szCs w:val="20"/>
          <w:color w:val="auto"/>
        </w:rPr>
      </w:pPr>
    </w:p>
    <w:p>
      <w:pPr>
        <w:ind w:right="260" w:firstLine="509"/>
        <w:spacing w:after="0" w:line="241" w:lineRule="auto"/>
        <w:rPr>
          <w:sz w:val="20"/>
          <w:szCs w:val="20"/>
          <w:color w:val="auto"/>
        </w:rPr>
      </w:pPr>
      <w:r>
        <w:rPr>
          <w:rFonts w:ascii="Arial" w:cs="Arial" w:eastAsia="Arial" w:hAnsi="Arial"/>
          <w:sz w:val="13"/>
          <w:szCs w:val="13"/>
          <w:color w:val="auto"/>
        </w:rPr>
        <w:t>In particular, as a result of increased shipping demand as economies and markets reopen and recover from the COVID-19 pandemic, the Company has experienced increases in transportation costs, decreases in the availability of shipping, and other global supply chain complexities, including labor shortages. Such complexities have and could continue to result in delays in customer shipments which may negatively impact our</w:t>
      </w: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1" w:name="page12"/>
    <w:bookmarkEnd w:id="11"/>
    <w:p>
      <w:pPr>
        <w:jc w:val="both"/>
        <w:ind w:right="180"/>
        <w:spacing w:after="0" w:line="241" w:lineRule="auto"/>
        <w:rPr>
          <w:sz w:val="20"/>
          <w:szCs w:val="20"/>
          <w:color w:val="auto"/>
        </w:rPr>
      </w:pPr>
      <w:r>
        <w:rPr>
          <w:rFonts w:ascii="Arial" w:cs="Arial" w:eastAsia="Arial" w:hAnsi="Arial"/>
          <w:sz w:val="13"/>
          <w:szCs w:val="13"/>
          <w:color w:val="auto"/>
        </w:rPr>
        <w:t>ability to recover costs, retain or attract customers, and/or sell our product effectively. It is possible that significant disruptions could occur and continue to put pressure on transportation and shipping infrastructure which could in turn cause continued increases in costs that we are unable to recover fully. The duration and magnitude of the increased transportation costs cannot be predicted at this time and there can be no assurances that such costs and/or shipping disruptions will not continue to increase.</w:t>
      </w:r>
    </w:p>
    <w:p>
      <w:pPr>
        <w:spacing w:after="0" w:line="14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3"/>
          <w:szCs w:val="13"/>
          <w:color w:val="auto"/>
        </w:rPr>
        <w:t>To the extent that we experience increased costs, we may increase our prices, pass the increase along to customers, or otherwise take actions to offset the impacts. Further, competitive pressures and other factors may also limit our ability to quickly raise prices in response to increased costs. Accordingly, we may not be able to offset increased costs fully or at all, and there can be no assurances that increasing prices will fully mitigate the impact of these increases, which could adversely impact our results.</w:t>
      </w:r>
    </w:p>
    <w:p>
      <w:pPr>
        <w:spacing w:after="0" w:line="151"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b w:val="1"/>
          <w:bCs w:val="1"/>
          <w:i w:val="1"/>
          <w:iCs w:val="1"/>
          <w:color w:val="232F84"/>
        </w:rPr>
        <w:t>We depend on our key personnel and if we lose the services of any of these individuals, or fail to attract and retain additional key personnel, we may not be able to implement our business strategy or operate our business effectively.</w:t>
      </w:r>
    </w:p>
    <w:p>
      <w:pPr>
        <w:spacing w:after="0" w:line="139"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Our future success largely depends on the contributions of our management team, including Stephen Barnard, our CEO. We believe that these individuals’ expertise and knowledge about our industry and their respective fields and their relationships with other individuals in our industry are critical factors to our continued growth and success. We have had departures of members of senior management and other members of senior management could depart the Company . This could have a material adverse effect on our business and prospects. Our success also depends upon our ability to attract and retain additional qualified sales, marketing and other personnel.</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The operation of our facilities depends on adequate and affordable supply of labor and good labor relations with our employees.</w:t>
      </w:r>
    </w:p>
    <w:p>
      <w:pPr>
        <w:spacing w:after="0" w:line="172" w:lineRule="exact"/>
        <w:rPr>
          <w:sz w:val="20"/>
          <w:szCs w:val="20"/>
          <w:color w:val="auto"/>
        </w:rPr>
      </w:pPr>
    </w:p>
    <w:p>
      <w:pPr>
        <w:ind w:right="20" w:firstLine="509"/>
        <w:spacing w:after="0" w:line="244" w:lineRule="auto"/>
        <w:rPr>
          <w:sz w:val="20"/>
          <w:szCs w:val="20"/>
          <w:color w:val="auto"/>
        </w:rPr>
      </w:pPr>
      <w:r>
        <w:rPr>
          <w:rFonts w:ascii="Arial" w:cs="Arial" w:eastAsia="Arial" w:hAnsi="Arial"/>
          <w:sz w:val="13"/>
          <w:szCs w:val="13"/>
          <w:color w:val="auto"/>
        </w:rPr>
        <w:t>Our employees are essential to our operations and our ability to farm, package and/or deliver our products. If we are unable to attract and retain enough skilled personnel at a reasonable cost, our results may be negatively affected.</w:t>
      </w:r>
    </w:p>
    <w:p>
      <w:pPr>
        <w:spacing w:after="0" w:line="149"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b w:val="1"/>
          <w:bCs w:val="1"/>
          <w:i w:val="1"/>
          <w:iCs w:val="1"/>
          <w:color w:val="232F84"/>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Our internal computer systems and those of our current and any future partners, contractors and consultants are vulnerable to damage from cyber-attacks, computer viruses, unauthorized access, natural disasters, terrorism, war and telecommunication and electrical failures. System failures, accidents or security breaches can cause interruptions in our operations and can result in a material disruption of our business operations. Experienced computer programmers and hackers may be able to penetrate our information technology security and misappropriate or compromise our confidential information or that of third parties, create system disruptions or cause shutdowns, or develop and deploy viruses, worms, and other malicious software programs that attack our programs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production, distribution or other critical functions.</w:t>
      </w:r>
    </w:p>
    <w:p>
      <w:pPr>
        <w:spacing w:after="0" w:line="156"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Portions of our information technology infrastructure may also experience interruptions, delays or cessations of service or produce errors in connection with systems integration or migration work that takes place from time to time. We have experienced difficulties, and may not be successful in the future, with implementing new systems and transitioning data, which have and could cause business disruptions. These difficulties have resulted in and may result in increased costs, time consuming and resource-intensive remediation efforts to address issues, and disruption to the business. Such disruptions have and could adversely impact our ability to fulfill orders and interrupt other key business processes. Any delayed sales, lower profit or lost customers resulting from these disruptions could adversely affect our financial results, stock price and reputation.</w:t>
      </w:r>
    </w:p>
    <w:p>
      <w:pPr>
        <w:spacing w:after="0" w:line="154" w:lineRule="exact"/>
        <w:rPr>
          <w:sz w:val="20"/>
          <w:szCs w:val="20"/>
          <w:color w:val="auto"/>
        </w:rPr>
      </w:pPr>
    </w:p>
    <w:p>
      <w:pPr>
        <w:ind w:right="440"/>
        <w:spacing w:after="0" w:line="266" w:lineRule="auto"/>
        <w:rPr>
          <w:sz w:val="20"/>
          <w:szCs w:val="20"/>
          <w:color w:val="auto"/>
        </w:rPr>
      </w:pPr>
      <w:r>
        <w:rPr>
          <w:rFonts w:ascii="Arial" w:cs="Arial" w:eastAsia="Arial" w:hAnsi="Arial"/>
          <w:sz w:val="13"/>
          <w:szCs w:val="13"/>
          <w:b w:val="1"/>
          <w:bCs w:val="1"/>
          <w:i w:val="1"/>
          <w:iCs w:val="1"/>
          <w:color w:val="232F84"/>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139"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In the ordinary course of business, we collect, store, process and transmit confidential business information and certain personal information relating to customers, employees and suppliers. 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Ongoing efforts to comply with evolving laws and regulations may be costly and require ongoing modifications to our policies, procedures and systems.</w:t>
      </w:r>
    </w:p>
    <w:p>
      <w:pPr>
        <w:spacing w:after="0" w:line="146"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Data privacy remains an evolving landscape at both the domestic and international level, with new regulations coming into effect. For example, in June 2018 the State of California enacted the California Consumer Privacy Act of 2018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In addition, in the European Economic Area, or EEA, and the United Kingdom we are subject to the General Data Protection Regulation, or GDPR, which went into effect in May 2018 and which imposes stringent data privacy and security requirements on companies in relation to the</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2" w:name="page13"/>
    <w:bookmarkEnd w:id="12"/>
    <w:p>
      <w:pPr>
        <w:ind w:right="140"/>
        <w:spacing w:after="0" w:line="239" w:lineRule="auto"/>
        <w:rPr>
          <w:sz w:val="20"/>
          <w:szCs w:val="20"/>
          <w:color w:val="auto"/>
        </w:rPr>
      </w:pPr>
      <w:r>
        <w:rPr>
          <w:rFonts w:ascii="Arial" w:cs="Arial" w:eastAsia="Arial" w:hAnsi="Arial"/>
          <w:sz w:val="13"/>
          <w:szCs w:val="13"/>
          <w:color w:val="auto"/>
        </w:rPr>
        <w:t>processing of personal data.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147" w:lineRule="exact"/>
        <w:rPr>
          <w:sz w:val="20"/>
          <w:szCs w:val="20"/>
          <w:color w:val="auto"/>
        </w:rPr>
      </w:pPr>
    </w:p>
    <w:p>
      <w:pPr>
        <w:ind w:right="260" w:firstLine="509"/>
        <w:spacing w:after="0" w:line="239" w:lineRule="auto"/>
        <w:rPr>
          <w:sz w:val="20"/>
          <w:szCs w:val="20"/>
          <w:color w:val="auto"/>
        </w:rPr>
      </w:pPr>
      <w:r>
        <w:rPr>
          <w:rFonts w:ascii="Arial" w:cs="Arial" w:eastAsia="Arial" w:hAnsi="Arial"/>
          <w:sz w:val="13"/>
          <w:szCs w:val="13"/>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Adverse results in material litigation or governmental inquiries and actions could have an adverse financial impact and an adverse impact on our business and financial condition.</w:t>
      </w:r>
    </w:p>
    <w:p>
      <w:pPr>
        <w:spacing w:after="0" w:line="172" w:lineRule="exact"/>
        <w:rPr>
          <w:sz w:val="20"/>
          <w:szCs w:val="20"/>
          <w:color w:val="auto"/>
        </w:rPr>
      </w:pPr>
    </w:p>
    <w:p>
      <w:pPr>
        <w:ind w:right="160" w:firstLine="509"/>
        <w:spacing w:after="0"/>
        <w:rPr>
          <w:sz w:val="20"/>
          <w:szCs w:val="20"/>
          <w:color w:val="auto"/>
        </w:rPr>
      </w:pPr>
      <w:r>
        <w:rPr>
          <w:rFonts w:ascii="Arial" w:cs="Arial" w:eastAsia="Arial" w:hAnsi="Arial"/>
          <w:sz w:val="13"/>
          <w:szCs w:val="13"/>
          <w:color w:val="auto"/>
        </w:rPr>
        <w:t>We are involved in various legal proceedings arising in the ordinary course of business including, among other things, disputes related to employee matters such as our pending class action lawsuits, disputes with respect to vendors or business partners and clients, as well as inquiries or investigations from governmental agencies. Some proceedings against us involve claims that are substantial in amount and could divert management's attention from operations. These proceedings also may result in substantial monetary damages. Further, the legal actions and government investigations could damage our reputation with investors and adversely affect the trading prices of our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Our business depends on a strong and trusted brand, and any failure to maintain, protect, and enhance our brand would have an adverse impact on our business.</w:t>
      </w:r>
    </w:p>
    <w:p>
      <w:pPr>
        <w:spacing w:after="0" w:line="172"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Consumer and institutional recognition of the Mission Produce trademark and related brands and the association of these brands with our sourcing, production and distribution of fresh avocados, and mangos are an integral part of our business. The occurrence of any events or rumors that cause consumers and/or institutions to no longer associate these brands with our products and services may materially adversely affect the value of our brand names and demand for our products and services.</w:t>
      </w:r>
    </w:p>
    <w:p>
      <w:pPr>
        <w:spacing w:after="0" w:line="14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3"/>
          <w:szCs w:val="13"/>
          <w:color w:val="auto"/>
        </w:rPr>
        <w:t>In addition, one registered trademark that we own has been opposed and the registered or unregistered trademarks or trade names that we own or may own in the future may be challenged, infringed, declared generic, or determined to be infringing on or dilutive of other marks. We may not be able to protect our rights in these trademarks and trade names, which we need in order to build name recognition with potential customers. Moreover, third parties have and others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technologies and products.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We could be subject to changes in tax rates, the adoption of new U.S. or international tax legislation or exposure to additional tax liabilities.</w:t>
      </w:r>
    </w:p>
    <w:p>
      <w:pPr>
        <w:spacing w:after="0" w:line="172"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We are subject to taxes in the U.S., Mexico, Peru and other countries.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 On December 30, 2020, Peru enacted tax law repealing current tax law which provided benefits to agribusiness entities. The new law will subject us to higher Peruvian corporate income tax rates than our current rate of 15% as follows: 20% for calendar years 2023 to 2024, 25% for calendar years 2025 to 2027, and 29.5% thereafter.</w:t>
      </w:r>
    </w:p>
    <w:p>
      <w:pPr>
        <w:spacing w:after="0" w:line="155" w:lineRule="exact"/>
        <w:rPr>
          <w:sz w:val="20"/>
          <w:szCs w:val="20"/>
          <w:color w:val="auto"/>
        </w:rPr>
      </w:pPr>
    </w:p>
    <w:p>
      <w:pPr>
        <w:ind w:right="80" w:firstLine="509"/>
        <w:spacing w:after="0"/>
        <w:rPr>
          <w:sz w:val="20"/>
          <w:szCs w:val="20"/>
          <w:color w:val="auto"/>
        </w:rPr>
      </w:pPr>
      <w:r>
        <w:rPr>
          <w:rFonts w:ascii="Arial" w:cs="Arial" w:eastAsia="Arial" w:hAnsi="Arial"/>
          <w:sz w:val="13"/>
          <w:szCs w:val="13"/>
          <w:color w:val="auto"/>
        </w:rPr>
        <w:t>We are also subject to the examination of our tax returns and other tax matters by the U.S. Internal Revenue Service (“IRS”), the Servicio de Administracion Tributaria in Mexico (“SAT”), the Superintendencia Nacional de Administración Tributaria in Peru (“SUNAT”) and other tax authorities. We regularly assess the likelihood of an adverse outcome resulting from these examinations to determine the adequacy of its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Risks Related to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An active, liquid and orderly market for our common stock may not be maintained.</w:t>
      </w:r>
    </w:p>
    <w:p>
      <w:pPr>
        <w:spacing w:after="0" w:line="162" w:lineRule="exact"/>
        <w:rPr>
          <w:sz w:val="20"/>
          <w:szCs w:val="20"/>
          <w:color w:val="auto"/>
        </w:rPr>
      </w:pPr>
    </w:p>
    <w:p>
      <w:pPr>
        <w:ind w:right="60" w:firstLine="509"/>
        <w:spacing w:after="0" w:line="244" w:lineRule="auto"/>
        <w:rPr>
          <w:sz w:val="20"/>
          <w:szCs w:val="20"/>
          <w:color w:val="auto"/>
        </w:rPr>
      </w:pPr>
      <w:r>
        <w:rPr>
          <w:rFonts w:ascii="Arial" w:cs="Arial" w:eastAsia="Arial" w:hAnsi="Arial"/>
          <w:sz w:val="13"/>
          <w:szCs w:val="13"/>
          <w:color w:val="auto"/>
        </w:rPr>
        <w:t>Prior to our IPO in October 2020, there had been no public market for our common stock. Our common stock began trading on Nasdaq in October 2020, but we can provide no assurance that we will be able to maintain an active trading market for our common stock. Even if an active</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3" w:name="page14"/>
    <w:bookmarkEnd w:id="13"/>
    <w:p>
      <w:pPr>
        <w:ind w:right="40"/>
        <w:spacing w:after="0" w:line="241" w:lineRule="auto"/>
        <w:rPr>
          <w:sz w:val="20"/>
          <w:szCs w:val="20"/>
          <w:color w:val="auto"/>
        </w:rPr>
      </w:pPr>
      <w:r>
        <w:rPr>
          <w:rFonts w:ascii="Arial" w:cs="Arial" w:eastAsia="Arial" w:hAnsi="Arial"/>
          <w:sz w:val="13"/>
          <w:szCs w:val="13"/>
          <w:color w:val="auto"/>
        </w:rPr>
        <w:t>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We may fail to comply with Nasdaq listing standards which could cause our stock to be delisted.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The trading price of the shares of our common stock has been, and is likely to continue to be, highly volatile, and purchasers of our common stock could incur substantial losses.</w:t>
      </w:r>
    </w:p>
    <w:p>
      <w:pPr>
        <w:spacing w:after="0" w:line="16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3"/>
          <w:szCs w:val="13"/>
          <w:color w:val="auto"/>
        </w:rPr>
        <w:t>Our stock price has been and is likely to continue to be volatile. The stock market has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w:t>
      </w:r>
    </w:p>
    <w:p>
      <w:pPr>
        <w:spacing w:after="0" w:line="151"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232F84"/>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139"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Our executive officers, directors and greater than 5% stockholders, in the aggregate, own approximately 43% of our outstanding common stock as of October 31, 2021.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Because we may not pay any cash dividends on our capital stock in the foreseeable future, capital appreciation, if any, may be your sole source of gain.</w:t>
      </w:r>
    </w:p>
    <w:p>
      <w:pPr>
        <w:spacing w:after="0" w:line="172" w:lineRule="exact"/>
        <w:rPr>
          <w:sz w:val="20"/>
          <w:szCs w:val="20"/>
          <w:color w:val="auto"/>
        </w:rPr>
      </w:pPr>
    </w:p>
    <w:p>
      <w:pPr>
        <w:ind w:right="240" w:firstLine="509"/>
        <w:spacing w:after="0"/>
        <w:rPr>
          <w:sz w:val="20"/>
          <w:szCs w:val="20"/>
          <w:color w:val="auto"/>
        </w:rPr>
      </w:pPr>
      <w:r>
        <w:rPr>
          <w:rFonts w:ascii="Arial" w:cs="Arial" w:eastAsia="Arial" w:hAnsi="Arial"/>
          <w:sz w:val="13"/>
          <w:szCs w:val="13"/>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Any return to stockholders will therefore be limited to the appreciation of their stock. Shares of our common stock may not appreciate in value or even maintain the price at which stockholders have purchased their shares.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We incur significant costs as a result of operating as a public company, and our management will be required to devote substantial time to new compliance initiatives.</w:t>
      </w:r>
    </w:p>
    <w:p>
      <w:pPr>
        <w:spacing w:after="0" w:line="162" w:lineRule="exact"/>
        <w:rPr>
          <w:sz w:val="20"/>
          <w:szCs w:val="20"/>
          <w:color w:val="auto"/>
        </w:rPr>
      </w:pPr>
    </w:p>
    <w:p>
      <w:pPr>
        <w:ind w:right="40" w:firstLine="509"/>
        <w:spacing w:after="0" w:line="262" w:lineRule="auto"/>
        <w:rPr>
          <w:sz w:val="20"/>
          <w:szCs w:val="20"/>
          <w:color w:val="auto"/>
        </w:rPr>
      </w:pPr>
      <w:r>
        <w:rPr>
          <w:rFonts w:ascii="Arial" w:cs="Arial" w:eastAsia="Arial" w:hAnsi="Arial"/>
          <w:sz w:val="12"/>
          <w:szCs w:val="12"/>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Stockholder activism, the current political environment and the current high level of government intervention and regulatory reform may lead to substantial new regulations and disclosure obligations, including with respect to environmental, social and governance (“ESG”) matters, which may lead to additional compliance costs and impact the manner in which we operate our business in ways we cannot currently anticipate.</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We expect the rules and regulations applicable to public companies to substantially increase our legal and financial compliance costs and to make some activities more time consuming.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these rules and regulations have made it more difficult and more expensive for us to obtain director and officer liability insurance, requiring us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If securities or industry analysts do not publish research or reports or publish unfavorable research or reports about our business, our stock price and trading volume could decline.</w:t>
      </w:r>
    </w:p>
    <w:p>
      <w:pPr>
        <w:spacing w:after="0" w:line="172"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w:t>
      </w: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14" w:name="page15"/>
    <w:bookmarkEnd w:id="14"/>
    <w:p>
      <w:pPr>
        <w:ind w:right="60"/>
        <w:spacing w:after="0" w:line="244" w:lineRule="auto"/>
        <w:rPr>
          <w:sz w:val="20"/>
          <w:szCs w:val="20"/>
          <w:color w:val="auto"/>
        </w:rPr>
      </w:pPr>
      <w:r>
        <w:rPr>
          <w:rFonts w:ascii="Arial" w:cs="Arial" w:eastAsia="Arial" w:hAnsi="Arial"/>
          <w:sz w:val="13"/>
          <w:szCs w:val="13"/>
          <w:color w:val="auto"/>
        </w:rPr>
        <w:t>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49"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b w:val="1"/>
          <w:bCs w:val="1"/>
          <w:i w:val="1"/>
          <w:iCs w:val="1"/>
          <w:color w:val="232F84"/>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28"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Pursuant to Section 404 of Sarbanes-Oxley, our management is required to report upon the effectiveness of our internal control over financial reporting beginning with the annual report for our fiscal year ending October 31, 2021.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additional financial and management controls, reporting systems and procedures; and hired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7"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There could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Provisions in our charter documents and under Delaware law could discourage a takeover that stockholders may consider favorable and may lead to entrenchment of management.</w:t>
      </w:r>
    </w:p>
    <w:p>
      <w:pPr>
        <w:spacing w:after="0" w:line="172"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04" w:lineRule="exact"/>
        <w:rPr>
          <w:sz w:val="20"/>
          <w:szCs w:val="20"/>
          <w:color w:val="auto"/>
        </w:rPr>
      </w:pPr>
    </w:p>
    <w:p>
      <w:pPr>
        <w:ind w:left="520" w:right="380" w:hanging="260"/>
        <w:spacing w:after="0" w:line="244"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09" w:lineRule="exact"/>
        <w:rPr>
          <w:rFonts w:ascii="Arial" w:cs="Arial" w:eastAsia="Arial" w:hAnsi="Arial"/>
          <w:sz w:val="13"/>
          <w:szCs w:val="13"/>
          <w:color w:val="auto"/>
        </w:rPr>
      </w:pPr>
    </w:p>
    <w:p>
      <w:pPr>
        <w:ind w:left="520" w:hanging="260"/>
        <w:spacing w:after="0" w:line="244"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109"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stockholders may not act by written consent, which forces stockholder action to be taken at an annual or special meeting of our stockholders;</w:t>
      </w:r>
    </w:p>
    <w:p>
      <w:pPr>
        <w:spacing w:after="0" w:line="105" w:lineRule="exact"/>
        <w:rPr>
          <w:rFonts w:ascii="Arial" w:cs="Arial" w:eastAsia="Arial" w:hAnsi="Arial"/>
          <w:sz w:val="13"/>
          <w:szCs w:val="13"/>
          <w:color w:val="auto"/>
        </w:rPr>
      </w:pPr>
    </w:p>
    <w:p>
      <w:pPr>
        <w:ind w:left="520" w:right="40" w:hanging="260"/>
        <w:spacing w:after="0" w:line="244"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a special meeting of stockholders may be called only by the chairperson of our Board of Directors, our chief executive officer, president or our Board of Directors, which may delay the ability of our stockholders to force consideration of a proposal or to take action, including the removal of directors;</w:t>
      </w:r>
    </w:p>
    <w:p>
      <w:pPr>
        <w:spacing w:after="0" w:line="109"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amended and restated certificate of incorporation prohibits cumulative voting in the election of directors, which limits the ability of minority stockholders to elect director candidates;</w:t>
      </w:r>
    </w:p>
    <w:p>
      <w:pPr>
        <w:spacing w:after="0" w:line="115"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Board of Directors may alter provisions of our bylaws without obtaining stockholder approval;</w:t>
      </w:r>
    </w:p>
    <w:p>
      <w:pPr>
        <w:spacing w:after="0" w:line="105" w:lineRule="exact"/>
        <w:rPr>
          <w:rFonts w:ascii="Arial" w:cs="Arial" w:eastAsia="Arial" w:hAnsi="Arial"/>
          <w:sz w:val="13"/>
          <w:szCs w:val="13"/>
          <w:color w:val="auto"/>
        </w:rPr>
      </w:pPr>
    </w:p>
    <w:p>
      <w:pPr>
        <w:ind w:left="520" w:right="500" w:hanging="260"/>
        <w:spacing w:after="0" w:line="244"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09" w:lineRule="exact"/>
        <w:rPr>
          <w:rFonts w:ascii="Arial" w:cs="Arial" w:eastAsia="Arial" w:hAnsi="Arial"/>
          <w:sz w:val="13"/>
          <w:szCs w:val="13"/>
          <w:color w:val="auto"/>
        </w:rPr>
      </w:pPr>
    </w:p>
    <w:p>
      <w:pPr>
        <w:ind w:left="520" w:right="200" w:hanging="260"/>
        <w:spacing w:after="0" w:line="241"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11" w:lineRule="exact"/>
        <w:rPr>
          <w:rFonts w:ascii="Arial" w:cs="Arial" w:eastAsia="Arial" w:hAnsi="Arial"/>
          <w:sz w:val="13"/>
          <w:szCs w:val="13"/>
          <w:color w:val="auto"/>
        </w:rPr>
      </w:pPr>
    </w:p>
    <w:p>
      <w:pPr>
        <w:ind w:left="520" w:right="60" w:hanging="260"/>
        <w:spacing w:after="0" w:line="244" w:lineRule="auto"/>
        <w:tabs>
          <w:tab w:leader="none" w:pos="501"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2" w:lineRule="exact"/>
        <w:rPr>
          <w:sz w:val="20"/>
          <w:szCs w:val="20"/>
          <w:color w:val="auto"/>
        </w:rPr>
      </w:pPr>
    </w:p>
    <w:p>
      <w:pPr>
        <w:ind w:right="380" w:firstLine="509"/>
        <w:spacing w:after="0" w:line="244" w:lineRule="auto"/>
        <w:rPr>
          <w:sz w:val="20"/>
          <w:szCs w:val="20"/>
          <w:color w:val="auto"/>
        </w:rPr>
      </w:pPr>
      <w:r>
        <w:rPr>
          <w:rFonts w:ascii="Arial" w:cs="Arial" w:eastAsia="Arial" w:hAnsi="Arial"/>
          <w:sz w:val="13"/>
          <w:szCs w:val="13"/>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9" w:right="339" w:bottom="1440" w:gutter="0" w:footer="0" w:header="0"/>
        </w:sectPr>
      </w:pPr>
    </w:p>
    <w:bookmarkStart w:id="15" w:name="page16"/>
    <w:bookmarkEnd w:id="15"/>
    <w:p>
      <w:pPr>
        <w:ind w:right="300"/>
        <w:spacing w:after="0" w:line="244" w:lineRule="auto"/>
        <w:rPr>
          <w:sz w:val="20"/>
          <w:szCs w:val="20"/>
          <w:color w:val="auto"/>
        </w:rPr>
      </w:pPr>
      <w:r>
        <w:rPr>
          <w:rFonts w:ascii="Arial" w:cs="Arial" w:eastAsia="Arial" w:hAnsi="Arial"/>
          <w:sz w:val="13"/>
          <w:szCs w:val="13"/>
          <w:color w:val="auto"/>
        </w:rPr>
        <w:t>period of three years after the date of the transaction in which the person acquired in excess of 15% of our outstanding voting stock, unless the merger or combination is approved in a prescribed manner.</w:t>
      </w:r>
    </w:p>
    <w:p>
      <w:pPr>
        <w:spacing w:after="0" w:line="149"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b w:val="1"/>
          <w:bCs w:val="1"/>
          <w:i w:val="1"/>
          <w:iCs w:val="1"/>
          <w:color w:val="232F84"/>
        </w:rPr>
        <w:t>Our amended and restated certificate of incorporation provides that the Chancery Court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28" w:lineRule="exact"/>
        <w:rPr>
          <w:sz w:val="20"/>
          <w:szCs w:val="20"/>
          <w:color w:val="auto"/>
        </w:rPr>
      </w:pPr>
    </w:p>
    <w:p>
      <w:pPr>
        <w:ind w:firstLine="509"/>
        <w:spacing w:after="0" w:line="262" w:lineRule="auto"/>
        <w:rPr>
          <w:sz w:val="20"/>
          <w:szCs w:val="20"/>
          <w:color w:val="auto"/>
        </w:rPr>
      </w:pPr>
      <w:r>
        <w:rPr>
          <w:rFonts w:ascii="Arial" w:cs="Arial" w:eastAsia="Arial" w:hAnsi="Arial"/>
          <w:sz w:val="12"/>
          <w:szCs w:val="12"/>
          <w:color w:val="auto"/>
        </w:rPr>
        <w:t>Our amended and restated certificate of incorporation provides that, unless we consent in writing to the selection of an alternative form,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a fiduciary duty owed by any of our directors, officers or stockholders owed to us or our stockholders; (iii) any action, suit or proceeding asserting a claim against us arising pursuant to any provision of the Delaware General Corporation Law, our amended and restated certificate of incorporation or our bylaws (as either may be amended from time to time); or (iv) any action, suit or proceeding asserting a claim against us governed by the internal affairs doctrine.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w:t>
      </w:r>
    </w:p>
    <w:p>
      <w:pPr>
        <w:spacing w:after="0" w:line="144" w:lineRule="exact"/>
        <w:rPr>
          <w:sz w:val="20"/>
          <w:szCs w:val="20"/>
          <w:color w:val="auto"/>
        </w:rPr>
      </w:pPr>
    </w:p>
    <w:p>
      <w:pPr>
        <w:ind w:right="140" w:firstLine="509"/>
        <w:spacing w:after="0" w:line="239" w:lineRule="auto"/>
        <w:rPr>
          <w:sz w:val="20"/>
          <w:szCs w:val="20"/>
          <w:color w:val="auto"/>
        </w:rPr>
      </w:pPr>
      <w:r>
        <w:rPr>
          <w:rFonts w:ascii="Arial" w:cs="Arial" w:eastAsia="Arial" w:hAnsi="Arial"/>
          <w:sz w:val="13"/>
          <w:szCs w:val="13"/>
          <w:color w:val="auto"/>
        </w:rPr>
        <w:t>Notwithstanding the foregoing, the exclusive forum provision does not apply to suits brought to enforce any liability or duty created by the Exchange Act, the Securities Act or any claim for which the federal courts have exclusive jurisdiction. Our amended and restated certificate of incorporation provides that the federal district courts of the United States of America will be the exclusive forum for resolving any complaint asserting a cause of action arising under the Securities Act. If any such action is filed in a court other than a court located within the State of Delaware (a “foreign action”) in the name of any stockholder, such stockholder will be deemed to have consented to (a) the personal jurisdiction of the state and federal courts located within the State of Delaware in connection with any action brought in any such court to enforce such actions and (b) having service of process made upon such stockholder in any such action by service upon such stockholder’s counsel in the foreign action as agent for such stockholder.</w:t>
      </w:r>
    </w:p>
    <w:p>
      <w:pPr>
        <w:spacing w:after="0" w:line="157" w:lineRule="exact"/>
        <w:rPr>
          <w:sz w:val="20"/>
          <w:szCs w:val="20"/>
          <w:color w:val="auto"/>
        </w:rPr>
      </w:pPr>
    </w:p>
    <w:p>
      <w:pPr>
        <w:ind w:right="80" w:firstLine="509"/>
        <w:spacing w:after="0" w:line="241" w:lineRule="auto"/>
        <w:rPr>
          <w:sz w:val="20"/>
          <w:szCs w:val="20"/>
          <w:color w:val="auto"/>
        </w:rPr>
      </w:pPr>
      <w:r>
        <w:rPr>
          <w:rFonts w:ascii="Arial" w:cs="Arial" w:eastAsia="Arial" w:hAnsi="Arial"/>
          <w:sz w:val="13"/>
          <w:szCs w:val="13"/>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Risks Related to Our Indebtedness</w:t>
      </w:r>
    </w:p>
    <w:p>
      <w:pPr>
        <w:spacing w:after="0" w:line="17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b w:val="1"/>
          <w:bCs w:val="1"/>
          <w:i w:val="1"/>
          <w:iCs w:val="1"/>
          <w:color w:val="232F84"/>
        </w:rPr>
        <w:t>We are subject to a number of restrictive covenants under our credit facility, which could affect our flexibility to fund ongoing operations, uses of capital and strategic initiatives, and, if we are unable to maintain compliance with such covenants, it could lead to significant challenges in meeting our liquidity requirements and acceleration of our debt.</w:t>
      </w:r>
    </w:p>
    <w:p>
      <w:pPr>
        <w:spacing w:after="0" w:line="128"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The terms of our credit facility contain a number of restrictive covenants, including customary operating restrictions that limit our ability to engage in such activities as borrowing and making investments, capital expenditures and distributions on our capital stock, and engaging in mergers, acquisitions and asset sales. We are also subject to customary financial covenants, including a leverage ratio and a fixed coverage ratio. These covenants restrict the amount of our borrowings, reducing our flexibility to fund ongoing operations and strategic initiatives. These borrowing arrangements are described in more detail in “Liquidity and Capital Resources” under Part II, Item 7 and in Note 5 to the Consolidated Financial Statements under Part II, Item 8 of this Annual Report. Compliance with some of these covenants is based on financial measures derived from our operating results. If economic conditions deteriorate, we may experience material adverse impacts to our business and operating results, such as through reduced customer demand and inflation. A decline in our business could make us unable to maintain compliance with these financial covenants, in which case we may be restricted in how we manage our business and deploy capital, including by limiting our ability to make acquisitions and dispositions and pay dividends. In addition, if we are unable to maintain compliance with our financial covenants or otherwise breach the covenants that we are subject to under our credit facility, our lenders could demand immediate payment of amounts outstanding and we would need to seek alternate financing sources to pay off such debts and to fund our ongoing operations. Such financing may not be available on favorable terms, if at all. In addition, our term loans are secured by real property, personal property and the capital stock of our subsidiaries. If we cannot repay all amounts that we have borrowed under our term loans, our lenders could proceed against our assets.</w:t>
      </w:r>
    </w:p>
    <w:p>
      <w:pPr>
        <w:spacing w:after="0" w:line="248"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232F84"/>
        </w:rPr>
        <w:t>Item 1B.</w:t>
      </w:r>
      <w:r>
        <w:rPr>
          <w:sz w:val="20"/>
          <w:szCs w:val="20"/>
          <w:color w:val="auto"/>
        </w:rPr>
        <w:tab/>
      </w:r>
      <w:r>
        <w:rPr>
          <w:rFonts w:ascii="Arial" w:cs="Arial" w:eastAsia="Arial" w:hAnsi="Arial"/>
          <w:sz w:val="19"/>
          <w:szCs w:val="19"/>
          <w:b w:val="1"/>
          <w:bCs w:val="1"/>
          <w:color w:val="232F84"/>
        </w:rPr>
        <w:t>Unresolved Staff Comments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09" w:right="3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61"/>
        </w:trPr>
        <w:tc>
          <w:tcPr>
            <w:tcW w:w="1000" w:type="dxa"/>
            <w:vAlign w:val="bottom"/>
          </w:tcPr>
          <w:p>
            <w:pPr>
              <w:spacing w:after="0"/>
              <w:rPr>
                <w:sz w:val="20"/>
                <w:szCs w:val="20"/>
                <w:color w:val="auto"/>
              </w:rPr>
            </w:pPr>
            <w:r>
              <w:rPr>
                <w:rFonts w:ascii="Arial" w:cs="Arial" w:eastAsia="Arial" w:hAnsi="Arial"/>
                <w:sz w:val="20"/>
                <w:szCs w:val="20"/>
                <w:b w:val="1"/>
                <w:bCs w:val="1"/>
                <w:color w:val="232F84"/>
              </w:rPr>
              <w:t>Item 2.</w:t>
            </w:r>
          </w:p>
        </w:tc>
        <w:tc>
          <w:tcPr>
            <w:tcW w:w="1440" w:type="dxa"/>
            <w:vAlign w:val="bottom"/>
          </w:tcPr>
          <w:p>
            <w:pPr>
              <w:ind w:left="80"/>
              <w:spacing w:after="0"/>
              <w:rPr>
                <w:sz w:val="20"/>
                <w:szCs w:val="20"/>
                <w:color w:val="auto"/>
              </w:rPr>
            </w:pPr>
            <w:r>
              <w:rPr>
                <w:rFonts w:ascii="Arial" w:cs="Arial" w:eastAsia="Arial" w:hAnsi="Arial"/>
                <w:sz w:val="20"/>
                <w:szCs w:val="20"/>
                <w:b w:val="1"/>
                <w:bCs w:val="1"/>
                <w:color w:val="232F84"/>
              </w:rPr>
              <w:t>Properties</w:t>
            </w:r>
          </w:p>
        </w:tc>
        <w:tc>
          <w:tcPr>
            <w:tcW w:w="24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320"/>
        </w:trPr>
        <w:tc>
          <w:tcPr>
            <w:tcW w:w="7660" w:type="dxa"/>
            <w:vAlign w:val="bottom"/>
            <w:gridSpan w:val="4"/>
          </w:tcPr>
          <w:p>
            <w:pPr>
              <w:ind w:left="520"/>
              <w:spacing w:after="0"/>
              <w:rPr>
                <w:sz w:val="20"/>
                <w:szCs w:val="20"/>
                <w:color w:val="auto"/>
              </w:rPr>
            </w:pPr>
            <w:r>
              <w:rPr>
                <w:rFonts w:ascii="Arial" w:cs="Arial" w:eastAsia="Arial" w:hAnsi="Arial"/>
                <w:sz w:val="13"/>
                <w:szCs w:val="13"/>
                <w:color w:val="auto"/>
              </w:rPr>
              <w:t>Our principal operating, distribution and packing facilities as of October 31, 2021 were as follows:</w:t>
            </w:r>
          </w:p>
        </w:tc>
        <w:tc>
          <w:tcPr>
            <w:tcW w:w="3620" w:type="dxa"/>
            <w:vAlign w:val="bottom"/>
          </w:tcPr>
          <w:p>
            <w:pPr>
              <w:spacing w:after="0"/>
              <w:rPr>
                <w:sz w:val="24"/>
                <w:szCs w:val="24"/>
                <w:color w:val="auto"/>
              </w:rPr>
            </w:pPr>
          </w:p>
        </w:tc>
      </w:tr>
      <w:tr>
        <w:trPr>
          <w:trHeight w:val="206"/>
        </w:trPr>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170"/>
        </w:trPr>
        <w:tc>
          <w:tcPr>
            <w:tcW w:w="10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Location</w:t>
            </w:r>
          </w:p>
        </w:tc>
        <w:tc>
          <w:tcPr>
            <w:tcW w:w="1440" w:type="dxa"/>
            <w:vAlign w:val="bottom"/>
            <w:shd w:val="clear" w:color="auto" w:fill="232F84"/>
          </w:tcPr>
          <w:p>
            <w:pPr>
              <w:spacing w:after="0"/>
              <w:rPr>
                <w:sz w:val="14"/>
                <w:szCs w:val="14"/>
                <w:color w:val="auto"/>
              </w:rPr>
            </w:pPr>
          </w:p>
        </w:tc>
        <w:tc>
          <w:tcPr>
            <w:tcW w:w="2400" w:type="dxa"/>
            <w:vAlign w:val="bottom"/>
            <w:shd w:val="clear" w:color="auto" w:fill="232F84"/>
          </w:tcPr>
          <w:p>
            <w:pPr>
              <w:ind w:left="400"/>
              <w:spacing w:after="0"/>
              <w:rPr>
                <w:sz w:val="20"/>
                <w:szCs w:val="20"/>
                <w:color w:val="auto"/>
              </w:rPr>
            </w:pPr>
            <w:r>
              <w:rPr>
                <w:rFonts w:ascii="Arial" w:cs="Arial" w:eastAsia="Arial" w:hAnsi="Arial"/>
                <w:sz w:val="11"/>
                <w:szCs w:val="11"/>
                <w:b w:val="1"/>
                <w:bCs w:val="1"/>
                <w:color w:val="FFFFFF"/>
              </w:rPr>
              <w:t>Type</w:t>
            </w:r>
          </w:p>
        </w:tc>
        <w:tc>
          <w:tcPr>
            <w:tcW w:w="2820" w:type="dxa"/>
            <w:vAlign w:val="bottom"/>
            <w:shd w:val="clear" w:color="auto" w:fill="232F84"/>
          </w:tcPr>
          <w:p>
            <w:pPr>
              <w:ind w:left="820"/>
              <w:spacing w:after="0"/>
              <w:rPr>
                <w:sz w:val="20"/>
                <w:szCs w:val="20"/>
                <w:color w:val="auto"/>
              </w:rPr>
            </w:pPr>
            <w:r>
              <w:rPr>
                <w:rFonts w:ascii="Arial" w:cs="Arial" w:eastAsia="Arial" w:hAnsi="Arial"/>
                <w:sz w:val="11"/>
                <w:szCs w:val="11"/>
                <w:b w:val="1"/>
                <w:bCs w:val="1"/>
                <w:color w:val="FFFFFF"/>
              </w:rPr>
              <w:t>Reportable Segment</w:t>
            </w:r>
          </w:p>
        </w:tc>
        <w:tc>
          <w:tcPr>
            <w:tcW w:w="3620" w:type="dxa"/>
            <w:vAlign w:val="bottom"/>
            <w:shd w:val="clear" w:color="auto" w:fill="232F84"/>
          </w:tcPr>
          <w:p>
            <w:pPr>
              <w:ind w:left="820"/>
              <w:spacing w:after="0"/>
              <w:rPr>
                <w:sz w:val="20"/>
                <w:szCs w:val="20"/>
                <w:color w:val="auto"/>
              </w:rPr>
            </w:pPr>
            <w:r>
              <w:rPr>
                <w:rFonts w:ascii="Arial" w:cs="Arial" w:eastAsia="Arial" w:hAnsi="Arial"/>
                <w:sz w:val="11"/>
                <w:szCs w:val="11"/>
                <w:b w:val="1"/>
                <w:bCs w:val="1"/>
                <w:color w:val="FFFFFF"/>
              </w:rPr>
              <w:t>Owned or Leased</w:t>
            </w:r>
          </w:p>
        </w:tc>
      </w:tr>
      <w:tr>
        <w:trPr>
          <w:trHeight w:val="170"/>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North America:</w:t>
            </w:r>
          </w:p>
        </w:tc>
        <w:tc>
          <w:tcPr>
            <w:tcW w:w="1440" w:type="dxa"/>
            <w:vAlign w:val="bottom"/>
            <w:shd w:val="clear" w:color="auto" w:fill="43C0B9"/>
          </w:tcPr>
          <w:p>
            <w:pPr>
              <w:spacing w:after="0"/>
              <w:rPr>
                <w:sz w:val="14"/>
                <w:szCs w:val="14"/>
                <w:color w:val="auto"/>
              </w:rPr>
            </w:pPr>
          </w:p>
        </w:tc>
        <w:tc>
          <w:tcPr>
            <w:tcW w:w="2400" w:type="dxa"/>
            <w:vAlign w:val="bottom"/>
            <w:shd w:val="clear" w:color="auto" w:fill="43C0B9"/>
          </w:tcPr>
          <w:p>
            <w:pPr>
              <w:spacing w:after="0"/>
              <w:rPr>
                <w:sz w:val="14"/>
                <w:szCs w:val="14"/>
                <w:color w:val="auto"/>
              </w:rPr>
            </w:pPr>
          </w:p>
        </w:tc>
        <w:tc>
          <w:tcPr>
            <w:tcW w:w="2820" w:type="dxa"/>
            <w:vAlign w:val="bottom"/>
            <w:shd w:val="clear" w:color="auto" w:fill="43C0B9"/>
          </w:tcPr>
          <w:p>
            <w:pPr>
              <w:spacing w:after="0"/>
              <w:rPr>
                <w:sz w:val="14"/>
                <w:szCs w:val="14"/>
                <w:color w:val="auto"/>
              </w:rPr>
            </w:pPr>
          </w:p>
        </w:tc>
        <w:tc>
          <w:tcPr>
            <w:tcW w:w="3620" w:type="dxa"/>
            <w:vAlign w:val="bottom"/>
            <w:shd w:val="clear" w:color="auto" w:fill="43C0B9"/>
          </w:tcPr>
          <w:p>
            <w:pPr>
              <w:spacing w:after="0"/>
              <w:rPr>
                <w:sz w:val="14"/>
                <w:szCs w:val="14"/>
                <w:color w:val="auto"/>
              </w:rPr>
            </w:pP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Laredo, Texas</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Owned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color w:val="auto"/>
              </w:rPr>
              <w:t>Oxnard, California</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Distribution, packing</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Owned</w:t>
            </w:r>
          </w:p>
        </w:tc>
      </w:tr>
      <w:tr>
        <w:trPr>
          <w:trHeight w:val="166"/>
        </w:trPr>
        <w:tc>
          <w:tcPr>
            <w:tcW w:w="2440" w:type="dxa"/>
            <w:vAlign w:val="bottom"/>
            <w:gridSpan w:val="2"/>
          </w:tcPr>
          <w:p>
            <w:pPr>
              <w:ind w:left="20"/>
              <w:spacing w:after="0"/>
              <w:rPr>
                <w:sz w:val="20"/>
                <w:szCs w:val="20"/>
                <w:color w:val="auto"/>
              </w:rPr>
            </w:pPr>
            <w:r>
              <w:rPr>
                <w:rFonts w:ascii="Arial" w:cs="Arial" w:eastAsia="Arial" w:hAnsi="Arial"/>
                <w:sz w:val="11"/>
                <w:szCs w:val="11"/>
                <w:color w:val="auto"/>
              </w:rPr>
              <w:t>Swedesboro, New Jersey</w:t>
            </w: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color w:val="auto"/>
              </w:rPr>
              <w:t>Portland, Oregon</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Leased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Atlanta, Georgia</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color w:val="auto"/>
              </w:rPr>
              <w:t>Denver, Colorado</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Leased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Chicago, Illinois</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2440" w:type="dxa"/>
            <w:vAlign w:val="bottom"/>
            <w:gridSpan w:val="2"/>
            <w:shd w:val="clear" w:color="auto" w:fill="43C0B9"/>
          </w:tcPr>
          <w:p>
            <w:pPr>
              <w:ind w:left="20"/>
              <w:spacing w:after="0"/>
              <w:rPr>
                <w:sz w:val="20"/>
                <w:szCs w:val="20"/>
                <w:color w:val="auto"/>
              </w:rPr>
            </w:pPr>
            <w:r>
              <w:rPr>
                <w:rFonts w:ascii="Arial" w:cs="Arial" w:eastAsia="Arial" w:hAnsi="Arial"/>
                <w:sz w:val="11"/>
                <w:szCs w:val="11"/>
                <w:color w:val="auto"/>
              </w:rPr>
              <w:t>Calgary, Alberta, Canada</w:t>
            </w: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Leased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Dallas, Texas</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2440" w:type="dxa"/>
            <w:vAlign w:val="bottom"/>
            <w:gridSpan w:val="2"/>
            <w:shd w:val="clear" w:color="auto" w:fill="43C0B9"/>
          </w:tcPr>
          <w:p>
            <w:pPr>
              <w:ind w:left="20"/>
              <w:spacing w:after="0"/>
              <w:rPr>
                <w:sz w:val="20"/>
                <w:szCs w:val="20"/>
                <w:color w:val="auto"/>
              </w:rPr>
            </w:pPr>
            <w:r>
              <w:rPr>
                <w:rFonts w:ascii="Arial" w:cs="Arial" w:eastAsia="Arial" w:hAnsi="Arial"/>
                <w:sz w:val="11"/>
                <w:szCs w:val="11"/>
                <w:color w:val="auto"/>
              </w:rPr>
              <w:t>Toronto, Ontario, Canada</w:t>
            </w: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Leased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Oxnard, California</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Corporate headquarters</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Other:</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spacing w:after="0"/>
              <w:rPr>
                <w:sz w:val="15"/>
                <w:szCs w:val="15"/>
                <w:color w:val="auto"/>
              </w:rPr>
            </w:pPr>
          </w:p>
        </w:tc>
        <w:tc>
          <w:tcPr>
            <w:tcW w:w="2820" w:type="dxa"/>
            <w:vAlign w:val="bottom"/>
            <w:shd w:val="clear" w:color="auto" w:fill="43C0B9"/>
          </w:tcPr>
          <w:p>
            <w:pPr>
              <w:spacing w:after="0"/>
              <w:rPr>
                <w:sz w:val="15"/>
                <w:szCs w:val="15"/>
                <w:color w:val="auto"/>
              </w:rPr>
            </w:pPr>
          </w:p>
        </w:tc>
        <w:tc>
          <w:tcPr>
            <w:tcW w:w="3620" w:type="dxa"/>
            <w:vAlign w:val="bottom"/>
            <w:shd w:val="clear" w:color="auto" w:fill="43C0B9"/>
          </w:tcPr>
          <w:p>
            <w:pPr>
              <w:spacing w:after="0"/>
              <w:rPr>
                <w:sz w:val="15"/>
                <w:szCs w:val="15"/>
                <w:color w:val="auto"/>
              </w:rPr>
            </w:pPr>
          </w:p>
        </w:tc>
      </w:tr>
      <w:tr>
        <w:trPr>
          <w:trHeight w:val="166"/>
        </w:trPr>
        <w:tc>
          <w:tcPr>
            <w:tcW w:w="2440" w:type="dxa"/>
            <w:vAlign w:val="bottom"/>
            <w:gridSpan w:val="2"/>
          </w:tcPr>
          <w:p>
            <w:pPr>
              <w:ind w:left="20"/>
              <w:spacing w:after="0"/>
              <w:rPr>
                <w:sz w:val="20"/>
                <w:szCs w:val="20"/>
                <w:color w:val="auto"/>
              </w:rPr>
            </w:pPr>
            <w:r>
              <w:rPr>
                <w:rFonts w:ascii="Arial" w:cs="Arial" w:eastAsia="Arial" w:hAnsi="Arial"/>
                <w:sz w:val="11"/>
                <w:szCs w:val="11"/>
                <w:color w:val="auto"/>
              </w:rPr>
              <w:t>Breda, the Netherlands</w:t>
            </w:r>
          </w:p>
        </w:tc>
        <w:tc>
          <w:tcPr>
            <w:tcW w:w="2400" w:type="dxa"/>
            <w:vAlign w:val="bottom"/>
          </w:tcPr>
          <w:p>
            <w:pPr>
              <w:ind w:left="400"/>
              <w:spacing w:after="0"/>
              <w:rPr>
                <w:sz w:val="20"/>
                <w:szCs w:val="20"/>
                <w:color w:val="auto"/>
              </w:rPr>
            </w:pPr>
            <w:r>
              <w:rPr>
                <w:rFonts w:ascii="Arial" w:cs="Arial" w:eastAsia="Arial" w:hAnsi="Arial"/>
                <w:sz w:val="11"/>
                <w:szCs w:val="11"/>
                <w:color w:val="auto"/>
              </w:rPr>
              <w:t>Distribution</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color w:val="auto"/>
              </w:rPr>
              <w:t>Virú, Peru</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Packing</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International Farming</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Owned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Uruapan, Mexico</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Packing</w:t>
            </w:r>
          </w:p>
        </w:tc>
        <w:tc>
          <w:tcPr>
            <w:tcW w:w="2820" w:type="dxa"/>
            <w:vAlign w:val="bottom"/>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tcPr>
          <w:p>
            <w:pPr>
              <w:ind w:left="820"/>
              <w:spacing w:after="0"/>
              <w:rPr>
                <w:sz w:val="20"/>
                <w:szCs w:val="20"/>
                <w:color w:val="auto"/>
              </w:rPr>
            </w:pPr>
            <w:r>
              <w:rPr>
                <w:rFonts w:ascii="Arial" w:cs="Arial" w:eastAsia="Arial" w:hAnsi="Arial"/>
                <w:sz w:val="11"/>
                <w:szCs w:val="11"/>
                <w:color w:val="auto"/>
              </w:rPr>
              <w:t>Owned</w:t>
            </w:r>
          </w:p>
        </w:tc>
      </w:tr>
      <w:tr>
        <w:trPr>
          <w:trHeight w:val="174"/>
        </w:trPr>
        <w:tc>
          <w:tcPr>
            <w:tcW w:w="1000" w:type="dxa"/>
            <w:vAlign w:val="bottom"/>
            <w:shd w:val="clear" w:color="auto" w:fill="43C0B9"/>
          </w:tcPr>
          <w:p>
            <w:pPr>
              <w:ind w:left="20"/>
              <w:spacing w:after="0"/>
              <w:rPr>
                <w:sz w:val="20"/>
                <w:szCs w:val="20"/>
                <w:color w:val="auto"/>
              </w:rPr>
            </w:pPr>
            <w:r>
              <w:rPr>
                <w:rFonts w:ascii="Arial" w:cs="Arial" w:eastAsia="Arial" w:hAnsi="Arial"/>
                <w:sz w:val="11"/>
                <w:szCs w:val="11"/>
                <w:color w:val="auto"/>
              </w:rPr>
              <w:t>Zamora, Mexico</w:t>
            </w:r>
          </w:p>
        </w:tc>
        <w:tc>
          <w:tcPr>
            <w:tcW w:w="1440" w:type="dxa"/>
            <w:vAlign w:val="bottom"/>
            <w:shd w:val="clear" w:color="auto" w:fill="43C0B9"/>
          </w:tcPr>
          <w:p>
            <w:pPr>
              <w:spacing w:after="0"/>
              <w:rPr>
                <w:sz w:val="15"/>
                <w:szCs w:val="15"/>
                <w:color w:val="auto"/>
              </w:rPr>
            </w:pPr>
          </w:p>
        </w:tc>
        <w:tc>
          <w:tcPr>
            <w:tcW w:w="2400" w:type="dxa"/>
            <w:vAlign w:val="bottom"/>
            <w:shd w:val="clear" w:color="auto" w:fill="43C0B9"/>
          </w:tcPr>
          <w:p>
            <w:pPr>
              <w:ind w:left="400"/>
              <w:spacing w:after="0"/>
              <w:rPr>
                <w:sz w:val="20"/>
                <w:szCs w:val="20"/>
                <w:color w:val="auto"/>
              </w:rPr>
            </w:pPr>
            <w:r>
              <w:rPr>
                <w:rFonts w:ascii="Arial" w:cs="Arial" w:eastAsia="Arial" w:hAnsi="Arial"/>
                <w:sz w:val="11"/>
                <w:szCs w:val="11"/>
                <w:color w:val="auto"/>
              </w:rPr>
              <w:t>Packing</w:t>
            </w:r>
          </w:p>
        </w:tc>
        <w:tc>
          <w:tcPr>
            <w:tcW w:w="28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Marketing &amp; Distribution</w:t>
            </w:r>
          </w:p>
        </w:tc>
        <w:tc>
          <w:tcPr>
            <w:tcW w:w="3620" w:type="dxa"/>
            <w:vAlign w:val="bottom"/>
            <w:shd w:val="clear" w:color="auto" w:fill="43C0B9"/>
          </w:tcPr>
          <w:p>
            <w:pPr>
              <w:ind w:left="820"/>
              <w:spacing w:after="0"/>
              <w:rPr>
                <w:sz w:val="20"/>
                <w:szCs w:val="20"/>
                <w:color w:val="auto"/>
              </w:rPr>
            </w:pPr>
            <w:r>
              <w:rPr>
                <w:rFonts w:ascii="Arial" w:cs="Arial" w:eastAsia="Arial" w:hAnsi="Arial"/>
                <w:sz w:val="11"/>
                <w:szCs w:val="11"/>
                <w:color w:val="auto"/>
              </w:rPr>
              <w:t>Owned</w:t>
            </w:r>
          </w:p>
        </w:tc>
      </w:tr>
      <w:tr>
        <w:trPr>
          <w:trHeight w:val="166"/>
        </w:trPr>
        <w:tc>
          <w:tcPr>
            <w:tcW w:w="1000" w:type="dxa"/>
            <w:vAlign w:val="bottom"/>
          </w:tcPr>
          <w:p>
            <w:pPr>
              <w:ind w:left="20"/>
              <w:spacing w:after="0"/>
              <w:rPr>
                <w:sz w:val="20"/>
                <w:szCs w:val="20"/>
                <w:color w:val="auto"/>
              </w:rPr>
            </w:pPr>
            <w:r>
              <w:rPr>
                <w:rFonts w:ascii="Arial" w:cs="Arial" w:eastAsia="Arial" w:hAnsi="Arial"/>
                <w:sz w:val="11"/>
                <w:szCs w:val="11"/>
                <w:color w:val="auto"/>
              </w:rPr>
              <w:t>Trujillo, Peru</w:t>
            </w:r>
          </w:p>
        </w:tc>
        <w:tc>
          <w:tcPr>
            <w:tcW w:w="1440" w:type="dxa"/>
            <w:vAlign w:val="bottom"/>
          </w:tcPr>
          <w:p>
            <w:pPr>
              <w:spacing w:after="0"/>
              <w:rPr>
                <w:sz w:val="14"/>
                <w:szCs w:val="14"/>
                <w:color w:val="auto"/>
              </w:rPr>
            </w:pPr>
          </w:p>
        </w:tc>
        <w:tc>
          <w:tcPr>
            <w:tcW w:w="2400" w:type="dxa"/>
            <w:vAlign w:val="bottom"/>
          </w:tcPr>
          <w:p>
            <w:pPr>
              <w:ind w:left="400"/>
              <w:spacing w:after="0"/>
              <w:rPr>
                <w:sz w:val="20"/>
                <w:szCs w:val="20"/>
                <w:color w:val="auto"/>
              </w:rPr>
            </w:pPr>
            <w:r>
              <w:rPr>
                <w:rFonts w:ascii="Arial" w:cs="Arial" w:eastAsia="Arial" w:hAnsi="Arial"/>
                <w:sz w:val="11"/>
                <w:szCs w:val="11"/>
                <w:color w:val="auto"/>
              </w:rPr>
              <w:t>Administrative</w:t>
            </w:r>
          </w:p>
        </w:tc>
        <w:tc>
          <w:tcPr>
            <w:tcW w:w="2820" w:type="dxa"/>
            <w:vAlign w:val="bottom"/>
          </w:tcPr>
          <w:p>
            <w:pPr>
              <w:ind w:left="820"/>
              <w:spacing w:after="0"/>
              <w:rPr>
                <w:sz w:val="20"/>
                <w:szCs w:val="20"/>
                <w:color w:val="auto"/>
              </w:rPr>
            </w:pPr>
            <w:r>
              <w:rPr>
                <w:rFonts w:ascii="Arial" w:cs="Arial" w:eastAsia="Arial" w:hAnsi="Arial"/>
                <w:sz w:val="11"/>
                <w:szCs w:val="11"/>
                <w:color w:val="auto"/>
              </w:rPr>
              <w:t>International Farming</w:t>
            </w:r>
          </w:p>
        </w:tc>
        <w:tc>
          <w:tcPr>
            <w:tcW w:w="3620" w:type="dxa"/>
            <w:vAlign w:val="bottom"/>
          </w:tcPr>
          <w:p>
            <w:pPr>
              <w:ind w:left="820"/>
              <w:spacing w:after="0"/>
              <w:rPr>
                <w:sz w:val="20"/>
                <w:szCs w:val="20"/>
                <w:color w:val="auto"/>
              </w:rPr>
            </w:pPr>
            <w:r>
              <w:rPr>
                <w:rFonts w:ascii="Arial" w:cs="Arial" w:eastAsia="Arial" w:hAnsi="Arial"/>
                <w:sz w:val="11"/>
                <w:szCs w:val="11"/>
                <w:color w:val="auto"/>
              </w:rPr>
              <w:t>Leased</w:t>
            </w:r>
          </w:p>
        </w:tc>
      </w:tr>
      <w:tr>
        <w:trPr>
          <w:trHeight w:val="170"/>
        </w:trPr>
        <w:tc>
          <w:tcPr>
            <w:tcW w:w="10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Lima, Peru</w:t>
            </w:r>
          </w:p>
        </w:tc>
        <w:tc>
          <w:tcPr>
            <w:tcW w:w="1440" w:type="dxa"/>
            <w:vAlign w:val="bottom"/>
            <w:tcBorders>
              <w:bottom w:val="single" w:sz="8" w:color="auto"/>
            </w:tcBorders>
            <w:shd w:val="clear" w:color="auto" w:fill="43C0B9"/>
          </w:tcPr>
          <w:p>
            <w:pPr>
              <w:spacing w:after="0"/>
              <w:rPr>
                <w:sz w:val="14"/>
                <w:szCs w:val="14"/>
                <w:color w:val="auto"/>
              </w:rPr>
            </w:pPr>
          </w:p>
        </w:tc>
        <w:tc>
          <w:tcPr>
            <w:tcW w:w="2400" w:type="dxa"/>
            <w:vAlign w:val="bottom"/>
            <w:tcBorders>
              <w:bottom w:val="single" w:sz="8" w:color="auto"/>
            </w:tcBorders>
            <w:shd w:val="clear" w:color="auto" w:fill="43C0B9"/>
          </w:tcPr>
          <w:p>
            <w:pPr>
              <w:ind w:left="400"/>
              <w:spacing w:after="0"/>
              <w:rPr>
                <w:sz w:val="20"/>
                <w:szCs w:val="20"/>
                <w:color w:val="auto"/>
              </w:rPr>
            </w:pPr>
            <w:r>
              <w:rPr>
                <w:rFonts w:ascii="Arial" w:cs="Arial" w:eastAsia="Arial" w:hAnsi="Arial"/>
                <w:sz w:val="11"/>
                <w:szCs w:val="11"/>
                <w:color w:val="auto"/>
              </w:rPr>
              <w:t>Administrative, sales</w:t>
            </w:r>
          </w:p>
        </w:tc>
        <w:tc>
          <w:tcPr>
            <w:tcW w:w="2820" w:type="dxa"/>
            <w:vAlign w:val="bottom"/>
            <w:tcBorders>
              <w:bottom w:val="single" w:sz="8" w:color="auto"/>
            </w:tcBorders>
            <w:shd w:val="clear" w:color="auto" w:fill="43C0B9"/>
          </w:tcPr>
          <w:p>
            <w:pPr>
              <w:ind w:left="820"/>
              <w:spacing w:after="0"/>
              <w:rPr>
                <w:sz w:val="20"/>
                <w:szCs w:val="20"/>
                <w:color w:val="auto"/>
              </w:rPr>
            </w:pPr>
            <w:r>
              <w:rPr>
                <w:rFonts w:ascii="Arial" w:cs="Arial" w:eastAsia="Arial" w:hAnsi="Arial"/>
                <w:sz w:val="11"/>
                <w:szCs w:val="11"/>
                <w:color w:val="auto"/>
              </w:rPr>
              <w:t>International Farming</w:t>
            </w:r>
          </w:p>
        </w:tc>
        <w:tc>
          <w:tcPr>
            <w:tcW w:w="3620" w:type="dxa"/>
            <w:vAlign w:val="bottom"/>
            <w:tcBorders>
              <w:bottom w:val="single" w:sz="8" w:color="auto"/>
            </w:tcBorders>
            <w:shd w:val="clear" w:color="auto" w:fill="43C0B9"/>
          </w:tcPr>
          <w:p>
            <w:pPr>
              <w:ind w:left="820"/>
              <w:spacing w:after="0"/>
              <w:rPr>
                <w:sz w:val="20"/>
                <w:szCs w:val="20"/>
                <w:color w:val="auto"/>
              </w:rPr>
            </w:pPr>
            <w:r>
              <w:rPr>
                <w:rFonts w:ascii="Arial" w:cs="Arial" w:eastAsia="Arial" w:hAnsi="Arial"/>
                <w:sz w:val="11"/>
                <w:szCs w:val="11"/>
                <w:color w:val="auto"/>
              </w:rPr>
              <w:t>Leased</w:t>
            </w: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own/lease approximately 12,000 acres of land under our farming operations. Our principal farming properties as of October 31, 2021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Location</w:t>
            </w:r>
          </w:p>
        </w:tc>
        <w:tc>
          <w:tcPr>
            <w:tcW w:w="2340" w:type="dxa"/>
            <w:vAlign w:val="bottom"/>
            <w:shd w:val="clear" w:color="auto" w:fill="232F84"/>
          </w:tcPr>
          <w:p>
            <w:pPr>
              <w:ind w:left="820"/>
              <w:spacing w:after="0"/>
              <w:rPr>
                <w:sz w:val="20"/>
                <w:szCs w:val="20"/>
                <w:color w:val="auto"/>
              </w:rPr>
            </w:pPr>
            <w:r>
              <w:rPr>
                <w:rFonts w:ascii="Arial" w:cs="Arial" w:eastAsia="Arial" w:hAnsi="Arial"/>
                <w:sz w:val="11"/>
                <w:szCs w:val="11"/>
                <w:b w:val="1"/>
                <w:bCs w:val="1"/>
                <w:color w:val="FFFFFF"/>
              </w:rPr>
              <w:t>Type</w:t>
            </w:r>
          </w:p>
        </w:tc>
        <w:tc>
          <w:tcPr>
            <w:tcW w:w="3260" w:type="dxa"/>
            <w:vAlign w:val="bottom"/>
            <w:shd w:val="clear" w:color="auto" w:fill="232F84"/>
          </w:tcPr>
          <w:p>
            <w:pPr>
              <w:ind w:left="1300"/>
              <w:spacing w:after="0"/>
              <w:rPr>
                <w:sz w:val="20"/>
                <w:szCs w:val="20"/>
                <w:color w:val="auto"/>
              </w:rPr>
            </w:pPr>
            <w:r>
              <w:rPr>
                <w:rFonts w:ascii="Arial" w:cs="Arial" w:eastAsia="Arial" w:hAnsi="Arial"/>
                <w:sz w:val="11"/>
                <w:szCs w:val="11"/>
                <w:b w:val="1"/>
                <w:bCs w:val="1"/>
                <w:color w:val="FFFFFF"/>
              </w:rPr>
              <w:t>Reportable Segment</w:t>
            </w:r>
          </w:p>
        </w:tc>
        <w:tc>
          <w:tcPr>
            <w:tcW w:w="3660" w:type="dxa"/>
            <w:vAlign w:val="bottom"/>
            <w:shd w:val="clear" w:color="auto" w:fill="232F84"/>
          </w:tcPr>
          <w:p>
            <w:pPr>
              <w:ind w:left="860"/>
              <w:spacing w:after="0"/>
              <w:rPr>
                <w:sz w:val="20"/>
                <w:szCs w:val="20"/>
                <w:color w:val="auto"/>
              </w:rPr>
            </w:pPr>
            <w:r>
              <w:rPr>
                <w:rFonts w:ascii="Arial" w:cs="Arial" w:eastAsia="Arial" w:hAnsi="Arial"/>
                <w:sz w:val="11"/>
                <w:szCs w:val="11"/>
                <w:b w:val="1"/>
                <w:bCs w:val="1"/>
                <w:color w:val="FFFFFF"/>
              </w:rPr>
              <w:t>Owned or Leased</w:t>
            </w:r>
          </w:p>
        </w:tc>
      </w:tr>
      <w:tr>
        <w:trPr>
          <w:trHeight w:val="170"/>
        </w:trPr>
        <w:tc>
          <w:tcPr>
            <w:tcW w:w="2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Olmos, Peru</w:t>
            </w:r>
          </w:p>
        </w:tc>
        <w:tc>
          <w:tcPr>
            <w:tcW w:w="2340" w:type="dxa"/>
            <w:vAlign w:val="bottom"/>
            <w:shd w:val="clear" w:color="auto" w:fill="43C0B9"/>
          </w:tcPr>
          <w:p>
            <w:pPr>
              <w:ind w:left="820"/>
              <w:spacing w:after="0"/>
              <w:rPr>
                <w:sz w:val="20"/>
                <w:szCs w:val="20"/>
                <w:color w:val="auto"/>
              </w:rPr>
            </w:pPr>
            <w:r>
              <w:rPr>
                <w:rFonts w:ascii="Arial" w:cs="Arial" w:eastAsia="Arial" w:hAnsi="Arial"/>
                <w:sz w:val="11"/>
                <w:szCs w:val="11"/>
                <w:color w:val="auto"/>
              </w:rPr>
              <w:t>Land</w:t>
            </w:r>
          </w:p>
        </w:tc>
        <w:tc>
          <w:tcPr>
            <w:tcW w:w="3260" w:type="dxa"/>
            <w:vAlign w:val="bottom"/>
            <w:shd w:val="clear" w:color="auto" w:fill="43C0B9"/>
          </w:tcPr>
          <w:p>
            <w:pPr>
              <w:ind w:left="1300"/>
              <w:spacing w:after="0"/>
              <w:rPr>
                <w:sz w:val="20"/>
                <w:szCs w:val="20"/>
                <w:color w:val="auto"/>
              </w:rPr>
            </w:pPr>
            <w:r>
              <w:rPr>
                <w:rFonts w:ascii="Arial" w:cs="Arial" w:eastAsia="Arial" w:hAnsi="Arial"/>
                <w:sz w:val="11"/>
                <w:szCs w:val="11"/>
                <w:color w:val="auto"/>
              </w:rPr>
              <w:t>International Farming</w:t>
            </w:r>
          </w:p>
        </w:tc>
        <w:tc>
          <w:tcPr>
            <w:tcW w:w="3660" w:type="dxa"/>
            <w:vAlign w:val="bottom"/>
            <w:shd w:val="clear" w:color="auto" w:fill="43C0B9"/>
          </w:tcPr>
          <w:p>
            <w:pPr>
              <w:ind w:left="860"/>
              <w:spacing w:after="0"/>
              <w:rPr>
                <w:sz w:val="20"/>
                <w:szCs w:val="20"/>
                <w:color w:val="auto"/>
              </w:rPr>
            </w:pPr>
            <w:r>
              <w:rPr>
                <w:rFonts w:ascii="Arial" w:cs="Arial" w:eastAsia="Arial" w:hAnsi="Arial"/>
                <w:sz w:val="11"/>
                <w:szCs w:val="11"/>
                <w:color w:val="auto"/>
              </w:rPr>
              <w:t>Owned</w:t>
            </w:r>
          </w:p>
        </w:tc>
      </w:tr>
      <w:tr>
        <w:trPr>
          <w:trHeight w:val="166"/>
        </w:trPr>
        <w:tc>
          <w:tcPr>
            <w:tcW w:w="2020" w:type="dxa"/>
            <w:vAlign w:val="bottom"/>
          </w:tcPr>
          <w:p>
            <w:pPr>
              <w:ind w:left="20"/>
              <w:spacing w:after="0"/>
              <w:rPr>
                <w:sz w:val="20"/>
                <w:szCs w:val="20"/>
                <w:color w:val="auto"/>
              </w:rPr>
            </w:pPr>
            <w:r>
              <w:rPr>
                <w:rFonts w:ascii="Arial" w:cs="Arial" w:eastAsia="Arial" w:hAnsi="Arial"/>
                <w:sz w:val="11"/>
                <w:szCs w:val="11"/>
                <w:color w:val="auto"/>
              </w:rPr>
              <w:t>Virú, Peru</w:t>
            </w:r>
          </w:p>
        </w:tc>
        <w:tc>
          <w:tcPr>
            <w:tcW w:w="2340" w:type="dxa"/>
            <w:vAlign w:val="bottom"/>
          </w:tcPr>
          <w:p>
            <w:pPr>
              <w:ind w:left="820"/>
              <w:spacing w:after="0"/>
              <w:rPr>
                <w:sz w:val="20"/>
                <w:szCs w:val="20"/>
                <w:color w:val="auto"/>
              </w:rPr>
            </w:pPr>
            <w:r>
              <w:rPr>
                <w:rFonts w:ascii="Arial" w:cs="Arial" w:eastAsia="Arial" w:hAnsi="Arial"/>
                <w:sz w:val="11"/>
                <w:szCs w:val="11"/>
                <w:color w:val="auto"/>
              </w:rPr>
              <w:t>Land</w:t>
            </w:r>
          </w:p>
        </w:tc>
        <w:tc>
          <w:tcPr>
            <w:tcW w:w="3260" w:type="dxa"/>
            <w:vAlign w:val="bottom"/>
          </w:tcPr>
          <w:p>
            <w:pPr>
              <w:ind w:left="1300"/>
              <w:spacing w:after="0"/>
              <w:rPr>
                <w:sz w:val="20"/>
                <w:szCs w:val="20"/>
                <w:color w:val="auto"/>
              </w:rPr>
            </w:pPr>
            <w:r>
              <w:rPr>
                <w:rFonts w:ascii="Arial" w:cs="Arial" w:eastAsia="Arial" w:hAnsi="Arial"/>
                <w:sz w:val="11"/>
                <w:szCs w:val="11"/>
                <w:color w:val="auto"/>
              </w:rPr>
              <w:t>International Farming</w:t>
            </w:r>
          </w:p>
        </w:tc>
        <w:tc>
          <w:tcPr>
            <w:tcW w:w="3660" w:type="dxa"/>
            <w:vAlign w:val="bottom"/>
          </w:tcPr>
          <w:p>
            <w:pPr>
              <w:ind w:left="860"/>
              <w:spacing w:after="0"/>
              <w:rPr>
                <w:sz w:val="20"/>
                <w:szCs w:val="20"/>
                <w:color w:val="auto"/>
              </w:rPr>
            </w:pPr>
            <w:r>
              <w:rPr>
                <w:rFonts w:ascii="Arial" w:cs="Arial" w:eastAsia="Arial" w:hAnsi="Arial"/>
                <w:sz w:val="11"/>
                <w:szCs w:val="11"/>
                <w:color w:val="auto"/>
              </w:rPr>
              <w:t>Owned</w:t>
            </w:r>
          </w:p>
        </w:tc>
      </w:tr>
      <w:tr>
        <w:trPr>
          <w:trHeight w:val="170"/>
        </w:trPr>
        <w:tc>
          <w:tcPr>
            <w:tcW w:w="20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Santa Rosa, Guatemala</w:t>
            </w:r>
          </w:p>
        </w:tc>
        <w:tc>
          <w:tcPr>
            <w:tcW w:w="2340" w:type="dxa"/>
            <w:vAlign w:val="bottom"/>
            <w:tcBorders>
              <w:bottom w:val="single" w:sz="8" w:color="auto"/>
            </w:tcBorders>
            <w:shd w:val="clear" w:color="auto" w:fill="43C0B9"/>
          </w:tcPr>
          <w:p>
            <w:pPr>
              <w:ind w:left="820"/>
              <w:spacing w:after="0"/>
              <w:rPr>
                <w:sz w:val="20"/>
                <w:szCs w:val="20"/>
                <w:color w:val="auto"/>
              </w:rPr>
            </w:pPr>
            <w:r>
              <w:rPr>
                <w:rFonts w:ascii="Arial" w:cs="Arial" w:eastAsia="Arial" w:hAnsi="Arial"/>
                <w:sz w:val="11"/>
                <w:szCs w:val="11"/>
                <w:color w:val="auto"/>
              </w:rPr>
              <w:t>Land</w:t>
            </w:r>
          </w:p>
        </w:tc>
        <w:tc>
          <w:tcPr>
            <w:tcW w:w="3260" w:type="dxa"/>
            <w:vAlign w:val="bottom"/>
            <w:tcBorders>
              <w:bottom w:val="single" w:sz="8" w:color="auto"/>
            </w:tcBorders>
            <w:shd w:val="clear" w:color="auto" w:fill="43C0B9"/>
          </w:tcPr>
          <w:p>
            <w:pPr>
              <w:ind w:left="1300"/>
              <w:spacing w:after="0"/>
              <w:rPr>
                <w:sz w:val="20"/>
                <w:szCs w:val="20"/>
                <w:color w:val="auto"/>
              </w:rPr>
            </w:pPr>
            <w:r>
              <w:rPr>
                <w:rFonts w:ascii="Arial" w:cs="Arial" w:eastAsia="Arial" w:hAnsi="Arial"/>
                <w:sz w:val="11"/>
                <w:szCs w:val="11"/>
                <w:color w:val="auto"/>
              </w:rPr>
              <w:t>International Farming</w:t>
            </w:r>
          </w:p>
        </w:tc>
        <w:tc>
          <w:tcPr>
            <w:tcW w:w="3660" w:type="dxa"/>
            <w:vAlign w:val="bottom"/>
            <w:tcBorders>
              <w:bottom w:val="single" w:sz="8" w:color="auto"/>
            </w:tcBorders>
            <w:shd w:val="clear" w:color="auto" w:fill="43C0B9"/>
          </w:tcPr>
          <w:p>
            <w:pPr>
              <w:ind w:left="860"/>
              <w:spacing w:after="0"/>
              <w:rPr>
                <w:sz w:val="20"/>
                <w:szCs w:val="20"/>
                <w:color w:val="auto"/>
              </w:rPr>
            </w:pPr>
            <w:r>
              <w:rPr>
                <w:rFonts w:ascii="Arial" w:cs="Arial" w:eastAsia="Arial" w:hAnsi="Arial"/>
                <w:sz w:val="11"/>
                <w:szCs w:val="11"/>
                <w:color w:val="auto"/>
              </w:rPr>
              <w:t>Leased</w:t>
            </w:r>
          </w:p>
        </w:tc>
      </w:tr>
    </w:tbl>
    <w:p>
      <w:pPr>
        <w:spacing w:after="0" w:line="224" w:lineRule="exact"/>
        <w:rPr>
          <w:sz w:val="20"/>
          <w:szCs w:val="20"/>
          <w:color w:val="auto"/>
        </w:rPr>
      </w:pPr>
    </w:p>
    <w:p>
      <w:pPr>
        <w:ind w:right="520" w:firstLine="509"/>
        <w:spacing w:after="0" w:line="244" w:lineRule="auto"/>
        <w:rPr>
          <w:sz w:val="20"/>
          <w:szCs w:val="20"/>
          <w:color w:val="auto"/>
        </w:rPr>
      </w:pPr>
      <w:r>
        <w:rPr>
          <w:rFonts w:ascii="Arial" w:cs="Arial" w:eastAsia="Arial" w:hAnsi="Arial"/>
          <w:sz w:val="13"/>
          <w:szCs w:val="13"/>
          <w:color w:val="auto"/>
        </w:rPr>
        <w:t>We believe that our facilities are adequate to meet our current needs, and that suitable additional alternative spaces will be available in the future on commercially reasonable terms, if required. For additional information, see Note 6 of this annual report on Form 10-K.</w:t>
      </w:r>
    </w:p>
    <w:p>
      <w:pPr>
        <w:spacing w:after="0" w:line="2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2F84"/>
        </w:rPr>
        <w:t>Item 3.</w:t>
      </w:r>
      <w:r>
        <w:rPr>
          <w:sz w:val="20"/>
          <w:szCs w:val="20"/>
          <w:color w:val="auto"/>
        </w:rPr>
        <w:tab/>
      </w:r>
      <w:r>
        <w:rPr>
          <w:rFonts w:ascii="Arial" w:cs="Arial" w:eastAsia="Arial" w:hAnsi="Arial"/>
          <w:sz w:val="19"/>
          <w:szCs w:val="19"/>
          <w:b w:val="1"/>
          <w:bCs w:val="1"/>
          <w:color w:val="232F84"/>
        </w:rPr>
        <w:t>Legal Proceedings</w:t>
      </w:r>
    </w:p>
    <w:p>
      <w:pPr>
        <w:spacing w:after="0" w:line="197" w:lineRule="exact"/>
        <w:rPr>
          <w:sz w:val="20"/>
          <w:szCs w:val="20"/>
          <w:color w:val="auto"/>
        </w:rPr>
      </w:pPr>
    </w:p>
    <w:p>
      <w:pPr>
        <w:ind w:right="160" w:firstLine="509"/>
        <w:spacing w:after="0" w:line="244" w:lineRule="auto"/>
        <w:rPr>
          <w:sz w:val="20"/>
          <w:szCs w:val="20"/>
          <w:color w:val="auto"/>
        </w:rPr>
      </w:pPr>
      <w:r>
        <w:rPr>
          <w:rFonts w:ascii="Arial" w:cs="Arial" w:eastAsia="Arial" w:hAnsi="Arial"/>
          <w:sz w:val="13"/>
          <w:szCs w:val="13"/>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42"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comprehensive income during the three months ended April 30, 2021. The parties executed a stipulation of settlement agreement on such terms in November 2021. This preliminary settlement is subject to approval by the applicable courts.</w:t>
      </w:r>
    </w:p>
    <w:p>
      <w:pPr>
        <w:spacing w:after="0" w:line="156" w:lineRule="exact"/>
        <w:rPr>
          <w:sz w:val="20"/>
          <w:szCs w:val="20"/>
          <w:color w:val="auto"/>
        </w:rPr>
      </w:pPr>
    </w:p>
    <w:p>
      <w:pPr>
        <w:ind w:right="240" w:firstLine="509"/>
        <w:spacing w:after="0" w:line="284" w:lineRule="auto"/>
        <w:rPr>
          <w:sz w:val="20"/>
          <w:szCs w:val="20"/>
          <w:color w:val="auto"/>
        </w:rPr>
      </w:pPr>
      <w:r>
        <w:rPr>
          <w:rFonts w:ascii="Arial" w:cs="Arial" w:eastAsia="Arial" w:hAnsi="Arial"/>
          <w:sz w:val="12"/>
          <w:szCs w:val="12"/>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0" w:lineRule="exact"/>
        <w:rPr>
          <w:sz w:val="20"/>
          <w:szCs w:val="20"/>
          <w:color w:val="auto"/>
        </w:rPr>
      </w:pPr>
    </w:p>
    <w:p>
      <w:pPr>
        <w:spacing w:after="0" w:line="32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17" w:name="page18"/>
    <w:bookmarkEnd w:id="17"/>
    <w:p>
      <w:pPr>
        <w:spacing w:after="0"/>
        <w:tabs>
          <w:tab w:leader="none" w:pos="1060" w:val="left"/>
        </w:tabs>
        <w:rPr>
          <w:sz w:val="20"/>
          <w:szCs w:val="20"/>
          <w:color w:val="auto"/>
        </w:rPr>
      </w:pPr>
      <w:r>
        <w:rPr>
          <w:rFonts w:ascii="Arial" w:cs="Arial" w:eastAsia="Arial" w:hAnsi="Arial"/>
          <w:sz w:val="20"/>
          <w:szCs w:val="20"/>
          <w:b w:val="1"/>
          <w:bCs w:val="1"/>
          <w:color w:val="232F84"/>
        </w:rPr>
        <w:t>Item 4.</w:t>
      </w:r>
      <w:r>
        <w:rPr>
          <w:sz w:val="20"/>
          <w:szCs w:val="20"/>
          <w:color w:val="auto"/>
        </w:rPr>
        <w:tab/>
      </w:r>
      <w:r>
        <w:rPr>
          <w:rFonts w:ascii="Arial" w:cs="Arial" w:eastAsia="Arial" w:hAnsi="Arial"/>
          <w:sz w:val="19"/>
          <w:szCs w:val="19"/>
          <w:b w:val="1"/>
          <w:bCs w:val="1"/>
          <w:color w:val="232F84"/>
        </w:rPr>
        <w:t>Mine Safety Disclosures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51" w:lineRule="exact"/>
        <w:rPr>
          <w:sz w:val="20"/>
          <w:szCs w:val="20"/>
          <w:color w:val="auto"/>
        </w:rPr>
      </w:pPr>
    </w:p>
    <w:p>
      <w:pPr>
        <w:jc w:val="right"/>
        <w:ind w:right="41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1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b w:val="1"/>
          <w:bCs w:val="1"/>
          <w:color w:val="232F84"/>
        </w:rPr>
        <w:t>PART II</w:t>
      </w:r>
    </w:p>
    <w:p>
      <w:pPr>
        <w:spacing w:after="0" w:line="173" w:lineRule="exact"/>
        <w:rPr>
          <w:sz w:val="20"/>
          <w:szCs w:val="20"/>
          <w:color w:val="auto"/>
        </w:rPr>
      </w:pPr>
    </w:p>
    <w:p>
      <w:pPr>
        <w:ind w:right="660"/>
        <w:spacing w:after="0" w:line="276" w:lineRule="auto"/>
        <w:rPr>
          <w:sz w:val="20"/>
          <w:szCs w:val="20"/>
          <w:color w:val="auto"/>
        </w:rPr>
      </w:pPr>
      <w:r>
        <w:rPr>
          <w:rFonts w:ascii="Arial" w:cs="Arial" w:eastAsia="Arial" w:hAnsi="Arial"/>
          <w:sz w:val="20"/>
          <w:szCs w:val="20"/>
          <w:b w:val="1"/>
          <w:bCs w:val="1"/>
          <w:color w:val="232F84"/>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Market Information</w:t>
      </w:r>
    </w:p>
    <w:p>
      <w:pPr>
        <w:spacing w:after="0" w:line="18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3"/>
          <w:szCs w:val="13"/>
          <w:color w:val="auto"/>
        </w:rPr>
        <w:t>Our common stock has been publicly traded on the Nasdaq Global Select Market under the symbol “AVO” since our IPO on October 1, 2020, which was completed at a price to the public of $12.00 per share. Prior to our IPO, there was no public market for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Holders of Common Stock</w:t>
      </w:r>
    </w:p>
    <w:p>
      <w:pPr>
        <w:spacing w:after="0" w:line="18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3"/>
          <w:szCs w:val="13"/>
          <w:color w:val="auto"/>
        </w:rPr>
        <w:t>We had 34 shareholders of record of our common stock as of December 1, 2021. This number was derived from our shareholder records and does not include holders of our common stock whose shares are held in the name of various dealers, clearing agencies, banks, brokers and other fiduciaries.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Dividend Policy</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Securities Authorized for Issuance Under Equity Compensation Plans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See Item 12 of Part III of this annual report on Form 10-K for information about our equity compensation plans which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Comparative Stock Performance Graph</w:t>
      </w:r>
    </w:p>
    <w:p>
      <w:pPr>
        <w:spacing w:after="0" w:line="188" w:lineRule="exact"/>
        <w:rPr>
          <w:sz w:val="20"/>
          <w:szCs w:val="20"/>
          <w:color w:val="auto"/>
        </w:rPr>
      </w:pPr>
    </w:p>
    <w:p>
      <w:pPr>
        <w:ind w:right="100" w:firstLine="509"/>
        <w:spacing w:after="0" w:line="271" w:lineRule="auto"/>
        <w:rPr>
          <w:sz w:val="20"/>
          <w:szCs w:val="20"/>
          <w:color w:val="auto"/>
        </w:rPr>
      </w:pPr>
      <w:r>
        <w:rPr>
          <w:rFonts w:ascii="Arial" w:cs="Arial" w:eastAsia="Arial" w:hAnsi="Arial"/>
          <w:sz w:val="12"/>
          <w:szCs w:val="12"/>
          <w:color w:val="auto"/>
        </w:rPr>
        <w:t>The following performance graph shows a comparison from October 1, 2020 (the date our common stock commenced trading on the Nasdaq Global Market) through October 29, 2021, of the cumulative total return for our common stock, the Nasdaq Composite Total Return Index, and the Nasdaq US Smart Food &amp; Beverage Total Return Index. The graph assumes $100 was invested on October 1, 2020 in Mission Produce common stock, or the respective indices, with the associated plots indicating the relative performance as of the last day of trading prior to the fiscal year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4042410" cy="1684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42410" cy="1684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shd w:val="clear" w:color="auto" w:fill="232F84"/>
          </w:tcPr>
          <w:p>
            <w:pPr>
              <w:spacing w:after="0"/>
              <w:rPr>
                <w:sz w:val="14"/>
                <w:szCs w:val="14"/>
                <w:color w:val="auto"/>
              </w:rPr>
            </w:pPr>
          </w:p>
        </w:tc>
        <w:tc>
          <w:tcPr>
            <w:tcW w:w="2700" w:type="dxa"/>
            <w:vAlign w:val="bottom"/>
            <w:shd w:val="clear" w:color="auto" w:fill="232F84"/>
          </w:tcPr>
          <w:p>
            <w:pPr>
              <w:jc w:val="right"/>
              <w:ind w:right="383"/>
              <w:spacing w:after="0"/>
              <w:rPr>
                <w:sz w:val="20"/>
                <w:szCs w:val="20"/>
                <w:color w:val="auto"/>
              </w:rPr>
            </w:pPr>
            <w:r>
              <w:rPr>
                <w:rFonts w:ascii="Arial" w:cs="Arial" w:eastAsia="Arial" w:hAnsi="Arial"/>
                <w:sz w:val="11"/>
                <w:szCs w:val="11"/>
                <w:b w:val="1"/>
                <w:bCs w:val="1"/>
                <w:color w:val="FFFFFF"/>
              </w:rPr>
              <w:t>10/1/2020</w:t>
            </w:r>
          </w:p>
        </w:tc>
        <w:tc>
          <w:tcPr>
            <w:tcW w:w="1440" w:type="dxa"/>
            <w:vAlign w:val="bottom"/>
            <w:shd w:val="clear" w:color="auto" w:fill="232F84"/>
          </w:tcPr>
          <w:p>
            <w:pPr>
              <w:jc w:val="right"/>
              <w:ind w:right="383"/>
              <w:spacing w:after="0"/>
              <w:rPr>
                <w:sz w:val="20"/>
                <w:szCs w:val="20"/>
                <w:color w:val="auto"/>
              </w:rPr>
            </w:pPr>
            <w:r>
              <w:rPr>
                <w:rFonts w:ascii="Arial" w:cs="Arial" w:eastAsia="Arial" w:hAnsi="Arial"/>
                <w:sz w:val="11"/>
                <w:szCs w:val="11"/>
                <w:b w:val="1"/>
                <w:bCs w:val="1"/>
                <w:color w:val="FFFFFF"/>
              </w:rPr>
              <w:t>10/30/2020</w:t>
            </w:r>
          </w:p>
        </w:tc>
        <w:tc>
          <w:tcPr>
            <w:tcW w:w="10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10/29/2021</w:t>
            </w:r>
          </w:p>
        </w:tc>
      </w:tr>
      <w:tr>
        <w:trPr>
          <w:trHeight w:val="161"/>
        </w:trPr>
        <w:tc>
          <w:tcPr>
            <w:tcW w:w="4560" w:type="dxa"/>
            <w:vAlign w:val="bottom"/>
          </w:tcPr>
          <w:p>
            <w:pPr>
              <w:ind w:left="20"/>
              <w:spacing w:after="0"/>
              <w:rPr>
                <w:sz w:val="20"/>
                <w:szCs w:val="20"/>
                <w:color w:val="auto"/>
              </w:rPr>
            </w:pPr>
            <w:r>
              <w:rPr>
                <w:rFonts w:ascii="Arial" w:cs="Arial" w:eastAsia="Arial" w:hAnsi="Arial"/>
                <w:sz w:val="11"/>
                <w:szCs w:val="11"/>
                <w:color w:val="auto"/>
              </w:rPr>
              <w:t>Mission Produce, Inc.</w:t>
            </w:r>
          </w:p>
        </w:tc>
        <w:tc>
          <w:tcPr>
            <w:tcW w:w="2700" w:type="dxa"/>
            <w:vAlign w:val="bottom"/>
          </w:tcPr>
          <w:p>
            <w:pPr>
              <w:jc w:val="right"/>
              <w:ind w:right="383"/>
              <w:spacing w:after="0"/>
              <w:rPr>
                <w:sz w:val="20"/>
                <w:szCs w:val="20"/>
                <w:color w:val="auto"/>
              </w:rPr>
            </w:pPr>
            <w:r>
              <w:rPr>
                <w:rFonts w:ascii="Arial" w:cs="Arial" w:eastAsia="Arial" w:hAnsi="Arial"/>
                <w:sz w:val="11"/>
                <w:szCs w:val="11"/>
                <w:color w:val="auto"/>
              </w:rPr>
              <w:t>100.0</w:t>
            </w:r>
          </w:p>
        </w:tc>
        <w:tc>
          <w:tcPr>
            <w:tcW w:w="1440" w:type="dxa"/>
            <w:vAlign w:val="bottom"/>
          </w:tcPr>
          <w:p>
            <w:pPr>
              <w:jc w:val="right"/>
              <w:ind w:right="383"/>
              <w:spacing w:after="0"/>
              <w:rPr>
                <w:sz w:val="20"/>
                <w:szCs w:val="20"/>
                <w:color w:val="auto"/>
              </w:rPr>
            </w:pPr>
            <w:r>
              <w:rPr>
                <w:rFonts w:ascii="Arial" w:cs="Arial" w:eastAsia="Arial" w:hAnsi="Arial"/>
                <w:sz w:val="11"/>
                <w:szCs w:val="11"/>
                <w:color w:val="auto"/>
              </w:rPr>
              <w:t>95.6</w:t>
            </w:r>
          </w:p>
        </w:tc>
        <w:tc>
          <w:tcPr>
            <w:tcW w:w="1020" w:type="dxa"/>
            <w:vAlign w:val="bottom"/>
          </w:tcPr>
          <w:p>
            <w:pPr>
              <w:jc w:val="right"/>
              <w:spacing w:after="0"/>
              <w:rPr>
                <w:sz w:val="20"/>
                <w:szCs w:val="20"/>
                <w:color w:val="auto"/>
              </w:rPr>
            </w:pPr>
            <w:r>
              <w:rPr>
                <w:rFonts w:ascii="Arial" w:cs="Arial" w:eastAsia="Arial" w:hAnsi="Arial"/>
                <w:sz w:val="11"/>
                <w:szCs w:val="11"/>
                <w:color w:val="auto"/>
              </w:rPr>
              <w:t>137.6</w:t>
            </w:r>
          </w:p>
        </w:tc>
      </w:tr>
      <w:tr>
        <w:trPr>
          <w:trHeight w:val="170"/>
        </w:trPr>
        <w:tc>
          <w:tcPr>
            <w:tcW w:w="4560" w:type="dxa"/>
            <w:vAlign w:val="bottom"/>
          </w:tcPr>
          <w:p>
            <w:pPr>
              <w:ind w:left="20"/>
              <w:spacing w:after="0"/>
              <w:rPr>
                <w:sz w:val="20"/>
                <w:szCs w:val="20"/>
                <w:color w:val="auto"/>
              </w:rPr>
            </w:pPr>
            <w:r>
              <w:rPr>
                <w:rFonts w:ascii="Arial" w:cs="Arial" w:eastAsia="Arial" w:hAnsi="Arial"/>
                <w:sz w:val="11"/>
                <w:szCs w:val="11"/>
                <w:color w:val="auto"/>
              </w:rPr>
              <w:t>Nasdaq Composite Total Return Index</w:t>
            </w:r>
          </w:p>
        </w:tc>
        <w:tc>
          <w:tcPr>
            <w:tcW w:w="2700" w:type="dxa"/>
            <w:vAlign w:val="bottom"/>
          </w:tcPr>
          <w:p>
            <w:pPr>
              <w:jc w:val="right"/>
              <w:ind w:right="383"/>
              <w:spacing w:after="0"/>
              <w:rPr>
                <w:sz w:val="20"/>
                <w:szCs w:val="20"/>
                <w:color w:val="auto"/>
              </w:rPr>
            </w:pPr>
            <w:r>
              <w:rPr>
                <w:rFonts w:ascii="Arial" w:cs="Arial" w:eastAsia="Arial" w:hAnsi="Arial"/>
                <w:sz w:val="11"/>
                <w:szCs w:val="11"/>
                <w:color w:val="auto"/>
              </w:rPr>
              <w:t>100.0</w:t>
            </w:r>
          </w:p>
        </w:tc>
        <w:tc>
          <w:tcPr>
            <w:tcW w:w="1440" w:type="dxa"/>
            <w:vAlign w:val="bottom"/>
          </w:tcPr>
          <w:p>
            <w:pPr>
              <w:jc w:val="right"/>
              <w:ind w:right="383"/>
              <w:spacing w:after="0"/>
              <w:rPr>
                <w:sz w:val="20"/>
                <w:szCs w:val="20"/>
                <w:color w:val="auto"/>
              </w:rPr>
            </w:pPr>
            <w:r>
              <w:rPr>
                <w:rFonts w:ascii="Arial" w:cs="Arial" w:eastAsia="Arial" w:hAnsi="Arial"/>
                <w:sz w:val="11"/>
                <w:szCs w:val="11"/>
                <w:color w:val="auto"/>
              </w:rPr>
              <w:t>96.3</w:t>
            </w:r>
          </w:p>
        </w:tc>
        <w:tc>
          <w:tcPr>
            <w:tcW w:w="1020" w:type="dxa"/>
            <w:vAlign w:val="bottom"/>
          </w:tcPr>
          <w:p>
            <w:pPr>
              <w:jc w:val="right"/>
              <w:spacing w:after="0"/>
              <w:rPr>
                <w:sz w:val="20"/>
                <w:szCs w:val="20"/>
                <w:color w:val="auto"/>
              </w:rPr>
            </w:pPr>
            <w:r>
              <w:rPr>
                <w:rFonts w:ascii="Arial" w:cs="Arial" w:eastAsia="Arial" w:hAnsi="Arial"/>
                <w:sz w:val="11"/>
                <w:szCs w:val="11"/>
                <w:color w:val="auto"/>
              </w:rPr>
              <w:t>136.8</w:t>
            </w:r>
          </w:p>
        </w:tc>
      </w:tr>
      <w:tr>
        <w:trPr>
          <w:trHeight w:val="174"/>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Nasdaq US Smart Food &amp; Beverage Total Return Index</w:t>
            </w:r>
          </w:p>
        </w:tc>
        <w:tc>
          <w:tcPr>
            <w:tcW w:w="270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100.0</w:t>
            </w:r>
          </w:p>
        </w:tc>
        <w:tc>
          <w:tcPr>
            <w:tcW w:w="14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99.2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121.2</w:t>
            </w:r>
          </w:p>
        </w:tc>
      </w:tr>
    </w:tbl>
    <w:p>
      <w:pPr>
        <w:spacing w:after="0" w:line="200" w:lineRule="exact"/>
        <w:rPr>
          <w:sz w:val="20"/>
          <w:szCs w:val="20"/>
          <w:color w:val="auto"/>
        </w:rPr>
      </w:pPr>
    </w:p>
    <w:p>
      <w:pPr>
        <w:spacing w:after="0" w:line="23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232F84"/>
        </w:rPr>
        <w:t>Unregistered Sales of Equity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Use of Proceeds from IPO</w:t>
      </w:r>
    </w:p>
    <w:p>
      <w:pPr>
        <w:spacing w:after="0" w:line="18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3"/>
          <w:szCs w:val="13"/>
          <w:color w:val="auto"/>
        </w:rPr>
        <w:t>On September 30, 2020, our registration statement on Form S-1 (File No. 333-248596) was declared effective by the SEC for our IPO. At the closing of the offering on October 5, 2020, we sold 8,000,000 shares of common stock, including 1,750,000 shares sold by certain selling stockholders, at a public offering price of $12.00 per share. Also in October 2020, we sold an additional 1,200,000 shares at $12.00 per share to underwriters at their option, under the provision of the offering. We received gross proceeds of $89.4 million, which resulted in net proceeds to us of $78.1 million, after deducting underwriting discounts and commissions of $6.3 million and offering-related transaction costs of $5.0 million. The selling stockholders received gross proceeds of $21 million. None of the expenses associated with the IPO were paid to directors, officers, persons owning 10% or more of any class of equity securities, or to their associates, or to our affiliates. BofA Securities, Inc., J.P. Morgan Securities LLC and Citigroup Global Markets Inc. acted as joint book-running managers for the offering. There has been no change in our planned use of proceeds from our IPO contained in our registration statement on Form S-1/A.</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Issuer Repurchases of Equity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25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2F84"/>
        </w:rPr>
        <w:t>Item 6.</w:t>
      </w:r>
      <w:r>
        <w:rPr>
          <w:sz w:val="20"/>
          <w:szCs w:val="20"/>
          <w:color w:val="auto"/>
        </w:rPr>
        <w:tab/>
      </w:r>
      <w:r>
        <w:rPr>
          <w:rFonts w:ascii="Arial" w:cs="Arial" w:eastAsia="Arial" w:hAnsi="Arial"/>
          <w:sz w:val="19"/>
          <w:szCs w:val="19"/>
          <w:b w:val="1"/>
          <w:bCs w:val="1"/>
          <w:color w:val="232F84"/>
        </w:rPr>
        <w:t>Selected Financial Data</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25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2F84"/>
        </w:rPr>
        <w:t>Item 7.</w:t>
      </w:r>
      <w:r>
        <w:rPr>
          <w:sz w:val="20"/>
          <w:szCs w:val="20"/>
          <w:color w:val="auto"/>
        </w:rPr>
        <w:tab/>
      </w:r>
      <w:r>
        <w:rPr>
          <w:rFonts w:ascii="Arial" w:cs="Arial" w:eastAsia="Arial" w:hAnsi="Arial"/>
          <w:sz w:val="19"/>
          <w:szCs w:val="19"/>
          <w:b w:val="1"/>
          <w:bCs w:val="1"/>
          <w:color w:val="232F84"/>
        </w:rPr>
        <w:t>Management’s Discussion and Analysis of Financial Condition and Results of Operations</w:t>
      </w:r>
    </w:p>
    <w:p>
      <w:pPr>
        <w:spacing w:after="0" w:line="197" w:lineRule="exact"/>
        <w:rPr>
          <w:sz w:val="20"/>
          <w:szCs w:val="20"/>
          <w:color w:val="auto"/>
        </w:rPr>
      </w:pPr>
    </w:p>
    <w:p>
      <w:pPr>
        <w:ind w:right="180" w:firstLine="509"/>
        <w:spacing w:after="0"/>
        <w:rPr>
          <w:sz w:val="20"/>
          <w:szCs w:val="20"/>
          <w:color w:val="auto"/>
        </w:rPr>
      </w:pPr>
      <w:r>
        <w:rPr>
          <w:rFonts w:ascii="Arial" w:cs="Arial" w:eastAsia="Arial" w:hAnsi="Arial"/>
          <w:sz w:val="13"/>
          <w:szCs w:val="13"/>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Overview</w:t>
      </w:r>
    </w:p>
    <w:p>
      <w:pPr>
        <w:spacing w:after="0" w:line="18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3"/>
          <w:szCs w:val="13"/>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154"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We have two operating segments, which are also reporting segments. These reporting segments are Marketing and Distribution and International Farming. Our Marketing and Distribution reporting segment primarily sources fruit from growers and then distributes the fruit through our global distribution network. Our International Farming segment owns and operates orchards from which substantially all fruit produced is sold to our Marketing and Distribution segment. The segment’s farming activities range from cultivating early-stage plantings to harvesting from mature trees. The segment also earns service revenues for packing and processing for producers of other crops during the avocado off-harvest season. The International Farming segment is principally located in Peru, with smaller operations emerging in other areas of Latin America.</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Recent developments</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In fiscal 2021, we completed one of our major capital projects, a new mega-distribution center in Laredo, Texas. Serving as a major hub for avocados coming from Mexico into the United States, the 262,000-square-foot facility is positioned to funnel product into the rest of the distribution centers in Mission’s advanced network. The facility is designed with state-of-the-art refrigeration, ripening rooms and pallet cooling capabilities, and has the capability to provide logistics support and transportation services, in addition to cold storage, bagging operations and packing for external enterprises, which we anticipate will generate additional revenue and value for the Company. Mission’s Laredo mega center is positioned to strengthen the Company’s advantage in the avocado sector and is expected to increase its third-party storage and distribution</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98" w:right="35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capabilities for others in the produce industry, improve ability to efficiently distribute Mexican avocados throughout North America and expedite transportation times.</w:t>
      </w:r>
    </w:p>
    <w:p>
      <w:pPr>
        <w:spacing w:after="0" w:line="148" w:lineRule="exact"/>
        <w:rPr>
          <w:sz w:val="20"/>
          <w:szCs w:val="20"/>
          <w:color w:val="auto"/>
        </w:rPr>
      </w:pPr>
    </w:p>
    <w:p>
      <w:pPr>
        <w:ind w:right="80" w:firstLine="509"/>
        <w:spacing w:after="0" w:line="241" w:lineRule="auto"/>
        <w:rPr>
          <w:sz w:val="20"/>
          <w:szCs w:val="20"/>
          <w:color w:val="auto"/>
        </w:rPr>
      </w:pPr>
      <w:r>
        <w:rPr>
          <w:rFonts w:ascii="Arial" w:cs="Arial" w:eastAsia="Arial" w:hAnsi="Arial"/>
          <w:sz w:val="13"/>
          <w:szCs w:val="13"/>
          <w:color w:val="auto"/>
        </w:rPr>
        <w:t>In our International Farming segment, we have made significant investments this year in orchard development and land improvements in Guatemala and Peru. Our expansion into Guatemala will diversify our sourcing mix on owned fruit. After planting, our avocado trees begin to produce avocados in approximately three years and reach full production in approximately five to seven years, depending on location.</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Results of Operations</w:t>
      </w:r>
    </w:p>
    <w:p>
      <w:pPr>
        <w:spacing w:after="0" w:line="188" w:lineRule="exact"/>
        <w:rPr>
          <w:sz w:val="20"/>
          <w:szCs w:val="20"/>
          <w:color w:val="auto"/>
        </w:rPr>
      </w:pPr>
    </w:p>
    <w:p>
      <w:pPr>
        <w:jc w:val="both"/>
        <w:ind w:right="80" w:firstLine="509"/>
        <w:spacing w:after="0"/>
        <w:rPr>
          <w:sz w:val="20"/>
          <w:szCs w:val="20"/>
          <w:color w:val="auto"/>
        </w:rPr>
      </w:pPr>
      <w:r>
        <w:rPr>
          <w:rFonts w:ascii="Arial" w:cs="Arial" w:eastAsia="Arial" w:hAnsi="Arial"/>
          <w:sz w:val="13"/>
          <w:szCs w:val="13"/>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55"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shd w:val="clear" w:color="auto" w:fill="232F84"/>
          </w:tcPr>
          <w:p>
            <w:pPr>
              <w:spacing w:after="0"/>
              <w:rPr>
                <w:sz w:val="15"/>
                <w:szCs w:val="15"/>
                <w:color w:val="auto"/>
              </w:rPr>
            </w:pPr>
          </w:p>
        </w:tc>
        <w:tc>
          <w:tcPr>
            <w:tcW w:w="420" w:type="dxa"/>
            <w:vAlign w:val="bottom"/>
            <w:shd w:val="clear" w:color="auto" w:fill="232F84"/>
          </w:tcPr>
          <w:p>
            <w:pPr>
              <w:spacing w:after="0"/>
              <w:rPr>
                <w:sz w:val="15"/>
                <w:szCs w:val="15"/>
                <w:color w:val="auto"/>
              </w:rPr>
            </w:pPr>
          </w:p>
        </w:tc>
        <w:tc>
          <w:tcPr>
            <w:tcW w:w="110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15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Year Ended October 31,</w:t>
            </w:r>
          </w:p>
        </w:tc>
        <w:tc>
          <w:tcPr>
            <w:tcW w:w="480" w:type="dxa"/>
            <w:vAlign w:val="bottom"/>
            <w:shd w:val="clear" w:color="auto" w:fill="232F84"/>
          </w:tcPr>
          <w:p>
            <w:pPr>
              <w:spacing w:after="0"/>
              <w:rPr>
                <w:sz w:val="15"/>
                <w:szCs w:val="15"/>
                <w:color w:val="auto"/>
              </w:rPr>
            </w:pPr>
          </w:p>
        </w:tc>
        <w:tc>
          <w:tcPr>
            <w:tcW w:w="460" w:type="dxa"/>
            <w:vAlign w:val="bottom"/>
            <w:shd w:val="clear" w:color="auto" w:fill="232F84"/>
          </w:tcPr>
          <w:p>
            <w:pPr>
              <w:spacing w:after="0"/>
              <w:rPr>
                <w:sz w:val="15"/>
                <w:szCs w:val="15"/>
                <w:color w:val="auto"/>
              </w:rPr>
            </w:pPr>
          </w:p>
        </w:tc>
        <w:tc>
          <w:tcPr>
            <w:tcW w:w="1100" w:type="dxa"/>
            <w:vAlign w:val="bottom"/>
            <w:shd w:val="clear" w:color="auto" w:fill="232F84"/>
          </w:tcPr>
          <w:p>
            <w:pPr>
              <w:spacing w:after="0"/>
              <w:rPr>
                <w:sz w:val="15"/>
                <w:szCs w:val="15"/>
                <w:color w:val="auto"/>
              </w:rPr>
            </w:pPr>
          </w:p>
        </w:tc>
        <w:tc>
          <w:tcPr>
            <w:tcW w:w="720" w:type="dxa"/>
            <w:vAlign w:val="bottom"/>
            <w:shd w:val="clear" w:color="auto" w:fill="232F84"/>
          </w:tcPr>
          <w:p>
            <w:pPr>
              <w:spacing w:after="0"/>
              <w:rPr>
                <w:sz w:val="15"/>
                <w:szCs w:val="15"/>
                <w:color w:val="auto"/>
              </w:rPr>
            </w:pPr>
          </w:p>
        </w:tc>
      </w:tr>
      <w:tr>
        <w:trPr>
          <w:trHeight w:val="178"/>
        </w:trPr>
        <w:tc>
          <w:tcPr>
            <w:tcW w:w="4400" w:type="dxa"/>
            <w:vAlign w:val="bottom"/>
            <w:shd w:val="clear" w:color="auto" w:fill="232F84"/>
          </w:tcPr>
          <w:p>
            <w:pPr>
              <w:spacing w:after="0"/>
              <w:rPr>
                <w:sz w:val="15"/>
                <w:szCs w:val="15"/>
                <w:color w:val="auto"/>
              </w:rPr>
            </w:pPr>
          </w:p>
        </w:tc>
        <w:tc>
          <w:tcPr>
            <w:tcW w:w="420" w:type="dxa"/>
            <w:vAlign w:val="bottom"/>
            <w:shd w:val="clear" w:color="auto" w:fill="232F84"/>
          </w:tcPr>
          <w:p>
            <w:pPr>
              <w:spacing w:after="0"/>
              <w:rPr>
                <w:sz w:val="15"/>
                <w:szCs w:val="15"/>
                <w:color w:val="auto"/>
              </w:rPr>
            </w:pPr>
          </w:p>
        </w:tc>
        <w:tc>
          <w:tcPr>
            <w:tcW w:w="1100" w:type="dxa"/>
            <w:vAlign w:val="bottom"/>
            <w:shd w:val="clear" w:color="auto" w:fill="232F84"/>
          </w:tcPr>
          <w:p>
            <w:pPr>
              <w:jc w:val="right"/>
              <w:ind w:right="223"/>
              <w:spacing w:after="0"/>
              <w:rPr>
                <w:sz w:val="20"/>
                <w:szCs w:val="20"/>
                <w:color w:val="auto"/>
              </w:rPr>
            </w:pPr>
            <w:r>
              <w:rPr>
                <w:rFonts w:ascii="Arial" w:cs="Arial" w:eastAsia="Arial" w:hAnsi="Arial"/>
                <w:sz w:val="11"/>
                <w:szCs w:val="11"/>
                <w:b w:val="1"/>
                <w:bCs w:val="1"/>
                <w:color w:val="FFFFFF"/>
              </w:rPr>
              <w:t>2021</w:t>
            </w:r>
          </w:p>
        </w:tc>
        <w:tc>
          <w:tcPr>
            <w:tcW w:w="80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483"/>
              <w:spacing w:after="0"/>
              <w:rPr>
                <w:sz w:val="20"/>
                <w:szCs w:val="20"/>
                <w:color w:val="auto"/>
              </w:rPr>
            </w:pPr>
            <w:r>
              <w:rPr>
                <w:rFonts w:ascii="Arial" w:cs="Arial" w:eastAsia="Arial" w:hAnsi="Arial"/>
                <w:sz w:val="11"/>
                <w:szCs w:val="11"/>
                <w:b w:val="1"/>
                <w:bCs w:val="1"/>
                <w:color w:val="FFFFFF"/>
              </w:rPr>
              <w:t>2020</w:t>
            </w:r>
          </w:p>
        </w:tc>
        <w:tc>
          <w:tcPr>
            <w:tcW w:w="480" w:type="dxa"/>
            <w:vAlign w:val="bottom"/>
            <w:shd w:val="clear" w:color="auto" w:fill="232F84"/>
          </w:tcPr>
          <w:p>
            <w:pPr>
              <w:spacing w:after="0"/>
              <w:rPr>
                <w:sz w:val="15"/>
                <w:szCs w:val="15"/>
                <w:color w:val="auto"/>
              </w:rPr>
            </w:pPr>
          </w:p>
        </w:tc>
        <w:tc>
          <w:tcPr>
            <w:tcW w:w="460" w:type="dxa"/>
            <w:vAlign w:val="bottom"/>
            <w:shd w:val="clear" w:color="auto" w:fill="232F84"/>
          </w:tcPr>
          <w:p>
            <w:pPr>
              <w:spacing w:after="0"/>
              <w:rPr>
                <w:sz w:val="15"/>
                <w:szCs w:val="15"/>
                <w:color w:val="auto"/>
              </w:rPr>
            </w:pPr>
          </w:p>
        </w:tc>
        <w:tc>
          <w:tcPr>
            <w:tcW w:w="1100" w:type="dxa"/>
            <w:vAlign w:val="bottom"/>
            <w:shd w:val="clear" w:color="auto" w:fill="232F84"/>
          </w:tcPr>
          <w:p>
            <w:pPr>
              <w:jc w:val="right"/>
              <w:ind w:right="223"/>
              <w:spacing w:after="0"/>
              <w:rPr>
                <w:sz w:val="20"/>
                <w:szCs w:val="20"/>
                <w:color w:val="auto"/>
              </w:rPr>
            </w:pPr>
            <w:r>
              <w:rPr>
                <w:rFonts w:ascii="Arial" w:cs="Arial" w:eastAsia="Arial" w:hAnsi="Arial"/>
                <w:sz w:val="11"/>
                <w:szCs w:val="11"/>
                <w:b w:val="1"/>
                <w:bCs w:val="1"/>
                <w:color w:val="FFFFFF"/>
              </w:rPr>
              <w:t>2019</w:t>
            </w:r>
          </w:p>
        </w:tc>
        <w:tc>
          <w:tcPr>
            <w:tcW w:w="720" w:type="dxa"/>
            <w:vAlign w:val="bottom"/>
            <w:shd w:val="clear" w:color="auto" w:fill="232F84"/>
          </w:tcPr>
          <w:p>
            <w:pPr>
              <w:spacing w:after="0"/>
              <w:rPr>
                <w:sz w:val="15"/>
                <w:szCs w:val="15"/>
                <w:color w:val="auto"/>
              </w:rPr>
            </w:pPr>
          </w:p>
        </w:tc>
      </w:tr>
      <w:tr>
        <w:trPr>
          <w:trHeight w:val="177"/>
        </w:trPr>
        <w:tc>
          <w:tcPr>
            <w:tcW w:w="44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 except percentages)</w:t>
            </w:r>
          </w:p>
        </w:tc>
        <w:tc>
          <w:tcPr>
            <w:tcW w:w="420" w:type="dxa"/>
            <w:vAlign w:val="bottom"/>
            <w:shd w:val="clear" w:color="auto" w:fill="232F84"/>
          </w:tcPr>
          <w:p>
            <w:pPr>
              <w:spacing w:after="0"/>
              <w:rPr>
                <w:sz w:val="15"/>
                <w:szCs w:val="15"/>
                <w:color w:val="auto"/>
              </w:rPr>
            </w:pPr>
          </w:p>
        </w:tc>
        <w:tc>
          <w:tcPr>
            <w:tcW w:w="1100" w:type="dxa"/>
            <w:vAlign w:val="bottom"/>
            <w:shd w:val="clear" w:color="auto" w:fill="232F84"/>
          </w:tcPr>
          <w:p>
            <w:pPr>
              <w:jc w:val="right"/>
              <w:ind w:right="383"/>
              <w:spacing w:after="0"/>
              <w:rPr>
                <w:sz w:val="20"/>
                <w:szCs w:val="20"/>
                <w:color w:val="auto"/>
              </w:rPr>
            </w:pPr>
            <w:r>
              <w:rPr>
                <w:rFonts w:ascii="Arial" w:cs="Arial" w:eastAsia="Arial" w:hAnsi="Arial"/>
                <w:sz w:val="11"/>
                <w:szCs w:val="11"/>
                <w:b w:val="1"/>
                <w:bCs w:val="1"/>
                <w:color w:val="FFFFFF"/>
              </w:rPr>
              <w:t>Dollar</w:t>
            </w:r>
          </w:p>
        </w:tc>
        <w:tc>
          <w:tcPr>
            <w:tcW w:w="80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w:t>
            </w:r>
          </w:p>
        </w:tc>
        <w:tc>
          <w:tcPr>
            <w:tcW w:w="2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663"/>
              <w:spacing w:after="0"/>
              <w:rPr>
                <w:sz w:val="20"/>
                <w:szCs w:val="20"/>
                <w:color w:val="auto"/>
              </w:rPr>
            </w:pPr>
            <w:r>
              <w:rPr>
                <w:rFonts w:ascii="Arial" w:cs="Arial" w:eastAsia="Arial" w:hAnsi="Arial"/>
                <w:sz w:val="11"/>
                <w:szCs w:val="11"/>
                <w:b w:val="1"/>
                <w:bCs w:val="1"/>
                <w:color w:val="FFFFFF"/>
              </w:rPr>
              <w:t>Dollar</w:t>
            </w:r>
          </w:p>
        </w:tc>
        <w:tc>
          <w:tcPr>
            <w:tcW w:w="4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t>
            </w:r>
          </w:p>
        </w:tc>
        <w:tc>
          <w:tcPr>
            <w:tcW w:w="460" w:type="dxa"/>
            <w:vAlign w:val="bottom"/>
            <w:shd w:val="clear" w:color="auto" w:fill="232F84"/>
          </w:tcPr>
          <w:p>
            <w:pPr>
              <w:spacing w:after="0"/>
              <w:rPr>
                <w:sz w:val="15"/>
                <w:szCs w:val="15"/>
                <w:color w:val="auto"/>
              </w:rPr>
            </w:pPr>
          </w:p>
        </w:tc>
        <w:tc>
          <w:tcPr>
            <w:tcW w:w="1100" w:type="dxa"/>
            <w:vAlign w:val="bottom"/>
            <w:shd w:val="clear" w:color="auto" w:fill="232F84"/>
          </w:tcPr>
          <w:p>
            <w:pPr>
              <w:jc w:val="right"/>
              <w:ind w:right="383"/>
              <w:spacing w:after="0"/>
              <w:rPr>
                <w:sz w:val="20"/>
                <w:szCs w:val="20"/>
                <w:color w:val="auto"/>
              </w:rPr>
            </w:pPr>
            <w:r>
              <w:rPr>
                <w:rFonts w:ascii="Arial" w:cs="Arial" w:eastAsia="Arial" w:hAnsi="Arial"/>
                <w:sz w:val="11"/>
                <w:szCs w:val="11"/>
                <w:b w:val="1"/>
                <w:bCs w:val="1"/>
                <w:color w:val="FFFFFF"/>
              </w:rPr>
              <w:t>Dollar</w:t>
            </w:r>
          </w:p>
        </w:tc>
        <w:tc>
          <w:tcPr>
            <w:tcW w:w="7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t>
            </w:r>
          </w:p>
        </w:tc>
      </w:tr>
      <w:tr>
        <w:trPr>
          <w:trHeight w:val="170"/>
        </w:trPr>
        <w:tc>
          <w:tcPr>
            <w:tcW w:w="4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Net sales</w:t>
            </w:r>
          </w:p>
        </w:tc>
        <w:tc>
          <w:tcPr>
            <w:tcW w:w="420" w:type="dxa"/>
            <w:vAlign w:val="bottom"/>
            <w:shd w:val="clear" w:color="auto" w:fill="43C0B9"/>
          </w:tcPr>
          <w:p>
            <w:pPr>
              <w:jc w:val="right"/>
              <w:ind w:right="28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891.7</w:t>
            </w: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100.0 %</w:t>
            </w:r>
          </w:p>
        </w:tc>
        <w:tc>
          <w:tcPr>
            <w:tcW w:w="280" w:type="dxa"/>
            <w:vAlign w:val="bottom"/>
            <w:shd w:val="clear" w:color="auto" w:fill="43C0B9"/>
          </w:tcPr>
          <w:p>
            <w:pPr>
              <w:jc w:val="right"/>
              <w:ind w:right="16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43C0B9"/>
          </w:tcPr>
          <w:p>
            <w:pPr>
              <w:jc w:val="right"/>
              <w:ind w:right="683"/>
              <w:spacing w:after="0"/>
              <w:rPr>
                <w:sz w:val="20"/>
                <w:szCs w:val="20"/>
                <w:color w:val="auto"/>
              </w:rPr>
            </w:pPr>
            <w:r>
              <w:rPr>
                <w:rFonts w:ascii="Arial" w:cs="Arial" w:eastAsia="Arial" w:hAnsi="Arial"/>
                <w:sz w:val="11"/>
                <w:szCs w:val="11"/>
                <w:color w:val="auto"/>
              </w:rPr>
              <w:t>862.3</w:t>
            </w:r>
          </w:p>
        </w:tc>
        <w:tc>
          <w:tcPr>
            <w:tcW w:w="4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100.0 %</w:t>
            </w:r>
          </w:p>
        </w:tc>
        <w:tc>
          <w:tcPr>
            <w:tcW w:w="460" w:type="dxa"/>
            <w:vAlign w:val="bottom"/>
            <w:shd w:val="clear" w:color="auto" w:fill="43C0B9"/>
          </w:tcPr>
          <w:p>
            <w:pPr>
              <w:jc w:val="right"/>
              <w:ind w:right="283"/>
              <w:spacing w:after="0"/>
              <w:rPr>
                <w:sz w:val="20"/>
                <w:szCs w:val="20"/>
                <w:color w:val="auto"/>
              </w:rPr>
            </w:pPr>
            <w:r>
              <w:rPr>
                <w:rFonts w:ascii="Arial" w:cs="Arial" w:eastAsia="Arial" w:hAnsi="Arial"/>
                <w:sz w:val="11"/>
                <w:szCs w:val="11"/>
                <w:color w:val="auto"/>
              </w:rPr>
              <w:t>$</w:t>
            </w: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883.3</w:t>
            </w:r>
          </w:p>
        </w:tc>
        <w:tc>
          <w:tcPr>
            <w:tcW w:w="7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100.0 %</w:t>
            </w:r>
          </w:p>
        </w:tc>
      </w:tr>
      <w:tr>
        <w:trPr>
          <w:trHeight w:val="16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767.2</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86.0 %</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color w:val="auto"/>
              </w:rPr>
              <w:t>737.7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85.6 %</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728.6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82.5 %</w:t>
            </w:r>
          </w:p>
        </w:tc>
      </w:tr>
      <w:tr>
        <w:trPr>
          <w:trHeight w:val="165"/>
        </w:trPr>
        <w:tc>
          <w:tcPr>
            <w:tcW w:w="4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Gross profit</w:t>
            </w:r>
          </w:p>
        </w:tc>
        <w:tc>
          <w:tcPr>
            <w:tcW w:w="420" w:type="dxa"/>
            <w:vAlign w:val="bottom"/>
            <w:shd w:val="clear" w:color="auto" w:fill="43C0B9"/>
          </w:tcPr>
          <w:p>
            <w:pPr>
              <w:spacing w:after="0"/>
              <w:rPr>
                <w:sz w:val="14"/>
                <w:szCs w:val="14"/>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124.5</w:t>
            </w: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14.0 %</w:t>
            </w:r>
          </w:p>
        </w:tc>
        <w:tc>
          <w:tcPr>
            <w:tcW w:w="280" w:type="dxa"/>
            <w:vAlign w:val="bottom"/>
            <w:shd w:val="clear" w:color="auto" w:fill="43C0B9"/>
          </w:tcPr>
          <w:p>
            <w:pPr>
              <w:spacing w:after="0"/>
              <w:rPr>
                <w:sz w:val="14"/>
                <w:szCs w:val="14"/>
                <w:color w:val="auto"/>
              </w:rPr>
            </w:pPr>
          </w:p>
        </w:tc>
        <w:tc>
          <w:tcPr>
            <w:tcW w:w="1500" w:type="dxa"/>
            <w:vAlign w:val="bottom"/>
            <w:shd w:val="clear" w:color="auto" w:fill="43C0B9"/>
          </w:tcPr>
          <w:p>
            <w:pPr>
              <w:jc w:val="right"/>
              <w:ind w:right="683"/>
              <w:spacing w:after="0"/>
              <w:rPr>
                <w:sz w:val="20"/>
                <w:szCs w:val="20"/>
                <w:color w:val="auto"/>
              </w:rPr>
            </w:pPr>
            <w:r>
              <w:rPr>
                <w:rFonts w:ascii="Arial" w:cs="Arial" w:eastAsia="Arial" w:hAnsi="Arial"/>
                <w:sz w:val="11"/>
                <w:szCs w:val="11"/>
                <w:color w:val="auto"/>
              </w:rPr>
              <w:t>124.6</w:t>
            </w:r>
          </w:p>
        </w:tc>
        <w:tc>
          <w:tcPr>
            <w:tcW w:w="4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14.4 %</w:t>
            </w:r>
          </w:p>
        </w:tc>
        <w:tc>
          <w:tcPr>
            <w:tcW w:w="460" w:type="dxa"/>
            <w:vAlign w:val="bottom"/>
            <w:shd w:val="clear" w:color="auto" w:fill="43C0B9"/>
          </w:tcPr>
          <w:p>
            <w:pPr>
              <w:spacing w:after="0"/>
              <w:rPr>
                <w:sz w:val="14"/>
                <w:szCs w:val="14"/>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154.7</w:t>
            </w:r>
          </w:p>
        </w:tc>
        <w:tc>
          <w:tcPr>
            <w:tcW w:w="7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17.5 %</w:t>
            </w:r>
          </w:p>
        </w:tc>
      </w:tr>
      <w:tr>
        <w:trPr>
          <w:trHeight w:val="16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63.6</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7.1 %</w:t>
            </w: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color w:val="auto"/>
              </w:rPr>
              <w:t>56.2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6.5 %</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48.2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5.5 %</w:t>
            </w:r>
          </w:p>
        </w:tc>
      </w:tr>
      <w:tr>
        <w:trPr>
          <w:trHeight w:val="165"/>
        </w:trPr>
        <w:tc>
          <w:tcPr>
            <w:tcW w:w="4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Operating income</w:t>
            </w:r>
          </w:p>
        </w:tc>
        <w:tc>
          <w:tcPr>
            <w:tcW w:w="420" w:type="dxa"/>
            <w:vAlign w:val="bottom"/>
            <w:shd w:val="clear" w:color="auto" w:fill="43C0B9"/>
          </w:tcPr>
          <w:p>
            <w:pPr>
              <w:spacing w:after="0"/>
              <w:rPr>
                <w:sz w:val="14"/>
                <w:szCs w:val="14"/>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60.9</w:t>
            </w: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6.8 %</w:t>
            </w:r>
          </w:p>
        </w:tc>
        <w:tc>
          <w:tcPr>
            <w:tcW w:w="280" w:type="dxa"/>
            <w:vAlign w:val="bottom"/>
            <w:shd w:val="clear" w:color="auto" w:fill="43C0B9"/>
          </w:tcPr>
          <w:p>
            <w:pPr>
              <w:spacing w:after="0"/>
              <w:rPr>
                <w:sz w:val="14"/>
                <w:szCs w:val="14"/>
                <w:color w:val="auto"/>
              </w:rPr>
            </w:pPr>
          </w:p>
        </w:tc>
        <w:tc>
          <w:tcPr>
            <w:tcW w:w="1500" w:type="dxa"/>
            <w:vAlign w:val="bottom"/>
            <w:shd w:val="clear" w:color="auto" w:fill="43C0B9"/>
          </w:tcPr>
          <w:p>
            <w:pPr>
              <w:jc w:val="right"/>
              <w:ind w:right="683"/>
              <w:spacing w:after="0"/>
              <w:rPr>
                <w:sz w:val="20"/>
                <w:szCs w:val="20"/>
                <w:color w:val="auto"/>
              </w:rPr>
            </w:pPr>
            <w:r>
              <w:rPr>
                <w:rFonts w:ascii="Arial" w:cs="Arial" w:eastAsia="Arial" w:hAnsi="Arial"/>
                <w:sz w:val="11"/>
                <w:szCs w:val="11"/>
                <w:color w:val="auto"/>
              </w:rPr>
              <w:t>68.4</w:t>
            </w:r>
          </w:p>
        </w:tc>
        <w:tc>
          <w:tcPr>
            <w:tcW w:w="4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7.9 %</w:t>
            </w:r>
          </w:p>
        </w:tc>
        <w:tc>
          <w:tcPr>
            <w:tcW w:w="460" w:type="dxa"/>
            <w:vAlign w:val="bottom"/>
            <w:shd w:val="clear" w:color="auto" w:fill="43C0B9"/>
          </w:tcPr>
          <w:p>
            <w:pPr>
              <w:spacing w:after="0"/>
              <w:rPr>
                <w:sz w:val="14"/>
                <w:szCs w:val="14"/>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106.5</w:t>
            </w:r>
          </w:p>
        </w:tc>
        <w:tc>
          <w:tcPr>
            <w:tcW w:w="7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12.1 %</w:t>
            </w:r>
          </w:p>
        </w:tc>
      </w:tr>
      <w:tr>
        <w:trPr>
          <w:trHeight w:val="166"/>
        </w:trPr>
        <w:tc>
          <w:tcPr>
            <w:tcW w:w="44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420" w:type="dxa"/>
            <w:vAlign w:val="bottom"/>
          </w:tcPr>
          <w:p>
            <w:pPr>
              <w:spacing w:after="0"/>
              <w:rPr>
                <w:sz w:val="14"/>
                <w:szCs w:val="14"/>
                <w:color w:val="auto"/>
              </w:rPr>
            </w:pPr>
          </w:p>
        </w:tc>
        <w:tc>
          <w:tcPr>
            <w:tcW w:w="1100" w:type="dxa"/>
            <w:vAlign w:val="bottom"/>
          </w:tcPr>
          <w:p>
            <w:pPr>
              <w:jc w:val="right"/>
              <w:ind w:right="403"/>
              <w:spacing w:after="0"/>
              <w:rPr>
                <w:sz w:val="20"/>
                <w:szCs w:val="20"/>
                <w:color w:val="auto"/>
              </w:rPr>
            </w:pPr>
            <w:r>
              <w:rPr>
                <w:rFonts w:ascii="Arial" w:cs="Arial" w:eastAsia="Arial" w:hAnsi="Arial"/>
                <w:sz w:val="11"/>
                <w:szCs w:val="11"/>
                <w:color w:val="auto"/>
              </w:rPr>
              <w:t>(3.7)</w:t>
            </w: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(0.4)%</w:t>
            </w:r>
          </w:p>
        </w:tc>
        <w:tc>
          <w:tcPr>
            <w:tcW w:w="280" w:type="dxa"/>
            <w:vAlign w:val="bottom"/>
          </w:tcPr>
          <w:p>
            <w:pPr>
              <w:spacing w:after="0"/>
              <w:rPr>
                <w:sz w:val="14"/>
                <w:szCs w:val="14"/>
                <w:color w:val="auto"/>
              </w:rPr>
            </w:pPr>
          </w:p>
        </w:tc>
        <w:tc>
          <w:tcPr>
            <w:tcW w:w="1500" w:type="dxa"/>
            <w:vAlign w:val="bottom"/>
          </w:tcPr>
          <w:p>
            <w:pPr>
              <w:jc w:val="right"/>
              <w:ind w:right="663"/>
              <w:spacing w:after="0"/>
              <w:rPr>
                <w:sz w:val="20"/>
                <w:szCs w:val="20"/>
                <w:color w:val="auto"/>
              </w:rPr>
            </w:pPr>
            <w:r>
              <w:rPr>
                <w:rFonts w:ascii="Arial" w:cs="Arial" w:eastAsia="Arial" w:hAnsi="Arial"/>
                <w:sz w:val="11"/>
                <w:szCs w:val="11"/>
                <w:color w:val="auto"/>
              </w:rPr>
              <w:t>(6.7)</w:t>
            </w:r>
          </w:p>
        </w:tc>
        <w:tc>
          <w:tcPr>
            <w:tcW w:w="480" w:type="dxa"/>
            <w:vAlign w:val="bottom"/>
          </w:tcPr>
          <w:p>
            <w:pPr>
              <w:jc w:val="right"/>
              <w:spacing w:after="0"/>
              <w:rPr>
                <w:sz w:val="20"/>
                <w:szCs w:val="20"/>
                <w:color w:val="auto"/>
              </w:rPr>
            </w:pPr>
            <w:r>
              <w:rPr>
                <w:rFonts w:ascii="Arial" w:cs="Arial" w:eastAsia="Arial" w:hAnsi="Arial"/>
                <w:sz w:val="11"/>
                <w:szCs w:val="11"/>
                <w:color w:val="auto"/>
              </w:rPr>
              <w:t>(0.8)%</w:t>
            </w:r>
          </w:p>
        </w:tc>
        <w:tc>
          <w:tcPr>
            <w:tcW w:w="460" w:type="dxa"/>
            <w:vAlign w:val="bottom"/>
          </w:tcPr>
          <w:p>
            <w:pPr>
              <w:spacing w:after="0"/>
              <w:rPr>
                <w:sz w:val="14"/>
                <w:szCs w:val="14"/>
                <w:color w:val="auto"/>
              </w:rPr>
            </w:pPr>
          </w:p>
        </w:tc>
        <w:tc>
          <w:tcPr>
            <w:tcW w:w="1100" w:type="dxa"/>
            <w:vAlign w:val="bottom"/>
          </w:tcPr>
          <w:p>
            <w:pPr>
              <w:jc w:val="right"/>
              <w:ind w:right="383"/>
              <w:spacing w:after="0"/>
              <w:rPr>
                <w:sz w:val="20"/>
                <w:szCs w:val="20"/>
                <w:color w:val="auto"/>
              </w:rPr>
            </w:pPr>
            <w:r>
              <w:rPr>
                <w:rFonts w:ascii="Arial" w:cs="Arial" w:eastAsia="Arial" w:hAnsi="Arial"/>
                <w:sz w:val="11"/>
                <w:szCs w:val="11"/>
                <w:color w:val="auto"/>
              </w:rPr>
              <w:t>(10.3)</w:t>
            </w: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74"/>
        </w:trPr>
        <w:tc>
          <w:tcPr>
            <w:tcW w:w="4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Equity method income</w:t>
            </w:r>
          </w:p>
        </w:tc>
        <w:tc>
          <w:tcPr>
            <w:tcW w:w="42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7.5</w:t>
            </w: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0.8 %</w:t>
            </w:r>
          </w:p>
        </w:tc>
        <w:tc>
          <w:tcPr>
            <w:tcW w:w="2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83"/>
              <w:spacing w:after="0"/>
              <w:rPr>
                <w:sz w:val="20"/>
                <w:szCs w:val="20"/>
                <w:color w:val="auto"/>
              </w:rPr>
            </w:pPr>
            <w:r>
              <w:rPr>
                <w:rFonts w:ascii="Arial" w:cs="Arial" w:eastAsia="Arial" w:hAnsi="Arial"/>
                <w:sz w:val="11"/>
                <w:szCs w:val="11"/>
                <w:color w:val="auto"/>
              </w:rPr>
              <w:t>4.0</w:t>
            </w:r>
          </w:p>
        </w:tc>
        <w:tc>
          <w:tcPr>
            <w:tcW w:w="4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0.5 %</w:t>
            </w:r>
          </w:p>
        </w:tc>
        <w:tc>
          <w:tcPr>
            <w:tcW w:w="4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3.4</w:t>
            </w:r>
          </w:p>
        </w:tc>
        <w:tc>
          <w:tcPr>
            <w:tcW w:w="7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0.4 %</w:t>
            </w:r>
          </w:p>
        </w:tc>
      </w:tr>
      <w:tr>
        <w:trPr>
          <w:trHeight w:val="166"/>
        </w:trPr>
        <w:tc>
          <w:tcPr>
            <w:tcW w:w="4400" w:type="dxa"/>
            <w:vAlign w:val="bottom"/>
          </w:tcPr>
          <w:p>
            <w:pPr>
              <w:ind w:left="20"/>
              <w:spacing w:after="0"/>
              <w:rPr>
                <w:sz w:val="20"/>
                <w:szCs w:val="20"/>
                <w:color w:val="auto"/>
              </w:rPr>
            </w:pPr>
            <w:r>
              <w:rPr>
                <w:rFonts w:ascii="Arial" w:cs="Arial" w:eastAsia="Arial" w:hAnsi="Arial"/>
                <w:sz w:val="11"/>
                <w:szCs w:val="11"/>
                <w:color w:val="auto"/>
              </w:rPr>
              <w:t>Impairment on equity method investment</w:t>
            </w:r>
          </w:p>
        </w:tc>
        <w:tc>
          <w:tcPr>
            <w:tcW w:w="420" w:type="dxa"/>
            <w:vAlign w:val="bottom"/>
          </w:tcPr>
          <w:p>
            <w:pPr>
              <w:spacing w:after="0"/>
              <w:rPr>
                <w:sz w:val="14"/>
                <w:szCs w:val="14"/>
                <w:color w:val="auto"/>
              </w:rPr>
            </w:pPr>
          </w:p>
        </w:tc>
        <w:tc>
          <w:tcPr>
            <w:tcW w:w="110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4"/>
                <w:szCs w:val="14"/>
                <w:color w:val="auto"/>
              </w:rPr>
            </w:pPr>
          </w:p>
        </w:tc>
        <w:tc>
          <w:tcPr>
            <w:tcW w:w="1500" w:type="dxa"/>
            <w:vAlign w:val="bottom"/>
          </w:tcPr>
          <w:p>
            <w:pPr>
              <w:jc w:val="right"/>
              <w:ind w:right="663"/>
              <w:spacing w:after="0"/>
              <w:rPr>
                <w:sz w:val="20"/>
                <w:szCs w:val="20"/>
                <w:color w:val="auto"/>
              </w:rPr>
            </w:pPr>
            <w:r>
              <w:rPr>
                <w:rFonts w:ascii="Arial" w:cs="Arial" w:eastAsia="Arial" w:hAnsi="Arial"/>
                <w:sz w:val="11"/>
                <w:szCs w:val="11"/>
                <w:color w:val="auto"/>
              </w:rPr>
              <w:t>(21.2)</w:t>
            </w:r>
          </w:p>
        </w:tc>
        <w:tc>
          <w:tcPr>
            <w:tcW w:w="480" w:type="dxa"/>
            <w:vAlign w:val="bottom"/>
          </w:tcPr>
          <w:p>
            <w:pPr>
              <w:jc w:val="right"/>
              <w:spacing w:after="0"/>
              <w:rPr>
                <w:sz w:val="20"/>
                <w:szCs w:val="20"/>
                <w:color w:val="auto"/>
              </w:rPr>
            </w:pPr>
            <w:r>
              <w:rPr>
                <w:rFonts w:ascii="Arial" w:cs="Arial" w:eastAsia="Arial" w:hAnsi="Arial"/>
                <w:sz w:val="11"/>
                <w:szCs w:val="11"/>
                <w:color w:val="auto"/>
              </w:rPr>
              <w:t>(2.5)%</w:t>
            </w:r>
          </w:p>
        </w:tc>
        <w:tc>
          <w:tcPr>
            <w:tcW w:w="460" w:type="dxa"/>
            <w:vAlign w:val="bottom"/>
          </w:tcPr>
          <w:p>
            <w:pPr>
              <w:spacing w:after="0"/>
              <w:rPr>
                <w:sz w:val="14"/>
                <w:szCs w:val="14"/>
                <w:color w:val="auto"/>
              </w:rPr>
            </w:pPr>
          </w:p>
        </w:tc>
        <w:tc>
          <w:tcPr>
            <w:tcW w:w="110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70"/>
        </w:trPr>
        <w:tc>
          <w:tcPr>
            <w:tcW w:w="4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 income (expense), net</w:t>
            </w:r>
          </w:p>
        </w:tc>
        <w:tc>
          <w:tcPr>
            <w:tcW w:w="42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1.3</w:t>
            </w:r>
          </w:p>
        </w:tc>
        <w:tc>
          <w:tcPr>
            <w:tcW w:w="8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0.1 %</w:t>
            </w:r>
          </w:p>
        </w:tc>
        <w:tc>
          <w:tcPr>
            <w:tcW w:w="2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663"/>
              <w:spacing w:after="0"/>
              <w:rPr>
                <w:sz w:val="20"/>
                <w:szCs w:val="20"/>
                <w:color w:val="auto"/>
              </w:rPr>
            </w:pPr>
            <w:r>
              <w:rPr>
                <w:rFonts w:ascii="Arial" w:cs="Arial" w:eastAsia="Arial" w:hAnsi="Arial"/>
                <w:sz w:val="11"/>
                <w:szCs w:val="11"/>
                <w:color w:val="auto"/>
              </w:rPr>
              <w:t>(0.7)</w:t>
            </w:r>
          </w:p>
        </w:tc>
        <w:tc>
          <w:tcPr>
            <w:tcW w:w="4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(0.1)%</w:t>
            </w:r>
          </w:p>
        </w:tc>
        <w:tc>
          <w:tcPr>
            <w:tcW w:w="46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383"/>
              <w:spacing w:after="0"/>
              <w:rPr>
                <w:sz w:val="20"/>
                <w:szCs w:val="20"/>
                <w:color w:val="auto"/>
              </w:rPr>
            </w:pPr>
            <w:r>
              <w:rPr>
                <w:rFonts w:ascii="Arial" w:cs="Arial" w:eastAsia="Arial" w:hAnsi="Arial"/>
                <w:sz w:val="11"/>
                <w:szCs w:val="11"/>
                <w:color w:val="auto"/>
              </w:rPr>
              <w:t>(3.6)</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(0.4)%</w:t>
            </w:r>
          </w:p>
        </w:tc>
      </w:tr>
      <w:tr>
        <w:trPr>
          <w:trHeight w:val="160"/>
        </w:trPr>
        <w:tc>
          <w:tcPr>
            <w:tcW w:w="4400" w:type="dxa"/>
            <w:vAlign w:val="bottom"/>
          </w:tcPr>
          <w:p>
            <w:pPr>
              <w:ind w:left="20"/>
              <w:spacing w:after="0"/>
              <w:rPr>
                <w:sz w:val="20"/>
                <w:szCs w:val="20"/>
                <w:color w:val="auto"/>
              </w:rPr>
            </w:pPr>
            <w:r>
              <w:rPr>
                <w:rFonts w:ascii="Arial" w:cs="Arial" w:eastAsia="Arial" w:hAnsi="Arial"/>
                <w:sz w:val="11"/>
                <w:szCs w:val="11"/>
                <w:color w:val="auto"/>
              </w:rPr>
              <w:t>Income before income taxes</w:t>
            </w:r>
          </w:p>
        </w:tc>
        <w:tc>
          <w:tcPr>
            <w:tcW w:w="420" w:type="dxa"/>
            <w:vAlign w:val="bottom"/>
          </w:tcPr>
          <w:p>
            <w:pPr>
              <w:spacing w:after="0"/>
              <w:rPr>
                <w:sz w:val="13"/>
                <w:szCs w:val="13"/>
                <w:color w:val="auto"/>
              </w:rPr>
            </w:pPr>
          </w:p>
        </w:tc>
        <w:tc>
          <w:tcPr>
            <w:tcW w:w="1100" w:type="dxa"/>
            <w:vAlign w:val="bottom"/>
          </w:tcPr>
          <w:p>
            <w:pPr>
              <w:jc w:val="right"/>
              <w:ind w:right="423"/>
              <w:spacing w:after="0"/>
              <w:rPr>
                <w:sz w:val="20"/>
                <w:szCs w:val="20"/>
                <w:color w:val="auto"/>
              </w:rPr>
            </w:pPr>
            <w:r>
              <w:rPr>
                <w:rFonts w:ascii="Arial" w:cs="Arial" w:eastAsia="Arial" w:hAnsi="Arial"/>
                <w:sz w:val="11"/>
                <w:szCs w:val="11"/>
                <w:color w:val="auto"/>
              </w:rPr>
              <w:t>66.0</w:t>
            </w: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7.4 %</w:t>
            </w:r>
          </w:p>
        </w:tc>
        <w:tc>
          <w:tcPr>
            <w:tcW w:w="280" w:type="dxa"/>
            <w:vAlign w:val="bottom"/>
          </w:tcPr>
          <w:p>
            <w:pPr>
              <w:spacing w:after="0"/>
              <w:rPr>
                <w:sz w:val="13"/>
                <w:szCs w:val="13"/>
                <w:color w:val="auto"/>
              </w:rPr>
            </w:pPr>
          </w:p>
        </w:tc>
        <w:tc>
          <w:tcPr>
            <w:tcW w:w="1500" w:type="dxa"/>
            <w:vAlign w:val="bottom"/>
          </w:tcPr>
          <w:p>
            <w:pPr>
              <w:jc w:val="right"/>
              <w:ind w:right="683"/>
              <w:spacing w:after="0"/>
              <w:rPr>
                <w:sz w:val="20"/>
                <w:szCs w:val="20"/>
                <w:color w:val="auto"/>
              </w:rPr>
            </w:pPr>
            <w:r>
              <w:rPr>
                <w:rFonts w:ascii="Arial" w:cs="Arial" w:eastAsia="Arial" w:hAnsi="Arial"/>
                <w:sz w:val="11"/>
                <w:szCs w:val="11"/>
                <w:color w:val="auto"/>
              </w:rPr>
              <w:t>43.8</w:t>
            </w:r>
          </w:p>
        </w:tc>
        <w:tc>
          <w:tcPr>
            <w:tcW w:w="480" w:type="dxa"/>
            <w:vAlign w:val="bottom"/>
          </w:tcPr>
          <w:p>
            <w:pPr>
              <w:jc w:val="right"/>
              <w:spacing w:after="0"/>
              <w:rPr>
                <w:sz w:val="20"/>
                <w:szCs w:val="20"/>
                <w:color w:val="auto"/>
              </w:rPr>
            </w:pPr>
            <w:r>
              <w:rPr>
                <w:rFonts w:ascii="Arial" w:cs="Arial" w:eastAsia="Arial" w:hAnsi="Arial"/>
                <w:sz w:val="11"/>
                <w:szCs w:val="11"/>
                <w:color w:val="auto"/>
              </w:rPr>
              <w:t>5.1 %</w:t>
            </w:r>
          </w:p>
        </w:tc>
        <w:tc>
          <w:tcPr>
            <w:tcW w:w="460" w:type="dxa"/>
            <w:vAlign w:val="bottom"/>
          </w:tcPr>
          <w:p>
            <w:pPr>
              <w:spacing w:after="0"/>
              <w:rPr>
                <w:sz w:val="13"/>
                <w:szCs w:val="13"/>
                <w:color w:val="auto"/>
              </w:rPr>
            </w:pPr>
          </w:p>
        </w:tc>
        <w:tc>
          <w:tcPr>
            <w:tcW w:w="1100" w:type="dxa"/>
            <w:vAlign w:val="bottom"/>
          </w:tcPr>
          <w:p>
            <w:pPr>
              <w:jc w:val="right"/>
              <w:ind w:right="423"/>
              <w:spacing w:after="0"/>
              <w:rPr>
                <w:sz w:val="20"/>
                <w:szCs w:val="20"/>
                <w:color w:val="auto"/>
              </w:rPr>
            </w:pPr>
            <w:r>
              <w:rPr>
                <w:rFonts w:ascii="Arial" w:cs="Arial" w:eastAsia="Arial" w:hAnsi="Arial"/>
                <w:sz w:val="11"/>
                <w:szCs w:val="11"/>
                <w:color w:val="auto"/>
              </w:rPr>
              <w:t>96.0</w:t>
            </w:r>
          </w:p>
        </w:tc>
        <w:tc>
          <w:tcPr>
            <w:tcW w:w="720" w:type="dxa"/>
            <w:vAlign w:val="bottom"/>
          </w:tcPr>
          <w:p>
            <w:pPr>
              <w:jc w:val="right"/>
              <w:spacing w:after="0"/>
              <w:rPr>
                <w:sz w:val="20"/>
                <w:szCs w:val="20"/>
                <w:color w:val="auto"/>
              </w:rPr>
            </w:pPr>
            <w:r>
              <w:rPr>
                <w:rFonts w:ascii="Arial" w:cs="Arial" w:eastAsia="Arial" w:hAnsi="Arial"/>
                <w:sz w:val="11"/>
                <w:szCs w:val="11"/>
                <w:color w:val="auto"/>
              </w:rPr>
              <w:t>10.9 %</w:t>
            </w:r>
          </w:p>
        </w:tc>
      </w:tr>
      <w:tr>
        <w:trPr>
          <w:trHeight w:val="170"/>
        </w:trPr>
        <w:tc>
          <w:tcPr>
            <w:tcW w:w="4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Provision for income taxes</w:t>
            </w:r>
          </w:p>
        </w:tc>
        <w:tc>
          <w:tcPr>
            <w:tcW w:w="42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21.1</w:t>
            </w:r>
          </w:p>
        </w:tc>
        <w:tc>
          <w:tcPr>
            <w:tcW w:w="8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2.4 %</w:t>
            </w:r>
          </w:p>
        </w:tc>
        <w:tc>
          <w:tcPr>
            <w:tcW w:w="2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683"/>
              <w:spacing w:after="0"/>
              <w:rPr>
                <w:sz w:val="20"/>
                <w:szCs w:val="20"/>
                <w:color w:val="auto"/>
              </w:rPr>
            </w:pPr>
            <w:r>
              <w:rPr>
                <w:rFonts w:ascii="Arial" w:cs="Arial" w:eastAsia="Arial" w:hAnsi="Arial"/>
                <w:sz w:val="11"/>
                <w:szCs w:val="11"/>
                <w:color w:val="auto"/>
              </w:rPr>
              <w:t>15.0</w:t>
            </w:r>
          </w:p>
        </w:tc>
        <w:tc>
          <w:tcPr>
            <w:tcW w:w="4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1.7 %</w:t>
            </w:r>
          </w:p>
        </w:tc>
        <w:tc>
          <w:tcPr>
            <w:tcW w:w="46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24.3</w:t>
            </w:r>
          </w:p>
        </w:tc>
        <w:tc>
          <w:tcPr>
            <w:tcW w:w="7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2.8 %</w:t>
            </w:r>
          </w:p>
        </w:tc>
      </w:tr>
      <w:tr>
        <w:trPr>
          <w:trHeight w:val="16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44.9</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5.0 %</w:t>
            </w: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color w:val="auto"/>
              </w:rPr>
              <w:t>28.8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3.3 %</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71.7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8.1 %</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Net sales</w:t>
      </w:r>
    </w:p>
    <w:p>
      <w:pPr>
        <w:spacing w:after="0" w:line="162" w:lineRule="exact"/>
        <w:rPr>
          <w:sz w:val="20"/>
          <w:szCs w:val="20"/>
          <w:color w:val="auto"/>
        </w:rPr>
      </w:pPr>
    </w:p>
    <w:p>
      <w:pPr>
        <w:ind w:right="240" w:firstLine="509"/>
        <w:spacing w:after="0" w:line="241" w:lineRule="auto"/>
        <w:rPr>
          <w:sz w:val="20"/>
          <w:szCs w:val="20"/>
          <w:color w:val="auto"/>
        </w:rPr>
      </w:pPr>
      <w:r>
        <w:rPr>
          <w:rFonts w:ascii="Arial" w:cs="Arial" w:eastAsia="Arial" w:hAnsi="Arial"/>
          <w:sz w:val="13"/>
          <w:szCs w:val="13"/>
          <w:color w:val="auto"/>
        </w:rPr>
        <w:t>Our net sales are generated predominantly from the shipment of fresh avocados to retail, wholesale and foodservice customers worldwide. Our net sales are affected by numerous factors, including mainly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shd w:val="clear" w:color="auto" w:fill="232F84"/>
          </w:tcPr>
          <w:p>
            <w:pPr>
              <w:spacing w:after="0"/>
              <w:rPr>
                <w:sz w:val="15"/>
                <w:szCs w:val="15"/>
                <w:color w:val="auto"/>
              </w:rPr>
            </w:pPr>
          </w:p>
        </w:tc>
        <w:tc>
          <w:tcPr>
            <w:tcW w:w="54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560" w:type="dxa"/>
            <w:vAlign w:val="bottom"/>
            <w:shd w:val="clear" w:color="auto" w:fill="232F84"/>
          </w:tcPr>
          <w:p>
            <w:pPr>
              <w:spacing w:after="0"/>
              <w:rPr>
                <w:sz w:val="15"/>
                <w:szCs w:val="15"/>
                <w:color w:val="auto"/>
              </w:rPr>
            </w:pPr>
          </w:p>
        </w:tc>
        <w:tc>
          <w:tcPr>
            <w:tcW w:w="780" w:type="dxa"/>
            <w:vAlign w:val="bottom"/>
            <w:shd w:val="clear" w:color="auto" w:fill="232F84"/>
          </w:tcPr>
          <w:p>
            <w:pPr>
              <w:spacing w:after="0"/>
              <w:rPr>
                <w:sz w:val="15"/>
                <w:szCs w:val="15"/>
                <w:color w:val="auto"/>
              </w:rPr>
            </w:pPr>
          </w:p>
        </w:tc>
      </w:tr>
      <w:tr>
        <w:trPr>
          <w:trHeight w:val="175"/>
        </w:trPr>
        <w:tc>
          <w:tcPr>
            <w:tcW w:w="71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40" w:type="dxa"/>
            <w:vAlign w:val="bottom"/>
            <w:shd w:val="clear" w:color="auto" w:fill="232F84"/>
          </w:tcPr>
          <w:p>
            <w:pPr>
              <w:spacing w:after="0"/>
              <w:rPr>
                <w:sz w:val="15"/>
                <w:szCs w:val="15"/>
                <w:color w:val="auto"/>
              </w:rPr>
            </w:pPr>
          </w:p>
        </w:tc>
        <w:tc>
          <w:tcPr>
            <w:tcW w:w="82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560" w:type="dxa"/>
            <w:vAlign w:val="bottom"/>
            <w:shd w:val="clear" w:color="auto" w:fill="232F84"/>
          </w:tcPr>
          <w:p>
            <w:pPr>
              <w:spacing w:after="0"/>
              <w:rPr>
                <w:sz w:val="15"/>
                <w:szCs w:val="15"/>
                <w:color w:val="auto"/>
              </w:rPr>
            </w:pPr>
          </w:p>
        </w:tc>
        <w:tc>
          <w:tcPr>
            <w:tcW w:w="8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560" w:type="dxa"/>
            <w:vAlign w:val="bottom"/>
            <w:shd w:val="clear" w:color="auto" w:fill="232F84"/>
          </w:tcPr>
          <w:p>
            <w:pPr>
              <w:spacing w:after="0"/>
              <w:rPr>
                <w:sz w:val="15"/>
                <w:szCs w:val="15"/>
                <w:color w:val="auto"/>
              </w:rPr>
            </w:pPr>
          </w:p>
        </w:tc>
        <w:tc>
          <w:tcPr>
            <w:tcW w:w="7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7180" w:type="dxa"/>
            <w:vAlign w:val="bottom"/>
            <w:shd w:val="clear" w:color="auto" w:fill="43C0B9"/>
          </w:tcPr>
          <w:p>
            <w:pPr>
              <w:ind w:left="20"/>
              <w:spacing w:after="0"/>
              <w:rPr>
                <w:sz w:val="20"/>
                <w:szCs w:val="20"/>
                <w:color w:val="auto"/>
              </w:rPr>
            </w:pPr>
            <w:r>
              <w:rPr>
                <w:rFonts w:ascii="Arial" w:cs="Arial" w:eastAsia="Arial" w:hAnsi="Arial"/>
                <w:sz w:val="11"/>
                <w:szCs w:val="11"/>
                <w:color w:val="auto"/>
              </w:rPr>
              <w:t>Net sales:</w:t>
            </w:r>
          </w:p>
        </w:tc>
        <w:tc>
          <w:tcPr>
            <w:tcW w:w="54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8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780" w:type="dxa"/>
            <w:vAlign w:val="bottom"/>
            <w:shd w:val="clear" w:color="auto" w:fill="43C0B9"/>
          </w:tcPr>
          <w:p>
            <w:pPr>
              <w:spacing w:after="0"/>
              <w:rPr>
                <w:sz w:val="14"/>
                <w:szCs w:val="14"/>
                <w:color w:val="auto"/>
              </w:rPr>
            </w:pPr>
          </w:p>
        </w:tc>
      </w:tr>
      <w:tr>
        <w:trPr>
          <w:trHeight w:val="166"/>
        </w:trPr>
        <w:tc>
          <w:tcPr>
            <w:tcW w:w="7180" w:type="dxa"/>
            <w:vAlign w:val="bottom"/>
          </w:tcPr>
          <w:p>
            <w:pPr>
              <w:ind w:left="180"/>
              <w:spacing w:after="0"/>
              <w:rPr>
                <w:sz w:val="20"/>
                <w:szCs w:val="20"/>
                <w:color w:val="auto"/>
              </w:rPr>
            </w:pPr>
            <w:r>
              <w:rPr>
                <w:rFonts w:ascii="Arial" w:cs="Arial" w:eastAsia="Arial" w:hAnsi="Arial"/>
                <w:sz w:val="11"/>
                <w:szCs w:val="11"/>
                <w:color w:val="auto"/>
              </w:rPr>
              <w:t>Marketing and Distribution</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23"/>
              <w:spacing w:after="0"/>
              <w:rPr>
                <w:sz w:val="20"/>
                <w:szCs w:val="20"/>
                <w:color w:val="auto"/>
              </w:rPr>
            </w:pPr>
            <w:r>
              <w:rPr>
                <w:rFonts w:ascii="Arial" w:cs="Arial" w:eastAsia="Arial" w:hAnsi="Arial"/>
                <w:sz w:val="11"/>
                <w:szCs w:val="11"/>
                <w:color w:val="auto"/>
              </w:rPr>
              <w:t>872.0</w:t>
            </w:r>
          </w:p>
        </w:tc>
        <w:tc>
          <w:tcPr>
            <w:tcW w:w="560" w:type="dxa"/>
            <w:vAlign w:val="bottom"/>
          </w:tcPr>
          <w:p>
            <w:pPr>
              <w:ind w:left="6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43"/>
              <w:spacing w:after="0"/>
              <w:rPr>
                <w:sz w:val="20"/>
                <w:szCs w:val="20"/>
                <w:color w:val="auto"/>
              </w:rPr>
            </w:pPr>
            <w:r>
              <w:rPr>
                <w:rFonts w:ascii="Arial" w:cs="Arial" w:eastAsia="Arial" w:hAnsi="Arial"/>
                <w:sz w:val="11"/>
                <w:szCs w:val="11"/>
                <w:color w:val="auto"/>
              </w:rPr>
              <w:t>846.9</w:t>
            </w:r>
          </w:p>
        </w:tc>
        <w:tc>
          <w:tcPr>
            <w:tcW w:w="56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873.7</w:t>
            </w:r>
          </w:p>
        </w:tc>
      </w:tr>
      <w:tr>
        <w:trPr>
          <w:trHeight w:val="170"/>
        </w:trPr>
        <w:tc>
          <w:tcPr>
            <w:tcW w:w="7180" w:type="dxa"/>
            <w:vAlign w:val="bottom"/>
            <w:tcBorders>
              <w:bottom w:val="single" w:sz="8" w:color="auto"/>
            </w:tcBorders>
            <w:shd w:val="clear" w:color="auto" w:fill="43C0B9"/>
          </w:tcPr>
          <w:p>
            <w:pPr>
              <w:ind w:left="180"/>
              <w:spacing w:after="0"/>
              <w:rPr>
                <w:sz w:val="20"/>
                <w:szCs w:val="20"/>
                <w:color w:val="auto"/>
              </w:rPr>
            </w:pPr>
            <w:r>
              <w:rPr>
                <w:rFonts w:ascii="Arial" w:cs="Arial" w:eastAsia="Arial" w:hAnsi="Arial"/>
                <w:sz w:val="11"/>
                <w:szCs w:val="11"/>
                <w:color w:val="auto"/>
              </w:rPr>
              <w:t>International Farming</w:t>
            </w:r>
          </w:p>
        </w:tc>
        <w:tc>
          <w:tcPr>
            <w:tcW w:w="540" w:type="dxa"/>
            <w:vAlign w:val="bottom"/>
            <w:tcBorders>
              <w:bottom w:val="single" w:sz="8" w:color="auto"/>
            </w:tcBorders>
            <w:shd w:val="clear" w:color="auto" w:fill="43C0B9"/>
          </w:tcPr>
          <w:p>
            <w:pPr>
              <w:spacing w:after="0"/>
              <w:rPr>
                <w:sz w:val="14"/>
                <w:szCs w:val="14"/>
                <w:color w:val="auto"/>
              </w:rPr>
            </w:pPr>
          </w:p>
        </w:tc>
        <w:tc>
          <w:tcPr>
            <w:tcW w:w="8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19.7</w:t>
            </w:r>
          </w:p>
        </w:tc>
        <w:tc>
          <w:tcPr>
            <w:tcW w:w="560" w:type="dxa"/>
            <w:vAlign w:val="bottom"/>
            <w:tcBorders>
              <w:bottom w:val="single" w:sz="8" w:color="auto"/>
            </w:tcBorders>
            <w:shd w:val="clear" w:color="auto" w:fill="43C0B9"/>
          </w:tcPr>
          <w:p>
            <w:pPr>
              <w:spacing w:after="0"/>
              <w:rPr>
                <w:sz w:val="14"/>
                <w:szCs w:val="14"/>
                <w:color w:val="auto"/>
              </w:rPr>
            </w:pPr>
          </w:p>
        </w:tc>
        <w:tc>
          <w:tcPr>
            <w:tcW w:w="84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15.4</w:t>
            </w:r>
          </w:p>
        </w:tc>
        <w:tc>
          <w:tcPr>
            <w:tcW w:w="560" w:type="dxa"/>
            <w:vAlign w:val="bottom"/>
            <w:tcBorders>
              <w:bottom w:val="single" w:sz="8" w:color="auto"/>
            </w:tcBorders>
            <w:shd w:val="clear" w:color="auto" w:fill="43C0B9"/>
          </w:tcPr>
          <w:p>
            <w:pPr>
              <w:spacing w:after="0"/>
              <w:rPr>
                <w:sz w:val="14"/>
                <w:szCs w:val="14"/>
                <w:color w:val="auto"/>
              </w:rPr>
            </w:pPr>
          </w:p>
        </w:tc>
        <w:tc>
          <w:tcPr>
            <w:tcW w:w="7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9.6</w:t>
            </w:r>
          </w:p>
        </w:tc>
      </w:tr>
      <w:tr>
        <w:trPr>
          <w:trHeight w:val="16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net sales</w:t>
            </w:r>
          </w:p>
        </w:tc>
        <w:tc>
          <w:tcPr>
            <w:tcW w:w="5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891.7</w:t>
            </w: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862.3</w:t>
            </w:r>
          </w:p>
        </w:tc>
        <w:tc>
          <w:tcPr>
            <w:tcW w:w="5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883.3</w:t>
            </w:r>
          </w:p>
        </w:tc>
      </w:tr>
    </w:tbl>
    <w:p>
      <w:pPr>
        <w:spacing w:after="0" w:line="235" w:lineRule="exact"/>
        <w:rPr>
          <w:sz w:val="20"/>
          <w:szCs w:val="20"/>
          <w:color w:val="auto"/>
        </w:rPr>
      </w:pPr>
    </w:p>
    <w:p>
      <w:pPr>
        <w:jc w:val="both"/>
        <w:ind w:right="60" w:firstLine="509"/>
        <w:spacing w:after="0" w:line="241" w:lineRule="auto"/>
        <w:rPr>
          <w:sz w:val="20"/>
          <w:szCs w:val="20"/>
          <w:color w:val="auto"/>
        </w:rPr>
      </w:pPr>
      <w:r>
        <w:rPr>
          <w:rFonts w:ascii="Arial" w:cs="Arial" w:eastAsia="Arial" w:hAnsi="Arial"/>
          <w:sz w:val="13"/>
          <w:szCs w:val="13"/>
          <w:color w:val="auto"/>
        </w:rPr>
        <w:t>Net sales increased $29.4 million or 3% in fiscal year 2021 compared to fiscal year 2020, primarily due to a 5% increase in avocado volume sold, partially offset by a 2% decrease in average per-unit avocado sales prices, both of which were driven by increased supply from Mexico and Peru. Higher volumes and lower pricing were concentrated in the first half of the fiscal year when Mexico was the country of origin for the majority of the fruit sold.</w:t>
      </w: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1" w:name="page22"/>
    <w:bookmarkEnd w:id="21"/>
    <w:p>
      <w:pPr>
        <w:ind w:right="120" w:firstLine="509"/>
        <w:spacing w:after="0" w:line="241" w:lineRule="auto"/>
        <w:rPr>
          <w:sz w:val="20"/>
          <w:szCs w:val="20"/>
          <w:color w:val="auto"/>
        </w:rPr>
      </w:pPr>
      <w:r>
        <w:rPr>
          <w:rFonts w:ascii="Arial" w:cs="Arial" w:eastAsia="Arial" w:hAnsi="Arial"/>
          <w:sz w:val="13"/>
          <w:szCs w:val="13"/>
          <w:color w:val="auto"/>
        </w:rPr>
        <w:t>Net sales decreased $21.0 million or 2% in fiscal year 2020 compared to fiscal year 2019 primarily due to a 12% decrease in average per unit sales prices partially offset by an 11% increase in volume. Average price decreases were concentrated in the second half of fiscal year 2020 primarily due to strong industry supply relative to prior year in California and Peru related to weather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Gross profit</w:t>
      </w:r>
    </w:p>
    <w:p>
      <w:pPr>
        <w:spacing w:after="0" w:line="162"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55" w:lineRule="exact"/>
        <w:rPr>
          <w:sz w:val="20"/>
          <w:szCs w:val="20"/>
          <w:color w:val="auto"/>
        </w:rPr>
      </w:pPr>
    </w:p>
    <w:p>
      <w:pPr>
        <w:ind w:right="100" w:firstLine="509"/>
        <w:spacing w:after="0"/>
        <w:rPr>
          <w:sz w:val="20"/>
          <w:szCs w:val="20"/>
          <w:color w:val="auto"/>
        </w:rPr>
      </w:pPr>
      <w:r>
        <w:rPr>
          <w:rFonts w:ascii="Arial" w:cs="Arial" w:eastAsia="Arial" w:hAnsi="Arial"/>
          <w:sz w:val="13"/>
          <w:szCs w:val="13"/>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15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In general, changes in our volume of products sold can have a disproportionate effect on our gross profit. Within any particular year, a significant portion of our cost of products are fixed, particularly in our International Farming segment. Accordingly, higher volumes processed through packing and distribution facilities or produced on company-owned farms directly reduce the average cost per pound of fruit grown on company owned orchards, while lower volumes directly increase the average cost per pound of fruit grown on company owned orchards.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20" w:type="dxa"/>
            <w:vAlign w:val="bottom"/>
            <w:shd w:val="clear" w:color="auto" w:fill="232F84"/>
          </w:tcPr>
          <w:p>
            <w:pPr>
              <w:spacing w:after="0"/>
              <w:rPr>
                <w:sz w:val="15"/>
                <w:szCs w:val="15"/>
                <w:color w:val="auto"/>
              </w:rPr>
            </w:pPr>
          </w:p>
        </w:tc>
        <w:tc>
          <w:tcPr>
            <w:tcW w:w="52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c>
          <w:tcPr>
            <w:tcW w:w="1500" w:type="dxa"/>
            <w:vAlign w:val="bottom"/>
            <w:gridSpan w:val="2"/>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Year Ended October 31,</w:t>
            </w:r>
          </w:p>
        </w:tc>
        <w:tc>
          <w:tcPr>
            <w:tcW w:w="600" w:type="dxa"/>
            <w:vAlign w:val="bottom"/>
            <w:shd w:val="clear" w:color="auto" w:fill="232F84"/>
          </w:tcPr>
          <w:p>
            <w:pPr>
              <w:spacing w:after="0"/>
              <w:rPr>
                <w:sz w:val="15"/>
                <w:szCs w:val="15"/>
                <w:color w:val="auto"/>
              </w:rPr>
            </w:pPr>
          </w:p>
        </w:tc>
        <w:tc>
          <w:tcPr>
            <w:tcW w:w="840" w:type="dxa"/>
            <w:vAlign w:val="bottom"/>
            <w:shd w:val="clear" w:color="auto" w:fill="232F84"/>
          </w:tcPr>
          <w:p>
            <w:pPr>
              <w:spacing w:after="0"/>
              <w:rPr>
                <w:sz w:val="15"/>
                <w:szCs w:val="15"/>
                <w:color w:val="auto"/>
              </w:rPr>
            </w:pPr>
          </w:p>
        </w:tc>
      </w:tr>
      <w:tr>
        <w:trPr>
          <w:trHeight w:val="175"/>
        </w:trPr>
        <w:tc>
          <w:tcPr>
            <w:tcW w:w="6920" w:type="dxa"/>
            <w:vAlign w:val="bottom"/>
            <w:shd w:val="clear" w:color="auto" w:fill="232F84"/>
          </w:tcPr>
          <w:p>
            <w:pPr>
              <w:spacing w:after="0"/>
              <w:rPr>
                <w:sz w:val="15"/>
                <w:szCs w:val="15"/>
                <w:color w:val="auto"/>
              </w:rPr>
            </w:pPr>
          </w:p>
        </w:tc>
        <w:tc>
          <w:tcPr>
            <w:tcW w:w="52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600" w:type="dxa"/>
            <w:vAlign w:val="bottom"/>
            <w:shd w:val="clear" w:color="auto" w:fill="232F84"/>
          </w:tcPr>
          <w:p>
            <w:pPr>
              <w:spacing w:after="0"/>
              <w:rPr>
                <w:sz w:val="15"/>
                <w:szCs w:val="15"/>
                <w:color w:val="auto"/>
              </w:rPr>
            </w:pPr>
          </w:p>
        </w:tc>
        <w:tc>
          <w:tcPr>
            <w:tcW w:w="8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920" w:type="dxa"/>
            <w:vAlign w:val="bottom"/>
            <w:shd w:val="clear" w:color="auto" w:fill="43C0B9"/>
          </w:tcPr>
          <w:p>
            <w:pPr>
              <w:ind w:left="20"/>
              <w:spacing w:after="0"/>
              <w:rPr>
                <w:sz w:val="20"/>
                <w:szCs w:val="20"/>
                <w:color w:val="auto"/>
              </w:rPr>
            </w:pPr>
            <w:r>
              <w:rPr>
                <w:rFonts w:ascii="Arial" w:cs="Arial" w:eastAsia="Arial" w:hAnsi="Arial"/>
                <w:sz w:val="11"/>
                <w:szCs w:val="11"/>
                <w:color w:val="auto"/>
              </w:rPr>
              <w:t>Gross profit (in millions)</w:t>
            </w:r>
          </w:p>
        </w:tc>
        <w:tc>
          <w:tcPr>
            <w:tcW w:w="520" w:type="dxa"/>
            <w:vAlign w:val="bottom"/>
            <w:shd w:val="clear" w:color="auto" w:fill="43C0B9"/>
          </w:tcPr>
          <w:p>
            <w:pPr>
              <w:jc w:val="right"/>
              <w:ind w:right="40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43C0B9"/>
          </w:tcPr>
          <w:p>
            <w:pPr>
              <w:jc w:val="right"/>
              <w:ind w:right="83"/>
              <w:spacing w:after="0"/>
              <w:rPr>
                <w:sz w:val="20"/>
                <w:szCs w:val="20"/>
                <w:color w:val="auto"/>
              </w:rPr>
            </w:pPr>
            <w:r>
              <w:rPr>
                <w:rFonts w:ascii="Arial" w:cs="Arial" w:eastAsia="Arial" w:hAnsi="Arial"/>
                <w:sz w:val="11"/>
                <w:szCs w:val="11"/>
                <w:color w:val="auto"/>
              </w:rPr>
              <w:t>124.5</w:t>
            </w:r>
          </w:p>
        </w:tc>
        <w:tc>
          <w:tcPr>
            <w:tcW w:w="60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ind w:right="103"/>
              <w:spacing w:after="0"/>
              <w:rPr>
                <w:sz w:val="20"/>
                <w:szCs w:val="20"/>
                <w:color w:val="auto"/>
              </w:rPr>
            </w:pPr>
            <w:r>
              <w:rPr>
                <w:rFonts w:ascii="Arial" w:cs="Arial" w:eastAsia="Arial" w:hAnsi="Arial"/>
                <w:sz w:val="11"/>
                <w:szCs w:val="11"/>
                <w:color w:val="auto"/>
              </w:rPr>
              <w:t>124.6</w:t>
            </w:r>
          </w:p>
        </w:tc>
        <w:tc>
          <w:tcPr>
            <w:tcW w:w="60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8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154.7</w:t>
            </w:r>
          </w:p>
        </w:tc>
      </w:tr>
      <w:tr>
        <w:trPr>
          <w:trHeight w:val="16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Gross profit as a percentage of net sales</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14.0 %</w:t>
            </w: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14.4 %</w:t>
            </w: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17.5 %</w:t>
            </w:r>
          </w:p>
        </w:tc>
      </w:tr>
    </w:tbl>
    <w:p>
      <w:pPr>
        <w:spacing w:after="0" w:line="224" w:lineRule="exact"/>
        <w:rPr>
          <w:sz w:val="20"/>
          <w:szCs w:val="20"/>
          <w:color w:val="auto"/>
        </w:rPr>
      </w:pPr>
    </w:p>
    <w:p>
      <w:pPr>
        <w:ind w:right="100" w:firstLine="509"/>
        <w:spacing w:after="0" w:line="263" w:lineRule="auto"/>
        <w:rPr>
          <w:sz w:val="20"/>
          <w:szCs w:val="20"/>
          <w:color w:val="auto"/>
        </w:rPr>
      </w:pPr>
      <w:r>
        <w:rPr>
          <w:rFonts w:ascii="Arial" w:cs="Arial" w:eastAsia="Arial" w:hAnsi="Arial"/>
          <w:sz w:val="12"/>
          <w:szCs w:val="12"/>
          <w:color w:val="auto"/>
        </w:rPr>
        <w:t>Gross profit was nearly flat in fiscal year 2021 compared to fiscal year 2020 at $124.5 million, and gross profit percentage decreased by 40 basis points to 14.0% of revenue. The declines were due to lower per-unit margins related to sourcing of Californian and Mexican fruit, which were exacerbated by lower industry volumes from the California market as well as smaller fruit sizes from the Mexican market. Additionally, gross margin was impacted by incremental infrastructure costs related to our new Laredo facility within the Marketing &amp; Distribution segment, which is still in the process of ramping up utilization. Gross margin was also negatively impacted by widespread port delays in the fourth quarter, which created quality issues related to the extended age of inventory on late-season fruit which impacted sales returns. These impacts were substantially offset by higher volume of avocados sold from Company-owned farms within our International Farming segment compared to prior year, which had lower per-unit cost than fruit purchased from third-party growers. Gross profit percentage will fluctuate based upon per-unit sales price levels.</w:t>
      </w:r>
    </w:p>
    <w:p>
      <w:pPr>
        <w:spacing w:after="0" w:line="143"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Gross profit decreased fiscal year 2020 over fiscal year 2019 as a result of lower gross margin percentage partially offset by higher sales volumes. Our gross margin percentage decreased 310 basis points primarily due to higher third-party fruit costs during first quarter of fiscal year 2020 compared to the same period of last year. The market conditions experienced during the early part of fiscal year 2019 were non-recurring in nature, as customer prices remained steady despite significant declines in fruit costs incurred due to the instability of supply from Mexico. In addition, gross profit in the International Farming segment was negatively impacted by lower sales pricing during the second half of fiscal year 2020 due to larger industry volumes from California and Peru relative to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Selling, general and administrative expenses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Selling, general and administrative expenses primarily include the costs associated with selling, professional fees, general corporate overhead and other related administrative functions.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r>
      <w:tr>
        <w:trPr>
          <w:trHeight w:val="175"/>
        </w:trPr>
        <w:tc>
          <w:tcPr>
            <w:tcW w:w="71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ind w:left="500"/>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800" w:type="dxa"/>
            <w:vAlign w:val="bottom"/>
            <w:shd w:val="clear" w:color="auto" w:fill="232F84"/>
          </w:tcPr>
          <w:p>
            <w:pPr>
              <w:ind w:left="480"/>
              <w:spacing w:after="0"/>
              <w:rPr>
                <w:sz w:val="20"/>
                <w:szCs w:val="20"/>
                <w:color w:val="auto"/>
              </w:rPr>
            </w:pPr>
            <w:r>
              <w:rPr>
                <w:rFonts w:ascii="Arial" w:cs="Arial" w:eastAsia="Arial" w:hAnsi="Arial"/>
                <w:sz w:val="11"/>
                <w:szCs w:val="11"/>
                <w:b w:val="1"/>
                <w:bCs w:val="1"/>
                <w:color w:val="FFFFFF"/>
              </w:rPr>
              <w:t>2020</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ind w:left="500"/>
              <w:spacing w:after="0"/>
              <w:rPr>
                <w:sz w:val="20"/>
                <w:szCs w:val="20"/>
                <w:color w:val="auto"/>
              </w:rPr>
            </w:pPr>
            <w:r>
              <w:rPr>
                <w:rFonts w:ascii="Arial" w:cs="Arial" w:eastAsia="Arial" w:hAnsi="Arial"/>
                <w:sz w:val="11"/>
                <w:szCs w:val="11"/>
                <w:b w:val="1"/>
                <w:bCs w:val="1"/>
                <w:color w:val="FFFFFF"/>
                <w:w w:val="97"/>
              </w:rPr>
              <w:t>2019</w:t>
            </w:r>
          </w:p>
        </w:tc>
      </w:tr>
      <w:tr>
        <w:trPr>
          <w:trHeight w:val="166"/>
        </w:trPr>
        <w:tc>
          <w:tcPr>
            <w:tcW w:w="71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56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43C0B9"/>
          </w:tcPr>
          <w:p>
            <w:pPr>
              <w:ind w:left="500"/>
              <w:spacing w:after="0"/>
              <w:rPr>
                <w:sz w:val="20"/>
                <w:szCs w:val="20"/>
                <w:color w:val="auto"/>
              </w:rPr>
            </w:pPr>
            <w:r>
              <w:rPr>
                <w:rFonts w:ascii="Arial" w:cs="Arial" w:eastAsia="Arial" w:hAnsi="Arial"/>
                <w:sz w:val="11"/>
                <w:szCs w:val="11"/>
                <w:color w:val="auto"/>
              </w:rPr>
              <w:t>63.6</w:t>
            </w:r>
          </w:p>
        </w:tc>
        <w:tc>
          <w:tcPr>
            <w:tcW w:w="600" w:type="dxa"/>
            <w:vAlign w:val="bottom"/>
            <w:tcBorders>
              <w:bottom w:val="single" w:sz="8" w:color="auto"/>
            </w:tcBorders>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43C0B9"/>
          </w:tcPr>
          <w:p>
            <w:pPr>
              <w:ind w:left="480"/>
              <w:spacing w:after="0"/>
              <w:rPr>
                <w:sz w:val="20"/>
                <w:szCs w:val="20"/>
                <w:color w:val="auto"/>
              </w:rPr>
            </w:pPr>
            <w:r>
              <w:rPr>
                <w:rFonts w:ascii="Arial" w:cs="Arial" w:eastAsia="Arial" w:hAnsi="Arial"/>
                <w:sz w:val="11"/>
                <w:szCs w:val="11"/>
                <w:color w:val="auto"/>
              </w:rPr>
              <w:t>56.2</w:t>
            </w:r>
          </w:p>
        </w:tc>
        <w:tc>
          <w:tcPr>
            <w:tcW w:w="58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43C0B9"/>
          </w:tcPr>
          <w:p>
            <w:pPr>
              <w:ind w:left="500"/>
              <w:spacing w:after="0"/>
              <w:rPr>
                <w:sz w:val="20"/>
                <w:szCs w:val="20"/>
                <w:color w:val="auto"/>
              </w:rPr>
            </w:pPr>
            <w:r>
              <w:rPr>
                <w:rFonts w:ascii="Arial" w:cs="Arial" w:eastAsia="Arial" w:hAnsi="Arial"/>
                <w:sz w:val="11"/>
                <w:szCs w:val="11"/>
                <w:color w:val="auto"/>
              </w:rPr>
              <w:t>48.2</w:t>
            </w:r>
          </w:p>
        </w:tc>
      </w:tr>
    </w:tbl>
    <w:p>
      <w:pPr>
        <w:spacing w:after="0" w:line="235" w:lineRule="exact"/>
        <w:rPr>
          <w:sz w:val="20"/>
          <w:szCs w:val="20"/>
          <w:color w:val="auto"/>
        </w:rPr>
      </w:pPr>
    </w:p>
    <w:p>
      <w:pPr>
        <w:ind w:right="300" w:firstLine="509"/>
        <w:spacing w:after="0"/>
        <w:rPr>
          <w:sz w:val="20"/>
          <w:szCs w:val="20"/>
          <w:color w:val="auto"/>
        </w:rPr>
      </w:pPr>
      <w:r>
        <w:rPr>
          <w:rFonts w:ascii="Arial" w:cs="Arial" w:eastAsia="Arial" w:hAnsi="Arial"/>
          <w:sz w:val="13"/>
          <w:szCs w:val="13"/>
          <w:color w:val="auto"/>
        </w:rPr>
        <w:t>Selling, general and administrative expenses increased $7.4 million or 13% in fiscal year 2021 compared to fiscal year 2020 due primarily to higher professional fees and higher liability insurance premiums associated with being a public company and the change in SEC filer status from an emerging growth company to a large accelerated filer on October 31, 2021. Other factors included an increase in rent expense in conjunction with our move to our new corporate headquarters in February 2021, and a legal settlement contingency of $0.8 million, partially offset by a $0.9 million gain from an insurance settlement, net of asset impairment and disposals.</w:t>
      </w:r>
    </w:p>
    <w:p>
      <w:pPr>
        <w:spacing w:after="0" w:line="145" w:lineRule="exact"/>
        <w:rPr>
          <w:sz w:val="20"/>
          <w:szCs w:val="20"/>
          <w:color w:val="auto"/>
        </w:rPr>
      </w:pPr>
    </w:p>
    <w:p>
      <w:pPr>
        <w:ind w:right="60" w:firstLine="509"/>
        <w:spacing w:after="0" w:line="244" w:lineRule="auto"/>
        <w:rPr>
          <w:sz w:val="20"/>
          <w:szCs w:val="20"/>
          <w:color w:val="auto"/>
        </w:rPr>
      </w:pPr>
      <w:r>
        <w:rPr>
          <w:rFonts w:ascii="Arial" w:cs="Arial" w:eastAsia="Arial" w:hAnsi="Arial"/>
          <w:sz w:val="13"/>
          <w:szCs w:val="13"/>
          <w:color w:val="auto"/>
        </w:rPr>
        <w:t>Selling, general and administrative expenses increased $8.0 million or 17% in fiscal year 2020 compared to fiscal year 2019 primarily due to higher stock-based compensation expense due to an award that vested during the fourth quarter of fiscal year 2020 in connection with the successful completion of our IPO.</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i w:val="1"/>
          <w:iCs w:val="1"/>
          <w:color w:val="232F84"/>
        </w:rPr>
        <w:t>Interest expense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Interest expense consists primarily of interest on borrowings under working capital facilities that we maintain and interest on other long-term debt used to make capital and equity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78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r>
      <w:tr>
        <w:trPr>
          <w:trHeight w:val="175"/>
        </w:trPr>
        <w:tc>
          <w:tcPr>
            <w:tcW w:w="71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80" w:type="dxa"/>
            <w:vAlign w:val="bottom"/>
            <w:shd w:val="clear" w:color="auto" w:fill="232F84"/>
          </w:tcPr>
          <w:p>
            <w:pPr>
              <w:spacing w:after="0"/>
              <w:rPr>
                <w:sz w:val="15"/>
                <w:szCs w:val="15"/>
                <w:color w:val="auto"/>
              </w:rPr>
            </w:pPr>
          </w:p>
        </w:tc>
        <w:tc>
          <w:tcPr>
            <w:tcW w:w="78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8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ind w:left="500"/>
              <w:spacing w:after="0"/>
              <w:rPr>
                <w:sz w:val="20"/>
                <w:szCs w:val="20"/>
                <w:color w:val="auto"/>
              </w:rPr>
            </w:pPr>
            <w:r>
              <w:rPr>
                <w:rFonts w:ascii="Arial" w:cs="Arial" w:eastAsia="Arial" w:hAnsi="Arial"/>
                <w:sz w:val="11"/>
                <w:szCs w:val="11"/>
                <w:b w:val="1"/>
                <w:bCs w:val="1"/>
                <w:color w:val="FFFFFF"/>
                <w:w w:val="97"/>
              </w:rPr>
              <w:t>2019</w:t>
            </w:r>
          </w:p>
        </w:tc>
      </w:tr>
      <w:tr>
        <w:trPr>
          <w:trHeight w:val="166"/>
        </w:trPr>
        <w:tc>
          <w:tcPr>
            <w:tcW w:w="71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Interest expense</w:t>
            </w:r>
          </w:p>
        </w:tc>
        <w:tc>
          <w:tcPr>
            <w:tcW w:w="580" w:type="dxa"/>
            <w:vAlign w:val="bottom"/>
            <w:tcBorders>
              <w:bottom w:val="single" w:sz="8" w:color="auto"/>
            </w:tcBorders>
            <w:shd w:val="clear" w:color="auto" w:fill="43C0B9"/>
          </w:tcPr>
          <w:p>
            <w:pPr>
              <w:jc w:val="right"/>
              <w:ind w:right="44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3.7</w:t>
            </w:r>
          </w:p>
        </w:tc>
        <w:tc>
          <w:tcPr>
            <w:tcW w:w="600" w:type="dxa"/>
            <w:vAlign w:val="bottom"/>
            <w:tcBorders>
              <w:bottom w:val="single" w:sz="8" w:color="auto"/>
            </w:tcBorders>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6.7</w:t>
            </w:r>
          </w:p>
        </w:tc>
        <w:tc>
          <w:tcPr>
            <w:tcW w:w="58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43C0B9"/>
          </w:tcPr>
          <w:p>
            <w:pPr>
              <w:ind w:left="500"/>
              <w:spacing w:after="0"/>
              <w:rPr>
                <w:sz w:val="20"/>
                <w:szCs w:val="20"/>
                <w:color w:val="auto"/>
              </w:rPr>
            </w:pPr>
            <w:r>
              <w:rPr>
                <w:rFonts w:ascii="Arial" w:cs="Arial" w:eastAsia="Arial" w:hAnsi="Arial"/>
                <w:sz w:val="11"/>
                <w:szCs w:val="11"/>
                <w:color w:val="auto"/>
              </w:rPr>
              <w:t>10.3</w:t>
            </w:r>
          </w:p>
        </w:tc>
      </w:tr>
    </w:tbl>
    <w:p>
      <w:pPr>
        <w:spacing w:after="0" w:line="224" w:lineRule="exact"/>
        <w:rPr>
          <w:sz w:val="20"/>
          <w:szCs w:val="20"/>
          <w:color w:val="auto"/>
        </w:rPr>
      </w:pPr>
    </w:p>
    <w:p>
      <w:pPr>
        <w:ind w:right="580" w:firstLine="509"/>
        <w:spacing w:after="0" w:line="244" w:lineRule="auto"/>
        <w:rPr>
          <w:sz w:val="20"/>
          <w:szCs w:val="20"/>
          <w:color w:val="auto"/>
        </w:rPr>
      </w:pPr>
      <w:r>
        <w:rPr>
          <w:rFonts w:ascii="Arial" w:cs="Arial" w:eastAsia="Arial" w:hAnsi="Arial"/>
          <w:sz w:val="13"/>
          <w:szCs w:val="13"/>
          <w:color w:val="auto"/>
        </w:rPr>
        <w:t>Interest expense decreased $3.0 million or 45% in fiscal year 2021 compared to fiscal year 2020 due to a combination of lower interest rates and lower average principal balances. A substantial portion of our debt has variable interest rates that are based on LIBOR, which has declined significantly since the first half of fiscal year 2020.</w:t>
      </w:r>
    </w:p>
    <w:p>
      <w:pPr>
        <w:spacing w:after="0" w:line="152"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Interest expense decreased $3.6 million or 35% in fiscal year 2020 compared to fiscal year 2019 due to a combination of lower interest rates and lower average debt balances. A substantial portion of our debt has variable interest rates that are based on LIBOR, which has declined significantly since fiscal year 2019. Average debt balances were lower reflecting principal payments of existing long-term debt as well as prepayments of term debt that were made in fiscal year 2019.</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Equity method income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material equity method investees include Henry Avocado (“HAC”), Mr. Avocado, Moruga, and Copaltas.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78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600" w:type="dxa"/>
            <w:vAlign w:val="bottom"/>
            <w:shd w:val="clear" w:color="auto" w:fill="232F84"/>
          </w:tcPr>
          <w:p>
            <w:pPr>
              <w:spacing w:after="0"/>
              <w:rPr>
                <w:sz w:val="15"/>
                <w:szCs w:val="15"/>
                <w:color w:val="auto"/>
              </w:rPr>
            </w:pPr>
          </w:p>
        </w:tc>
        <w:tc>
          <w:tcPr>
            <w:tcW w:w="740" w:type="dxa"/>
            <w:vAlign w:val="bottom"/>
            <w:shd w:val="clear" w:color="auto" w:fill="232F84"/>
          </w:tcPr>
          <w:p>
            <w:pPr>
              <w:spacing w:after="0"/>
              <w:rPr>
                <w:sz w:val="15"/>
                <w:szCs w:val="15"/>
                <w:color w:val="auto"/>
              </w:rPr>
            </w:pPr>
          </w:p>
        </w:tc>
      </w:tr>
      <w:tr>
        <w:trPr>
          <w:trHeight w:val="175"/>
        </w:trPr>
        <w:tc>
          <w:tcPr>
            <w:tcW w:w="71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80" w:type="dxa"/>
            <w:vAlign w:val="bottom"/>
            <w:shd w:val="clear" w:color="auto" w:fill="232F84"/>
          </w:tcPr>
          <w:p>
            <w:pPr>
              <w:spacing w:after="0"/>
              <w:rPr>
                <w:sz w:val="15"/>
                <w:szCs w:val="15"/>
                <w:color w:val="auto"/>
              </w:rPr>
            </w:pPr>
          </w:p>
        </w:tc>
        <w:tc>
          <w:tcPr>
            <w:tcW w:w="78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580" w:type="dxa"/>
            <w:vAlign w:val="bottom"/>
            <w:shd w:val="clear" w:color="auto" w:fill="232F84"/>
          </w:tcPr>
          <w:p>
            <w:pPr>
              <w:spacing w:after="0"/>
              <w:rPr>
                <w:sz w:val="15"/>
                <w:szCs w:val="15"/>
                <w:color w:val="auto"/>
              </w:rPr>
            </w:pPr>
          </w:p>
        </w:tc>
        <w:tc>
          <w:tcPr>
            <w:tcW w:w="82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600" w:type="dxa"/>
            <w:vAlign w:val="bottom"/>
            <w:shd w:val="clear" w:color="auto" w:fill="232F84"/>
          </w:tcPr>
          <w:p>
            <w:pPr>
              <w:spacing w:after="0"/>
              <w:rPr>
                <w:sz w:val="15"/>
                <w:szCs w:val="15"/>
                <w:color w:val="auto"/>
              </w:rPr>
            </w:pPr>
          </w:p>
        </w:tc>
        <w:tc>
          <w:tcPr>
            <w:tcW w:w="7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7180" w:type="dxa"/>
            <w:vAlign w:val="bottom"/>
            <w:shd w:val="clear" w:color="auto" w:fill="43C0B9"/>
          </w:tcPr>
          <w:p>
            <w:pPr>
              <w:ind w:left="20"/>
              <w:spacing w:after="0"/>
              <w:rPr>
                <w:sz w:val="20"/>
                <w:szCs w:val="20"/>
                <w:color w:val="auto"/>
              </w:rPr>
            </w:pPr>
            <w:r>
              <w:rPr>
                <w:rFonts w:ascii="Arial" w:cs="Arial" w:eastAsia="Arial" w:hAnsi="Arial"/>
                <w:sz w:val="11"/>
                <w:szCs w:val="11"/>
                <w:color w:val="auto"/>
              </w:rPr>
              <w:t>Equity method income</w:t>
            </w:r>
          </w:p>
        </w:tc>
        <w:tc>
          <w:tcPr>
            <w:tcW w:w="580" w:type="dxa"/>
            <w:vAlign w:val="bottom"/>
            <w:shd w:val="clear" w:color="auto" w:fill="43C0B9"/>
          </w:tcPr>
          <w:p>
            <w:pPr>
              <w:jc w:val="right"/>
              <w:ind w:right="44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7.5</w:t>
            </w:r>
          </w:p>
        </w:tc>
        <w:tc>
          <w:tcPr>
            <w:tcW w:w="580" w:type="dxa"/>
            <w:vAlign w:val="bottom"/>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4.0</w:t>
            </w:r>
          </w:p>
        </w:tc>
        <w:tc>
          <w:tcPr>
            <w:tcW w:w="600" w:type="dxa"/>
            <w:vAlign w:val="bottom"/>
            <w:shd w:val="clear" w:color="auto" w:fill="43C0B9"/>
          </w:tcPr>
          <w:p>
            <w:pPr>
              <w:jc w:val="right"/>
              <w:ind w:right="443"/>
              <w:spacing w:after="0"/>
              <w:rPr>
                <w:sz w:val="20"/>
                <w:szCs w:val="20"/>
                <w:color w:val="auto"/>
              </w:rPr>
            </w:pPr>
            <w:r>
              <w:rPr>
                <w:rFonts w:ascii="Arial" w:cs="Arial" w:eastAsia="Arial" w:hAnsi="Arial"/>
                <w:sz w:val="11"/>
                <w:szCs w:val="11"/>
                <w:color w:val="auto"/>
              </w:rPr>
              <w:t>$</w:t>
            </w:r>
          </w:p>
        </w:tc>
        <w:tc>
          <w:tcPr>
            <w:tcW w:w="74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3.4</w:t>
            </w:r>
          </w:p>
        </w:tc>
      </w:tr>
      <w:tr>
        <w:trPr>
          <w:trHeight w:val="166"/>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Impairment on equity method investment</w:t>
            </w: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(21.2)</w:t>
            </w: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22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Equity method income increased $3.5 million or 88% in in fiscal year 2021 compared to fiscal year 2020, driven by higher earnings from investments in Moruga and HAC. Moruga’s earnings increased due to higher blueberry volume attributed to improved yields and better pricing returns. HAC’s earnings increased due to higher per-unit margins. The impact of COVID-19 related stay at-home orders that went into effect in March 2020 were more profound to HAC due to their heavier concentration of foodservice customers.</w:t>
      </w:r>
    </w:p>
    <w:p>
      <w:pPr>
        <w:spacing w:after="0" w:line="144" w:lineRule="exact"/>
        <w:rPr>
          <w:sz w:val="20"/>
          <w:szCs w:val="20"/>
          <w:color w:val="auto"/>
        </w:rPr>
      </w:pPr>
    </w:p>
    <w:p>
      <w:pPr>
        <w:ind w:right="140" w:firstLine="509"/>
        <w:spacing w:after="0" w:line="244" w:lineRule="auto"/>
        <w:rPr>
          <w:sz w:val="20"/>
          <w:szCs w:val="20"/>
          <w:color w:val="auto"/>
        </w:rPr>
      </w:pPr>
      <w:r>
        <w:rPr>
          <w:rFonts w:ascii="Arial" w:cs="Arial" w:eastAsia="Arial" w:hAnsi="Arial"/>
          <w:sz w:val="13"/>
          <w:szCs w:val="13"/>
          <w:color w:val="auto"/>
        </w:rPr>
        <w:t>Equity method income increased $0.6 million or 18% in fiscal year 2020 compared to fiscal year 2019 due to earnings increases from Moruga due to the timing of blueberry harvests in Peru, partially offset by a decrease in earnings from Henry Avocado.</w:t>
      </w:r>
    </w:p>
    <w:p>
      <w:pPr>
        <w:spacing w:after="0" w:line="184"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During the second quarter of fiscal 2020, industry wide production information regarding the 2019-2020 blueberry harvest in Peru became available, indicating that there is greater competition and expansion by competitors than what we were previously expecting. We believed that the increase in supply due to expansion would result in a reduction in pricing over the long-term. As a result of this factor, among others, we lowered our long-term revenue and profitability forecasts of Moruga during the second quarter of fiscal 2020, and concluded that the reduction in the forecasted revenues was an indicator of impairment. As a result, we tested our investment in Moruga for impairment and concluded that the estimated fair value of the investment in Moruga was less than the carrying value of the investment. Due to the change in long-term pricing and revenue expectations, we concluded that the impairment is other-than-temporary. We recorded an impairment charge of $21.2 million to reduce the carrying balance of the investment to its estimated fair value of $22.2 million during the second quarter of fiscal 2020.</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Other income (expense), net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Other income (expense), net consists of interest income, currency exchange gains or losses, interest rate derivative gains or losses and other miscellaneous income and expense items.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shd w:val="clear" w:color="auto" w:fill="232F84"/>
          </w:tcPr>
          <w:p>
            <w:pPr>
              <w:spacing w:after="0"/>
              <w:rPr>
                <w:sz w:val="15"/>
                <w:szCs w:val="15"/>
                <w:color w:val="auto"/>
              </w:rPr>
            </w:pPr>
          </w:p>
        </w:tc>
        <w:tc>
          <w:tcPr>
            <w:tcW w:w="1360" w:type="dxa"/>
            <w:vAlign w:val="bottom"/>
            <w:shd w:val="clear" w:color="auto" w:fill="232F84"/>
          </w:tcPr>
          <w:p>
            <w:pPr>
              <w:spacing w:after="0"/>
              <w:rPr>
                <w:sz w:val="15"/>
                <w:szCs w:val="15"/>
                <w:color w:val="auto"/>
              </w:rPr>
            </w:pPr>
          </w:p>
        </w:tc>
        <w:tc>
          <w:tcPr>
            <w:tcW w:w="1900" w:type="dxa"/>
            <w:vAlign w:val="bottom"/>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840" w:type="dxa"/>
            <w:vAlign w:val="bottom"/>
            <w:shd w:val="clear" w:color="auto" w:fill="232F84"/>
          </w:tcPr>
          <w:p>
            <w:pPr>
              <w:spacing w:after="0"/>
              <w:rPr>
                <w:sz w:val="15"/>
                <w:szCs w:val="15"/>
                <w:color w:val="auto"/>
              </w:rPr>
            </w:pPr>
          </w:p>
        </w:tc>
      </w:tr>
      <w:tr>
        <w:trPr>
          <w:trHeight w:val="175"/>
        </w:trPr>
        <w:tc>
          <w:tcPr>
            <w:tcW w:w="71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136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1900" w:type="dxa"/>
            <w:vAlign w:val="bottom"/>
            <w:shd w:val="clear" w:color="auto" w:fill="232F84"/>
          </w:tcPr>
          <w:p>
            <w:pPr>
              <w:jc w:val="right"/>
              <w:ind w:right="503"/>
              <w:spacing w:after="0"/>
              <w:rPr>
                <w:sz w:val="20"/>
                <w:szCs w:val="20"/>
                <w:color w:val="auto"/>
              </w:rPr>
            </w:pPr>
            <w:r>
              <w:rPr>
                <w:rFonts w:ascii="Arial" w:cs="Arial" w:eastAsia="Arial" w:hAnsi="Arial"/>
                <w:sz w:val="11"/>
                <w:szCs w:val="11"/>
                <w:b w:val="1"/>
                <w:bCs w:val="1"/>
                <w:color w:val="FFFFFF"/>
              </w:rPr>
              <w:t>2020</w:t>
            </w:r>
          </w:p>
        </w:tc>
        <w:tc>
          <w:tcPr>
            <w:tcW w:w="8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66"/>
        </w:trPr>
        <w:tc>
          <w:tcPr>
            <w:tcW w:w="71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 income (expense), net</w:t>
            </w:r>
          </w:p>
        </w:tc>
        <w:tc>
          <w:tcPr>
            <w:tcW w:w="136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1.3</w:t>
            </w:r>
          </w:p>
        </w:tc>
        <w:tc>
          <w:tcPr>
            <w:tcW w:w="1900" w:type="dxa"/>
            <w:vAlign w:val="bottom"/>
            <w:tcBorders>
              <w:bottom w:val="single" w:sz="8" w:color="auto"/>
            </w:tcBorders>
            <w:shd w:val="clear" w:color="auto" w:fill="43C0B9"/>
          </w:tcPr>
          <w:p>
            <w:pPr>
              <w:jc w:val="right"/>
              <w:ind w:right="503"/>
              <w:spacing w:after="0"/>
              <w:rPr>
                <w:sz w:val="20"/>
                <w:szCs w:val="20"/>
                <w:color w:val="auto"/>
              </w:rPr>
            </w:pPr>
            <w:r>
              <w:rPr>
                <w:rFonts w:ascii="Arial" w:cs="Arial" w:eastAsia="Arial" w:hAnsi="Arial"/>
                <w:sz w:val="11"/>
                <w:szCs w:val="11"/>
                <w:color w:val="auto"/>
              </w:rPr>
              <w:t>(0.7)</w:t>
            </w:r>
          </w:p>
        </w:tc>
        <w:tc>
          <w:tcPr>
            <w:tcW w:w="8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(3.6)</w:t>
            </w:r>
          </w:p>
        </w:tc>
      </w:tr>
    </w:tbl>
    <w:p>
      <w:pPr>
        <w:spacing w:after="0" w:line="22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3"/>
          <w:szCs w:val="13"/>
          <w:color w:val="auto"/>
        </w:rPr>
        <w:t>Other income in fiscal year 2021 was $1.3 million, compared to other expense of $0.7 million in fiscal year 2020. The $2.0 million change was primarily due to losses on interest rate swaps in the prior year, driven by market movements in short-term interest rates, partially offset by the effect of foreign currency loss in the current year compared to gains in the previous year. The significant weakening of the Mexican peso relative to the U.S. dollar and the substantial reduction in LIBOR in fiscal 2020 were correlated with the COVID-19 pandemic.</w:t>
      </w:r>
    </w:p>
    <w:p>
      <w:pPr>
        <w:spacing w:after="0" w:line="154" w:lineRule="exact"/>
        <w:rPr>
          <w:sz w:val="20"/>
          <w:szCs w:val="20"/>
          <w:color w:val="auto"/>
        </w:rPr>
      </w:pPr>
    </w:p>
    <w:p>
      <w:pPr>
        <w:ind w:right="40" w:firstLine="509"/>
        <w:spacing w:after="0" w:line="241" w:lineRule="auto"/>
        <w:rPr>
          <w:sz w:val="20"/>
          <w:szCs w:val="20"/>
          <w:color w:val="auto"/>
        </w:rPr>
      </w:pPr>
      <w:r>
        <w:rPr>
          <w:rFonts w:ascii="Arial" w:cs="Arial" w:eastAsia="Arial" w:hAnsi="Arial"/>
          <w:sz w:val="13"/>
          <w:szCs w:val="13"/>
          <w:color w:val="auto"/>
        </w:rPr>
        <w:t>Other expense decreased $2.9 million or 81% in fiscal year 2020 compared to fiscal year 2019 primarily due to foreign currency gains resulting from the weakening of the Mexican peso exchange rate relative to the US dollar and higher interest income due to higher average cash balances, partially offset by higher losses on interest rate contracts driven by market movements in short-term interest rates during fiscal year 2020.</w:t>
      </w:r>
    </w:p>
    <w:p>
      <w:pPr>
        <w:spacing w:after="0" w:line="35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i w:val="1"/>
          <w:iCs w:val="1"/>
          <w:color w:val="232F84"/>
        </w:rPr>
        <w:t>Provision for income taxes</w:t>
      </w:r>
    </w:p>
    <w:p>
      <w:pPr>
        <w:spacing w:after="0" w:line="172" w:lineRule="exact"/>
        <w:rPr>
          <w:sz w:val="20"/>
          <w:szCs w:val="20"/>
          <w:color w:val="auto"/>
        </w:rPr>
      </w:pPr>
    </w:p>
    <w:p>
      <w:pPr>
        <w:jc w:val="both"/>
        <w:ind w:right="160" w:firstLine="509"/>
        <w:spacing w:after="0" w:line="241" w:lineRule="auto"/>
        <w:rPr>
          <w:sz w:val="20"/>
          <w:szCs w:val="20"/>
          <w:color w:val="auto"/>
        </w:rPr>
      </w:pPr>
      <w:r>
        <w:rPr>
          <w:rFonts w:ascii="Arial" w:cs="Arial" w:eastAsia="Arial" w:hAnsi="Arial"/>
          <w:sz w:val="13"/>
          <w:szCs w:val="13"/>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44" w:lineRule="exact"/>
        <w:rPr>
          <w:sz w:val="20"/>
          <w:szCs w:val="20"/>
          <w:color w:val="auto"/>
        </w:rPr>
      </w:pPr>
    </w:p>
    <w:p>
      <w:pPr>
        <w:ind w:right="40" w:firstLine="509"/>
        <w:spacing w:after="0" w:line="241" w:lineRule="auto"/>
        <w:rPr>
          <w:sz w:val="20"/>
          <w:szCs w:val="20"/>
          <w:color w:val="auto"/>
        </w:rPr>
      </w:pPr>
      <w:r>
        <w:rPr>
          <w:rFonts w:ascii="Arial" w:cs="Arial" w:eastAsia="Arial" w:hAnsi="Arial"/>
          <w:sz w:val="13"/>
          <w:szCs w:val="13"/>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shd w:val="clear" w:color="auto" w:fill="232F84"/>
          </w:tcPr>
          <w:p>
            <w:pPr>
              <w:spacing w:after="0"/>
              <w:rPr>
                <w:sz w:val="15"/>
                <w:szCs w:val="15"/>
                <w:color w:val="auto"/>
              </w:rPr>
            </w:pPr>
          </w:p>
        </w:tc>
        <w:tc>
          <w:tcPr>
            <w:tcW w:w="54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c>
          <w:tcPr>
            <w:tcW w:w="1460" w:type="dxa"/>
            <w:vAlign w:val="bottom"/>
            <w:gridSpan w:val="2"/>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840" w:type="dxa"/>
            <w:vAlign w:val="bottom"/>
            <w:shd w:val="clear" w:color="auto" w:fill="232F84"/>
          </w:tcPr>
          <w:p>
            <w:pPr>
              <w:spacing w:after="0"/>
              <w:rPr>
                <w:sz w:val="15"/>
                <w:szCs w:val="15"/>
                <w:color w:val="auto"/>
              </w:rPr>
            </w:pPr>
          </w:p>
        </w:tc>
      </w:tr>
      <w:tr>
        <w:trPr>
          <w:trHeight w:val="175"/>
        </w:trPr>
        <w:tc>
          <w:tcPr>
            <w:tcW w:w="6960" w:type="dxa"/>
            <w:vAlign w:val="bottom"/>
            <w:shd w:val="clear" w:color="auto" w:fill="232F84"/>
          </w:tcPr>
          <w:p>
            <w:pPr>
              <w:spacing w:after="0"/>
              <w:rPr>
                <w:sz w:val="15"/>
                <w:szCs w:val="15"/>
                <w:color w:val="auto"/>
              </w:rPr>
            </w:pPr>
          </w:p>
        </w:tc>
        <w:tc>
          <w:tcPr>
            <w:tcW w:w="54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8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c>
          <w:tcPr>
            <w:tcW w:w="580" w:type="dxa"/>
            <w:vAlign w:val="bottom"/>
            <w:shd w:val="clear" w:color="auto" w:fill="232F84"/>
          </w:tcPr>
          <w:p>
            <w:pPr>
              <w:spacing w:after="0"/>
              <w:rPr>
                <w:sz w:val="15"/>
                <w:szCs w:val="15"/>
                <w:color w:val="auto"/>
              </w:rPr>
            </w:pPr>
          </w:p>
        </w:tc>
        <w:tc>
          <w:tcPr>
            <w:tcW w:w="8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Provision for income taxes (in millions)</w:t>
            </w:r>
          </w:p>
        </w:tc>
        <w:tc>
          <w:tcPr>
            <w:tcW w:w="54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43C0B9"/>
          </w:tcPr>
          <w:p>
            <w:pPr>
              <w:ind w:left="460"/>
              <w:spacing w:after="0"/>
              <w:rPr>
                <w:sz w:val="20"/>
                <w:szCs w:val="20"/>
                <w:color w:val="auto"/>
              </w:rPr>
            </w:pPr>
            <w:r>
              <w:rPr>
                <w:rFonts w:ascii="Arial" w:cs="Arial" w:eastAsia="Arial" w:hAnsi="Arial"/>
                <w:sz w:val="11"/>
                <w:szCs w:val="11"/>
                <w:color w:val="auto"/>
              </w:rPr>
              <w:t>21.1</w:t>
            </w:r>
          </w:p>
        </w:tc>
        <w:tc>
          <w:tcPr>
            <w:tcW w:w="60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86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15.0</w:t>
            </w:r>
          </w:p>
        </w:tc>
        <w:tc>
          <w:tcPr>
            <w:tcW w:w="5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840" w:type="dxa"/>
            <w:vAlign w:val="bottom"/>
            <w:shd w:val="clear" w:color="auto" w:fill="43C0B9"/>
          </w:tcPr>
          <w:p>
            <w:pPr>
              <w:jc w:val="right"/>
              <w:ind w:right="83"/>
              <w:spacing w:after="0"/>
              <w:rPr>
                <w:sz w:val="20"/>
                <w:szCs w:val="20"/>
                <w:color w:val="auto"/>
              </w:rPr>
            </w:pPr>
            <w:r>
              <w:rPr>
                <w:rFonts w:ascii="Arial" w:cs="Arial" w:eastAsia="Arial" w:hAnsi="Arial"/>
                <w:sz w:val="11"/>
                <w:szCs w:val="11"/>
                <w:color w:val="auto"/>
              </w:rPr>
              <w:t>24.3</w:t>
            </w:r>
          </w:p>
        </w:tc>
      </w:tr>
      <w:tr>
        <w:trPr>
          <w:trHeight w:val="166"/>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Effective tax rate</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32.0 %</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34.2 %</w:t>
            </w: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25.3 %</w:t>
            </w:r>
          </w:p>
        </w:tc>
      </w:tr>
    </w:tbl>
    <w:p>
      <w:pPr>
        <w:spacing w:after="0" w:line="235"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The provision for income taxes increased $6.1 million or 41% in fiscal year 2021 compared to fiscal year 2020, primarily due to remeasurement of our deferred tax balances in Peru due to the enactment of tax rate changes for future years. The effective tax rate decreased by 2.2% in fiscal year 2021 over fiscal year 2020. The decrease was primarily due to the nondeductible impairment of Moruga in fiscal year 2020, partially offset by increases in the Peruvian tax rates. On December 30, 2020, Peru enacted tax law repealing current tax law which provided benefits to agribusiness entities. The new law will subject us to higher Peruvian corporate income tax rates than our current rate of 15% as follows: 20% for calendar years 2023 to 2024, 25% for calendar years 2025 to 2027, and 29.5% thereafter. We remeasured our deferred tax balances based on the applicable tax rate in the year the deferred balances are expected to reverse. The increase to the net deferred tax liability for the change in Peruvian tax rate resulted in a $5.4 million increase to tax expense in fiscal year 2021.</w:t>
      </w:r>
    </w:p>
    <w:p>
      <w:pPr>
        <w:spacing w:after="0" w:line="147"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The provision for income taxes decreased $9.3 million or 38% in fiscal year 2020 compared to fiscal year 2019. The effective tax rate increased by 8.9% in fiscal year 2020 over fiscal year 2019. The higher effective tax rate was primarily due to the (i) nondeductible impairment of Moruga in fiscal year 2020, (ii) nondeductible executive compensation incurred as a result of the IPO in fiscal year 2020, and (iii) tax benefit related to net operating loss (“NOL”) carryback provisions of the Coronavirus Aid, Relief and Economic Security (“CARES Act”) enacted in March 2020. The NOL carryback provisions allow the Company to carryback its fiscal year 2018 NOL to offset taxable income on a previously filed tax return. The result is a revaluation of deferred tax assets due to the utilization of NOLs at a higher tax rate in the carryback period.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Segment Results of Operations</w:t>
      </w:r>
    </w:p>
    <w:p>
      <w:pPr>
        <w:spacing w:after="0" w:line="188" w:lineRule="exact"/>
        <w:rPr>
          <w:sz w:val="20"/>
          <w:szCs w:val="20"/>
          <w:color w:val="auto"/>
        </w:rPr>
      </w:pPr>
    </w:p>
    <w:p>
      <w:pPr>
        <w:ind w:right="20" w:firstLine="509"/>
        <w:spacing w:after="0"/>
        <w:rPr>
          <w:sz w:val="20"/>
          <w:szCs w:val="20"/>
          <w:color w:val="auto"/>
        </w:rPr>
      </w:pPr>
      <w:r>
        <w:rPr>
          <w:rFonts w:ascii="Arial" w:cs="Arial" w:eastAsia="Arial" w:hAnsi="Arial"/>
          <w:sz w:val="13"/>
          <w:szCs w:val="13"/>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55" w:lineRule="exact"/>
        <w:rPr>
          <w:sz w:val="20"/>
          <w:szCs w:val="20"/>
          <w:color w:val="auto"/>
        </w:rPr>
      </w:pPr>
    </w:p>
    <w:p>
      <w:pPr>
        <w:ind w:right="240" w:firstLine="509"/>
        <w:spacing w:after="0"/>
        <w:rPr>
          <w:sz w:val="20"/>
          <w:szCs w:val="20"/>
          <w:color w:val="auto"/>
        </w:rPr>
      </w:pPr>
      <w:r>
        <w:rPr>
          <w:rFonts w:ascii="Arial" w:cs="Arial" w:eastAsia="Arial" w:hAnsi="Arial"/>
          <w:sz w:val="13"/>
          <w:szCs w:val="13"/>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legal settlement, farming costs for nonproductive orchards (which represents land lease costs), and any special, non-recurring, or one-time items such as impairments that are excluded from the results the CEO reviews uses to assess segment performance and results.</w:t>
      </w:r>
    </w:p>
    <w:p>
      <w:pPr>
        <w:spacing w:after="0" w:line="35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i w:val="1"/>
          <w:iCs w:val="1"/>
          <w:color w:val="232F84"/>
        </w:rPr>
        <w:t>Net sales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6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2380" w:type="dxa"/>
            <w:vAlign w:val="bottom"/>
            <w:gridSpan w:val="4"/>
            <w:shd w:val="clear" w:color="auto" w:fill="232F84"/>
          </w:tcPr>
          <w:p>
            <w:pPr>
              <w:jc w:val="right"/>
              <w:ind w:right="311"/>
              <w:spacing w:after="0"/>
              <w:rPr>
                <w:sz w:val="20"/>
                <w:szCs w:val="20"/>
                <w:color w:val="auto"/>
              </w:rPr>
            </w:pPr>
            <w:r>
              <w:rPr>
                <w:rFonts w:ascii="Arial" w:cs="Arial" w:eastAsia="Arial" w:hAnsi="Arial"/>
                <w:sz w:val="11"/>
                <w:szCs w:val="11"/>
                <w:b w:val="1"/>
                <w:bCs w:val="1"/>
                <w:color w:val="FFFFFF"/>
              </w:rPr>
              <w:t>Year Ended October 31,</w:t>
            </w:r>
          </w:p>
        </w:tc>
        <w:tc>
          <w:tcPr>
            <w:tcW w:w="7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4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r>
      <w:tr>
        <w:trPr>
          <w:trHeight w:val="178"/>
        </w:trPr>
        <w:tc>
          <w:tcPr>
            <w:tcW w:w="13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60" w:type="dxa"/>
            <w:vAlign w:val="bottom"/>
            <w:shd w:val="clear" w:color="auto" w:fill="232F84"/>
          </w:tcPr>
          <w:p>
            <w:pPr>
              <w:jc w:val="right"/>
              <w:ind w:right="390"/>
              <w:spacing w:after="0"/>
              <w:rPr>
                <w:sz w:val="20"/>
                <w:szCs w:val="20"/>
                <w:color w:val="auto"/>
              </w:rPr>
            </w:pPr>
            <w:r>
              <w:rPr>
                <w:rFonts w:ascii="Arial" w:cs="Arial" w:eastAsia="Arial" w:hAnsi="Arial"/>
                <w:sz w:val="11"/>
                <w:szCs w:val="11"/>
                <w:b w:val="1"/>
                <w:bCs w:val="1"/>
                <w:color w:val="FFFFFF"/>
              </w:rPr>
              <w:t>2021</w:t>
            </w: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60" w:type="dxa"/>
            <w:vAlign w:val="bottom"/>
            <w:shd w:val="clear" w:color="auto" w:fill="232F84"/>
          </w:tcPr>
          <w:p>
            <w:pPr>
              <w:jc w:val="right"/>
              <w:ind w:right="390"/>
              <w:spacing w:after="0"/>
              <w:rPr>
                <w:sz w:val="20"/>
                <w:szCs w:val="20"/>
                <w:color w:val="auto"/>
              </w:rPr>
            </w:pPr>
            <w:r>
              <w:rPr>
                <w:rFonts w:ascii="Arial" w:cs="Arial" w:eastAsia="Arial" w:hAnsi="Arial"/>
                <w:sz w:val="11"/>
                <w:szCs w:val="11"/>
                <w:b w:val="1"/>
                <w:bCs w:val="1"/>
                <w:color w:val="FFFFFF"/>
              </w:rPr>
              <w:t>2020</w:t>
            </w:r>
          </w:p>
        </w:tc>
        <w:tc>
          <w:tcPr>
            <w:tcW w:w="440" w:type="dxa"/>
            <w:vAlign w:val="bottom"/>
            <w:shd w:val="clear" w:color="auto" w:fill="232F84"/>
          </w:tcPr>
          <w:p>
            <w:pPr>
              <w:spacing w:after="0"/>
              <w:rPr>
                <w:sz w:val="15"/>
                <w:szCs w:val="15"/>
                <w:color w:val="auto"/>
              </w:rPr>
            </w:pPr>
          </w:p>
        </w:tc>
        <w:tc>
          <w:tcPr>
            <w:tcW w:w="7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40" w:type="dxa"/>
            <w:vAlign w:val="bottom"/>
            <w:shd w:val="clear" w:color="auto" w:fill="232F84"/>
          </w:tcPr>
          <w:p>
            <w:pPr>
              <w:jc w:val="right"/>
              <w:ind w:right="390"/>
              <w:spacing w:after="0"/>
              <w:rPr>
                <w:sz w:val="20"/>
                <w:szCs w:val="20"/>
                <w:color w:val="auto"/>
              </w:rPr>
            </w:pPr>
            <w:r>
              <w:rPr>
                <w:rFonts w:ascii="Arial" w:cs="Arial" w:eastAsia="Arial" w:hAnsi="Arial"/>
                <w:sz w:val="11"/>
                <w:szCs w:val="11"/>
                <w:b w:val="1"/>
                <w:bCs w:val="1"/>
                <w:color w:val="FFFFFF"/>
              </w:rPr>
              <w:t>2019</w:t>
            </w:r>
          </w:p>
        </w:tc>
        <w:tc>
          <w:tcPr>
            <w:tcW w:w="44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r>
      <w:tr>
        <w:trPr>
          <w:trHeight w:val="129"/>
        </w:trPr>
        <w:tc>
          <w:tcPr>
            <w:tcW w:w="1300" w:type="dxa"/>
            <w:vAlign w:val="bottom"/>
            <w:shd w:val="clear" w:color="auto" w:fill="232F84"/>
          </w:tcPr>
          <w:p>
            <w:pPr>
              <w:spacing w:after="0"/>
              <w:rPr>
                <w:sz w:val="11"/>
                <w:szCs w:val="11"/>
                <w:color w:val="auto"/>
              </w:rPr>
            </w:pPr>
          </w:p>
        </w:tc>
        <w:tc>
          <w:tcPr>
            <w:tcW w:w="260" w:type="dxa"/>
            <w:vAlign w:val="bottom"/>
            <w:shd w:val="clear" w:color="auto" w:fill="232F84"/>
          </w:tcPr>
          <w:p>
            <w:pPr>
              <w:spacing w:after="0"/>
              <w:rPr>
                <w:sz w:val="11"/>
                <w:szCs w:val="11"/>
                <w:color w:val="auto"/>
              </w:rPr>
            </w:pPr>
          </w:p>
        </w:tc>
        <w:tc>
          <w:tcPr>
            <w:tcW w:w="820" w:type="dxa"/>
            <w:vAlign w:val="bottom"/>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Marketing &amp;</w:t>
            </w:r>
          </w:p>
        </w:tc>
        <w:tc>
          <w:tcPr>
            <w:tcW w:w="260" w:type="dxa"/>
            <w:vAlign w:val="bottom"/>
            <w:shd w:val="clear" w:color="auto" w:fill="232F84"/>
          </w:tcPr>
          <w:p>
            <w:pPr>
              <w:spacing w:after="0"/>
              <w:rPr>
                <w:sz w:val="11"/>
                <w:szCs w:val="11"/>
                <w:color w:val="auto"/>
              </w:rPr>
            </w:pPr>
          </w:p>
        </w:tc>
        <w:tc>
          <w:tcPr>
            <w:tcW w:w="860" w:type="dxa"/>
            <w:vAlign w:val="bottom"/>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International</w:t>
            </w:r>
          </w:p>
        </w:tc>
        <w:tc>
          <w:tcPr>
            <w:tcW w:w="440" w:type="dxa"/>
            <w:vAlign w:val="bottom"/>
            <w:shd w:val="clear" w:color="auto" w:fill="232F84"/>
          </w:tcPr>
          <w:p>
            <w:pPr>
              <w:spacing w:after="0"/>
              <w:rPr>
                <w:sz w:val="11"/>
                <w:szCs w:val="11"/>
                <w:color w:val="auto"/>
              </w:rPr>
            </w:pPr>
          </w:p>
        </w:tc>
        <w:tc>
          <w:tcPr>
            <w:tcW w:w="700" w:type="dxa"/>
            <w:vAlign w:val="bottom"/>
            <w:shd w:val="clear" w:color="auto" w:fill="232F84"/>
          </w:tcPr>
          <w:p>
            <w:pPr>
              <w:spacing w:after="0"/>
              <w:rPr>
                <w:sz w:val="11"/>
                <w:szCs w:val="11"/>
                <w:color w:val="auto"/>
              </w:rPr>
            </w:pPr>
          </w:p>
        </w:tc>
        <w:tc>
          <w:tcPr>
            <w:tcW w:w="260" w:type="dxa"/>
            <w:vAlign w:val="bottom"/>
            <w:shd w:val="clear" w:color="auto" w:fill="232F84"/>
          </w:tcPr>
          <w:p>
            <w:pPr>
              <w:spacing w:after="0"/>
              <w:rPr>
                <w:sz w:val="11"/>
                <w:szCs w:val="11"/>
                <w:color w:val="auto"/>
              </w:rPr>
            </w:pPr>
          </w:p>
        </w:tc>
        <w:tc>
          <w:tcPr>
            <w:tcW w:w="820" w:type="dxa"/>
            <w:vAlign w:val="bottom"/>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Marketing &amp;</w:t>
            </w:r>
          </w:p>
        </w:tc>
        <w:tc>
          <w:tcPr>
            <w:tcW w:w="260" w:type="dxa"/>
            <w:vAlign w:val="bottom"/>
            <w:shd w:val="clear" w:color="auto" w:fill="232F84"/>
          </w:tcPr>
          <w:p>
            <w:pPr>
              <w:spacing w:after="0"/>
              <w:rPr>
                <w:sz w:val="11"/>
                <w:szCs w:val="11"/>
                <w:color w:val="auto"/>
              </w:rPr>
            </w:pPr>
          </w:p>
        </w:tc>
        <w:tc>
          <w:tcPr>
            <w:tcW w:w="86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International</w:t>
            </w:r>
          </w:p>
        </w:tc>
        <w:tc>
          <w:tcPr>
            <w:tcW w:w="440" w:type="dxa"/>
            <w:vAlign w:val="bottom"/>
            <w:shd w:val="clear" w:color="auto" w:fill="232F84"/>
          </w:tcPr>
          <w:p>
            <w:pPr>
              <w:spacing w:after="0"/>
              <w:rPr>
                <w:sz w:val="11"/>
                <w:szCs w:val="11"/>
                <w:color w:val="auto"/>
              </w:rPr>
            </w:pPr>
          </w:p>
        </w:tc>
        <w:tc>
          <w:tcPr>
            <w:tcW w:w="720" w:type="dxa"/>
            <w:vAlign w:val="bottom"/>
            <w:shd w:val="clear" w:color="auto" w:fill="232F84"/>
          </w:tcPr>
          <w:p>
            <w:pPr>
              <w:spacing w:after="0"/>
              <w:rPr>
                <w:sz w:val="11"/>
                <w:szCs w:val="11"/>
                <w:color w:val="auto"/>
              </w:rPr>
            </w:pPr>
          </w:p>
        </w:tc>
        <w:tc>
          <w:tcPr>
            <w:tcW w:w="260" w:type="dxa"/>
            <w:vAlign w:val="bottom"/>
            <w:shd w:val="clear" w:color="auto" w:fill="232F84"/>
          </w:tcPr>
          <w:p>
            <w:pPr>
              <w:spacing w:after="0"/>
              <w:rPr>
                <w:sz w:val="11"/>
                <w:szCs w:val="11"/>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Marketing &amp;</w:t>
            </w:r>
          </w:p>
        </w:tc>
        <w:tc>
          <w:tcPr>
            <w:tcW w:w="280" w:type="dxa"/>
            <w:vAlign w:val="bottom"/>
            <w:shd w:val="clear" w:color="auto" w:fill="232F84"/>
          </w:tcPr>
          <w:p>
            <w:pPr>
              <w:spacing w:after="0"/>
              <w:rPr>
                <w:sz w:val="11"/>
                <w:szCs w:val="11"/>
                <w:color w:val="auto"/>
              </w:rPr>
            </w:pPr>
          </w:p>
        </w:tc>
        <w:tc>
          <w:tcPr>
            <w:tcW w:w="84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International</w:t>
            </w:r>
          </w:p>
        </w:tc>
        <w:tc>
          <w:tcPr>
            <w:tcW w:w="440" w:type="dxa"/>
            <w:vAlign w:val="bottom"/>
            <w:shd w:val="clear" w:color="auto" w:fill="232F84"/>
          </w:tcPr>
          <w:p>
            <w:pPr>
              <w:spacing w:after="0"/>
              <w:rPr>
                <w:sz w:val="11"/>
                <w:szCs w:val="11"/>
                <w:color w:val="auto"/>
              </w:rPr>
            </w:pPr>
          </w:p>
        </w:tc>
        <w:tc>
          <w:tcPr>
            <w:tcW w:w="640" w:type="dxa"/>
            <w:vAlign w:val="bottom"/>
            <w:shd w:val="clear" w:color="auto" w:fill="232F84"/>
          </w:tcPr>
          <w:p>
            <w:pPr>
              <w:spacing w:after="0"/>
              <w:rPr>
                <w:sz w:val="11"/>
                <w:szCs w:val="11"/>
                <w:color w:val="auto"/>
              </w:rPr>
            </w:pPr>
          </w:p>
        </w:tc>
      </w:tr>
      <w:tr>
        <w:trPr>
          <w:trHeight w:val="135"/>
        </w:trPr>
        <w:tc>
          <w:tcPr>
            <w:tcW w:w="130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0"/>
                <w:szCs w:val="10"/>
                <w:b w:val="1"/>
                <w:bCs w:val="1"/>
                <w:color w:val="FFFFFF"/>
              </w:rPr>
              <w:t>(In millions)</w:t>
            </w:r>
          </w:p>
        </w:tc>
        <w:tc>
          <w:tcPr>
            <w:tcW w:w="26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Distribution</w:t>
            </w:r>
          </w:p>
        </w:tc>
        <w:tc>
          <w:tcPr>
            <w:tcW w:w="260" w:type="dxa"/>
            <w:vAlign w:val="bottom"/>
            <w:tcBorders>
              <w:bottom w:val="single" w:sz="8" w:color="232F84"/>
            </w:tcBorders>
            <w:shd w:val="clear" w:color="auto" w:fill="232F84"/>
          </w:tcPr>
          <w:p>
            <w:pPr>
              <w:spacing w:after="0"/>
              <w:rPr>
                <w:sz w:val="11"/>
                <w:szCs w:val="11"/>
                <w:color w:val="auto"/>
              </w:rPr>
            </w:pPr>
          </w:p>
        </w:tc>
        <w:tc>
          <w:tcPr>
            <w:tcW w:w="860" w:type="dxa"/>
            <w:vAlign w:val="bottom"/>
            <w:tcBorders>
              <w:bottom w:val="single" w:sz="8" w:color="232F84"/>
            </w:tcBorders>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Farming</w:t>
            </w:r>
          </w:p>
        </w:tc>
        <w:tc>
          <w:tcPr>
            <w:tcW w:w="440" w:type="dxa"/>
            <w:vAlign w:val="bottom"/>
            <w:tcBorders>
              <w:bottom w:val="single" w:sz="8" w:color="232F84"/>
            </w:tcBorders>
            <w:shd w:val="clear" w:color="auto" w:fill="232F84"/>
          </w:tcPr>
          <w:p>
            <w:pPr>
              <w:spacing w:after="0"/>
              <w:rPr>
                <w:sz w:val="11"/>
                <w:szCs w:val="11"/>
                <w:color w:val="auto"/>
              </w:rPr>
            </w:pPr>
          </w:p>
        </w:tc>
        <w:tc>
          <w:tcPr>
            <w:tcW w:w="700" w:type="dxa"/>
            <w:vAlign w:val="bottom"/>
            <w:tcBorders>
              <w:bottom w:val="single" w:sz="8" w:color="232F84"/>
            </w:tcBorders>
            <w:shd w:val="clear" w:color="auto" w:fill="232F84"/>
          </w:tcPr>
          <w:p>
            <w:pPr>
              <w:jc w:val="right"/>
              <w:ind w:right="31"/>
              <w:spacing w:after="0"/>
              <w:rPr>
                <w:sz w:val="20"/>
                <w:szCs w:val="20"/>
                <w:color w:val="auto"/>
              </w:rPr>
            </w:pPr>
            <w:r>
              <w:rPr>
                <w:rFonts w:ascii="Arial" w:cs="Arial" w:eastAsia="Arial" w:hAnsi="Arial"/>
                <w:sz w:val="10"/>
                <w:szCs w:val="10"/>
                <w:b w:val="1"/>
                <w:bCs w:val="1"/>
                <w:color w:val="FFFFFF"/>
              </w:rPr>
              <w:t>Total</w:t>
            </w:r>
          </w:p>
        </w:tc>
        <w:tc>
          <w:tcPr>
            <w:tcW w:w="26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Distribution</w:t>
            </w:r>
          </w:p>
        </w:tc>
        <w:tc>
          <w:tcPr>
            <w:tcW w:w="260" w:type="dxa"/>
            <w:vAlign w:val="bottom"/>
            <w:tcBorders>
              <w:bottom w:val="single" w:sz="8" w:color="232F84"/>
            </w:tcBorders>
            <w:shd w:val="clear" w:color="auto" w:fill="232F84"/>
          </w:tcPr>
          <w:p>
            <w:pPr>
              <w:spacing w:after="0"/>
              <w:rPr>
                <w:sz w:val="11"/>
                <w:szCs w:val="11"/>
                <w:color w:val="auto"/>
              </w:rPr>
            </w:pPr>
          </w:p>
        </w:tc>
        <w:tc>
          <w:tcPr>
            <w:tcW w:w="86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Farming</w:t>
            </w:r>
          </w:p>
        </w:tc>
        <w:tc>
          <w:tcPr>
            <w:tcW w:w="440" w:type="dxa"/>
            <w:vAlign w:val="bottom"/>
            <w:tcBorders>
              <w:bottom w:val="single" w:sz="8" w:color="232F84"/>
            </w:tcBorders>
            <w:shd w:val="clear" w:color="auto" w:fill="232F84"/>
          </w:tcPr>
          <w:p>
            <w:pPr>
              <w:spacing w:after="0"/>
              <w:rPr>
                <w:sz w:val="11"/>
                <w:szCs w:val="11"/>
                <w:color w:val="auto"/>
              </w:rPr>
            </w:pPr>
          </w:p>
        </w:tc>
        <w:tc>
          <w:tcPr>
            <w:tcW w:w="720" w:type="dxa"/>
            <w:vAlign w:val="bottom"/>
            <w:tcBorders>
              <w:bottom w:val="single" w:sz="8" w:color="232F84"/>
            </w:tcBorders>
            <w:shd w:val="clear" w:color="auto" w:fill="232F84"/>
          </w:tcPr>
          <w:p>
            <w:pPr>
              <w:jc w:val="right"/>
              <w:ind w:right="51"/>
              <w:spacing w:after="0"/>
              <w:rPr>
                <w:sz w:val="20"/>
                <w:szCs w:val="20"/>
                <w:color w:val="auto"/>
              </w:rPr>
            </w:pPr>
            <w:r>
              <w:rPr>
                <w:rFonts w:ascii="Arial" w:cs="Arial" w:eastAsia="Arial" w:hAnsi="Arial"/>
                <w:sz w:val="10"/>
                <w:szCs w:val="10"/>
                <w:b w:val="1"/>
                <w:bCs w:val="1"/>
                <w:color w:val="FFFFFF"/>
              </w:rPr>
              <w:t>Total</w:t>
            </w:r>
          </w:p>
        </w:tc>
        <w:tc>
          <w:tcPr>
            <w:tcW w:w="26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Distribution</w:t>
            </w:r>
          </w:p>
        </w:tc>
        <w:tc>
          <w:tcPr>
            <w:tcW w:w="280" w:type="dxa"/>
            <w:vAlign w:val="bottom"/>
            <w:tcBorders>
              <w:bottom w:val="single" w:sz="8" w:color="232F84"/>
            </w:tcBorders>
            <w:shd w:val="clear" w:color="auto" w:fill="232F84"/>
          </w:tcPr>
          <w:p>
            <w:pPr>
              <w:spacing w:after="0"/>
              <w:rPr>
                <w:sz w:val="11"/>
                <w:szCs w:val="11"/>
                <w:color w:val="auto"/>
              </w:rPr>
            </w:pPr>
          </w:p>
        </w:tc>
        <w:tc>
          <w:tcPr>
            <w:tcW w:w="8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Farming</w:t>
            </w:r>
          </w:p>
        </w:tc>
        <w:tc>
          <w:tcPr>
            <w:tcW w:w="440" w:type="dxa"/>
            <w:vAlign w:val="bottom"/>
            <w:tcBorders>
              <w:bottom w:val="single" w:sz="8" w:color="232F84"/>
            </w:tcBorders>
            <w:shd w:val="clear" w:color="auto" w:fill="232F84"/>
          </w:tcPr>
          <w:p>
            <w:pPr>
              <w:spacing w:after="0"/>
              <w:rPr>
                <w:sz w:val="11"/>
                <w:szCs w:val="11"/>
                <w:color w:val="auto"/>
              </w:rPr>
            </w:pPr>
          </w:p>
        </w:tc>
        <w:tc>
          <w:tcPr>
            <w:tcW w:w="6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Total</w:t>
            </w:r>
          </w:p>
        </w:tc>
      </w:tr>
      <w:tr>
        <w:trPr>
          <w:trHeight w:val="139"/>
        </w:trPr>
        <w:tc>
          <w:tcPr>
            <w:tcW w:w="130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Third party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19.7</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891.7</w:t>
            </w:r>
          </w:p>
        </w:tc>
        <w:tc>
          <w:tcPr>
            <w:tcW w:w="26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15.4</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862.3</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9.6</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883.3</w:t>
            </w:r>
          </w:p>
        </w:tc>
      </w:tr>
      <w:tr>
        <w:trPr>
          <w:trHeight w:val="134"/>
        </w:trPr>
        <w:tc>
          <w:tcPr>
            <w:tcW w:w="130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84.9</w:t>
            </w:r>
          </w:p>
        </w:tc>
        <w:tc>
          <w:tcPr>
            <w:tcW w:w="44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84.9</w:t>
            </w:r>
          </w:p>
        </w:tc>
        <w:tc>
          <w:tcPr>
            <w:tcW w:w="260" w:type="dxa"/>
            <w:vAlign w:val="bottom"/>
          </w:tcPr>
          <w:p>
            <w:pPr>
              <w:spacing w:after="0"/>
              <w:rPr>
                <w:sz w:val="11"/>
                <w:szCs w:val="11"/>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ind w:right="30"/>
              <w:spacing w:after="0"/>
              <w:rPr>
                <w:sz w:val="20"/>
                <w:szCs w:val="20"/>
                <w:color w:val="auto"/>
              </w:rPr>
            </w:pPr>
            <w:r>
              <w:rPr>
                <w:rFonts w:ascii="Arial" w:cs="Arial" w:eastAsia="Arial" w:hAnsi="Arial"/>
                <w:sz w:val="10"/>
                <w:szCs w:val="10"/>
                <w:color w:val="auto"/>
              </w:rPr>
              <w:t>66.4</w:t>
            </w:r>
          </w:p>
        </w:tc>
        <w:tc>
          <w:tcPr>
            <w:tcW w:w="440" w:type="dxa"/>
            <w:vAlign w:val="bottom"/>
          </w:tcPr>
          <w:p>
            <w:pPr>
              <w:spacing w:after="0"/>
              <w:rPr>
                <w:sz w:val="11"/>
                <w:szCs w:val="11"/>
                <w:color w:val="auto"/>
              </w:rPr>
            </w:pPr>
          </w:p>
        </w:tc>
        <w:tc>
          <w:tcPr>
            <w:tcW w:w="720" w:type="dxa"/>
            <w:vAlign w:val="bottom"/>
          </w:tcPr>
          <w:p>
            <w:pPr>
              <w:jc w:val="right"/>
              <w:ind w:right="71"/>
              <w:spacing w:after="0"/>
              <w:rPr>
                <w:sz w:val="20"/>
                <w:szCs w:val="20"/>
                <w:color w:val="auto"/>
              </w:rPr>
            </w:pPr>
            <w:r>
              <w:rPr>
                <w:rFonts w:ascii="Arial" w:cs="Arial" w:eastAsia="Arial" w:hAnsi="Arial"/>
                <w:sz w:val="10"/>
                <w:szCs w:val="10"/>
                <w:color w:val="auto"/>
              </w:rPr>
              <w:t>66.4</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40" w:type="dxa"/>
            <w:vAlign w:val="bottom"/>
          </w:tcPr>
          <w:p>
            <w:pPr>
              <w:jc w:val="right"/>
              <w:ind w:right="30"/>
              <w:spacing w:after="0"/>
              <w:rPr>
                <w:sz w:val="20"/>
                <w:szCs w:val="20"/>
                <w:color w:val="auto"/>
              </w:rPr>
            </w:pPr>
            <w:r>
              <w:rPr>
                <w:rFonts w:ascii="Arial" w:cs="Arial" w:eastAsia="Arial" w:hAnsi="Arial"/>
                <w:sz w:val="10"/>
                <w:szCs w:val="10"/>
                <w:color w:val="auto"/>
              </w:rPr>
              <w:t>80.7</w:t>
            </w:r>
          </w:p>
        </w:tc>
        <w:tc>
          <w:tcPr>
            <w:tcW w:w="4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80.7</w:t>
            </w:r>
          </w:p>
        </w:tc>
      </w:tr>
      <w:tr>
        <w:trPr>
          <w:trHeight w:val="25"/>
        </w:trPr>
        <w:tc>
          <w:tcPr>
            <w:tcW w:w="130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2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60" w:type="dxa"/>
            <w:vAlign w:val="bottom"/>
            <w:tcBorders>
              <w:bottom w:val="single" w:sz="8" w:color="494949"/>
            </w:tcBorders>
          </w:tcPr>
          <w:p>
            <w:pPr>
              <w:spacing w:after="0"/>
              <w:rPr>
                <w:sz w:val="2"/>
                <w:szCs w:val="2"/>
                <w:color w:val="auto"/>
              </w:rPr>
            </w:pPr>
          </w:p>
        </w:tc>
        <w:tc>
          <w:tcPr>
            <w:tcW w:w="440" w:type="dxa"/>
            <w:vAlign w:val="bottom"/>
            <w:tcBorders>
              <w:bottom w:val="single" w:sz="8" w:color="494949"/>
            </w:tcBorders>
          </w:tcPr>
          <w:p>
            <w:pPr>
              <w:spacing w:after="0"/>
              <w:rPr>
                <w:sz w:val="2"/>
                <w:szCs w:val="2"/>
                <w:color w:val="auto"/>
              </w:rPr>
            </w:pPr>
          </w:p>
        </w:tc>
        <w:tc>
          <w:tcPr>
            <w:tcW w:w="70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2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60" w:type="dxa"/>
            <w:vAlign w:val="bottom"/>
            <w:tcBorders>
              <w:bottom w:val="single" w:sz="8" w:color="494949"/>
            </w:tcBorders>
          </w:tcPr>
          <w:p>
            <w:pPr>
              <w:spacing w:after="0"/>
              <w:rPr>
                <w:sz w:val="2"/>
                <w:szCs w:val="2"/>
                <w:color w:val="auto"/>
              </w:rPr>
            </w:pPr>
          </w:p>
        </w:tc>
        <w:tc>
          <w:tcPr>
            <w:tcW w:w="440" w:type="dxa"/>
            <w:vAlign w:val="bottom"/>
            <w:tcBorders>
              <w:bottom w:val="single" w:sz="8" w:color="494949"/>
            </w:tcBorders>
          </w:tcPr>
          <w:p>
            <w:pPr>
              <w:spacing w:after="0"/>
              <w:rPr>
                <w:sz w:val="2"/>
                <w:szCs w:val="2"/>
                <w:color w:val="auto"/>
              </w:rPr>
            </w:pPr>
          </w:p>
        </w:tc>
        <w:tc>
          <w:tcPr>
            <w:tcW w:w="72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20" w:type="dxa"/>
            <w:vAlign w:val="bottom"/>
            <w:tcBorders>
              <w:bottom w:val="single" w:sz="8" w:color="494949"/>
            </w:tcBorders>
          </w:tcPr>
          <w:p>
            <w:pPr>
              <w:spacing w:after="0"/>
              <w:rPr>
                <w:sz w:val="2"/>
                <w:szCs w:val="2"/>
                <w:color w:val="auto"/>
              </w:rPr>
            </w:pPr>
          </w:p>
        </w:tc>
        <w:tc>
          <w:tcPr>
            <w:tcW w:w="280" w:type="dxa"/>
            <w:vAlign w:val="bottom"/>
            <w:tcBorders>
              <w:bottom w:val="single" w:sz="8" w:color="494949"/>
            </w:tcBorders>
          </w:tcPr>
          <w:p>
            <w:pPr>
              <w:spacing w:after="0"/>
              <w:rPr>
                <w:sz w:val="2"/>
                <w:szCs w:val="2"/>
                <w:color w:val="auto"/>
              </w:rPr>
            </w:pPr>
          </w:p>
        </w:tc>
        <w:tc>
          <w:tcPr>
            <w:tcW w:w="840" w:type="dxa"/>
            <w:vAlign w:val="bottom"/>
            <w:tcBorders>
              <w:bottom w:val="single" w:sz="8" w:color="494949"/>
            </w:tcBorders>
          </w:tcPr>
          <w:p>
            <w:pPr>
              <w:spacing w:after="0"/>
              <w:rPr>
                <w:sz w:val="2"/>
                <w:szCs w:val="2"/>
                <w:color w:val="auto"/>
              </w:rPr>
            </w:pPr>
          </w:p>
        </w:tc>
        <w:tc>
          <w:tcPr>
            <w:tcW w:w="440" w:type="dxa"/>
            <w:vAlign w:val="bottom"/>
            <w:tcBorders>
              <w:bottom w:val="single" w:sz="8" w:color="494949"/>
            </w:tcBorders>
          </w:tcPr>
          <w:p>
            <w:pPr>
              <w:spacing w:after="0"/>
              <w:rPr>
                <w:sz w:val="2"/>
                <w:szCs w:val="2"/>
                <w:color w:val="auto"/>
              </w:rPr>
            </w:pPr>
          </w:p>
        </w:tc>
        <w:tc>
          <w:tcPr>
            <w:tcW w:w="640" w:type="dxa"/>
            <w:vAlign w:val="bottom"/>
            <w:tcBorders>
              <w:bottom w:val="single" w:sz="8" w:color="494949"/>
            </w:tcBorders>
          </w:tcPr>
          <w:p>
            <w:pPr>
              <w:spacing w:after="0"/>
              <w:rPr>
                <w:sz w:val="2"/>
                <w:szCs w:val="2"/>
                <w:color w:val="auto"/>
              </w:rPr>
            </w:pPr>
          </w:p>
        </w:tc>
      </w:tr>
      <w:tr>
        <w:trPr>
          <w:trHeight w:val="130"/>
        </w:trPr>
        <w:tc>
          <w:tcPr>
            <w:tcW w:w="130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Total segment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104.6</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976.6</w:t>
            </w:r>
          </w:p>
        </w:tc>
        <w:tc>
          <w:tcPr>
            <w:tcW w:w="26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81.8</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928.7</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90.3</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964.0</w:t>
            </w:r>
          </w:p>
        </w:tc>
      </w:tr>
      <w:tr>
        <w:trPr>
          <w:trHeight w:val="134"/>
        </w:trPr>
        <w:tc>
          <w:tcPr>
            <w:tcW w:w="130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ind w:right="10"/>
              <w:spacing w:after="0"/>
              <w:rPr>
                <w:sz w:val="20"/>
                <w:szCs w:val="20"/>
                <w:color w:val="auto"/>
              </w:rPr>
            </w:pPr>
            <w:r>
              <w:rPr>
                <w:rFonts w:ascii="Arial" w:cs="Arial" w:eastAsia="Arial" w:hAnsi="Arial"/>
                <w:sz w:val="10"/>
                <w:szCs w:val="10"/>
                <w:color w:val="auto"/>
              </w:rPr>
              <w:t>(84.9)</w:t>
            </w:r>
          </w:p>
        </w:tc>
        <w:tc>
          <w:tcPr>
            <w:tcW w:w="440" w:type="dxa"/>
            <w:vAlign w:val="bottom"/>
          </w:tcPr>
          <w:p>
            <w:pPr>
              <w:spacing w:after="0"/>
              <w:rPr>
                <w:sz w:val="11"/>
                <w:szCs w:val="11"/>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(84.9)</w:t>
            </w:r>
          </w:p>
        </w:tc>
        <w:tc>
          <w:tcPr>
            <w:tcW w:w="260" w:type="dxa"/>
            <w:vAlign w:val="bottom"/>
          </w:tcPr>
          <w:p>
            <w:pPr>
              <w:spacing w:after="0"/>
              <w:rPr>
                <w:sz w:val="11"/>
                <w:szCs w:val="11"/>
                <w:color w:val="auto"/>
              </w:rPr>
            </w:pPr>
          </w:p>
        </w:tc>
        <w:tc>
          <w:tcPr>
            <w:tcW w:w="82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60" w:type="dxa"/>
            <w:vAlign w:val="bottom"/>
          </w:tcPr>
          <w:p>
            <w:pPr>
              <w:jc w:val="right"/>
              <w:ind w:right="10"/>
              <w:spacing w:after="0"/>
              <w:rPr>
                <w:sz w:val="20"/>
                <w:szCs w:val="20"/>
                <w:color w:val="auto"/>
              </w:rPr>
            </w:pPr>
            <w:r>
              <w:rPr>
                <w:rFonts w:ascii="Arial" w:cs="Arial" w:eastAsia="Arial" w:hAnsi="Arial"/>
                <w:sz w:val="10"/>
                <w:szCs w:val="10"/>
                <w:color w:val="auto"/>
              </w:rPr>
              <w:t>(66.4)</w:t>
            </w:r>
          </w:p>
        </w:tc>
        <w:tc>
          <w:tcPr>
            <w:tcW w:w="440" w:type="dxa"/>
            <w:vAlign w:val="bottom"/>
          </w:tcPr>
          <w:p>
            <w:pPr>
              <w:spacing w:after="0"/>
              <w:rPr>
                <w:sz w:val="11"/>
                <w:szCs w:val="11"/>
                <w:color w:val="auto"/>
              </w:rPr>
            </w:pPr>
          </w:p>
        </w:tc>
        <w:tc>
          <w:tcPr>
            <w:tcW w:w="720" w:type="dxa"/>
            <w:vAlign w:val="bottom"/>
          </w:tcPr>
          <w:p>
            <w:pPr>
              <w:jc w:val="right"/>
              <w:ind w:right="51"/>
              <w:spacing w:after="0"/>
              <w:rPr>
                <w:sz w:val="20"/>
                <w:szCs w:val="20"/>
                <w:color w:val="auto"/>
              </w:rPr>
            </w:pPr>
            <w:r>
              <w:rPr>
                <w:rFonts w:ascii="Arial" w:cs="Arial" w:eastAsia="Arial" w:hAnsi="Arial"/>
                <w:sz w:val="10"/>
                <w:szCs w:val="10"/>
                <w:color w:val="auto"/>
              </w:rPr>
              <w:t>(66.4)</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40" w:type="dxa"/>
            <w:vAlign w:val="bottom"/>
          </w:tcPr>
          <w:p>
            <w:pPr>
              <w:jc w:val="right"/>
              <w:ind w:right="10"/>
              <w:spacing w:after="0"/>
              <w:rPr>
                <w:sz w:val="20"/>
                <w:szCs w:val="20"/>
                <w:color w:val="auto"/>
              </w:rPr>
            </w:pPr>
            <w:r>
              <w:rPr>
                <w:rFonts w:ascii="Arial" w:cs="Arial" w:eastAsia="Arial" w:hAnsi="Arial"/>
                <w:sz w:val="10"/>
                <w:szCs w:val="10"/>
                <w:color w:val="auto"/>
              </w:rPr>
              <w:t>(80.7)</w:t>
            </w:r>
          </w:p>
        </w:tc>
        <w:tc>
          <w:tcPr>
            <w:tcW w:w="4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(80.7)</w:t>
            </w:r>
          </w:p>
        </w:tc>
      </w:tr>
      <w:tr>
        <w:trPr>
          <w:trHeight w:val="25"/>
        </w:trPr>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30"/>
        </w:trPr>
        <w:tc>
          <w:tcPr>
            <w:tcW w:w="130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Total net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19.7</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891.7</w:t>
            </w:r>
          </w:p>
        </w:tc>
        <w:tc>
          <w:tcPr>
            <w:tcW w:w="26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15.4</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862.3</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3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9.6</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883.3</w:t>
            </w: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Adjusted EBITDA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shd w:val="clear" w:color="auto" w:fill="232F84"/>
          </w:tcPr>
          <w:p>
            <w:pPr>
              <w:spacing w:after="0"/>
              <w:rPr>
                <w:sz w:val="15"/>
                <w:szCs w:val="15"/>
                <w:color w:val="auto"/>
              </w:rPr>
            </w:pPr>
          </w:p>
        </w:tc>
        <w:tc>
          <w:tcPr>
            <w:tcW w:w="62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43"/>
              <w:spacing w:after="0"/>
              <w:rPr>
                <w:sz w:val="20"/>
                <w:szCs w:val="20"/>
                <w:color w:val="auto"/>
              </w:rPr>
            </w:pPr>
            <w:r>
              <w:rPr>
                <w:rFonts w:ascii="Arial" w:cs="Arial" w:eastAsia="Arial" w:hAnsi="Arial"/>
                <w:sz w:val="11"/>
                <w:szCs w:val="11"/>
                <w:b w:val="1"/>
                <w:bCs w:val="1"/>
                <w:color w:val="FFFFFF"/>
              </w:rPr>
              <w:t>Year Ended October 31,</w:t>
            </w:r>
          </w:p>
        </w:tc>
        <w:tc>
          <w:tcPr>
            <w:tcW w:w="70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75"/>
        </w:trPr>
        <w:tc>
          <w:tcPr>
            <w:tcW w:w="64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2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2020</w:t>
            </w:r>
          </w:p>
        </w:tc>
        <w:tc>
          <w:tcPr>
            <w:tcW w:w="70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70"/>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Marketing &amp; Distribution adjusted EBITDA</w:t>
            </w:r>
          </w:p>
        </w:tc>
        <w:tc>
          <w:tcPr>
            <w:tcW w:w="620" w:type="dxa"/>
            <w:vAlign w:val="bottom"/>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51.4</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68.2</w:t>
            </w:r>
          </w:p>
        </w:tc>
        <w:tc>
          <w:tcPr>
            <w:tcW w:w="70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88.0</w:t>
            </w:r>
          </w:p>
        </w:tc>
      </w:tr>
      <w:tr>
        <w:trPr>
          <w:trHeight w:val="16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International Farming adjusted EBITDA</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33.9</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23.3</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w:t>
            </w:r>
          </w:p>
        </w:tc>
      </w:tr>
      <w:tr>
        <w:trPr>
          <w:trHeight w:val="160"/>
        </w:trPr>
        <w:tc>
          <w:tcPr>
            <w:tcW w:w="6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reportable segment adjusted EBITDA</w:t>
            </w:r>
          </w:p>
        </w:tc>
        <w:tc>
          <w:tcPr>
            <w:tcW w:w="620" w:type="dxa"/>
            <w:vAlign w:val="bottom"/>
            <w:tcBorders>
              <w:bottom w:val="single" w:sz="8" w:color="auto"/>
            </w:tcBorders>
            <w:shd w:val="clear" w:color="auto" w:fill="43C0B9"/>
          </w:tcPr>
          <w:p>
            <w:pPr>
              <w:spacing w:after="0"/>
              <w:rPr>
                <w:sz w:val="13"/>
                <w:szCs w:val="13"/>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85.3</w:t>
            </w:r>
          </w:p>
        </w:tc>
        <w:tc>
          <w:tcPr>
            <w:tcW w:w="180" w:type="dxa"/>
            <w:vAlign w:val="bottom"/>
            <w:tcBorders>
              <w:bottom w:val="single" w:sz="8" w:color="auto"/>
            </w:tcBorders>
            <w:shd w:val="clear" w:color="auto" w:fill="43C0B9"/>
          </w:tcPr>
          <w:p>
            <w:pPr>
              <w:spacing w:after="0"/>
              <w:rPr>
                <w:sz w:val="13"/>
                <w:szCs w:val="13"/>
                <w:color w:val="auto"/>
              </w:rPr>
            </w:pPr>
          </w:p>
        </w:tc>
        <w:tc>
          <w:tcPr>
            <w:tcW w:w="150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91.5</w:t>
            </w:r>
          </w:p>
        </w:tc>
        <w:tc>
          <w:tcPr>
            <w:tcW w:w="700" w:type="dxa"/>
            <w:vAlign w:val="bottom"/>
            <w:tcBorders>
              <w:bottom w:val="single" w:sz="8" w:color="auto"/>
            </w:tcBorders>
            <w:shd w:val="clear" w:color="auto" w:fill="43C0B9"/>
          </w:tcPr>
          <w:p>
            <w:pPr>
              <w:spacing w:after="0"/>
              <w:rPr>
                <w:sz w:val="13"/>
                <w:szCs w:val="13"/>
                <w:color w:val="auto"/>
              </w:rPr>
            </w:pP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123.0</w:t>
            </w:r>
          </w:p>
        </w:tc>
      </w:tr>
      <w:tr>
        <w:trPr>
          <w:trHeight w:val="160"/>
        </w:trPr>
        <w:tc>
          <w:tcPr>
            <w:tcW w:w="64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44.9</w:t>
            </w:r>
          </w:p>
        </w:tc>
        <w:tc>
          <w:tcPr>
            <w:tcW w:w="180" w:type="dxa"/>
            <w:vAlign w:val="bottom"/>
          </w:tcPr>
          <w:p>
            <w:pPr>
              <w:spacing w:after="0"/>
              <w:rPr>
                <w:sz w:val="13"/>
                <w:szCs w:val="13"/>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28.8</w:t>
            </w:r>
          </w:p>
        </w:tc>
        <w:tc>
          <w:tcPr>
            <w:tcW w:w="7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71.7</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Interest expense</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3.7</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6.7</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10.3</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Provision for income taxes</w:t>
            </w:r>
          </w:p>
        </w:tc>
        <w:tc>
          <w:tcPr>
            <w:tcW w:w="6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21.1</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15.0</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24.3</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Depreciation and amortization</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20.4</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18.1</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16.5</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Equity method income</w:t>
            </w:r>
          </w:p>
        </w:tc>
        <w:tc>
          <w:tcPr>
            <w:tcW w:w="62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(7.5)</w:t>
            </w:r>
          </w:p>
        </w:tc>
        <w:tc>
          <w:tcPr>
            <w:tcW w:w="180" w:type="dxa"/>
            <w:vAlign w:val="bottom"/>
          </w:tcPr>
          <w:p>
            <w:pPr>
              <w:spacing w:after="0"/>
              <w:rPr>
                <w:sz w:val="14"/>
                <w:szCs w:val="14"/>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(4.0)</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Stock-based compensation</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2.6</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5.0</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62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0.7</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Impairment on equity method investment</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21.2</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Legal settlement</w:t>
            </w:r>
          </w:p>
        </w:tc>
        <w:tc>
          <w:tcPr>
            <w:tcW w:w="6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0.8</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Asset impairment and disposals, net of insurance recoveries</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(0.2)</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Farming costs for nonproductive orchards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0.8</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adjusted EBITDA</w:t>
            </w:r>
          </w:p>
        </w:tc>
        <w:tc>
          <w:tcPr>
            <w:tcW w:w="620" w:type="dxa"/>
            <w:vAlign w:val="bottom"/>
            <w:tcBorders>
              <w:bottom w:val="single" w:sz="8" w:color="auto"/>
            </w:tcBorders>
            <w:shd w:val="clear" w:color="auto" w:fill="43C0B9"/>
          </w:tcPr>
          <w:p>
            <w:pPr>
              <w:spacing w:after="0"/>
              <w:rPr>
                <w:sz w:val="13"/>
                <w:szCs w:val="13"/>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85.3</w:t>
            </w:r>
          </w:p>
        </w:tc>
        <w:tc>
          <w:tcPr>
            <w:tcW w:w="180" w:type="dxa"/>
            <w:vAlign w:val="bottom"/>
            <w:tcBorders>
              <w:bottom w:val="single" w:sz="8" w:color="auto"/>
            </w:tcBorders>
            <w:shd w:val="clear" w:color="auto" w:fill="43C0B9"/>
          </w:tcPr>
          <w:p>
            <w:pPr>
              <w:spacing w:after="0"/>
              <w:rPr>
                <w:sz w:val="13"/>
                <w:szCs w:val="13"/>
                <w:color w:val="auto"/>
              </w:rPr>
            </w:pPr>
          </w:p>
        </w:tc>
        <w:tc>
          <w:tcPr>
            <w:tcW w:w="150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91.5</w:t>
            </w:r>
          </w:p>
        </w:tc>
        <w:tc>
          <w:tcPr>
            <w:tcW w:w="700" w:type="dxa"/>
            <w:vAlign w:val="bottom"/>
            <w:tcBorders>
              <w:bottom w:val="single" w:sz="8" w:color="auto"/>
            </w:tcBorders>
            <w:shd w:val="clear" w:color="auto" w:fill="43C0B9"/>
          </w:tcPr>
          <w:p>
            <w:pPr>
              <w:spacing w:after="0"/>
              <w:rPr>
                <w:sz w:val="13"/>
                <w:szCs w:val="13"/>
                <w:color w:val="auto"/>
              </w:rPr>
            </w:pP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123.0</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Marketing and Distribution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Net sales in our Marketing and Distribution segment increased $25.1 million or 3% in fiscal year 2021 compared to fiscal year 2020, due to the same drivers impacting consolidated revenue.</w:t>
      </w:r>
    </w:p>
    <w:p>
      <w:pPr>
        <w:spacing w:after="0" w:line="170" w:lineRule="exact"/>
        <w:rPr>
          <w:sz w:val="20"/>
          <w:szCs w:val="20"/>
          <w:color w:val="auto"/>
        </w:rPr>
      </w:pPr>
    </w:p>
    <w:p>
      <w:pPr>
        <w:ind w:right="280" w:firstLine="509"/>
        <w:spacing w:after="0"/>
        <w:rPr>
          <w:sz w:val="20"/>
          <w:szCs w:val="20"/>
          <w:color w:val="auto"/>
        </w:rPr>
      </w:pPr>
      <w:r>
        <w:rPr>
          <w:rFonts w:ascii="Arial" w:cs="Arial" w:eastAsia="Arial" w:hAnsi="Arial"/>
          <w:sz w:val="13"/>
          <w:szCs w:val="13"/>
          <w:color w:val="auto"/>
        </w:rPr>
        <w:t>Segment adjusted EBITDA decreased $16.8 million or 25% in fiscal year 2021 compared to fiscal year 2020 due to lower gross margins and higher selling, general and administrative expenses. Gross margin was impacted by tighter per-unit margins related to the sourcing of Californian and Mexican fruit, which were exacerbated by smaller industry volumes within the California market as well as smaller fruit sizes within the Mexican market. Additionally, gross margin was pressured by incremental infrastructure costs related to our new Laredo facility, which is still in the process of ramping up utilization. Selling, general and administrative expenses increased due to the same factors as described above.</w:t>
      </w:r>
    </w:p>
    <w:p>
      <w:pPr>
        <w:spacing w:after="0" w:line="14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3"/>
          <w:szCs w:val="13"/>
          <w:color w:val="auto"/>
        </w:rPr>
        <w:t>Net sales decreased $26.8 million or 3% in fiscal year 2020 compared to fiscal year 2019 primarily due to a 12% decrease in average per unit sales prices partially offset by an 11% increase in volume. Average price decreases were concentrated in the second half of fiscal year 2020 primarily due to strong industry supply in California and Peru, relative to prior year.</w:t>
      </w:r>
    </w:p>
    <w:p>
      <w:pPr>
        <w:spacing w:after="0" w:line="152"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Adjusted EBITDA decreased $19.8 million or 23% in fiscal year 2020 over fiscal year 2019 primarily due to lower gross profit per pound of avocados sold. The decrease in gross margin was due primarily to the benefit of lower third-party fruit costs during the first quarter of fiscal year 2019. The market conditions experienced in the prior year period were non-recurring in nature, as customer prices remained steady despite significant declines in fruit costs due to the instability of supply from Mexico.</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International Farming</w:t>
      </w:r>
    </w:p>
    <w:p>
      <w:pPr>
        <w:spacing w:after="0" w:line="170"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3"/>
          <w:szCs w:val="13"/>
          <w:color w:val="auto"/>
        </w:rPr>
        <w:t>Substantially all sales of fruit from our International Farming segment are to the Marketing and Distribution segment, with the remainder of revenue largely derived from services provided to third parties. Affiliated sales are concentrated in the second half of the fiscal year in alignment with the Peruvian avocado harvest season, which typically runs from April through August of each year. As a result, adjusted EBITDA for International Farming is generally concentrated in the third and fourth quarters of the fiscal year in alignment with sales.</w:t>
      </w:r>
    </w:p>
    <w:p>
      <w:pPr>
        <w:spacing w:after="0" w:line="144" w:lineRule="exact"/>
        <w:rPr>
          <w:sz w:val="20"/>
          <w:szCs w:val="20"/>
          <w:color w:val="auto"/>
        </w:rPr>
      </w:pPr>
    </w:p>
    <w:p>
      <w:pPr>
        <w:ind w:right="280" w:firstLine="509"/>
        <w:spacing w:after="0" w:line="244" w:lineRule="auto"/>
        <w:rPr>
          <w:sz w:val="20"/>
          <w:szCs w:val="20"/>
          <w:color w:val="auto"/>
        </w:rPr>
      </w:pPr>
      <w:r>
        <w:rPr>
          <w:rFonts w:ascii="Arial" w:cs="Arial" w:eastAsia="Arial" w:hAnsi="Arial"/>
          <w:sz w:val="13"/>
          <w:szCs w:val="13"/>
          <w:color w:val="auto"/>
        </w:rPr>
        <w:t>Total segment sales in our International Farming segment increased $22.8 million or 28% in fiscal year 2021 compared to fiscal year 2020, due to a 33% increase in fruit volumes resulting from improved harvest yields at our maturing orchards, partially offset by a 3% decrease in average</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sales prices. Net sales increased $4.3 million or 28% in fiscal year 2021 compared to fiscal year 2020, primarily due to higher packing and processing service revenue for third-party growers.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Segment adjusted EBITDA increased $10.6 million or 45% in fiscal year 2021 compared to fiscal year 2020, primarily due to the revenue drivers noted above.</w:t>
      </w:r>
    </w:p>
    <w:p>
      <w:pPr>
        <w:spacing w:after="0" w:line="158"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Total segment sales decreased $8.5 million or 9% in fiscal year 2020 compared to fiscal year 2019 primarily due to lower per unit sales pricing on the sale of avocados. Average sales prices declined by 24%, driven by strong industry supply during the harvest window which was concentrated in the second half of the fiscal year. The impact of lower sales pricing was partially offset by a 20% increase in volume harvested during fiscal year 2020. Volume increases were driven by improved production yields resulting from maturity of our avocado orchards. Net sales in our International Farming segment increased $5.8 million or 60% in fiscal year 2020 compared to fiscal year 2019 primarily due to higher packing and processing service revenues provided to third-party growers driven by their higher volumes.</w:t>
      </w:r>
    </w:p>
    <w:p>
      <w:pPr>
        <w:spacing w:after="0" w:line="157" w:lineRule="exact"/>
        <w:rPr>
          <w:sz w:val="20"/>
          <w:szCs w:val="20"/>
          <w:color w:val="auto"/>
        </w:rPr>
      </w:pPr>
    </w:p>
    <w:p>
      <w:pPr>
        <w:ind w:right="300" w:firstLine="509"/>
        <w:spacing w:after="0" w:line="284" w:lineRule="auto"/>
        <w:rPr>
          <w:sz w:val="20"/>
          <w:szCs w:val="20"/>
          <w:color w:val="auto"/>
        </w:rPr>
      </w:pPr>
      <w:r>
        <w:rPr>
          <w:rFonts w:ascii="Arial" w:cs="Arial" w:eastAsia="Arial" w:hAnsi="Arial"/>
          <w:sz w:val="12"/>
          <w:szCs w:val="12"/>
          <w:color w:val="auto"/>
        </w:rPr>
        <w:t>Adjusted EBITDA decreased $11.7 million or 33% in fiscal year 2020 compared to fiscal year 2019 primarily due to lower sales which was driven by lower pricing during the second half of fiscal year 2020. Adjusted EBITDA for International Farming is generally concentrated in the third and fourth quarters of our fiscal year in alignment with the harvest season for avocados in Peru.</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Liquidity and Capital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Operating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163"/>
              <w:spacing w:after="0"/>
              <w:rPr>
                <w:sz w:val="20"/>
                <w:szCs w:val="20"/>
                <w:color w:val="auto"/>
              </w:rPr>
            </w:pPr>
            <w:r>
              <w:rPr>
                <w:rFonts w:ascii="Arial" w:cs="Arial" w:eastAsia="Arial" w:hAnsi="Arial"/>
                <w:sz w:val="11"/>
                <w:szCs w:val="11"/>
                <w:b w:val="1"/>
                <w:bCs w:val="1"/>
                <w:color w:val="FFFFFF"/>
              </w:rPr>
              <w:t>Year Ended October 31,</w:t>
            </w:r>
          </w:p>
        </w:tc>
        <w:tc>
          <w:tcPr>
            <w:tcW w:w="760" w:type="dxa"/>
            <w:vAlign w:val="bottom"/>
            <w:shd w:val="clear" w:color="auto" w:fill="232F84"/>
          </w:tcPr>
          <w:p>
            <w:pPr>
              <w:spacing w:after="0"/>
              <w:rPr>
                <w:sz w:val="15"/>
                <w:szCs w:val="15"/>
                <w:color w:val="auto"/>
              </w:rPr>
            </w:pPr>
          </w:p>
        </w:tc>
        <w:tc>
          <w:tcPr>
            <w:tcW w:w="880" w:type="dxa"/>
            <w:vAlign w:val="bottom"/>
            <w:shd w:val="clear" w:color="auto" w:fill="232F84"/>
          </w:tcPr>
          <w:p>
            <w:pPr>
              <w:spacing w:after="0"/>
              <w:rPr>
                <w:sz w:val="15"/>
                <w:szCs w:val="15"/>
                <w:color w:val="auto"/>
              </w:rPr>
            </w:pPr>
          </w:p>
        </w:tc>
      </w:tr>
      <w:tr>
        <w:trPr>
          <w:trHeight w:val="175"/>
        </w:trPr>
        <w:tc>
          <w:tcPr>
            <w:tcW w:w="62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2020</w:t>
            </w:r>
          </w:p>
        </w:tc>
        <w:tc>
          <w:tcPr>
            <w:tcW w:w="760" w:type="dxa"/>
            <w:vAlign w:val="bottom"/>
            <w:shd w:val="clear" w:color="auto" w:fill="232F84"/>
          </w:tcPr>
          <w:p>
            <w:pPr>
              <w:spacing w:after="0"/>
              <w:rPr>
                <w:sz w:val="15"/>
                <w:szCs w:val="15"/>
                <w:color w:val="auto"/>
              </w:rPr>
            </w:pPr>
          </w:p>
        </w:tc>
        <w:tc>
          <w:tcPr>
            <w:tcW w:w="8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44.9</w:t>
            </w:r>
          </w:p>
        </w:tc>
        <w:tc>
          <w:tcPr>
            <w:tcW w:w="2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28.8</w:t>
            </w:r>
          </w:p>
        </w:tc>
        <w:tc>
          <w:tcPr>
            <w:tcW w:w="760" w:type="dxa"/>
            <w:vAlign w:val="bottom"/>
            <w:shd w:val="clear" w:color="auto" w:fill="43C0B9"/>
          </w:tcPr>
          <w:p>
            <w:pPr>
              <w:jc w:val="right"/>
              <w:ind w:right="563"/>
              <w:spacing w:after="0"/>
              <w:rPr>
                <w:sz w:val="20"/>
                <w:szCs w:val="20"/>
                <w:color w:val="auto"/>
              </w:rPr>
            </w:pPr>
            <w:r>
              <w:rPr>
                <w:rFonts w:ascii="Arial" w:cs="Arial" w:eastAsia="Arial" w:hAnsi="Arial"/>
                <w:sz w:val="11"/>
                <w:szCs w:val="11"/>
                <w:color w:val="auto"/>
              </w:rPr>
              <w:t>$</w:t>
            </w:r>
          </w:p>
        </w:tc>
        <w:tc>
          <w:tcPr>
            <w:tcW w:w="8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71.7</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20.4</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18.1</w:t>
            </w: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16.5</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Equity method income</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(7.5)</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(4.0)</w:t>
            </w:r>
          </w:p>
        </w:tc>
        <w:tc>
          <w:tcPr>
            <w:tcW w:w="760" w:type="dxa"/>
            <w:vAlign w:val="bottom"/>
            <w:shd w:val="clear" w:color="auto" w:fill="43C0B9"/>
          </w:tcPr>
          <w:p>
            <w:pPr>
              <w:spacing w:after="0"/>
              <w:rPr>
                <w:sz w:val="15"/>
                <w:szCs w:val="15"/>
                <w:color w:val="auto"/>
              </w:rPr>
            </w:pPr>
          </w:p>
        </w:tc>
        <w:tc>
          <w:tcPr>
            <w:tcW w:w="8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(3.4)</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Noncash lease expense</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Impairment on equity method investment</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21.2</w:t>
            </w:r>
          </w:p>
        </w:tc>
        <w:tc>
          <w:tcPr>
            <w:tcW w:w="760" w:type="dxa"/>
            <w:vAlign w:val="bottom"/>
            <w:shd w:val="clear" w:color="auto" w:fill="43C0B9"/>
          </w:tcPr>
          <w:p>
            <w:pPr>
              <w:spacing w:after="0"/>
              <w:rPr>
                <w:sz w:val="15"/>
                <w:szCs w:val="15"/>
                <w:color w:val="auto"/>
              </w:rPr>
            </w:pPr>
          </w:p>
        </w:tc>
        <w:tc>
          <w:tcPr>
            <w:tcW w:w="8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5.0</w:t>
            </w: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Dividends received from equity method investees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1.7</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1.7</w:t>
            </w:r>
          </w:p>
        </w:tc>
        <w:tc>
          <w:tcPr>
            <w:tcW w:w="760" w:type="dxa"/>
            <w:vAlign w:val="bottom"/>
            <w:shd w:val="clear" w:color="auto" w:fill="43C0B9"/>
          </w:tcPr>
          <w:p>
            <w:pPr>
              <w:spacing w:after="0"/>
              <w:rPr>
                <w:sz w:val="15"/>
                <w:szCs w:val="15"/>
                <w:color w:val="auto"/>
              </w:rPr>
            </w:pPr>
          </w:p>
        </w:tc>
        <w:tc>
          <w:tcPr>
            <w:tcW w:w="8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Deferred income taxes</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8.8</w:t>
            </w:r>
          </w:p>
        </w:tc>
        <w:tc>
          <w:tcPr>
            <w:tcW w:w="20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(1.0)</w:t>
            </w:r>
          </w:p>
        </w:tc>
        <w:tc>
          <w:tcPr>
            <w:tcW w:w="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Other</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(0.5)</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1.2</w:t>
            </w:r>
          </w:p>
        </w:tc>
        <w:tc>
          <w:tcPr>
            <w:tcW w:w="760" w:type="dxa"/>
            <w:vAlign w:val="bottom"/>
            <w:shd w:val="clear" w:color="auto" w:fill="43C0B9"/>
          </w:tcPr>
          <w:p>
            <w:pPr>
              <w:spacing w:after="0"/>
              <w:rPr>
                <w:sz w:val="15"/>
                <w:szCs w:val="15"/>
                <w:color w:val="auto"/>
              </w:rPr>
            </w:pPr>
          </w:p>
        </w:tc>
        <w:tc>
          <w:tcPr>
            <w:tcW w:w="8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4.0</w:t>
            </w:r>
          </w:p>
        </w:tc>
      </w:tr>
      <w:tr>
        <w:trPr>
          <w:trHeight w:val="166"/>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Change in working capital</w:t>
            </w: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(27.7)</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7.9</w:t>
            </w: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r>
      <w:tr>
        <w:trPr>
          <w:trHeight w:val="160"/>
        </w:trPr>
        <w:tc>
          <w:tcPr>
            <w:tcW w:w="62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66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47.0</w:t>
            </w:r>
          </w:p>
        </w:tc>
        <w:tc>
          <w:tcPr>
            <w:tcW w:w="2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78.9</w:t>
            </w:r>
          </w:p>
        </w:tc>
        <w:tc>
          <w:tcPr>
            <w:tcW w:w="760" w:type="dxa"/>
            <w:vAlign w:val="bottom"/>
            <w:tcBorders>
              <w:bottom w:val="single" w:sz="8" w:color="auto"/>
            </w:tcBorders>
            <w:shd w:val="clear" w:color="auto" w:fill="43C0B9"/>
          </w:tcPr>
          <w:p>
            <w:pPr>
              <w:jc w:val="right"/>
              <w:ind w:right="56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92.6</w:t>
            </w:r>
          </w:p>
        </w:tc>
      </w:tr>
    </w:tbl>
    <w:p>
      <w:pPr>
        <w:spacing w:after="0" w:line="224"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Net cash provided by operating activities decreased $31.9 million for fiscal year 2021 compared to fiscal year 2020, reflecting unfavorable net change in working capital. Within working capital, unfavorable changes in accounts receivable and inventory, were partially offset by favorable changes in grower payables. Accounts receivable increases were due to rising per-unit sales prices during the year. Changes in inventory were driven by a combination of higher farm related inventory in Peru, as well as higher per-unit cost of Mexican fruit on-hand compared to prior year. The increases in farm related inventory were due primarily to growth in productive acreage and higher on-hand quantities of fruit at the end of the year due to the extension of the harvest season combined with port delays. Favorable changes in grower payables were correlated with the pricing increases experienced with Mexican inventory.</w:t>
      </w:r>
    </w:p>
    <w:p>
      <w:pPr>
        <w:spacing w:after="0" w:line="157"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Net cash provided by operating activities decreased $13.7 million in fiscal year 2020 compared to fiscal year 2019, reflecting lower net income, favorable net change in working capital, and higher stock-based compensation expense. Within working capital, favorable changes in inventory and trade accounts receivables were partially offset by unfavorable changes in grower payables and miscellaneous receivables. The decrease in pricing on third-party fruit during the second half of fiscal year 2020 resulted in lower revenue and lower cost-basis, resulting in lower trade accounts receivable and inventory balances, as well as lower grower payables balances as of October 31, 2020. Changes in miscellaneous receivables were largely due to change in value-added tax (“VAT”) receivable, which is correlated with the timing of material purchases and claim activity. We also experienced an increase in other assets attributable to implementation costs associated with cloud-based computing software solutions.</w:t>
      </w:r>
    </w:p>
    <w:p>
      <w:pPr>
        <w:spacing w:after="0" w:line="35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i w:val="1"/>
          <w:iCs w:val="1"/>
          <w:color w:val="232F84"/>
        </w:rPr>
        <w:t>Investing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163"/>
              <w:spacing w:after="0"/>
              <w:rPr>
                <w:sz w:val="20"/>
                <w:szCs w:val="20"/>
                <w:color w:val="auto"/>
              </w:rPr>
            </w:pPr>
            <w:r>
              <w:rPr>
                <w:rFonts w:ascii="Arial" w:cs="Arial" w:eastAsia="Arial" w:hAnsi="Arial"/>
                <w:sz w:val="11"/>
                <w:szCs w:val="11"/>
                <w:b w:val="1"/>
                <w:bCs w:val="1"/>
                <w:color w:val="FFFFFF"/>
              </w:rPr>
              <w:t>Year Ended October 31,</w:t>
            </w:r>
          </w:p>
        </w:tc>
        <w:tc>
          <w:tcPr>
            <w:tcW w:w="74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75"/>
        </w:trPr>
        <w:tc>
          <w:tcPr>
            <w:tcW w:w="62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2020</w:t>
            </w:r>
          </w:p>
        </w:tc>
        <w:tc>
          <w:tcPr>
            <w:tcW w:w="740" w:type="dxa"/>
            <w:vAlign w:val="bottom"/>
            <w:shd w:val="clear" w:color="auto" w:fill="232F84"/>
          </w:tcPr>
          <w:p>
            <w:pPr>
              <w:spacing w:after="0"/>
              <w:rPr>
                <w:sz w:val="15"/>
                <w:szCs w:val="15"/>
                <w:color w:val="auto"/>
              </w:rPr>
            </w:pP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Purchases of property and equipment</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(73.4)</w:t>
            </w:r>
          </w:p>
        </w:tc>
        <w:tc>
          <w:tcPr>
            <w:tcW w:w="2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(67.3)</w:t>
            </w:r>
          </w:p>
        </w:tc>
        <w:tc>
          <w:tcPr>
            <w:tcW w:w="740" w:type="dxa"/>
            <w:vAlign w:val="bottom"/>
            <w:shd w:val="clear" w:color="auto" w:fill="43C0B9"/>
          </w:tcPr>
          <w:p>
            <w:pPr>
              <w:jc w:val="right"/>
              <w:ind w:right="54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(29.7)</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Proceeds from sale of property, plant and equipment</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3.0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Insurance proceeds for the replacement of property, plant and equipment</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1.1</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Investment in equity method investees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(0.2)</w:t>
            </w:r>
          </w:p>
        </w:tc>
        <w:tc>
          <w:tcPr>
            <w:tcW w:w="20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(3.4)</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Loans to equity method investees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(2.0)</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Loan repayments from equity method investees</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1.5</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2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0.3</w:t>
            </w:r>
          </w:p>
        </w:tc>
        <w:tc>
          <w:tcPr>
            <w:tcW w:w="200" w:type="dxa"/>
            <w:vAlign w:val="bottom"/>
            <w:tcBorders>
              <w:bottom w:val="single" w:sz="8" w:color="auto"/>
            </w:tcBorders>
            <w:shd w:val="clear" w:color="auto" w:fill="43C0B9"/>
          </w:tcPr>
          <w:p>
            <w:pPr>
              <w:spacing w:after="0"/>
              <w:rPr>
                <w:sz w:val="14"/>
                <w:szCs w:val="14"/>
                <w:color w:val="auto"/>
              </w:rPr>
            </w:pPr>
          </w:p>
        </w:tc>
        <w:tc>
          <w:tcPr>
            <w:tcW w:w="152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43C0B9"/>
          </w:tcPr>
          <w:p>
            <w:pPr>
              <w:spacing w:after="0"/>
              <w:rPr>
                <w:sz w:val="14"/>
                <w:szCs w:val="14"/>
                <w:color w:val="auto"/>
              </w:rPr>
            </w:pP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0.8</w:t>
            </w:r>
          </w:p>
        </w:tc>
      </w:tr>
      <w:tr>
        <w:trPr>
          <w:trHeight w:val="16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investing activities</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(67.7)</w:t>
            </w:r>
          </w:p>
        </w:tc>
        <w:tc>
          <w:tcPr>
            <w:tcW w:w="74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Property, plant and equipment</w:t>
      </w:r>
    </w:p>
    <w:p>
      <w:pPr>
        <w:spacing w:after="0" w:line="160"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In both fiscal years 2021 and 2020, capital expenditures were primarily for the construction of the Laredo facility, which was completed in mid-fiscal 2021, and land improvements and orchard development in Peru and Guatemala.</w:t>
      </w:r>
    </w:p>
    <w:p>
      <w:pPr>
        <w:spacing w:after="0" w:line="152" w:lineRule="exact"/>
        <w:rPr>
          <w:sz w:val="20"/>
          <w:szCs w:val="20"/>
          <w:color w:val="auto"/>
        </w:rPr>
      </w:pPr>
    </w:p>
    <w:p>
      <w:pPr>
        <w:ind w:right="200" w:firstLine="509"/>
        <w:spacing w:after="0" w:line="244" w:lineRule="auto"/>
        <w:rPr>
          <w:sz w:val="20"/>
          <w:szCs w:val="20"/>
          <w:color w:val="auto"/>
        </w:rPr>
      </w:pPr>
      <w:r>
        <w:rPr>
          <w:rFonts w:ascii="Arial" w:cs="Arial" w:eastAsia="Arial" w:hAnsi="Arial"/>
          <w:sz w:val="13"/>
          <w:szCs w:val="13"/>
          <w:color w:val="auto"/>
        </w:rPr>
        <w:t>In both fiscal years 2021 and 2020, proceeds from the sale of property, plant and equipment were primarily from the sale of multi-unit housing properties in California that had been used for housing seasonal avocado labor contractors.</w:t>
      </w:r>
    </w:p>
    <w:p>
      <w:pPr>
        <w:spacing w:after="0" w:line="184" w:lineRule="exact"/>
        <w:rPr>
          <w:sz w:val="20"/>
          <w:szCs w:val="20"/>
          <w:color w:val="auto"/>
        </w:rPr>
      </w:pPr>
    </w:p>
    <w:p>
      <w:pPr>
        <w:ind w:right="60" w:firstLine="509"/>
        <w:spacing w:after="0" w:line="244" w:lineRule="auto"/>
        <w:rPr>
          <w:sz w:val="20"/>
          <w:szCs w:val="20"/>
          <w:color w:val="auto"/>
        </w:rPr>
      </w:pPr>
      <w:r>
        <w:rPr>
          <w:rFonts w:ascii="Arial" w:cs="Arial" w:eastAsia="Arial" w:hAnsi="Arial"/>
          <w:sz w:val="13"/>
          <w:szCs w:val="13"/>
          <w:color w:val="auto"/>
        </w:rPr>
        <w:t>In fiscal year 2021, we received insurance proceeds for property, plant and equipment damage sustained in our Dallas facility from a cold weather storm in February 2021. The proceeds have been invested in the rebuilding of the equipment.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Equity method investees</w:t>
      </w:r>
    </w:p>
    <w:p>
      <w:pPr>
        <w:spacing w:after="0" w:line="18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3"/>
          <w:szCs w:val="13"/>
          <w:color w:val="auto"/>
        </w:rPr>
        <w:t>In fiscal years 2021 and 2020, capital contributions to equity method investees were to our joint venture, Copaltas S.A.S., to support the purchase of additional farmland in Colombia. In fiscal year 2021, we issued $2.0 million in loans to Copaltas to support the working capital needs of the entity. In addition, we received an installment payment of $1.5 million on our outstanding loan to Moruga during fiscal year 2021.</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Financing activities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8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163"/>
              <w:spacing w:after="0"/>
              <w:rPr>
                <w:sz w:val="20"/>
                <w:szCs w:val="20"/>
                <w:color w:val="auto"/>
              </w:rPr>
            </w:pPr>
            <w:r>
              <w:rPr>
                <w:rFonts w:ascii="Arial" w:cs="Arial" w:eastAsia="Arial" w:hAnsi="Arial"/>
                <w:sz w:val="11"/>
                <w:szCs w:val="11"/>
                <w:b w:val="1"/>
                <w:bCs w:val="1"/>
                <w:color w:val="FFFFFF"/>
              </w:rPr>
              <w:t>Year Ended October 31,</w:t>
            </w:r>
          </w:p>
        </w:tc>
        <w:tc>
          <w:tcPr>
            <w:tcW w:w="74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75"/>
        </w:trPr>
        <w:tc>
          <w:tcPr>
            <w:tcW w:w="62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20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2020</w:t>
            </w:r>
          </w:p>
        </w:tc>
        <w:tc>
          <w:tcPr>
            <w:tcW w:w="740" w:type="dxa"/>
            <w:vAlign w:val="bottom"/>
            <w:shd w:val="clear" w:color="auto" w:fill="232F84"/>
          </w:tcPr>
          <w:p>
            <w:pPr>
              <w:spacing w:after="0"/>
              <w:rPr>
                <w:sz w:val="15"/>
                <w:szCs w:val="15"/>
                <w:color w:val="auto"/>
              </w:rPr>
            </w:pP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Proceeds from issuance of common stock in public offering, net of issuance costs</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78.1</w:t>
            </w:r>
          </w:p>
        </w:tc>
        <w:tc>
          <w:tcPr>
            <w:tcW w:w="740" w:type="dxa"/>
            <w:vAlign w:val="bottom"/>
            <w:shd w:val="clear" w:color="auto" w:fill="43C0B9"/>
          </w:tcPr>
          <w:p>
            <w:pPr>
              <w:jc w:val="right"/>
              <w:ind w:right="54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14.0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45.0</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Payments on revolving credit facility</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(14.0)</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(51.0)</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(10.5)</w:t>
            </w:r>
          </w:p>
        </w:tc>
        <w:tc>
          <w:tcPr>
            <w:tcW w:w="20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(6.3)</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(14.2)</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(1.2)</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(0.9)</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(0.4)</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Payment for debt extinguishment costs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(5.8)</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Dividends paid</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(13.0)</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(5.6)</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Proceeds from exercise of stock options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0.2</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Pr>
          <w:p>
            <w:pPr>
              <w:ind w:left="20"/>
              <w:spacing w:after="0"/>
              <w:rPr>
                <w:sz w:val="20"/>
                <w:szCs w:val="20"/>
                <w:color w:val="auto"/>
              </w:rPr>
            </w:pPr>
            <w:r>
              <w:rPr>
                <w:rFonts w:ascii="Arial" w:cs="Arial" w:eastAsia="Arial" w:hAnsi="Arial"/>
                <w:sz w:val="11"/>
                <w:szCs w:val="11"/>
                <w:color w:val="auto"/>
              </w:rPr>
              <w:t>Repayment of stock option notes receivable</w:t>
            </w:r>
          </w:p>
        </w:tc>
        <w:tc>
          <w:tcPr>
            <w:tcW w:w="66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0.1</w:t>
            </w:r>
          </w:p>
        </w:tc>
        <w:tc>
          <w:tcPr>
            <w:tcW w:w="200" w:type="dxa"/>
            <w:vAlign w:val="bottom"/>
          </w:tcPr>
          <w:p>
            <w:pPr>
              <w:spacing w:after="0"/>
              <w:rPr>
                <w:sz w:val="14"/>
                <w:szCs w:val="14"/>
                <w:color w:val="auto"/>
              </w:rPr>
            </w:pPr>
          </w:p>
        </w:tc>
        <w:tc>
          <w:tcPr>
            <w:tcW w:w="1520" w:type="dxa"/>
            <w:vAlign w:val="bottom"/>
          </w:tcPr>
          <w:p>
            <w:pPr>
              <w:jc w:val="right"/>
              <w:ind w:right="63"/>
              <w:spacing w:after="0"/>
              <w:rPr>
                <w:sz w:val="20"/>
                <w:szCs w:val="20"/>
                <w:color w:val="auto"/>
              </w:rPr>
            </w:pPr>
            <w:r>
              <w:rPr>
                <w:rFonts w:ascii="Arial" w:cs="Arial" w:eastAsia="Arial" w:hAnsi="Arial"/>
                <w:sz w:val="11"/>
                <w:szCs w:val="11"/>
                <w:color w:val="auto"/>
              </w:rPr>
              <w:t>0.1</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74"/>
        </w:trPr>
        <w:tc>
          <w:tcPr>
            <w:tcW w:w="6280" w:type="dxa"/>
            <w:vAlign w:val="bottom"/>
            <w:shd w:val="clear" w:color="auto" w:fill="43C0B9"/>
          </w:tcPr>
          <w:p>
            <w:pPr>
              <w:ind w:left="20"/>
              <w:spacing w:after="0"/>
              <w:rPr>
                <w:sz w:val="20"/>
                <w:szCs w:val="20"/>
                <w:color w:val="auto"/>
              </w:rPr>
            </w:pPr>
            <w:r>
              <w:rPr>
                <w:rFonts w:ascii="Arial" w:cs="Arial" w:eastAsia="Arial" w:hAnsi="Arial"/>
                <w:sz w:val="11"/>
                <w:szCs w:val="11"/>
                <w:color w:val="auto"/>
              </w:rPr>
              <w:t>Debt issuance costs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(0.2)</w:t>
            </w:r>
          </w:p>
        </w:tc>
        <w:tc>
          <w:tcPr>
            <w:tcW w:w="74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Purchase and retirement of stock</w:t>
            </w: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w:t>
            </w: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r>
      <w:tr>
        <w:trPr>
          <w:trHeight w:val="160"/>
        </w:trPr>
        <w:tc>
          <w:tcPr>
            <w:tcW w:w="62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66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(11.5)</w:t>
            </w:r>
          </w:p>
        </w:tc>
        <w:tc>
          <w:tcPr>
            <w:tcW w:w="2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50.1</w:t>
            </w:r>
          </w:p>
        </w:tc>
        <w:tc>
          <w:tcPr>
            <w:tcW w:w="740" w:type="dxa"/>
            <w:vAlign w:val="bottom"/>
            <w:tcBorders>
              <w:bottom w:val="single" w:sz="8" w:color="auto"/>
            </w:tcBorders>
            <w:shd w:val="clear" w:color="auto" w:fill="43C0B9"/>
          </w:tcPr>
          <w:p>
            <w:pPr>
              <w:jc w:val="right"/>
              <w:ind w:right="54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(26.8)</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IPO</w:t>
      </w:r>
    </w:p>
    <w:p>
      <w:pPr>
        <w:spacing w:after="0" w:line="160" w:lineRule="exact"/>
        <w:rPr>
          <w:sz w:val="20"/>
          <w:szCs w:val="20"/>
          <w:color w:val="auto"/>
        </w:rPr>
      </w:pPr>
    </w:p>
    <w:p>
      <w:pPr>
        <w:ind w:right="680" w:firstLine="509"/>
        <w:spacing w:after="0" w:line="244" w:lineRule="auto"/>
        <w:rPr>
          <w:sz w:val="20"/>
          <w:szCs w:val="20"/>
          <w:color w:val="auto"/>
        </w:rPr>
      </w:pPr>
      <w:r>
        <w:rPr>
          <w:rFonts w:ascii="Arial" w:cs="Arial" w:eastAsia="Arial" w:hAnsi="Arial"/>
          <w:sz w:val="13"/>
          <w:szCs w:val="13"/>
          <w:color w:val="auto"/>
        </w:rPr>
        <w:t>Net proceeds from our IPO in October 2020 were $78.1 million, after deducting underwriting discounts and issuance costs. We intend to use the proceeds for growth-related capital expenditures, working capital and other general corporate purposes, which may include the repayment of indebtedness, and funding future acquisitions (if any).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Borrowings and repayments of debt</w:t>
      </w:r>
    </w:p>
    <w:p>
      <w:pPr>
        <w:spacing w:after="0" w:line="170" w:lineRule="exact"/>
        <w:rPr>
          <w:sz w:val="20"/>
          <w:szCs w:val="20"/>
          <w:color w:val="auto"/>
        </w:rPr>
      </w:pPr>
    </w:p>
    <w:p>
      <w:pPr>
        <w:ind w:right="600" w:firstLine="509"/>
        <w:spacing w:after="0" w:line="244" w:lineRule="auto"/>
        <w:rPr>
          <w:sz w:val="20"/>
          <w:szCs w:val="20"/>
          <w:color w:val="auto"/>
        </w:rPr>
      </w:pPr>
      <w:r>
        <w:rPr>
          <w:rFonts w:ascii="Arial" w:cs="Arial" w:eastAsia="Arial" w:hAnsi="Arial"/>
          <w:sz w:val="13"/>
          <w:szCs w:val="13"/>
          <w:color w:val="auto"/>
        </w:rPr>
        <w:t>We utilize a revolving line of credit for short-term working capital purposes. Principal payments on our term loans and other notes payable are made in accordance with debt maturity schedules. During the year ended October 31, 2021, we repaid outstanding principal of $3.0 million on a note payable earlier than its scheduled maturity.</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i w:val="1"/>
          <w:iCs w:val="1"/>
          <w:color w:val="232F84"/>
        </w:rPr>
        <w:t>Shareholders’ equity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 dividends were paid in fiscal year 2021. We paid dividends of $0.21 per share in fiscal year 2020 compared to $0.09 per share in fiscal year 2019.</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Capital resources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1760" w:type="dxa"/>
            <w:vAlign w:val="bottom"/>
            <w:gridSpan w:val="2"/>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October 31,</w:t>
            </w:r>
          </w:p>
        </w:tc>
        <w:tc>
          <w:tcPr>
            <w:tcW w:w="820" w:type="dxa"/>
            <w:vAlign w:val="bottom"/>
            <w:shd w:val="clear" w:color="auto" w:fill="232F84"/>
          </w:tcPr>
          <w:p>
            <w:pPr>
              <w:spacing w:after="0"/>
              <w:rPr>
                <w:sz w:val="15"/>
                <w:szCs w:val="15"/>
                <w:color w:val="auto"/>
              </w:rPr>
            </w:pPr>
          </w:p>
        </w:tc>
      </w:tr>
      <w:tr>
        <w:trPr>
          <w:trHeight w:val="175"/>
        </w:trPr>
        <w:tc>
          <w:tcPr>
            <w:tcW w:w="80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00" w:type="dxa"/>
            <w:vAlign w:val="bottom"/>
            <w:shd w:val="clear" w:color="auto" w:fill="232F84"/>
          </w:tcPr>
          <w:p>
            <w:pPr>
              <w:spacing w:after="0"/>
              <w:rPr>
                <w:sz w:val="15"/>
                <w:szCs w:val="15"/>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r>
      <w:tr>
        <w:trPr>
          <w:trHeight w:val="170"/>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Cash and cash equivalents</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84.5</w:t>
            </w:r>
          </w:p>
        </w:tc>
        <w:tc>
          <w:tcPr>
            <w:tcW w:w="800" w:type="dxa"/>
            <w:vAlign w:val="bottom"/>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124.0</w:t>
            </w:r>
          </w:p>
        </w:tc>
      </w:tr>
      <w:tr>
        <w:trPr>
          <w:trHeight w:val="166"/>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Working capital</w:t>
            </w: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157.9</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170.2</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Capital resources include cash flows from operations, cash and cash equivalents, and debt financing.</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We have a syndicated credit facility with Bank of America, N.A., comprised of two term loans and a revolving credit facility (“revolver”) that provides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October 31, 2021 and 2020. Interest on the revolver bears rates at a spread over LIBOR that varies with our leverage ratio. As of October 31, 2021 and 2020, interest rates on the revolver were 1.84% and 1.90%, respectively.</w:t>
      </w:r>
    </w:p>
    <w:p>
      <w:pPr>
        <w:spacing w:after="0" w:line="145"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As of October 31, 2021, we were required to comply with the following financial covenants: (a) a quarterly consolidated leverage ratio of not more than 2.75 to 1.00 and (b) a quarterly consolidated fixed charge coverage ratio of not less than 1.50 to 1.00. As of October 31, 2021, our consolidated leverage ratio was 1.26 to 1.00 and our consolidated fixed charge coverage ratio was 2.52 to 1.00 and we were in compliance with all such covenants of the credit facility. The loans are secured by real property, personal property and the capital stock of our subsidiaries. We pay fees on unused commitments on the credit facility.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Material cash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Capital expenditures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various capital projects in progress for farming expansion and facility improvements which we intend to fund through our operating cash flow as well as cash and cash equivalents on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hand.</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Leases</w:t>
      </w:r>
    </w:p>
    <w:p>
      <w:pPr>
        <w:spacing w:after="0" w:line="170" w:lineRule="exact"/>
        <w:rPr>
          <w:sz w:val="20"/>
          <w:szCs w:val="20"/>
          <w:color w:val="auto"/>
        </w:rPr>
      </w:pPr>
    </w:p>
    <w:p>
      <w:pPr>
        <w:ind w:right="220" w:firstLine="509"/>
        <w:spacing w:after="0" w:line="241" w:lineRule="auto"/>
        <w:rPr>
          <w:sz w:val="20"/>
          <w:szCs w:val="20"/>
          <w:color w:val="auto"/>
        </w:rPr>
      </w:pPr>
      <w:r>
        <w:rPr>
          <w:rFonts w:ascii="Arial" w:cs="Arial" w:eastAsia="Arial" w:hAnsi="Arial"/>
          <w:sz w:val="13"/>
          <w:szCs w:val="13"/>
          <w:color w:val="auto"/>
        </w:rPr>
        <w:t>We are party to various operating leases for facilities, land, and equipment. As of October 31, 2021, our undiscounted cash liabilities for operating leases were $74.9 million, with maturities ranging up through fiscal 2048. We also have a small number of finance leases, with undiscounted cash liabilities of $3.9 million, due up through 2024. See Note 6 “Leases,” to the consolidated financial statements for more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Long-term Debt</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October 31, 2021, remaining maturities on our term loans and notes were $164.3 million. See Note 5 “Debt,” to the consolidated financial statements for more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Critical Accounting Estimates</w:t>
      </w:r>
    </w:p>
    <w:p>
      <w:pPr>
        <w:spacing w:after="0" w:line="188" w:lineRule="exact"/>
        <w:rPr>
          <w:sz w:val="20"/>
          <w:szCs w:val="20"/>
          <w:color w:val="auto"/>
        </w:rPr>
      </w:pPr>
    </w:p>
    <w:p>
      <w:pPr>
        <w:ind w:right="60" w:firstLine="509"/>
        <w:spacing w:after="0" w:line="264" w:lineRule="auto"/>
        <w:rPr>
          <w:sz w:val="20"/>
          <w:szCs w:val="20"/>
          <w:color w:val="auto"/>
        </w:rPr>
      </w:pPr>
      <w:r>
        <w:rPr>
          <w:rFonts w:ascii="Arial" w:cs="Arial" w:eastAsia="Arial" w:hAnsi="Arial"/>
          <w:sz w:val="12"/>
          <w:szCs w:val="12"/>
          <w:color w:val="auto"/>
        </w:rPr>
        <w:t>Our discussion and analysis of our financial condition and results of operations are based upon our consolidated financial statements, which have been prepared in accordance with U.S. GAAP.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could differ from those estimates.</w:t>
      </w:r>
    </w:p>
    <w:p>
      <w:pPr>
        <w:spacing w:after="0" w:line="129" w:lineRule="exact"/>
        <w:rPr>
          <w:sz w:val="20"/>
          <w:szCs w:val="20"/>
          <w:color w:val="auto"/>
        </w:rPr>
      </w:pPr>
    </w:p>
    <w:p>
      <w:pPr>
        <w:ind w:firstLine="509"/>
        <w:spacing w:after="0" w:line="243" w:lineRule="auto"/>
        <w:rPr>
          <w:sz w:val="20"/>
          <w:szCs w:val="20"/>
          <w:color w:val="auto"/>
        </w:rPr>
      </w:pPr>
      <w:r>
        <w:rPr>
          <w:rFonts w:ascii="Arial" w:cs="Arial" w:eastAsia="Arial" w:hAnsi="Arial"/>
          <w:sz w:val="13"/>
          <w:szCs w:val="13"/>
          <w:b w:val="1"/>
          <w:bCs w:val="1"/>
          <w:i w:val="1"/>
          <w:iCs w:val="1"/>
          <w:color w:val="232F84"/>
        </w:rPr>
        <w:t xml:space="preserve">Investments. </w:t>
      </w:r>
      <w:r>
        <w:rPr>
          <w:rFonts w:ascii="Arial" w:cs="Arial" w:eastAsia="Arial" w:hAnsi="Arial"/>
          <w:sz w:val="13"/>
          <w:szCs w:val="13"/>
          <w:color w:val="000000"/>
        </w:rPr>
        <w:t>We maintain investments in other fruit growers, packers and distributors. These investments are accounted for under the equity method of accounting when we have the ability</w:t>
      </w:r>
      <w:r>
        <w:rPr>
          <w:rFonts w:ascii="Arial" w:cs="Arial" w:eastAsia="Arial" w:hAnsi="Arial"/>
          <w:sz w:val="13"/>
          <w:szCs w:val="13"/>
          <w:b w:val="1"/>
          <w:bCs w:val="1"/>
          <w:i w:val="1"/>
          <w:iCs w:val="1"/>
          <w:color w:val="232F84"/>
        </w:rPr>
        <w:t xml:space="preserve"> </w:t>
      </w:r>
      <w:r>
        <w:rPr>
          <w:rFonts w:ascii="Arial" w:cs="Arial" w:eastAsia="Arial" w:hAnsi="Arial"/>
          <w:sz w:val="13"/>
          <w:szCs w:val="13"/>
          <w:color w:val="000000"/>
        </w:rPr>
        <w:t>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 primary factors we consider in our determination of whether declines in fair value are other-than-temporary are the length of time that the fair value of the investment is below our carrying value; the severity of the decline; and the financial condition, operating performance and near term prospects of</w:t>
      </w:r>
    </w:p>
    <w:p>
      <w:pPr>
        <w:spacing w:after="0" w:line="35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8" w:right="339" w:bottom="1440" w:gutter="0" w:footer="0" w:header="0"/>
        </w:sectPr>
      </w:pPr>
    </w:p>
    <w:bookmarkStart w:id="28" w:name="page29"/>
    <w:bookmarkEnd w:id="28"/>
    <w:p>
      <w:pPr>
        <w:ind w:right="100"/>
        <w:spacing w:after="0" w:line="241" w:lineRule="auto"/>
        <w:rPr>
          <w:sz w:val="20"/>
          <w:szCs w:val="20"/>
          <w:color w:val="auto"/>
        </w:rPr>
      </w:pPr>
      <w:r>
        <w:rPr>
          <w:rFonts w:ascii="Arial" w:cs="Arial" w:eastAsia="Arial" w:hAnsi="Arial"/>
          <w:sz w:val="13"/>
          <w:szCs w:val="13"/>
          <w:color w:val="auto"/>
        </w:rPr>
        <w:t>the investee. In addition, we consider the reason for the decline in fair value, be it general market conditions, industry specific or investee specific; and our intent and ability to hold the investment for a period of time sufficient to allow for a recovery in fair value. As our assessment of the fair value of our investments and any resulting impairment losses and the timing of when to recognize such charges requires judgment and includes estimates and assumptions, actual results could differ materially from our estimates and assumptions.</w:t>
      </w:r>
    </w:p>
    <w:p>
      <w:pPr>
        <w:spacing w:after="0" w:line="130" w:lineRule="exact"/>
        <w:rPr>
          <w:sz w:val="20"/>
          <w:szCs w:val="20"/>
          <w:color w:val="auto"/>
        </w:rPr>
      </w:pPr>
    </w:p>
    <w:p>
      <w:pPr>
        <w:ind w:firstLine="509"/>
        <w:spacing w:after="0" w:line="242" w:lineRule="auto"/>
        <w:rPr>
          <w:sz w:val="20"/>
          <w:szCs w:val="20"/>
          <w:color w:val="auto"/>
        </w:rPr>
      </w:pPr>
      <w:r>
        <w:rPr>
          <w:rFonts w:ascii="Arial" w:cs="Arial" w:eastAsia="Arial" w:hAnsi="Arial"/>
          <w:sz w:val="13"/>
          <w:szCs w:val="13"/>
          <w:b w:val="1"/>
          <w:bCs w:val="1"/>
          <w:i w:val="1"/>
          <w:iCs w:val="1"/>
          <w:color w:val="232F84"/>
        </w:rPr>
        <w:t xml:space="preserve">Goodwill. </w:t>
      </w:r>
      <w:r>
        <w:rPr>
          <w:rFonts w:ascii="Arial" w:cs="Arial" w:eastAsia="Arial" w:hAnsi="Arial"/>
          <w:sz w:val="13"/>
          <w:szCs w:val="13"/>
          <w:color w:val="000000"/>
        </w:rPr>
        <w:t>Our goodwill represents the excess of the purchase price of business combinations over the fair value of the net assets acquired. Goodwill impairment testing requires significant</w:t>
      </w:r>
      <w:r>
        <w:rPr>
          <w:rFonts w:ascii="Arial" w:cs="Arial" w:eastAsia="Arial" w:hAnsi="Arial"/>
          <w:sz w:val="13"/>
          <w:szCs w:val="13"/>
          <w:b w:val="1"/>
          <w:bCs w:val="1"/>
          <w:i w:val="1"/>
          <w:iCs w:val="1"/>
          <w:color w:val="232F84"/>
        </w:rPr>
        <w:t xml:space="preserve"> </w:t>
      </w:r>
      <w:r>
        <w:rPr>
          <w:rFonts w:ascii="Arial" w:cs="Arial" w:eastAsia="Arial" w:hAnsi="Arial"/>
          <w:sz w:val="13"/>
          <w:szCs w:val="13"/>
          <w:color w:val="000000"/>
        </w:rPr>
        <w:t>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We perform a qualitative assessment of goodwill for impairment on an annual basis during the fourth quarter of each year, and between annual tests whenever events or changes in circumstances indicate that the carrying amount may not be recoverable. If qualitative factors were to indicate that it is more-likely-than-not that the fair value of the reporting unit is less than its carrying value, we would then perform a quantitative assessment, which would consist primarily of a discounted cash flow (“DCF”) analysis to determine the fair value of the reporting unit’s goodwill. To the extent the carrying amount of the reporting unit’s allocated goodwill exceeds the unit’s fair value, we recognize an impairment of goodwill for the excess up to the amount of goodwill of that reporting unit.</w:t>
      </w:r>
    </w:p>
    <w:p>
      <w:pPr>
        <w:spacing w:after="0" w:line="152" w:lineRule="exact"/>
        <w:rPr>
          <w:sz w:val="20"/>
          <w:szCs w:val="20"/>
          <w:color w:val="auto"/>
        </w:rPr>
      </w:pPr>
    </w:p>
    <w:p>
      <w:pPr>
        <w:ind w:right="140" w:firstLine="509"/>
        <w:spacing w:after="0" w:line="247" w:lineRule="auto"/>
        <w:rPr>
          <w:sz w:val="20"/>
          <w:szCs w:val="20"/>
          <w:color w:val="auto"/>
        </w:rPr>
      </w:pPr>
      <w:r>
        <w:rPr>
          <w:rFonts w:ascii="Arial" w:cs="Arial" w:eastAsia="Arial" w:hAnsi="Arial"/>
          <w:sz w:val="13"/>
          <w:szCs w:val="13"/>
          <w:b w:val="1"/>
          <w:bCs w:val="1"/>
          <w:i w:val="1"/>
          <w:iCs w:val="1"/>
          <w:color w:val="232F84"/>
        </w:rPr>
        <w:t xml:space="preserve">Income taxes. </w:t>
      </w:r>
      <w:r>
        <w:rPr>
          <w:rFonts w:ascii="Arial" w:cs="Arial" w:eastAsia="Arial" w:hAnsi="Arial"/>
          <w:sz w:val="13"/>
          <w:szCs w:val="13"/>
          <w:color w:val="000000"/>
        </w:rPr>
        <w:t>As a multinational corporation, we are subject to taxation in many jurisdictions, and the calculation of our tax liabilities involves dealing with uncertainties in the application of</w:t>
      </w:r>
      <w:r>
        <w:rPr>
          <w:rFonts w:ascii="Arial" w:cs="Arial" w:eastAsia="Arial" w:hAnsi="Arial"/>
          <w:sz w:val="13"/>
          <w:szCs w:val="13"/>
          <w:b w:val="1"/>
          <w:bCs w:val="1"/>
          <w:i w:val="1"/>
          <w:iCs w:val="1"/>
          <w:color w:val="232F84"/>
        </w:rPr>
        <w:t xml:space="preserve"> </w:t>
      </w:r>
      <w:r>
        <w:rPr>
          <w:rFonts w:ascii="Arial" w:cs="Arial" w:eastAsia="Arial" w:hAnsi="Arial"/>
          <w:sz w:val="13"/>
          <w:szCs w:val="13"/>
          <w:color w:val="000000"/>
        </w:rPr>
        <w:t>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52" w:lineRule="exact"/>
        <w:rPr>
          <w:sz w:val="20"/>
          <w:szCs w:val="20"/>
          <w:color w:val="auto"/>
        </w:rPr>
      </w:pPr>
    </w:p>
    <w:p>
      <w:pPr>
        <w:ind w:right="40" w:firstLine="509"/>
        <w:spacing w:after="0" w:line="241" w:lineRule="auto"/>
        <w:rPr>
          <w:sz w:val="20"/>
          <w:szCs w:val="20"/>
          <w:color w:val="auto"/>
        </w:rPr>
      </w:pPr>
      <w:r>
        <w:rPr>
          <w:rFonts w:ascii="Arial" w:cs="Arial" w:eastAsia="Arial" w:hAnsi="Arial"/>
          <w:sz w:val="13"/>
          <w:szCs w:val="13"/>
          <w:color w:val="auto"/>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54" w:lineRule="exact"/>
        <w:rPr>
          <w:sz w:val="20"/>
          <w:szCs w:val="20"/>
          <w:color w:val="auto"/>
        </w:rPr>
      </w:pPr>
    </w:p>
    <w:p>
      <w:pPr>
        <w:ind w:right="260" w:firstLine="509"/>
        <w:spacing w:after="0" w:line="241" w:lineRule="auto"/>
        <w:rPr>
          <w:sz w:val="20"/>
          <w:szCs w:val="20"/>
          <w:color w:val="auto"/>
        </w:rPr>
      </w:pPr>
      <w:r>
        <w:rPr>
          <w:rFonts w:ascii="Arial" w:cs="Arial" w:eastAsia="Arial" w:hAnsi="Arial"/>
          <w:sz w:val="13"/>
          <w:szCs w:val="13"/>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Recently Issued Accounting Standards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Refer to Note 2 to the consolidated financial statements included herein for information on recently issued accounting standards.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JOBS Act</w:t>
      </w:r>
    </w:p>
    <w:p>
      <w:pPr>
        <w:spacing w:after="0" w:line="172" w:lineRule="exact"/>
        <w:rPr>
          <w:sz w:val="20"/>
          <w:szCs w:val="20"/>
          <w:color w:val="auto"/>
        </w:rPr>
      </w:pPr>
    </w:p>
    <w:p>
      <w:pPr>
        <w:ind w:right="680" w:firstLine="509"/>
        <w:spacing w:after="0" w:line="244" w:lineRule="auto"/>
        <w:rPr>
          <w:sz w:val="20"/>
          <w:szCs w:val="20"/>
          <w:color w:val="auto"/>
        </w:rPr>
      </w:pPr>
      <w:r>
        <w:rPr>
          <w:rFonts w:ascii="Arial" w:cs="Arial" w:eastAsia="Arial" w:hAnsi="Arial"/>
          <w:sz w:val="13"/>
          <w:szCs w:val="13"/>
          <w:color w:val="auto"/>
        </w:rPr>
        <w:t>The Company previously qualified as an emerging growth company (“EGC”) until October 31, 2021, when it no longer qualified based on its status as a Large Accelerated Filer and accordingly, must comply with all financial disclosure and governance requirements applicable to Large Accelerated Filers.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Off-Balance Sheet Arrangements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the periods presented we did not have, nor do we currently have, any off-balance sheet arrangements as defined under SEC rules.</w:t>
      </w:r>
    </w:p>
    <w:p>
      <w:pPr>
        <w:spacing w:after="0" w:line="25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232F84"/>
        </w:rPr>
        <w:t>Item 7A.</w:t>
      </w:r>
      <w:r>
        <w:rPr>
          <w:sz w:val="20"/>
          <w:szCs w:val="20"/>
          <w:color w:val="auto"/>
        </w:rPr>
        <w:tab/>
      </w:r>
      <w:r>
        <w:rPr>
          <w:rFonts w:ascii="Arial" w:cs="Arial" w:eastAsia="Arial" w:hAnsi="Arial"/>
          <w:sz w:val="19"/>
          <w:szCs w:val="19"/>
          <w:b w:val="1"/>
          <w:bCs w:val="1"/>
          <w:color w:val="232F84"/>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Interest Rate Risk</w:t>
      </w:r>
    </w:p>
    <w:p>
      <w:pPr>
        <w:spacing w:after="0" w:line="188"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3"/>
          <w:szCs w:val="13"/>
          <w:color w:val="auto"/>
        </w:rPr>
        <w:t>Our cash and cash equivalents consist of cash in readily available checking accounts and money market funds. As a result, the fair value of our portfolio is relatively insensitive to interest rate changes. Our long-term debt bears interest at a variable rate. A 10% increase or decrease in the interest rate on our long-term debt would not have a material effect on our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Foreign Currency Risk</w:t>
      </w:r>
    </w:p>
    <w:p>
      <w:pPr>
        <w:spacing w:after="0" w:line="18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3"/>
          <w:szCs w:val="13"/>
          <w:color w:val="auto"/>
        </w:rPr>
        <w:t>The majority of our sales are currently conducted in U.S. dollars, while a significant portion of our input costs are denominated in foreign currencies. Due to our short inventory turn-time and short-term pricing, transactions that may be conducted in foreign currencies are not expected</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to have a material effect on our results of operations, financial position or cash flows because of the short-term on-hand time of the fruit, and the sales price increases passed through.</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Effects of Inflation</w:t>
      </w:r>
    </w:p>
    <w:p>
      <w:pPr>
        <w:spacing w:after="0" w:line="188" w:lineRule="exact"/>
        <w:rPr>
          <w:sz w:val="20"/>
          <w:szCs w:val="20"/>
          <w:color w:val="auto"/>
        </w:rPr>
      </w:pPr>
    </w:p>
    <w:p>
      <w:pPr>
        <w:ind w:right="600" w:firstLine="509"/>
        <w:spacing w:after="0" w:line="244" w:lineRule="auto"/>
        <w:rPr>
          <w:sz w:val="20"/>
          <w:szCs w:val="20"/>
          <w:color w:val="auto"/>
        </w:rPr>
      </w:pPr>
      <w:r>
        <w:rPr>
          <w:rFonts w:ascii="Arial" w:cs="Arial" w:eastAsia="Arial" w:hAnsi="Arial"/>
          <w:sz w:val="13"/>
          <w:szCs w:val="13"/>
          <w:color w:val="auto"/>
        </w:rPr>
        <w:t>Inflation generally affects us by increasing our cost of labor, material, transportation, and general overhead costs, which we have historically been able to recover through sales price increases. However, we cannot reasonably estimate our ability to successfully recover any impact of inflation through price increases in the future.</w:t>
      </w:r>
    </w:p>
    <w:p>
      <w:pPr>
        <w:spacing w:after="0" w:line="2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2F84"/>
        </w:rPr>
        <w:t>Item 8.</w:t>
      </w:r>
      <w:r>
        <w:rPr>
          <w:sz w:val="20"/>
          <w:szCs w:val="20"/>
          <w:color w:val="auto"/>
        </w:rPr>
        <w:tab/>
      </w:r>
      <w:r>
        <w:rPr>
          <w:rFonts w:ascii="Arial" w:cs="Arial" w:eastAsia="Arial" w:hAnsi="Arial"/>
          <w:sz w:val="19"/>
          <w:szCs w:val="19"/>
          <w:b w:val="1"/>
          <w:bCs w:val="1"/>
          <w:color w:val="232F84"/>
        </w:rPr>
        <w:t>Financial Statements and Supplementary Data</w:t>
      </w:r>
    </w:p>
    <w:p>
      <w:pPr>
        <w:spacing w:after="0" w:line="197"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The financial statements required pursuant to this item are incorporated by reference herein from the applicable information included in Item 15 of this annual report and are presented beginning on page F-1.</w:t>
      </w:r>
    </w:p>
    <w:p>
      <w:pPr>
        <w:spacing w:after="0" w:line="2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232F84"/>
        </w:rPr>
        <w:t>Item 9.</w:t>
      </w:r>
      <w:r>
        <w:rPr>
          <w:sz w:val="20"/>
          <w:szCs w:val="20"/>
          <w:color w:val="auto"/>
        </w:rPr>
        <w:tab/>
      </w:r>
      <w:r>
        <w:rPr>
          <w:rFonts w:ascii="Arial" w:cs="Arial" w:eastAsia="Arial" w:hAnsi="Arial"/>
          <w:sz w:val="19"/>
          <w:szCs w:val="19"/>
          <w:b w:val="1"/>
          <w:bCs w:val="1"/>
          <w:color w:val="232F84"/>
        </w:rPr>
        <w:t>Changes in and Disagreements with Accountants on Accounting and Financial Disclosure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25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232F84"/>
        </w:rPr>
        <w:t>Item 9A.</w:t>
      </w:r>
      <w:r>
        <w:rPr>
          <w:sz w:val="20"/>
          <w:szCs w:val="20"/>
          <w:color w:val="auto"/>
        </w:rPr>
        <w:tab/>
      </w:r>
      <w:r>
        <w:rPr>
          <w:rFonts w:ascii="Arial" w:cs="Arial" w:eastAsia="Arial" w:hAnsi="Arial"/>
          <w:sz w:val="19"/>
          <w:szCs w:val="19"/>
          <w:b w:val="1"/>
          <w:bCs w:val="1"/>
          <w:color w:val="232F84"/>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Disclosure Controls and Procedures</w:t>
      </w:r>
    </w:p>
    <w:p>
      <w:pPr>
        <w:spacing w:after="0" w:line="188" w:lineRule="exact"/>
        <w:rPr>
          <w:sz w:val="20"/>
          <w:szCs w:val="20"/>
          <w:color w:val="auto"/>
        </w:rPr>
      </w:pPr>
    </w:p>
    <w:p>
      <w:pPr>
        <w:ind w:right="200" w:firstLine="509"/>
        <w:spacing w:after="0" w:line="241" w:lineRule="auto"/>
        <w:rPr>
          <w:sz w:val="20"/>
          <w:szCs w:val="20"/>
          <w:color w:val="auto"/>
        </w:rPr>
      </w:pPr>
      <w:r>
        <w:rPr>
          <w:rFonts w:ascii="Arial" w:cs="Arial" w:eastAsia="Arial" w:hAnsi="Arial"/>
          <w:sz w:val="13"/>
          <w:szCs w:val="13"/>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Annual Report on Form 10-K.</w:t>
      </w:r>
    </w:p>
    <w:p>
      <w:pPr>
        <w:spacing w:after="0" w:line="144" w:lineRule="exact"/>
        <w:rPr>
          <w:sz w:val="20"/>
          <w:szCs w:val="20"/>
          <w:color w:val="auto"/>
        </w:rPr>
      </w:pPr>
    </w:p>
    <w:p>
      <w:pPr>
        <w:ind w:right="80" w:firstLine="509"/>
        <w:spacing w:after="0" w:line="149" w:lineRule="exact"/>
        <w:rPr>
          <w:sz w:val="20"/>
          <w:szCs w:val="20"/>
          <w:color w:val="auto"/>
        </w:rPr>
      </w:pPr>
      <w:r>
        <w:rPr>
          <w:rFonts w:ascii="Arial" w:cs="Arial" w:eastAsia="Arial" w:hAnsi="Arial"/>
          <w:sz w:val="13"/>
          <w:szCs w:val="13"/>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w:t>
      </w:r>
      <w:r>
        <w:rPr>
          <w:rFonts w:ascii="MS PGothic" w:cs="MS PGothic" w:eastAsia="MS PGothic" w:hAnsi="MS PGothic"/>
          <w:sz w:val="13"/>
          <w:szCs w:val="13"/>
          <w:color w:val="auto"/>
        </w:rPr>
        <w:t>‑</w:t>
      </w:r>
      <w:r>
        <w:rPr>
          <w:rFonts w:ascii="Arial" w:cs="Arial" w:eastAsia="Arial" w:hAnsi="Arial"/>
          <w:sz w:val="13"/>
          <w:szCs w:val="13"/>
          <w:color w:val="auto"/>
        </w:rPr>
        <w:t>benefit relationship of possible controls and procedures. Based on the evaluation of our disclosure controls and procedures, our Chief Executive Officer and our Chief Financial Officer have concluded that our disclosure controls and procedures were effective as of October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Management’s Annual Report on Internal Control Over Financial Reporting</w:t>
      </w:r>
    </w:p>
    <w:p>
      <w:pPr>
        <w:spacing w:after="0" w:line="18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w:t>
      </w:r>
    </w:p>
    <w:p>
      <w:pPr>
        <w:spacing w:after="0" w:line="15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Under the supervision and with the participation of our management, including our Chief Executive Officer and Chief Financial Officer, we conducted an evaluation of the effectiveness of our internal control over financial reporting based on the framework set forth in Internal Control - Integrated Framework (2013) issued by the Committee of Sponsoring Organizations of the Treadway Commission. Based on that evaluation, our management concluded that our internal control over financial reporting was effective as of October 31, 2021.</w:t>
      </w:r>
    </w:p>
    <w:p>
      <w:pPr>
        <w:spacing w:after="0" w:line="154" w:lineRule="exact"/>
        <w:rPr>
          <w:sz w:val="20"/>
          <w:szCs w:val="20"/>
          <w:color w:val="auto"/>
        </w:rPr>
      </w:pPr>
    </w:p>
    <w:p>
      <w:pPr>
        <w:ind w:right="20" w:firstLine="509"/>
        <w:spacing w:after="0" w:line="244" w:lineRule="auto"/>
        <w:rPr>
          <w:sz w:val="20"/>
          <w:szCs w:val="20"/>
          <w:color w:val="auto"/>
        </w:rPr>
      </w:pPr>
      <w:r>
        <w:rPr>
          <w:rFonts w:ascii="Arial" w:cs="Arial" w:eastAsia="Arial" w:hAnsi="Arial"/>
          <w:sz w:val="13"/>
          <w:szCs w:val="13"/>
          <w:color w:val="auto"/>
        </w:rPr>
        <w:t>The effectiveness of our internal control over financial reporting as of October 31, 2021 has been audited by Deloitte &amp; Touche LLP, an independent registered public accounting firm, as stated in its report which is included below.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Attestation Report of the Registered Public Accounting Firm</w:t>
      </w:r>
    </w:p>
    <w:p>
      <w:pPr>
        <w:spacing w:after="0" w:line="188" w:lineRule="exact"/>
        <w:rPr>
          <w:sz w:val="20"/>
          <w:szCs w:val="20"/>
          <w:color w:val="auto"/>
        </w:rPr>
      </w:pPr>
    </w:p>
    <w:p>
      <w:pPr>
        <w:ind w:right="420" w:firstLine="509"/>
        <w:spacing w:after="0" w:line="244" w:lineRule="auto"/>
        <w:rPr>
          <w:sz w:val="20"/>
          <w:szCs w:val="20"/>
          <w:color w:val="auto"/>
        </w:rPr>
      </w:pPr>
      <w:r>
        <w:rPr>
          <w:rFonts w:ascii="Arial" w:cs="Arial" w:eastAsia="Arial" w:hAnsi="Arial"/>
          <w:sz w:val="13"/>
          <w:szCs w:val="13"/>
          <w:color w:val="auto"/>
        </w:rPr>
        <w:t>The attestation report of the independent registered public accounting firm, Deloitte &amp; Touche LLP, on the Company’s internal control over financial reporting is included below under the heading “Report of Independent Registered Public Accounting Firm.”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Changes in Internal Control Over Financial Reporting</w:t>
      </w:r>
    </w:p>
    <w:p>
      <w:pPr>
        <w:spacing w:after="0" w:line="188"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Other than described below, there have been no changes in our internal control over financial reporting during the year ended October 31, 2021 that have materially affected, or are reasonably likely to materially affect, our internal control over financial reporting.</w:t>
      </w: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9"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232F84"/>
        </w:rPr>
        <w:t>Limitations on Effectiveness of Controls and Procedures</w:t>
      </w:r>
    </w:p>
    <w:p>
      <w:pPr>
        <w:spacing w:after="0" w:line="188"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3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232F84"/>
        </w:rPr>
        <w:t>Item 9B.</w:t>
      </w:r>
      <w:r>
        <w:rPr>
          <w:sz w:val="20"/>
          <w:szCs w:val="20"/>
          <w:color w:val="auto"/>
        </w:rPr>
        <w:tab/>
      </w:r>
      <w:r>
        <w:rPr>
          <w:rFonts w:ascii="Arial" w:cs="Arial" w:eastAsia="Arial" w:hAnsi="Arial"/>
          <w:sz w:val="19"/>
          <w:szCs w:val="19"/>
          <w:b w:val="1"/>
          <w:bCs w:val="1"/>
          <w:color w:val="232F84"/>
        </w:rPr>
        <w:t>Other Information</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20"/>
          <w:szCs w:val="20"/>
          <w:b w:val="1"/>
          <w:bCs w:val="1"/>
          <w:color w:val="232F84"/>
        </w:rPr>
        <w:t>PART III</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10.</w:t>
      </w:r>
      <w:r>
        <w:rPr>
          <w:sz w:val="20"/>
          <w:szCs w:val="20"/>
          <w:color w:val="auto"/>
        </w:rPr>
        <w:tab/>
      </w:r>
      <w:r>
        <w:rPr>
          <w:rFonts w:ascii="Arial" w:cs="Arial" w:eastAsia="Arial" w:hAnsi="Arial"/>
          <w:sz w:val="19"/>
          <w:szCs w:val="19"/>
          <w:b w:val="1"/>
          <w:bCs w:val="1"/>
          <w:color w:val="232F84"/>
        </w:rPr>
        <w:t>Directors, Executive Officers and Corporate Governance</w:t>
      </w:r>
    </w:p>
    <w:p>
      <w:pPr>
        <w:spacing w:after="0" w:line="197" w:lineRule="exact"/>
        <w:rPr>
          <w:sz w:val="20"/>
          <w:szCs w:val="20"/>
          <w:color w:val="auto"/>
        </w:rPr>
      </w:pPr>
    </w:p>
    <w:p>
      <w:pPr>
        <w:ind w:right="120" w:firstLine="509"/>
        <w:spacing w:after="0" w:line="241" w:lineRule="auto"/>
        <w:rPr>
          <w:sz w:val="20"/>
          <w:szCs w:val="20"/>
          <w:color w:val="auto"/>
        </w:rPr>
      </w:pPr>
      <w:r>
        <w:rPr>
          <w:rFonts w:ascii="Arial" w:cs="Arial" w:eastAsia="Arial" w:hAnsi="Arial"/>
          <w:sz w:val="13"/>
          <w:szCs w:val="13"/>
          <w:color w:val="auto"/>
        </w:rPr>
        <w:t>The information required by this item will be contained in our definitive proxy statement to be filed with the SEC in connection with our 2022 Annual Meeting of Stockholders, or the Definitive Proxy Statement, which is expected to be filed not later than 120 days after the end of our fiscal year ended October 31, 2021, under the headings “Election of Directors,” “Executive Officers,” and “Delinquent Section 16(a) Reports,”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232F84"/>
        </w:rPr>
        <w:t>Code of Conduct and Ethics</w:t>
      </w:r>
    </w:p>
    <w:p>
      <w:pPr>
        <w:spacing w:after="0" w:line="188"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We have adopted a Code of Conduct and Ethics that applies to our officers, directors and employees, which is available on our website at www.missionproduce.com.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50"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11.</w:t>
      </w:r>
      <w:r>
        <w:rPr>
          <w:sz w:val="20"/>
          <w:szCs w:val="20"/>
          <w:color w:val="auto"/>
        </w:rPr>
        <w:tab/>
      </w:r>
      <w:r>
        <w:rPr>
          <w:rFonts w:ascii="Arial" w:cs="Arial" w:eastAsia="Arial" w:hAnsi="Arial"/>
          <w:sz w:val="19"/>
          <w:szCs w:val="19"/>
          <w:b w:val="1"/>
          <w:bCs w:val="1"/>
          <w:color w:val="232F84"/>
        </w:rPr>
        <w:t>Executive Compensation</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information required by this item will be set forth in the section headed “Executive Compensation” in our Definitive Proxy Statement and is incorporated herein by reference.</w:t>
      </w:r>
    </w:p>
    <w:p>
      <w:pPr>
        <w:spacing w:after="0" w:line="25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12.</w:t>
      </w:r>
      <w:r>
        <w:rPr>
          <w:sz w:val="20"/>
          <w:szCs w:val="20"/>
          <w:color w:val="auto"/>
        </w:rPr>
        <w:tab/>
      </w:r>
      <w:r>
        <w:rPr>
          <w:rFonts w:ascii="Arial" w:cs="Arial" w:eastAsia="Arial" w:hAnsi="Arial"/>
          <w:sz w:val="19"/>
          <w:szCs w:val="19"/>
          <w:b w:val="1"/>
          <w:bCs w:val="1"/>
          <w:color w:val="232F84"/>
        </w:rPr>
        <w:t>Security Ownership of Certain Beneficial Owners and Management and Related Stockholder Matters</w:t>
      </w:r>
    </w:p>
    <w:p>
      <w:pPr>
        <w:spacing w:after="0" w:line="197" w:lineRule="exact"/>
        <w:rPr>
          <w:sz w:val="20"/>
          <w:szCs w:val="20"/>
          <w:color w:val="auto"/>
        </w:rPr>
      </w:pPr>
    </w:p>
    <w:p>
      <w:pPr>
        <w:ind w:right="360" w:firstLine="509"/>
        <w:spacing w:after="0" w:line="244" w:lineRule="auto"/>
        <w:rPr>
          <w:sz w:val="20"/>
          <w:szCs w:val="20"/>
          <w:color w:val="auto"/>
        </w:rPr>
      </w:pPr>
      <w:r>
        <w:rPr>
          <w:rFonts w:ascii="Arial" w:cs="Arial" w:eastAsia="Arial" w:hAnsi="Arial"/>
          <w:sz w:val="13"/>
          <w:szCs w:val="13"/>
          <w:color w:val="auto"/>
        </w:rPr>
        <w:t>The information required by this item will be set forth in the section headed “Security Ownership of Certain Beneficial Owners and Management” in our Definitive Proxy Statement and is incorporated herein by reference.</w:t>
      </w:r>
    </w:p>
    <w:p>
      <w:pPr>
        <w:spacing w:after="0" w:line="152" w:lineRule="exact"/>
        <w:rPr>
          <w:sz w:val="20"/>
          <w:szCs w:val="20"/>
          <w:color w:val="auto"/>
        </w:rPr>
      </w:pPr>
    </w:p>
    <w:p>
      <w:pPr>
        <w:ind w:right="220" w:firstLine="509"/>
        <w:spacing w:after="0" w:line="244" w:lineRule="auto"/>
        <w:rPr>
          <w:sz w:val="20"/>
          <w:szCs w:val="20"/>
          <w:color w:val="auto"/>
        </w:rPr>
      </w:pPr>
      <w:r>
        <w:rPr>
          <w:rFonts w:ascii="Arial" w:cs="Arial" w:eastAsia="Arial" w:hAnsi="Arial"/>
          <w:sz w:val="13"/>
          <w:szCs w:val="13"/>
          <w:color w:val="auto"/>
        </w:rPr>
        <w:t>The information required by Item 201(d) of Regulation S-K will be set forth in the section headed “Executive Compensation” in our Definitive Proxy Statement and is incorporated herein by reference.</w:t>
      </w:r>
    </w:p>
    <w:p>
      <w:pPr>
        <w:spacing w:after="0" w:line="24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13.</w:t>
      </w:r>
      <w:r>
        <w:rPr>
          <w:sz w:val="20"/>
          <w:szCs w:val="20"/>
          <w:color w:val="auto"/>
        </w:rPr>
        <w:tab/>
      </w:r>
      <w:r>
        <w:rPr>
          <w:rFonts w:ascii="Arial" w:cs="Arial" w:eastAsia="Arial" w:hAnsi="Arial"/>
          <w:sz w:val="19"/>
          <w:szCs w:val="19"/>
          <w:b w:val="1"/>
          <w:bCs w:val="1"/>
          <w:color w:val="232F84"/>
        </w:rPr>
        <w:t>Certain Relationships and Related Transactions, and Director Independence</w:t>
      </w:r>
    </w:p>
    <w:p>
      <w:pPr>
        <w:spacing w:after="0" w:line="197" w:lineRule="exact"/>
        <w:rPr>
          <w:sz w:val="20"/>
          <w:szCs w:val="20"/>
          <w:color w:val="auto"/>
        </w:rPr>
      </w:pPr>
    </w:p>
    <w:p>
      <w:pPr>
        <w:ind w:right="320" w:firstLine="509"/>
        <w:spacing w:after="0" w:line="244" w:lineRule="auto"/>
        <w:rPr>
          <w:sz w:val="20"/>
          <w:szCs w:val="20"/>
          <w:color w:val="auto"/>
        </w:rPr>
      </w:pPr>
      <w:r>
        <w:rPr>
          <w:rFonts w:ascii="Arial" w:cs="Arial" w:eastAsia="Arial" w:hAnsi="Arial"/>
          <w:sz w:val="13"/>
          <w:szCs w:val="13"/>
          <w:color w:val="auto"/>
        </w:rPr>
        <w:t>The information required by this item will be set forth in the section headed “Certain Relationships and Related Party Transactions,” “Director Independence” and “Board Committees and Charters” in our Definitive Proxy Statement and is incorporated herein by reference.</w:t>
      </w:r>
    </w:p>
    <w:p>
      <w:pPr>
        <w:spacing w:after="0" w:line="245"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14.</w:t>
      </w:r>
      <w:r>
        <w:rPr>
          <w:sz w:val="20"/>
          <w:szCs w:val="20"/>
          <w:color w:val="auto"/>
        </w:rPr>
        <w:tab/>
      </w:r>
      <w:r>
        <w:rPr>
          <w:rFonts w:ascii="Arial" w:cs="Arial" w:eastAsia="Arial" w:hAnsi="Arial"/>
          <w:sz w:val="19"/>
          <w:szCs w:val="19"/>
          <w:b w:val="1"/>
          <w:bCs w:val="1"/>
          <w:color w:val="232F84"/>
        </w:rPr>
        <w:t>Principal Accounting Fees and Services</w:t>
      </w:r>
    </w:p>
    <w:p>
      <w:pPr>
        <w:spacing w:after="0" w:line="197"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The information required by this item will be set forth in the section headed “Fees Billed by Deloitte for 2020 and 2021” in our Definitive Proxy Statement and is incorporated herein by reference.</w:t>
      </w:r>
    </w:p>
    <w:p>
      <w:pPr>
        <w:spacing w:after="0" w:line="354"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1" w:right="359" w:bottom="1440" w:gutter="0" w:footer="0" w:header="0"/>
        </w:sectPr>
      </w:pPr>
    </w:p>
    <w:bookmarkStart w:id="32" w:name="page33"/>
    <w:bookmarkEnd w:id="32"/>
    <w:p>
      <w:pPr>
        <w:ind w:left="4140"/>
        <w:spacing w:after="0"/>
        <w:rPr>
          <w:sz w:val="20"/>
          <w:szCs w:val="20"/>
          <w:color w:val="auto"/>
        </w:rPr>
      </w:pPr>
      <w:r>
        <w:rPr>
          <w:rFonts w:ascii="Arial" w:cs="Arial" w:eastAsia="Arial" w:hAnsi="Arial"/>
          <w:sz w:val="20"/>
          <w:szCs w:val="20"/>
          <w:b w:val="1"/>
          <w:bCs w:val="1"/>
          <w:color w:val="232F84"/>
        </w:rPr>
        <w:t>PART IV- OTHER INFORMATION</w:t>
      </w:r>
    </w:p>
    <w:p>
      <w:pPr>
        <w:spacing w:after="0" w:line="173"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15.</w:t>
      </w:r>
      <w:r>
        <w:rPr>
          <w:sz w:val="20"/>
          <w:szCs w:val="20"/>
          <w:color w:val="auto"/>
        </w:rPr>
        <w:tab/>
      </w:r>
      <w:r>
        <w:rPr>
          <w:rFonts w:ascii="Arial" w:cs="Arial" w:eastAsia="Arial" w:hAnsi="Arial"/>
          <w:sz w:val="19"/>
          <w:szCs w:val="19"/>
          <w:b w:val="1"/>
          <w:bCs w:val="1"/>
          <w:color w:val="232F84"/>
        </w:rPr>
        <w:t>Exhibits, Financial Statement Schedules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32F84"/>
        </w:rPr>
        <w:t>A.  All financial statements</w:t>
      </w:r>
    </w:p>
    <w:p>
      <w:pPr>
        <w:spacing w:after="0" w:line="188" w:lineRule="exact"/>
        <w:rPr>
          <w:sz w:val="20"/>
          <w:szCs w:val="20"/>
          <w:color w:val="auto"/>
        </w:rPr>
      </w:pPr>
    </w:p>
    <w:p>
      <w:pPr>
        <w:ind w:right="320" w:firstLine="509"/>
        <w:spacing w:after="0" w:line="244" w:lineRule="auto"/>
        <w:rPr>
          <w:sz w:val="20"/>
          <w:szCs w:val="20"/>
          <w:color w:val="auto"/>
        </w:rPr>
      </w:pPr>
      <w:r>
        <w:rPr>
          <w:rFonts w:ascii="Arial" w:cs="Arial" w:eastAsia="Arial" w:hAnsi="Arial"/>
          <w:sz w:val="13"/>
          <w:szCs w:val="13"/>
          <w:color w:val="auto"/>
        </w:rPr>
        <w:t>The financial statements of Mission Produce, Inc., together with the report thereon of Deloitte &amp; Touche LLP, an independent registered public accounting firm, are included in this annual report on Form 10-K beginning on page F-1.</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32F84"/>
        </w:rPr>
        <w:t>B.  Financial statement schedules</w:t>
      </w:r>
    </w:p>
    <w:p>
      <w:pPr>
        <w:spacing w:after="0" w:line="188" w:lineRule="exact"/>
        <w:rPr>
          <w:sz w:val="20"/>
          <w:szCs w:val="20"/>
          <w:color w:val="auto"/>
        </w:rPr>
      </w:pPr>
    </w:p>
    <w:p>
      <w:pPr>
        <w:ind w:right="340" w:firstLine="509"/>
        <w:spacing w:after="0" w:line="244" w:lineRule="auto"/>
        <w:rPr>
          <w:sz w:val="20"/>
          <w:szCs w:val="20"/>
          <w:color w:val="auto"/>
        </w:rPr>
      </w:pPr>
      <w:r>
        <w:rPr>
          <w:rFonts w:ascii="Arial" w:cs="Arial" w:eastAsia="Arial" w:hAnsi="Arial"/>
          <w:sz w:val="13"/>
          <w:szCs w:val="13"/>
          <w:color w:val="auto"/>
        </w:rPr>
        <w:t>All schedules have been omitted because the required information is not present or is not present in amounts sufficient to require submission of the schedule, or because the information required is included in the consolidated financial statements and notes thereto.</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232F84"/>
        </w:rPr>
        <w:t>C.  Exhibits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documents set forth are filed herewith or incorporated herein by reference.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232F84"/>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34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40" w:type="dxa"/>
            <w:vAlign w:val="bottom"/>
            <w:shd w:val="clear" w:color="auto" w:fill="232F84"/>
          </w:tcPr>
          <w:p>
            <w:pPr>
              <w:spacing w:after="0"/>
              <w:rPr>
                <w:sz w:val="14"/>
                <w:szCs w:val="14"/>
                <w:color w:val="auto"/>
              </w:rPr>
            </w:pPr>
          </w:p>
        </w:tc>
        <w:tc>
          <w:tcPr>
            <w:tcW w:w="80" w:type="dxa"/>
            <w:vAlign w:val="bottom"/>
            <w:shd w:val="clear" w:color="auto" w:fill="232F84"/>
          </w:tcPr>
          <w:p>
            <w:pPr>
              <w:spacing w:after="0"/>
              <w:rPr>
                <w:sz w:val="14"/>
                <w:szCs w:val="14"/>
                <w:color w:val="auto"/>
              </w:rPr>
            </w:pPr>
          </w:p>
        </w:tc>
        <w:tc>
          <w:tcPr>
            <w:tcW w:w="40" w:type="dxa"/>
            <w:vAlign w:val="bottom"/>
            <w:shd w:val="clear" w:color="auto" w:fill="232F84"/>
          </w:tcPr>
          <w:p>
            <w:pPr>
              <w:spacing w:after="0"/>
              <w:rPr>
                <w:sz w:val="14"/>
                <w:szCs w:val="14"/>
                <w:color w:val="auto"/>
              </w:rPr>
            </w:pPr>
          </w:p>
        </w:tc>
        <w:tc>
          <w:tcPr>
            <w:tcW w:w="580" w:type="dxa"/>
            <w:vAlign w:val="bottom"/>
            <w:shd w:val="clear" w:color="auto" w:fill="232F84"/>
          </w:tcPr>
          <w:p>
            <w:pPr>
              <w:spacing w:after="0"/>
              <w:rPr>
                <w:sz w:val="14"/>
                <w:szCs w:val="14"/>
                <w:color w:val="auto"/>
              </w:rPr>
            </w:pPr>
          </w:p>
        </w:tc>
        <w:tc>
          <w:tcPr>
            <w:tcW w:w="8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2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300" w:type="dxa"/>
            <w:vAlign w:val="bottom"/>
            <w:shd w:val="clear" w:color="auto" w:fill="232F84"/>
          </w:tcPr>
          <w:p>
            <w:pPr>
              <w:spacing w:after="0"/>
              <w:rPr>
                <w:sz w:val="14"/>
                <w:szCs w:val="14"/>
                <w:color w:val="auto"/>
              </w:rPr>
            </w:pPr>
          </w:p>
        </w:tc>
        <w:tc>
          <w:tcPr>
            <w:tcW w:w="800" w:type="dxa"/>
            <w:vAlign w:val="bottom"/>
            <w:shd w:val="clear" w:color="auto" w:fill="232F84"/>
          </w:tcPr>
          <w:p>
            <w:pPr>
              <w:spacing w:after="0"/>
              <w:rPr>
                <w:sz w:val="14"/>
                <w:szCs w:val="14"/>
                <w:color w:val="auto"/>
              </w:rPr>
            </w:pPr>
          </w:p>
        </w:tc>
        <w:tc>
          <w:tcPr>
            <w:tcW w:w="88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360" w:type="dxa"/>
            <w:vAlign w:val="bottom"/>
            <w:shd w:val="clear" w:color="auto" w:fill="232F84"/>
          </w:tcPr>
          <w:p>
            <w:pPr>
              <w:spacing w:after="0"/>
              <w:rPr>
                <w:sz w:val="14"/>
                <w:szCs w:val="14"/>
                <w:color w:val="auto"/>
              </w:rPr>
            </w:pPr>
          </w:p>
        </w:tc>
        <w:tc>
          <w:tcPr>
            <w:tcW w:w="180" w:type="dxa"/>
            <w:vAlign w:val="bottom"/>
            <w:shd w:val="clear" w:color="auto" w:fill="232F84"/>
          </w:tcPr>
          <w:p>
            <w:pPr>
              <w:spacing w:after="0"/>
              <w:rPr>
                <w:sz w:val="14"/>
                <w:szCs w:val="14"/>
                <w:color w:val="auto"/>
              </w:rPr>
            </w:pPr>
          </w:p>
        </w:tc>
        <w:tc>
          <w:tcPr>
            <w:tcW w:w="640" w:type="dxa"/>
            <w:vAlign w:val="bottom"/>
            <w:shd w:val="clear" w:color="auto" w:fill="232F84"/>
          </w:tcPr>
          <w:p>
            <w:pPr>
              <w:spacing w:after="0"/>
              <w:rPr>
                <w:sz w:val="14"/>
                <w:szCs w:val="14"/>
                <w:color w:val="auto"/>
              </w:rPr>
            </w:pPr>
          </w:p>
        </w:tc>
        <w:tc>
          <w:tcPr>
            <w:tcW w:w="8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10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40" w:type="dxa"/>
            <w:vAlign w:val="bottom"/>
            <w:shd w:val="clear" w:color="auto" w:fill="232F84"/>
          </w:tcPr>
          <w:p>
            <w:pPr>
              <w:spacing w:after="0"/>
              <w:rPr>
                <w:sz w:val="14"/>
                <w:szCs w:val="14"/>
                <w:color w:val="auto"/>
              </w:rPr>
            </w:pPr>
          </w:p>
        </w:tc>
        <w:tc>
          <w:tcPr>
            <w:tcW w:w="20" w:type="dxa"/>
            <w:vAlign w:val="bottom"/>
            <w:shd w:val="clear" w:color="auto" w:fill="232F84"/>
          </w:tcPr>
          <w:p>
            <w:pPr>
              <w:spacing w:after="0"/>
              <w:rPr>
                <w:sz w:val="14"/>
                <w:szCs w:val="14"/>
                <w:color w:val="auto"/>
              </w:rPr>
            </w:pPr>
          </w:p>
        </w:tc>
        <w:tc>
          <w:tcPr>
            <w:tcW w:w="40" w:type="dxa"/>
            <w:vAlign w:val="bottom"/>
            <w:shd w:val="clear" w:color="auto" w:fill="232F84"/>
          </w:tcPr>
          <w:p>
            <w:pPr>
              <w:spacing w:after="0"/>
              <w:rPr>
                <w:sz w:val="14"/>
                <w:szCs w:val="14"/>
                <w:color w:val="auto"/>
              </w:rPr>
            </w:pPr>
          </w:p>
        </w:tc>
        <w:tc>
          <w:tcPr>
            <w:tcW w:w="6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1540" w:type="dxa"/>
            <w:vAlign w:val="bottom"/>
            <w:shd w:val="clear" w:color="auto" w:fill="232F84"/>
          </w:tcPr>
          <w:p>
            <w:pPr>
              <w:ind w:left="100"/>
              <w:spacing w:after="0"/>
              <w:rPr>
                <w:sz w:val="20"/>
                <w:szCs w:val="20"/>
                <w:color w:val="auto"/>
              </w:rPr>
            </w:pPr>
            <w:r>
              <w:rPr>
                <w:rFonts w:ascii="Arial" w:cs="Arial" w:eastAsia="Arial" w:hAnsi="Arial"/>
                <w:sz w:val="11"/>
                <w:szCs w:val="11"/>
                <w:b w:val="1"/>
                <w:bCs w:val="1"/>
                <w:color w:val="FFFFFF"/>
              </w:rPr>
              <w:t>Incorporated by Reference</w:t>
            </w:r>
          </w:p>
        </w:tc>
        <w:tc>
          <w:tcPr>
            <w:tcW w:w="640" w:type="dxa"/>
            <w:vAlign w:val="bottom"/>
            <w:shd w:val="clear" w:color="auto" w:fill="232F84"/>
          </w:tcPr>
          <w:p>
            <w:pPr>
              <w:spacing w:after="0"/>
              <w:rPr>
                <w:sz w:val="14"/>
                <w:szCs w:val="14"/>
                <w:color w:val="auto"/>
              </w:rPr>
            </w:pPr>
          </w:p>
        </w:tc>
        <w:tc>
          <w:tcPr>
            <w:tcW w:w="960" w:type="dxa"/>
            <w:vAlign w:val="bottom"/>
            <w:shd w:val="clear" w:color="auto" w:fill="232F84"/>
          </w:tcPr>
          <w:p>
            <w:pPr>
              <w:spacing w:after="0"/>
              <w:rPr>
                <w:sz w:val="14"/>
                <w:szCs w:val="14"/>
                <w:color w:val="auto"/>
              </w:rPr>
            </w:pPr>
          </w:p>
        </w:tc>
      </w:tr>
      <w:tr>
        <w:trPr>
          <w:trHeight w:val="138"/>
        </w:trPr>
        <w:tc>
          <w:tcPr>
            <w:tcW w:w="880" w:type="dxa"/>
            <w:vAlign w:val="bottom"/>
            <w:shd w:val="clear" w:color="auto" w:fill="232F84"/>
          </w:tcPr>
          <w:p>
            <w:pPr>
              <w:ind w:left="100"/>
              <w:spacing w:after="0"/>
              <w:rPr>
                <w:sz w:val="20"/>
                <w:szCs w:val="20"/>
                <w:color w:val="auto"/>
              </w:rPr>
            </w:pPr>
            <w:r>
              <w:rPr>
                <w:rFonts w:ascii="Arial" w:cs="Arial" w:eastAsia="Arial" w:hAnsi="Arial"/>
                <w:sz w:val="11"/>
                <w:szCs w:val="11"/>
                <w:b w:val="1"/>
                <w:bCs w:val="1"/>
                <w:color w:val="FFFFFF"/>
              </w:rPr>
              <w:t>Exhibit No.</w:t>
            </w:r>
          </w:p>
        </w:tc>
        <w:tc>
          <w:tcPr>
            <w:tcW w:w="90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34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140" w:type="dxa"/>
            <w:vAlign w:val="bottom"/>
            <w:shd w:val="clear" w:color="auto" w:fill="232F84"/>
          </w:tcPr>
          <w:p>
            <w:pPr>
              <w:spacing w:after="0"/>
              <w:rPr>
                <w:sz w:val="12"/>
                <w:szCs w:val="12"/>
                <w:color w:val="auto"/>
              </w:rPr>
            </w:pPr>
          </w:p>
        </w:tc>
        <w:tc>
          <w:tcPr>
            <w:tcW w:w="40" w:type="dxa"/>
            <w:vAlign w:val="bottom"/>
            <w:shd w:val="clear" w:color="auto" w:fill="232F84"/>
          </w:tcPr>
          <w:p>
            <w:pPr>
              <w:spacing w:after="0"/>
              <w:rPr>
                <w:sz w:val="12"/>
                <w:szCs w:val="12"/>
                <w:color w:val="auto"/>
              </w:rPr>
            </w:pPr>
          </w:p>
        </w:tc>
        <w:tc>
          <w:tcPr>
            <w:tcW w:w="80" w:type="dxa"/>
            <w:vAlign w:val="bottom"/>
            <w:shd w:val="clear" w:color="auto" w:fill="232F84"/>
          </w:tcPr>
          <w:p>
            <w:pPr>
              <w:spacing w:after="0"/>
              <w:rPr>
                <w:sz w:val="12"/>
                <w:szCs w:val="12"/>
                <w:color w:val="auto"/>
              </w:rPr>
            </w:pPr>
          </w:p>
        </w:tc>
        <w:tc>
          <w:tcPr>
            <w:tcW w:w="40" w:type="dxa"/>
            <w:vAlign w:val="bottom"/>
            <w:shd w:val="clear" w:color="auto" w:fill="232F84"/>
          </w:tcPr>
          <w:p>
            <w:pPr>
              <w:spacing w:after="0"/>
              <w:rPr>
                <w:sz w:val="12"/>
                <w:szCs w:val="12"/>
                <w:color w:val="auto"/>
              </w:rPr>
            </w:pPr>
          </w:p>
        </w:tc>
        <w:tc>
          <w:tcPr>
            <w:tcW w:w="580" w:type="dxa"/>
            <w:vAlign w:val="bottom"/>
            <w:shd w:val="clear" w:color="auto" w:fill="232F84"/>
          </w:tcPr>
          <w:p>
            <w:pPr>
              <w:spacing w:after="0"/>
              <w:rPr>
                <w:sz w:val="12"/>
                <w:szCs w:val="12"/>
                <w:color w:val="auto"/>
              </w:rPr>
            </w:pPr>
          </w:p>
        </w:tc>
        <w:tc>
          <w:tcPr>
            <w:tcW w:w="8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2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300" w:type="dxa"/>
            <w:vAlign w:val="bottom"/>
            <w:shd w:val="clear" w:color="auto" w:fill="232F84"/>
          </w:tcPr>
          <w:p>
            <w:pPr>
              <w:spacing w:after="0"/>
              <w:rPr>
                <w:sz w:val="12"/>
                <w:szCs w:val="12"/>
                <w:color w:val="auto"/>
              </w:rPr>
            </w:pPr>
          </w:p>
        </w:tc>
        <w:tc>
          <w:tcPr>
            <w:tcW w:w="800" w:type="dxa"/>
            <w:vAlign w:val="bottom"/>
            <w:shd w:val="clear" w:color="auto" w:fill="232F84"/>
          </w:tcPr>
          <w:p>
            <w:pPr>
              <w:spacing w:after="0"/>
              <w:rPr>
                <w:sz w:val="12"/>
                <w:szCs w:val="12"/>
                <w:color w:val="auto"/>
              </w:rPr>
            </w:pPr>
          </w:p>
        </w:tc>
        <w:tc>
          <w:tcPr>
            <w:tcW w:w="880" w:type="dxa"/>
            <w:vAlign w:val="bottom"/>
            <w:shd w:val="clear" w:color="auto" w:fill="232F84"/>
          </w:tcPr>
          <w:p>
            <w:pPr>
              <w:spacing w:after="0"/>
              <w:rPr>
                <w:sz w:val="12"/>
                <w:szCs w:val="12"/>
                <w:color w:val="auto"/>
              </w:rPr>
            </w:pPr>
          </w:p>
        </w:tc>
        <w:tc>
          <w:tcPr>
            <w:tcW w:w="400" w:type="dxa"/>
            <w:vAlign w:val="bottom"/>
            <w:shd w:val="clear" w:color="auto" w:fill="232F84"/>
          </w:tcPr>
          <w:p>
            <w:pPr>
              <w:spacing w:after="0"/>
              <w:rPr>
                <w:sz w:val="12"/>
                <w:szCs w:val="12"/>
                <w:color w:val="auto"/>
              </w:rPr>
            </w:pPr>
          </w:p>
        </w:tc>
        <w:tc>
          <w:tcPr>
            <w:tcW w:w="360" w:type="dxa"/>
            <w:vAlign w:val="bottom"/>
            <w:shd w:val="clear" w:color="auto" w:fill="232F84"/>
          </w:tcPr>
          <w:p>
            <w:pPr>
              <w:spacing w:after="0"/>
              <w:rPr>
                <w:sz w:val="12"/>
                <w:szCs w:val="12"/>
                <w:color w:val="auto"/>
              </w:rPr>
            </w:pPr>
          </w:p>
        </w:tc>
        <w:tc>
          <w:tcPr>
            <w:tcW w:w="18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8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10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40" w:type="dxa"/>
            <w:vAlign w:val="bottom"/>
            <w:shd w:val="clear" w:color="auto" w:fill="232F84"/>
          </w:tcPr>
          <w:p>
            <w:pPr>
              <w:spacing w:after="0"/>
              <w:rPr>
                <w:sz w:val="12"/>
                <w:szCs w:val="12"/>
                <w:color w:val="auto"/>
              </w:rPr>
            </w:pPr>
          </w:p>
        </w:tc>
        <w:tc>
          <w:tcPr>
            <w:tcW w:w="20" w:type="dxa"/>
            <w:vAlign w:val="bottom"/>
            <w:shd w:val="clear" w:color="auto" w:fill="232F84"/>
          </w:tcPr>
          <w:p>
            <w:pPr>
              <w:spacing w:after="0"/>
              <w:rPr>
                <w:sz w:val="12"/>
                <w:szCs w:val="12"/>
                <w:color w:val="auto"/>
              </w:rPr>
            </w:pPr>
          </w:p>
        </w:tc>
        <w:tc>
          <w:tcPr>
            <w:tcW w:w="40" w:type="dxa"/>
            <w:vAlign w:val="bottom"/>
            <w:shd w:val="clear" w:color="auto" w:fill="232F84"/>
          </w:tcPr>
          <w:p>
            <w:pPr>
              <w:spacing w:after="0"/>
              <w:rPr>
                <w:sz w:val="12"/>
                <w:szCs w:val="12"/>
                <w:color w:val="auto"/>
              </w:rPr>
            </w:pPr>
          </w:p>
        </w:tc>
        <w:tc>
          <w:tcPr>
            <w:tcW w:w="60" w:type="dxa"/>
            <w:vAlign w:val="bottom"/>
            <w:shd w:val="clear" w:color="auto" w:fill="232F84"/>
          </w:tcPr>
          <w:p>
            <w:pPr>
              <w:spacing w:after="0"/>
              <w:rPr>
                <w:sz w:val="12"/>
                <w:szCs w:val="12"/>
                <w:color w:val="auto"/>
              </w:rPr>
            </w:pPr>
          </w:p>
        </w:tc>
        <w:tc>
          <w:tcPr>
            <w:tcW w:w="120" w:type="dxa"/>
            <w:vAlign w:val="bottom"/>
            <w:shd w:val="clear" w:color="auto" w:fill="232F84"/>
          </w:tcPr>
          <w:p>
            <w:pPr>
              <w:spacing w:after="0"/>
              <w:rPr>
                <w:sz w:val="12"/>
                <w:szCs w:val="12"/>
                <w:color w:val="auto"/>
              </w:rPr>
            </w:pPr>
          </w:p>
        </w:tc>
        <w:tc>
          <w:tcPr>
            <w:tcW w:w="540" w:type="dxa"/>
            <w:vAlign w:val="bottom"/>
            <w:shd w:val="clear" w:color="auto" w:fill="232F84"/>
          </w:tcPr>
          <w:p>
            <w:pPr>
              <w:spacing w:after="0"/>
              <w:rPr>
                <w:sz w:val="12"/>
                <w:szCs w:val="12"/>
                <w:color w:val="auto"/>
              </w:rPr>
            </w:pPr>
          </w:p>
        </w:tc>
        <w:tc>
          <w:tcPr>
            <w:tcW w:w="154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960" w:type="dxa"/>
            <w:vAlign w:val="bottom"/>
            <w:shd w:val="clear" w:color="auto" w:fill="232F84"/>
          </w:tcPr>
          <w:p>
            <w:pPr>
              <w:jc w:val="center"/>
              <w:ind w:left="23"/>
              <w:spacing w:after="0"/>
              <w:rPr>
                <w:sz w:val="20"/>
                <w:szCs w:val="20"/>
                <w:color w:val="auto"/>
              </w:rPr>
            </w:pPr>
            <w:r>
              <w:rPr>
                <w:rFonts w:ascii="Arial" w:cs="Arial" w:eastAsia="Arial" w:hAnsi="Arial"/>
                <w:sz w:val="11"/>
                <w:szCs w:val="11"/>
                <w:b w:val="1"/>
                <w:bCs w:val="1"/>
                <w:color w:val="FFFFFF"/>
              </w:rPr>
              <w:t>Filed</w:t>
            </w:r>
          </w:p>
        </w:tc>
      </w:tr>
      <w:tr>
        <w:trPr>
          <w:trHeight w:val="159"/>
        </w:trPr>
        <w:tc>
          <w:tcPr>
            <w:tcW w:w="880" w:type="dxa"/>
            <w:vAlign w:val="bottom"/>
            <w:shd w:val="clear" w:color="auto" w:fill="232F84"/>
          </w:tcPr>
          <w:p>
            <w:pPr>
              <w:spacing w:after="0"/>
              <w:rPr>
                <w:sz w:val="13"/>
                <w:szCs w:val="13"/>
                <w:color w:val="auto"/>
              </w:rPr>
            </w:pPr>
          </w:p>
        </w:tc>
        <w:tc>
          <w:tcPr>
            <w:tcW w:w="90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340" w:type="dxa"/>
            <w:vAlign w:val="bottom"/>
            <w:shd w:val="clear" w:color="auto" w:fill="232F84"/>
          </w:tcPr>
          <w:p>
            <w:pPr>
              <w:spacing w:after="0"/>
              <w:rPr>
                <w:sz w:val="13"/>
                <w:szCs w:val="13"/>
                <w:color w:val="auto"/>
              </w:rPr>
            </w:pPr>
          </w:p>
        </w:tc>
        <w:tc>
          <w:tcPr>
            <w:tcW w:w="60" w:type="dxa"/>
            <w:vAlign w:val="bottom"/>
            <w:shd w:val="clear" w:color="auto" w:fill="232F84"/>
          </w:tcPr>
          <w:p>
            <w:pPr>
              <w:spacing w:after="0"/>
              <w:rPr>
                <w:sz w:val="13"/>
                <w:szCs w:val="13"/>
                <w:color w:val="auto"/>
              </w:rPr>
            </w:pPr>
          </w:p>
        </w:tc>
        <w:tc>
          <w:tcPr>
            <w:tcW w:w="140" w:type="dxa"/>
            <w:vAlign w:val="bottom"/>
            <w:shd w:val="clear" w:color="auto" w:fill="232F84"/>
          </w:tcPr>
          <w:p>
            <w:pPr>
              <w:spacing w:after="0"/>
              <w:rPr>
                <w:sz w:val="13"/>
                <w:szCs w:val="13"/>
                <w:color w:val="auto"/>
              </w:rPr>
            </w:pPr>
          </w:p>
        </w:tc>
        <w:tc>
          <w:tcPr>
            <w:tcW w:w="40" w:type="dxa"/>
            <w:vAlign w:val="bottom"/>
            <w:shd w:val="clear" w:color="auto" w:fill="232F84"/>
          </w:tcPr>
          <w:p>
            <w:pPr>
              <w:spacing w:after="0"/>
              <w:rPr>
                <w:sz w:val="13"/>
                <w:szCs w:val="13"/>
                <w:color w:val="auto"/>
              </w:rPr>
            </w:pPr>
          </w:p>
        </w:tc>
        <w:tc>
          <w:tcPr>
            <w:tcW w:w="80" w:type="dxa"/>
            <w:vAlign w:val="bottom"/>
            <w:shd w:val="clear" w:color="auto" w:fill="232F84"/>
          </w:tcPr>
          <w:p>
            <w:pPr>
              <w:spacing w:after="0"/>
              <w:rPr>
                <w:sz w:val="13"/>
                <w:szCs w:val="13"/>
                <w:color w:val="auto"/>
              </w:rPr>
            </w:pPr>
          </w:p>
        </w:tc>
        <w:tc>
          <w:tcPr>
            <w:tcW w:w="40" w:type="dxa"/>
            <w:vAlign w:val="bottom"/>
            <w:shd w:val="clear" w:color="auto" w:fill="232F84"/>
          </w:tcPr>
          <w:p>
            <w:pPr>
              <w:spacing w:after="0"/>
              <w:rPr>
                <w:sz w:val="13"/>
                <w:szCs w:val="13"/>
                <w:color w:val="auto"/>
              </w:rPr>
            </w:pPr>
          </w:p>
        </w:tc>
        <w:tc>
          <w:tcPr>
            <w:tcW w:w="580" w:type="dxa"/>
            <w:vAlign w:val="bottom"/>
            <w:shd w:val="clear" w:color="auto" w:fill="232F84"/>
          </w:tcPr>
          <w:p>
            <w:pPr>
              <w:spacing w:after="0"/>
              <w:rPr>
                <w:sz w:val="13"/>
                <w:szCs w:val="13"/>
                <w:color w:val="auto"/>
              </w:rPr>
            </w:pPr>
          </w:p>
        </w:tc>
        <w:tc>
          <w:tcPr>
            <w:tcW w:w="80" w:type="dxa"/>
            <w:vAlign w:val="bottom"/>
            <w:shd w:val="clear" w:color="auto" w:fill="232F84"/>
          </w:tcPr>
          <w:p>
            <w:pPr>
              <w:spacing w:after="0"/>
              <w:rPr>
                <w:sz w:val="13"/>
                <w:szCs w:val="13"/>
                <w:color w:val="auto"/>
              </w:rPr>
            </w:pPr>
          </w:p>
        </w:tc>
        <w:tc>
          <w:tcPr>
            <w:tcW w:w="60" w:type="dxa"/>
            <w:vAlign w:val="bottom"/>
            <w:shd w:val="clear" w:color="auto" w:fill="232F84"/>
          </w:tcPr>
          <w:p>
            <w:pPr>
              <w:spacing w:after="0"/>
              <w:rPr>
                <w:sz w:val="13"/>
                <w:szCs w:val="13"/>
                <w:color w:val="auto"/>
              </w:rPr>
            </w:pPr>
          </w:p>
        </w:tc>
        <w:tc>
          <w:tcPr>
            <w:tcW w:w="20" w:type="dxa"/>
            <w:vAlign w:val="bottom"/>
            <w:shd w:val="clear" w:color="auto" w:fill="232F84"/>
          </w:tcPr>
          <w:p>
            <w:pPr>
              <w:spacing w:after="0"/>
              <w:rPr>
                <w:sz w:val="13"/>
                <w:szCs w:val="13"/>
                <w:color w:val="auto"/>
              </w:rPr>
            </w:pPr>
          </w:p>
        </w:tc>
        <w:tc>
          <w:tcPr>
            <w:tcW w:w="60" w:type="dxa"/>
            <w:vAlign w:val="bottom"/>
            <w:shd w:val="clear" w:color="auto" w:fill="232F84"/>
          </w:tcPr>
          <w:p>
            <w:pPr>
              <w:spacing w:after="0"/>
              <w:rPr>
                <w:sz w:val="13"/>
                <w:szCs w:val="13"/>
                <w:color w:val="auto"/>
              </w:rPr>
            </w:pPr>
          </w:p>
        </w:tc>
        <w:tc>
          <w:tcPr>
            <w:tcW w:w="4140" w:type="dxa"/>
            <w:vAlign w:val="bottom"/>
            <w:gridSpan w:val="16"/>
            <w:shd w:val="clear" w:color="auto" w:fill="232F84"/>
          </w:tcPr>
          <w:p>
            <w:pPr>
              <w:ind w:left="220"/>
              <w:spacing w:after="0"/>
              <w:rPr>
                <w:sz w:val="20"/>
                <w:szCs w:val="20"/>
                <w:color w:val="auto"/>
              </w:rPr>
            </w:pPr>
            <w:r>
              <w:rPr>
                <w:rFonts w:ascii="Arial" w:cs="Arial" w:eastAsia="Arial" w:hAnsi="Arial"/>
                <w:sz w:val="11"/>
                <w:szCs w:val="11"/>
                <w:b w:val="1"/>
                <w:bCs w:val="1"/>
                <w:color w:val="FFFFFF"/>
              </w:rPr>
              <w:t>Exhibit Description</w:t>
            </w:r>
          </w:p>
        </w:tc>
        <w:tc>
          <w:tcPr>
            <w:tcW w:w="540" w:type="dxa"/>
            <w:vAlign w:val="bottom"/>
            <w:shd w:val="clear" w:color="auto" w:fill="232F84"/>
          </w:tcPr>
          <w:p>
            <w:pPr>
              <w:jc w:val="center"/>
              <w:ind w:left="3"/>
              <w:spacing w:after="0"/>
              <w:rPr>
                <w:sz w:val="20"/>
                <w:szCs w:val="20"/>
                <w:color w:val="auto"/>
              </w:rPr>
            </w:pPr>
            <w:r>
              <w:rPr>
                <w:rFonts w:ascii="Arial" w:cs="Arial" w:eastAsia="Arial" w:hAnsi="Arial"/>
                <w:sz w:val="11"/>
                <w:szCs w:val="11"/>
                <w:b w:val="1"/>
                <w:bCs w:val="1"/>
                <w:color w:val="FFFFFF"/>
              </w:rPr>
              <w:t>Form</w:t>
            </w:r>
          </w:p>
        </w:tc>
        <w:tc>
          <w:tcPr>
            <w:tcW w:w="1540" w:type="dxa"/>
            <w:vAlign w:val="bottom"/>
            <w:shd w:val="clear" w:color="auto" w:fill="232F84"/>
          </w:tcPr>
          <w:p>
            <w:pPr>
              <w:ind w:left="580"/>
              <w:spacing w:after="0"/>
              <w:rPr>
                <w:sz w:val="20"/>
                <w:szCs w:val="20"/>
                <w:color w:val="auto"/>
              </w:rPr>
            </w:pPr>
            <w:r>
              <w:rPr>
                <w:rFonts w:ascii="Arial" w:cs="Arial" w:eastAsia="Arial" w:hAnsi="Arial"/>
                <w:sz w:val="11"/>
                <w:szCs w:val="11"/>
                <w:b w:val="1"/>
                <w:bCs w:val="1"/>
                <w:color w:val="FFFFFF"/>
              </w:rPr>
              <w:t>Date</w:t>
            </w:r>
          </w:p>
        </w:tc>
        <w:tc>
          <w:tcPr>
            <w:tcW w:w="640" w:type="dxa"/>
            <w:vAlign w:val="bottom"/>
            <w:shd w:val="clear" w:color="auto" w:fill="232F84"/>
          </w:tcPr>
          <w:p>
            <w:pPr>
              <w:spacing w:after="0"/>
              <w:rPr>
                <w:sz w:val="20"/>
                <w:szCs w:val="20"/>
                <w:color w:val="auto"/>
              </w:rPr>
            </w:pPr>
            <w:r>
              <w:rPr>
                <w:rFonts w:ascii="Arial" w:cs="Arial" w:eastAsia="Arial" w:hAnsi="Arial"/>
                <w:sz w:val="11"/>
                <w:szCs w:val="11"/>
                <w:b w:val="1"/>
                <w:bCs w:val="1"/>
                <w:color w:val="FFFFFF"/>
              </w:rPr>
              <w:t>Number</w:t>
            </w:r>
          </w:p>
        </w:tc>
        <w:tc>
          <w:tcPr>
            <w:tcW w:w="960" w:type="dxa"/>
            <w:vAlign w:val="bottom"/>
            <w:shd w:val="clear" w:color="auto" w:fill="232F84"/>
          </w:tcPr>
          <w:p>
            <w:pPr>
              <w:jc w:val="center"/>
              <w:ind w:left="23"/>
              <w:spacing w:after="0"/>
              <w:rPr>
                <w:sz w:val="20"/>
                <w:szCs w:val="20"/>
                <w:color w:val="auto"/>
              </w:rPr>
            </w:pPr>
            <w:r>
              <w:rPr>
                <w:rFonts w:ascii="Arial" w:cs="Arial" w:eastAsia="Arial" w:hAnsi="Arial"/>
                <w:sz w:val="11"/>
                <w:szCs w:val="11"/>
                <w:b w:val="1"/>
                <w:bCs w:val="1"/>
                <w:color w:val="FFFFFF"/>
              </w:rPr>
              <w:t>Herewith</w:t>
            </w:r>
          </w:p>
        </w:tc>
      </w:tr>
      <w:tr>
        <w:trPr>
          <w:trHeight w:val="150"/>
        </w:trPr>
        <w:tc>
          <w:tcPr>
            <w:tcW w:w="880" w:type="dxa"/>
            <w:vAlign w:val="bottom"/>
            <w:shd w:val="clear" w:color="auto" w:fill="43C0B9"/>
          </w:tcPr>
          <w:p>
            <w:pPr>
              <w:jc w:val="center"/>
              <w:ind w:right="43"/>
              <w:spacing w:after="0"/>
              <w:rPr>
                <w:sz w:val="20"/>
                <w:szCs w:val="20"/>
                <w:color w:val="auto"/>
              </w:rPr>
            </w:pPr>
            <w:r>
              <w:rPr>
                <w:rFonts w:ascii="Arial" w:cs="Arial" w:eastAsia="Arial" w:hAnsi="Arial"/>
                <w:sz w:val="11"/>
                <w:szCs w:val="11"/>
                <w:color w:val="auto"/>
              </w:rPr>
              <w:t>3.1#</w:t>
            </w:r>
          </w:p>
        </w:tc>
        <w:tc>
          <w:tcPr>
            <w:tcW w:w="6680" w:type="dxa"/>
            <w:vAlign w:val="bottom"/>
            <w:gridSpan w:val="29"/>
            <w:shd w:val="clear" w:color="auto" w:fill="43C0B9"/>
          </w:tcPr>
          <w:p>
            <w:pPr>
              <w:spacing w:after="0"/>
              <w:rPr>
                <w:rFonts w:ascii="Arial" w:cs="Arial" w:eastAsia="Arial" w:hAnsi="Arial"/>
                <w:sz w:val="11"/>
                <w:szCs w:val="11"/>
                <w:color w:val="0000FF"/>
              </w:rPr>
            </w:pPr>
            <w:hyperlink r:id="rId48">
              <w:r>
                <w:rPr>
                  <w:rFonts w:ascii="Arial" w:cs="Arial" w:eastAsia="Arial" w:hAnsi="Arial"/>
                  <w:sz w:val="11"/>
                  <w:szCs w:val="11"/>
                  <w:color w:val="0000FF"/>
                </w:rPr>
                <w:t>Amended and Restated Certificate of Incorporation</w:t>
              </w:r>
            </w:hyperlink>
          </w:p>
        </w:tc>
        <w:tc>
          <w:tcPr>
            <w:tcW w:w="540" w:type="dxa"/>
            <w:vAlign w:val="bottom"/>
            <w:shd w:val="clear" w:color="auto" w:fill="43C0B9"/>
          </w:tcPr>
          <w:p>
            <w:pPr>
              <w:jc w:val="center"/>
              <w:ind w:left="3"/>
              <w:spacing w:after="0"/>
              <w:rPr>
                <w:sz w:val="20"/>
                <w:szCs w:val="20"/>
                <w:color w:val="auto"/>
              </w:rPr>
            </w:pPr>
            <w:r>
              <w:rPr>
                <w:rFonts w:ascii="Arial" w:cs="Arial" w:eastAsia="Arial" w:hAnsi="Arial"/>
                <w:sz w:val="11"/>
                <w:szCs w:val="11"/>
                <w:color w:val="auto"/>
                <w:w w:val="93"/>
              </w:rPr>
              <w:t>8-K</w:t>
            </w:r>
          </w:p>
        </w:tc>
        <w:tc>
          <w:tcPr>
            <w:tcW w:w="1540" w:type="dxa"/>
            <w:vAlign w:val="bottom"/>
            <w:shd w:val="clear" w:color="auto" w:fill="43C0B9"/>
          </w:tcPr>
          <w:p>
            <w:pPr>
              <w:jc w:val="center"/>
              <w:ind w:right="63"/>
              <w:spacing w:after="0"/>
              <w:rPr>
                <w:sz w:val="20"/>
                <w:szCs w:val="20"/>
                <w:color w:val="auto"/>
              </w:rPr>
            </w:pPr>
            <w:r>
              <w:rPr>
                <w:rFonts w:ascii="Arial" w:cs="Arial" w:eastAsia="Arial" w:hAnsi="Arial"/>
                <w:sz w:val="11"/>
                <w:szCs w:val="11"/>
                <w:color w:val="auto"/>
              </w:rPr>
              <w:t>10/7/2020</w:t>
            </w:r>
          </w:p>
        </w:tc>
        <w:tc>
          <w:tcPr>
            <w:tcW w:w="640" w:type="dxa"/>
            <w:vAlign w:val="bottom"/>
            <w:shd w:val="clear" w:color="auto" w:fill="43C0B9"/>
          </w:tcPr>
          <w:p>
            <w:pPr>
              <w:jc w:val="center"/>
              <w:ind w:right="143"/>
              <w:spacing w:after="0"/>
              <w:rPr>
                <w:sz w:val="20"/>
                <w:szCs w:val="20"/>
                <w:color w:val="auto"/>
              </w:rPr>
            </w:pPr>
            <w:r>
              <w:rPr>
                <w:rFonts w:ascii="Arial" w:cs="Arial" w:eastAsia="Arial" w:hAnsi="Arial"/>
                <w:sz w:val="11"/>
                <w:szCs w:val="11"/>
                <w:color w:val="auto"/>
              </w:rPr>
              <w:t>3.1</w:t>
            </w:r>
          </w:p>
        </w:tc>
        <w:tc>
          <w:tcPr>
            <w:tcW w:w="960" w:type="dxa"/>
            <w:vAlign w:val="bottom"/>
            <w:shd w:val="clear" w:color="auto" w:fill="43C0B9"/>
          </w:tcPr>
          <w:p>
            <w:pPr>
              <w:spacing w:after="0"/>
              <w:rPr>
                <w:sz w:val="13"/>
                <w:szCs w:val="13"/>
                <w:color w:val="auto"/>
              </w:rPr>
            </w:pPr>
          </w:p>
        </w:tc>
      </w:tr>
      <w:tr>
        <w:trPr>
          <w:trHeight w:val="144"/>
        </w:trPr>
        <w:tc>
          <w:tcPr>
            <w:tcW w:w="880" w:type="dxa"/>
            <w:vAlign w:val="bottom"/>
            <w:tcBorders>
              <w:top w:val="single" w:sz="8" w:color="43C0B9"/>
            </w:tcBorders>
          </w:tcPr>
          <w:p>
            <w:pPr>
              <w:jc w:val="center"/>
              <w:ind w:right="43"/>
              <w:spacing w:after="0"/>
              <w:rPr>
                <w:sz w:val="20"/>
                <w:szCs w:val="20"/>
                <w:color w:val="auto"/>
              </w:rPr>
            </w:pPr>
            <w:r>
              <w:rPr>
                <w:rFonts w:ascii="Arial" w:cs="Arial" w:eastAsia="Arial" w:hAnsi="Arial"/>
                <w:sz w:val="11"/>
                <w:szCs w:val="11"/>
                <w:color w:val="auto"/>
              </w:rPr>
              <w:t>3.2#</w:t>
            </w:r>
          </w:p>
        </w:tc>
        <w:tc>
          <w:tcPr>
            <w:tcW w:w="1580" w:type="dxa"/>
            <w:vAlign w:val="bottom"/>
            <w:tcBorders>
              <w:top w:val="single" w:sz="8" w:color="0000FF"/>
              <w:bottom w:val="single" w:sz="8" w:color="0000FF"/>
            </w:tcBorders>
            <w:gridSpan w:val="5"/>
          </w:tcPr>
          <w:p>
            <w:pPr>
              <w:spacing w:after="0"/>
              <w:rPr>
                <w:rFonts w:ascii="Arial" w:cs="Arial" w:eastAsia="Arial" w:hAnsi="Arial"/>
                <w:sz w:val="11"/>
                <w:szCs w:val="11"/>
                <w:color w:val="0000FF"/>
              </w:rPr>
            </w:pPr>
            <w:hyperlink r:id="rId49">
              <w:r>
                <w:rPr>
                  <w:rFonts w:ascii="Arial" w:cs="Arial" w:eastAsia="Arial" w:hAnsi="Arial"/>
                  <w:sz w:val="11"/>
                  <w:szCs w:val="11"/>
                  <w:color w:val="0000FF"/>
                </w:rPr>
                <w:t>Amended and Restated Bylaws</w:t>
              </w:r>
            </w:hyperlink>
          </w:p>
        </w:tc>
        <w:tc>
          <w:tcPr>
            <w:tcW w:w="960" w:type="dxa"/>
            <w:vAlign w:val="bottom"/>
            <w:tcBorders>
              <w:top w:val="single" w:sz="8" w:color="0000FF"/>
            </w:tcBorders>
            <w:gridSpan w:val="8"/>
          </w:tcPr>
          <w:p>
            <w:pPr>
              <w:spacing w:after="0"/>
              <w:rPr>
                <w:sz w:val="12"/>
                <w:szCs w:val="12"/>
                <w:color w:val="auto"/>
              </w:rPr>
            </w:pPr>
          </w:p>
        </w:tc>
        <w:tc>
          <w:tcPr>
            <w:tcW w:w="4140" w:type="dxa"/>
            <w:vAlign w:val="bottom"/>
            <w:tcBorders>
              <w:top w:val="single" w:sz="8" w:color="43C0B9"/>
            </w:tcBorders>
            <w:gridSpan w:val="16"/>
          </w:tcPr>
          <w:p>
            <w:pPr>
              <w:spacing w:after="0"/>
              <w:rPr>
                <w:sz w:val="12"/>
                <w:szCs w:val="12"/>
                <w:color w:val="auto"/>
              </w:rPr>
            </w:pPr>
          </w:p>
        </w:tc>
        <w:tc>
          <w:tcPr>
            <w:tcW w:w="540" w:type="dxa"/>
            <w:vAlign w:val="bottom"/>
            <w:tcBorders>
              <w:top w:val="single" w:sz="8" w:color="43C0B9"/>
            </w:tcBorders>
          </w:tcPr>
          <w:p>
            <w:pPr>
              <w:jc w:val="center"/>
              <w:ind w:left="3"/>
              <w:spacing w:after="0"/>
              <w:rPr>
                <w:sz w:val="20"/>
                <w:szCs w:val="20"/>
                <w:color w:val="auto"/>
              </w:rPr>
            </w:pPr>
            <w:r>
              <w:rPr>
                <w:rFonts w:ascii="Arial" w:cs="Arial" w:eastAsia="Arial" w:hAnsi="Arial"/>
                <w:sz w:val="11"/>
                <w:szCs w:val="11"/>
                <w:color w:val="auto"/>
                <w:w w:val="93"/>
              </w:rPr>
              <w:t>8-K</w:t>
            </w:r>
          </w:p>
        </w:tc>
        <w:tc>
          <w:tcPr>
            <w:tcW w:w="1540" w:type="dxa"/>
            <w:vAlign w:val="bottom"/>
            <w:tcBorders>
              <w:top w:val="single" w:sz="8" w:color="43C0B9"/>
            </w:tcBorders>
          </w:tcPr>
          <w:p>
            <w:pPr>
              <w:jc w:val="center"/>
              <w:ind w:right="63"/>
              <w:spacing w:after="0"/>
              <w:rPr>
                <w:sz w:val="20"/>
                <w:szCs w:val="20"/>
                <w:color w:val="auto"/>
              </w:rPr>
            </w:pPr>
            <w:r>
              <w:rPr>
                <w:rFonts w:ascii="Arial" w:cs="Arial" w:eastAsia="Arial" w:hAnsi="Arial"/>
                <w:sz w:val="11"/>
                <w:szCs w:val="11"/>
                <w:color w:val="auto"/>
              </w:rPr>
              <w:t>10/7/2020</w:t>
            </w:r>
          </w:p>
        </w:tc>
        <w:tc>
          <w:tcPr>
            <w:tcW w:w="640" w:type="dxa"/>
            <w:vAlign w:val="bottom"/>
            <w:tcBorders>
              <w:top w:val="single" w:sz="8" w:color="43C0B9"/>
            </w:tcBorders>
          </w:tcPr>
          <w:p>
            <w:pPr>
              <w:jc w:val="center"/>
              <w:ind w:right="143"/>
              <w:spacing w:after="0"/>
              <w:rPr>
                <w:sz w:val="20"/>
                <w:szCs w:val="20"/>
                <w:color w:val="auto"/>
              </w:rPr>
            </w:pPr>
            <w:r>
              <w:rPr>
                <w:rFonts w:ascii="Arial" w:cs="Arial" w:eastAsia="Arial" w:hAnsi="Arial"/>
                <w:sz w:val="11"/>
                <w:szCs w:val="11"/>
                <w:color w:val="auto"/>
              </w:rPr>
              <w:t>3.2</w:t>
            </w:r>
          </w:p>
        </w:tc>
        <w:tc>
          <w:tcPr>
            <w:tcW w:w="960" w:type="dxa"/>
            <w:vAlign w:val="bottom"/>
            <w:tcBorders>
              <w:top w:val="single" w:sz="8" w:color="43C0B9"/>
            </w:tcBorders>
          </w:tcPr>
          <w:p>
            <w:pPr>
              <w:spacing w:after="0"/>
              <w:rPr>
                <w:sz w:val="12"/>
                <w:szCs w:val="12"/>
                <w:color w:val="auto"/>
              </w:rPr>
            </w:pPr>
          </w:p>
        </w:tc>
      </w:tr>
      <w:tr>
        <w:trPr>
          <w:trHeight w:val="156"/>
        </w:trPr>
        <w:tc>
          <w:tcPr>
            <w:tcW w:w="880" w:type="dxa"/>
            <w:vAlign w:val="bottom"/>
            <w:tcBorders>
              <w:bottom w:val="single" w:sz="8" w:color="43C0B9"/>
            </w:tcBorders>
            <w:shd w:val="clear" w:color="auto" w:fill="43C0B9"/>
          </w:tcPr>
          <w:p>
            <w:pPr>
              <w:jc w:val="center"/>
              <w:ind w:right="43"/>
              <w:spacing w:after="0"/>
              <w:rPr>
                <w:sz w:val="20"/>
                <w:szCs w:val="20"/>
                <w:color w:val="auto"/>
              </w:rPr>
            </w:pPr>
            <w:r>
              <w:rPr>
                <w:rFonts w:ascii="Arial" w:cs="Arial" w:eastAsia="Arial" w:hAnsi="Arial"/>
                <w:sz w:val="11"/>
                <w:szCs w:val="11"/>
                <w:color w:val="auto"/>
              </w:rPr>
              <w:t>4.1#</w:t>
            </w:r>
          </w:p>
        </w:tc>
        <w:tc>
          <w:tcPr>
            <w:tcW w:w="1740" w:type="dxa"/>
            <w:vAlign w:val="bottom"/>
            <w:tcBorders>
              <w:bottom w:val="single" w:sz="8" w:color="0000FF"/>
            </w:tcBorders>
            <w:gridSpan w:val="8"/>
            <w:shd w:val="clear" w:color="auto" w:fill="43C0B9"/>
          </w:tcPr>
          <w:p>
            <w:pPr>
              <w:spacing w:after="0"/>
              <w:rPr>
                <w:rFonts w:ascii="Arial" w:cs="Arial" w:eastAsia="Arial" w:hAnsi="Arial"/>
                <w:sz w:val="11"/>
                <w:szCs w:val="11"/>
                <w:color w:val="0000FF"/>
              </w:rPr>
            </w:pPr>
            <w:hyperlink r:id="rId50">
              <w:r>
                <w:rPr>
                  <w:rFonts w:ascii="Arial" w:cs="Arial" w:eastAsia="Arial" w:hAnsi="Arial"/>
                  <w:sz w:val="11"/>
                  <w:szCs w:val="11"/>
                  <w:color w:val="0000FF"/>
                </w:rPr>
                <w:t>Form of Common Stock Certificate</w:t>
              </w:r>
            </w:hyperlink>
          </w:p>
        </w:tc>
        <w:tc>
          <w:tcPr>
            <w:tcW w:w="4940" w:type="dxa"/>
            <w:vAlign w:val="bottom"/>
            <w:tcBorders>
              <w:bottom w:val="single" w:sz="8" w:color="43C0B9"/>
            </w:tcBorders>
            <w:gridSpan w:val="21"/>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rPr>
              <w:t>S-1/A</w:t>
            </w:r>
          </w:p>
        </w:tc>
        <w:tc>
          <w:tcPr>
            <w:tcW w:w="1540" w:type="dxa"/>
            <w:vAlign w:val="bottom"/>
            <w:tcBorders>
              <w:bottom w:val="single" w:sz="8" w:color="43C0B9"/>
            </w:tcBorders>
            <w:shd w:val="clear" w:color="auto" w:fill="43C0B9"/>
          </w:tcPr>
          <w:p>
            <w:pPr>
              <w:jc w:val="center"/>
              <w:ind w:right="63"/>
              <w:spacing w:after="0"/>
              <w:rPr>
                <w:sz w:val="20"/>
                <w:szCs w:val="20"/>
                <w:color w:val="auto"/>
              </w:rPr>
            </w:pPr>
            <w:r>
              <w:rPr>
                <w:rFonts w:ascii="Arial" w:cs="Arial" w:eastAsia="Arial" w:hAnsi="Arial"/>
                <w:sz w:val="11"/>
                <w:szCs w:val="11"/>
                <w:color w:val="auto"/>
              </w:rPr>
              <w:t>9/22/2020</w:t>
            </w:r>
          </w:p>
        </w:tc>
        <w:tc>
          <w:tcPr>
            <w:tcW w:w="640" w:type="dxa"/>
            <w:vAlign w:val="bottom"/>
            <w:tcBorders>
              <w:bottom w:val="single" w:sz="8" w:color="43C0B9"/>
            </w:tcBorders>
            <w:shd w:val="clear" w:color="auto" w:fill="43C0B9"/>
          </w:tcPr>
          <w:p>
            <w:pPr>
              <w:jc w:val="center"/>
              <w:ind w:right="143"/>
              <w:spacing w:after="0"/>
              <w:rPr>
                <w:sz w:val="20"/>
                <w:szCs w:val="20"/>
                <w:color w:val="auto"/>
              </w:rPr>
            </w:pPr>
            <w:r>
              <w:rPr>
                <w:rFonts w:ascii="Arial" w:cs="Arial" w:eastAsia="Arial" w:hAnsi="Arial"/>
                <w:sz w:val="11"/>
                <w:szCs w:val="11"/>
                <w:color w:val="auto"/>
              </w:rPr>
              <w:t>4.1</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38"/>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4.2</w:t>
            </w:r>
          </w:p>
        </w:tc>
        <w:tc>
          <w:tcPr>
            <w:tcW w:w="6680" w:type="dxa"/>
            <w:vAlign w:val="bottom"/>
            <w:gridSpan w:val="29"/>
          </w:tcPr>
          <w:p>
            <w:pPr>
              <w:spacing w:after="0"/>
              <w:rPr>
                <w:rFonts w:ascii="Arial" w:cs="Arial" w:eastAsia="Arial" w:hAnsi="Arial"/>
                <w:sz w:val="11"/>
                <w:szCs w:val="11"/>
                <w:color w:val="0000FF"/>
              </w:rPr>
            </w:pPr>
            <w:hyperlink w:anchor="page66">
              <w:r>
                <w:rPr>
                  <w:rFonts w:ascii="Arial" w:cs="Arial" w:eastAsia="Arial" w:hAnsi="Arial"/>
                  <w:sz w:val="11"/>
                  <w:szCs w:val="11"/>
                  <w:color w:val="0000FF"/>
                </w:rPr>
                <w:t>Description of Capital Stock</w:t>
              </w:r>
            </w:hyperlink>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center"/>
              <w:ind w:left="23"/>
              <w:spacing w:after="0"/>
              <w:rPr>
                <w:sz w:val="20"/>
                <w:szCs w:val="20"/>
                <w:color w:val="auto"/>
              </w:rPr>
            </w:pPr>
            <w:r>
              <w:rPr>
                <w:rFonts w:ascii="Arial" w:cs="Arial" w:eastAsia="Arial" w:hAnsi="Arial"/>
                <w:sz w:val="11"/>
                <w:szCs w:val="11"/>
                <w:color w:val="auto"/>
              </w:rPr>
              <w:t>X</w:t>
            </w:r>
          </w:p>
        </w:tc>
      </w:tr>
      <w:tr>
        <w:trPr>
          <w:trHeight w:val="26"/>
        </w:trPr>
        <w:tc>
          <w:tcPr>
            <w:tcW w:w="880" w:type="dxa"/>
            <w:vAlign w:val="bottom"/>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56"/>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10.1#+</w:t>
            </w:r>
          </w:p>
        </w:tc>
        <w:tc>
          <w:tcPr>
            <w:tcW w:w="3640" w:type="dxa"/>
            <w:vAlign w:val="bottom"/>
            <w:tcBorders>
              <w:bottom w:val="single" w:sz="8" w:color="0000FF"/>
            </w:tcBorders>
            <w:gridSpan w:val="15"/>
            <w:shd w:val="clear" w:color="auto" w:fill="43C0B9"/>
          </w:tcPr>
          <w:p>
            <w:pPr>
              <w:spacing w:after="0"/>
              <w:rPr>
                <w:rFonts w:ascii="Arial" w:cs="Arial" w:eastAsia="Arial" w:hAnsi="Arial"/>
                <w:sz w:val="11"/>
                <w:szCs w:val="11"/>
                <w:color w:val="0000FF"/>
              </w:rPr>
            </w:pPr>
            <w:hyperlink r:id="rId51">
              <w:r>
                <w:rPr>
                  <w:rFonts w:ascii="Arial" w:cs="Arial" w:eastAsia="Arial" w:hAnsi="Arial"/>
                  <w:sz w:val="11"/>
                  <w:szCs w:val="11"/>
                  <w:color w:val="0000FF"/>
                </w:rPr>
                <w:t>Mission Produce, Inc. Amended and Restated 2003 Stock Incentive Plan</w:t>
              </w:r>
            </w:hyperlink>
          </w:p>
        </w:tc>
        <w:tc>
          <w:tcPr>
            <w:tcW w:w="3040" w:type="dxa"/>
            <w:vAlign w:val="bottom"/>
            <w:tcBorders>
              <w:bottom w:val="single" w:sz="8" w:color="43C0B9"/>
            </w:tcBorders>
            <w:gridSpan w:val="14"/>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rPr>
              <w:t>S-1/A</w:t>
            </w:r>
          </w:p>
        </w:tc>
        <w:tc>
          <w:tcPr>
            <w:tcW w:w="1540" w:type="dxa"/>
            <w:vAlign w:val="bottom"/>
            <w:tcBorders>
              <w:bottom w:val="single" w:sz="8" w:color="43C0B9"/>
            </w:tcBorders>
            <w:shd w:val="clear" w:color="auto" w:fill="43C0B9"/>
          </w:tcPr>
          <w:p>
            <w:pPr>
              <w:jc w:val="center"/>
              <w:ind w:right="63"/>
              <w:spacing w:after="0"/>
              <w:rPr>
                <w:sz w:val="20"/>
                <w:szCs w:val="20"/>
                <w:color w:val="auto"/>
              </w:rPr>
            </w:pPr>
            <w:r>
              <w:rPr>
                <w:rFonts w:ascii="Arial" w:cs="Arial" w:eastAsia="Arial" w:hAnsi="Arial"/>
                <w:sz w:val="11"/>
                <w:szCs w:val="11"/>
                <w:color w:val="auto"/>
              </w:rPr>
              <w:t>9/22/2020</w:t>
            </w:r>
          </w:p>
        </w:tc>
        <w:tc>
          <w:tcPr>
            <w:tcW w:w="640" w:type="dxa"/>
            <w:vAlign w:val="bottom"/>
            <w:tcBorders>
              <w:bottom w:val="single" w:sz="8" w:color="43C0B9"/>
            </w:tcBorders>
            <w:shd w:val="clear" w:color="auto" w:fill="43C0B9"/>
          </w:tcPr>
          <w:p>
            <w:pPr>
              <w:jc w:val="center"/>
              <w:ind w:right="123"/>
              <w:spacing w:after="0"/>
              <w:rPr>
                <w:sz w:val="20"/>
                <w:szCs w:val="20"/>
                <w:color w:val="auto"/>
              </w:rPr>
            </w:pPr>
            <w:r>
              <w:rPr>
                <w:rFonts w:ascii="Arial" w:cs="Arial" w:eastAsia="Arial" w:hAnsi="Arial"/>
                <w:sz w:val="11"/>
                <w:szCs w:val="11"/>
                <w:color w:val="auto"/>
              </w:rPr>
              <w:t>10.1</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44"/>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10.2#+</w:t>
            </w:r>
          </w:p>
        </w:tc>
        <w:tc>
          <w:tcPr>
            <w:tcW w:w="6680" w:type="dxa"/>
            <w:vAlign w:val="bottom"/>
            <w:gridSpan w:val="29"/>
          </w:tcPr>
          <w:p>
            <w:pPr>
              <w:spacing w:after="0"/>
              <w:rPr>
                <w:rFonts w:ascii="Arial" w:cs="Arial" w:eastAsia="Arial" w:hAnsi="Arial"/>
                <w:sz w:val="11"/>
                <w:szCs w:val="11"/>
                <w:color w:val="0000FF"/>
              </w:rPr>
            </w:pPr>
            <w:hyperlink r:id="rId52">
              <w:r>
                <w:rPr>
                  <w:rFonts w:ascii="Arial" w:cs="Arial" w:eastAsia="Arial" w:hAnsi="Arial"/>
                  <w:sz w:val="11"/>
                  <w:szCs w:val="11"/>
                  <w:color w:val="0000FF"/>
                </w:rPr>
                <w:t>Form of Stock Option Agreement pursuant to the Mission Produce, Inc. Amended and Restated 2003 Stock Incentive Plan</w:t>
              </w:r>
            </w:hyperlink>
          </w:p>
        </w:tc>
        <w:tc>
          <w:tcPr>
            <w:tcW w:w="540" w:type="dxa"/>
            <w:vAlign w:val="bottom"/>
          </w:tcPr>
          <w:p>
            <w:pPr>
              <w:jc w:val="center"/>
              <w:ind w:left="3"/>
              <w:spacing w:after="0"/>
              <w:rPr>
                <w:sz w:val="20"/>
                <w:szCs w:val="20"/>
                <w:color w:val="auto"/>
              </w:rPr>
            </w:pPr>
            <w:r>
              <w:rPr>
                <w:rFonts w:ascii="Arial" w:cs="Arial" w:eastAsia="Arial" w:hAnsi="Arial"/>
                <w:sz w:val="11"/>
                <w:szCs w:val="11"/>
                <w:color w:val="auto"/>
                <w:w w:val="93"/>
              </w:rPr>
              <w:t>S-8</w:t>
            </w:r>
          </w:p>
        </w:tc>
        <w:tc>
          <w:tcPr>
            <w:tcW w:w="1540" w:type="dxa"/>
            <w:vAlign w:val="bottom"/>
          </w:tcPr>
          <w:p>
            <w:pPr>
              <w:jc w:val="center"/>
              <w:ind w:right="63"/>
              <w:spacing w:after="0"/>
              <w:rPr>
                <w:sz w:val="20"/>
                <w:szCs w:val="20"/>
                <w:color w:val="auto"/>
              </w:rPr>
            </w:pPr>
            <w:r>
              <w:rPr>
                <w:rFonts w:ascii="Arial" w:cs="Arial" w:eastAsia="Arial" w:hAnsi="Arial"/>
                <w:sz w:val="11"/>
                <w:szCs w:val="11"/>
                <w:color w:val="auto"/>
              </w:rPr>
              <w:t>10/5/2020</w:t>
            </w:r>
          </w:p>
        </w:tc>
        <w:tc>
          <w:tcPr>
            <w:tcW w:w="640" w:type="dxa"/>
            <w:vAlign w:val="bottom"/>
          </w:tcPr>
          <w:p>
            <w:pPr>
              <w:jc w:val="center"/>
              <w:ind w:right="123"/>
              <w:spacing w:after="0"/>
              <w:rPr>
                <w:sz w:val="20"/>
                <w:szCs w:val="20"/>
                <w:color w:val="auto"/>
              </w:rPr>
            </w:pPr>
            <w:r>
              <w:rPr>
                <w:rFonts w:ascii="Arial" w:cs="Arial" w:eastAsia="Arial" w:hAnsi="Arial"/>
                <w:sz w:val="11"/>
                <w:szCs w:val="11"/>
                <w:color w:val="auto"/>
              </w:rPr>
              <w:t>10.2</w:t>
            </w:r>
          </w:p>
        </w:tc>
        <w:tc>
          <w:tcPr>
            <w:tcW w:w="960" w:type="dxa"/>
            <w:vAlign w:val="bottom"/>
          </w:tcPr>
          <w:p>
            <w:pPr>
              <w:spacing w:after="0"/>
              <w:rPr>
                <w:sz w:val="12"/>
                <w:szCs w:val="12"/>
                <w:color w:val="auto"/>
              </w:rPr>
            </w:pPr>
          </w:p>
        </w:tc>
      </w:tr>
      <w:tr>
        <w:trPr>
          <w:trHeight w:val="156"/>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10.3#+</w:t>
            </w:r>
          </w:p>
        </w:tc>
        <w:tc>
          <w:tcPr>
            <w:tcW w:w="2460" w:type="dxa"/>
            <w:vAlign w:val="bottom"/>
            <w:tcBorders>
              <w:top w:val="single" w:sz="8" w:color="0000FF"/>
              <w:bottom w:val="single" w:sz="8" w:color="0000FF"/>
            </w:tcBorders>
            <w:gridSpan w:val="11"/>
            <w:shd w:val="clear" w:color="auto" w:fill="43C0B9"/>
          </w:tcPr>
          <w:p>
            <w:pPr>
              <w:spacing w:after="0"/>
              <w:rPr>
                <w:rFonts w:ascii="Arial" w:cs="Arial" w:eastAsia="Arial" w:hAnsi="Arial"/>
                <w:sz w:val="11"/>
                <w:szCs w:val="11"/>
                <w:color w:val="0000FF"/>
              </w:rPr>
            </w:pPr>
            <w:hyperlink r:id="rId53">
              <w:r>
                <w:rPr>
                  <w:rFonts w:ascii="Arial" w:cs="Arial" w:eastAsia="Arial" w:hAnsi="Arial"/>
                  <w:sz w:val="11"/>
                  <w:szCs w:val="11"/>
                  <w:color w:val="0000FF"/>
                </w:rPr>
                <w:t>Mission Produce, Inc. 2020 Incentive Award Plan</w:t>
              </w:r>
            </w:hyperlink>
          </w:p>
        </w:tc>
        <w:tc>
          <w:tcPr>
            <w:tcW w:w="3640" w:type="dxa"/>
            <w:vAlign w:val="bottom"/>
            <w:tcBorders>
              <w:top w:val="single" w:sz="8" w:color="0000FF"/>
              <w:bottom w:val="single" w:sz="8" w:color="43C0B9"/>
            </w:tcBorders>
            <w:gridSpan w:val="9"/>
            <w:shd w:val="clear" w:color="auto" w:fill="43C0B9"/>
          </w:tcPr>
          <w:p>
            <w:pPr>
              <w:spacing w:after="0"/>
              <w:rPr>
                <w:sz w:val="13"/>
                <w:szCs w:val="13"/>
                <w:color w:val="auto"/>
              </w:rPr>
            </w:pPr>
          </w:p>
        </w:tc>
        <w:tc>
          <w:tcPr>
            <w:tcW w:w="580" w:type="dxa"/>
            <w:vAlign w:val="bottom"/>
            <w:tcBorders>
              <w:bottom w:val="single" w:sz="8" w:color="43C0B9"/>
            </w:tcBorders>
            <w:gridSpan w:val="9"/>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tcBorders>
              <w:bottom w:val="single" w:sz="8" w:color="43C0B9"/>
            </w:tcBorders>
            <w:shd w:val="clear" w:color="auto" w:fill="43C0B9"/>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tcBorders>
              <w:bottom w:val="single" w:sz="8" w:color="43C0B9"/>
            </w:tcBorders>
            <w:shd w:val="clear" w:color="auto" w:fill="43C0B9"/>
          </w:tcPr>
          <w:p>
            <w:pPr>
              <w:jc w:val="center"/>
              <w:ind w:right="123"/>
              <w:spacing w:after="0"/>
              <w:rPr>
                <w:sz w:val="20"/>
                <w:szCs w:val="20"/>
                <w:color w:val="auto"/>
              </w:rPr>
            </w:pPr>
            <w:r>
              <w:rPr>
                <w:rFonts w:ascii="Arial" w:cs="Arial" w:eastAsia="Arial" w:hAnsi="Arial"/>
                <w:sz w:val="11"/>
                <w:szCs w:val="11"/>
                <w:color w:val="auto"/>
              </w:rPr>
              <w:t>10.3</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44"/>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10.4#+</w:t>
            </w:r>
          </w:p>
        </w:tc>
        <w:tc>
          <w:tcPr>
            <w:tcW w:w="2400" w:type="dxa"/>
            <w:vAlign w:val="bottom"/>
            <w:tcBorders>
              <w:bottom w:val="single" w:sz="8" w:color="0000FF"/>
            </w:tcBorders>
            <w:gridSpan w:val="10"/>
          </w:tcPr>
          <w:p>
            <w:pPr>
              <w:spacing w:after="0"/>
              <w:rPr>
                <w:rFonts w:ascii="Arial" w:cs="Arial" w:eastAsia="Arial" w:hAnsi="Arial"/>
                <w:sz w:val="11"/>
                <w:szCs w:val="11"/>
                <w:color w:val="0000FF"/>
              </w:rPr>
            </w:pPr>
            <w:hyperlink r:id="rId54">
              <w:r>
                <w:rPr>
                  <w:rFonts w:ascii="Arial" w:cs="Arial" w:eastAsia="Arial" w:hAnsi="Arial"/>
                  <w:sz w:val="11"/>
                  <w:szCs w:val="11"/>
                  <w:color w:val="0000FF"/>
                </w:rPr>
                <w:t>Non-Employee Director Compensation Program</w:t>
              </w:r>
            </w:hyperlink>
          </w:p>
        </w:tc>
        <w:tc>
          <w:tcPr>
            <w:tcW w:w="4280" w:type="dxa"/>
            <w:vAlign w:val="bottom"/>
            <w:gridSpan w:val="19"/>
          </w:tcPr>
          <w:p>
            <w:pPr>
              <w:spacing w:after="0"/>
              <w:rPr>
                <w:sz w:val="12"/>
                <w:szCs w:val="12"/>
                <w:color w:val="auto"/>
              </w:rPr>
            </w:pPr>
          </w:p>
        </w:tc>
        <w:tc>
          <w:tcPr>
            <w:tcW w:w="540" w:type="dxa"/>
            <w:vAlign w:val="bottom"/>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tcPr>
          <w:p>
            <w:pPr>
              <w:jc w:val="center"/>
              <w:ind w:right="123"/>
              <w:spacing w:after="0"/>
              <w:rPr>
                <w:sz w:val="20"/>
                <w:szCs w:val="20"/>
                <w:color w:val="auto"/>
              </w:rPr>
            </w:pPr>
            <w:r>
              <w:rPr>
                <w:rFonts w:ascii="Arial" w:cs="Arial" w:eastAsia="Arial" w:hAnsi="Arial"/>
                <w:sz w:val="11"/>
                <w:szCs w:val="11"/>
                <w:color w:val="auto"/>
              </w:rPr>
              <w:t>10.4</w:t>
            </w:r>
          </w:p>
        </w:tc>
        <w:tc>
          <w:tcPr>
            <w:tcW w:w="960" w:type="dxa"/>
            <w:vAlign w:val="bottom"/>
          </w:tcPr>
          <w:p>
            <w:pPr>
              <w:spacing w:after="0"/>
              <w:rPr>
                <w:sz w:val="12"/>
                <w:szCs w:val="12"/>
                <w:color w:val="auto"/>
              </w:rPr>
            </w:pPr>
          </w:p>
        </w:tc>
      </w:tr>
      <w:tr>
        <w:trPr>
          <w:trHeight w:val="156"/>
        </w:trPr>
        <w:tc>
          <w:tcPr>
            <w:tcW w:w="880" w:type="dxa"/>
            <w:vAlign w:val="bottom"/>
            <w:shd w:val="clear" w:color="auto" w:fill="43C0B9"/>
          </w:tcPr>
          <w:p>
            <w:pPr>
              <w:jc w:val="center"/>
              <w:ind w:right="23"/>
              <w:spacing w:after="0"/>
              <w:rPr>
                <w:sz w:val="20"/>
                <w:szCs w:val="20"/>
                <w:color w:val="auto"/>
              </w:rPr>
            </w:pPr>
            <w:r>
              <w:rPr>
                <w:rFonts w:ascii="Arial" w:cs="Arial" w:eastAsia="Arial" w:hAnsi="Arial"/>
                <w:sz w:val="11"/>
                <w:szCs w:val="11"/>
                <w:color w:val="auto"/>
              </w:rPr>
              <w:t>10.5#+</w:t>
            </w:r>
          </w:p>
        </w:tc>
        <w:tc>
          <w:tcPr>
            <w:tcW w:w="6680" w:type="dxa"/>
            <w:vAlign w:val="bottom"/>
            <w:gridSpan w:val="29"/>
            <w:shd w:val="clear" w:color="auto" w:fill="43C0B9"/>
          </w:tcPr>
          <w:p>
            <w:pPr>
              <w:spacing w:after="0"/>
              <w:rPr>
                <w:rFonts w:ascii="Arial" w:cs="Arial" w:eastAsia="Arial" w:hAnsi="Arial"/>
                <w:sz w:val="11"/>
                <w:szCs w:val="11"/>
                <w:color w:val="0000FF"/>
              </w:rPr>
            </w:pPr>
            <w:hyperlink r:id="rId55">
              <w:r>
                <w:rPr>
                  <w:rFonts w:ascii="Arial" w:cs="Arial" w:eastAsia="Arial" w:hAnsi="Arial"/>
                  <w:sz w:val="11"/>
                  <w:szCs w:val="11"/>
                  <w:color w:val="0000FF"/>
                </w:rPr>
                <w:t>Form of Stock Option Agreement pursuant to the Mission Produce, Inc. 2020 Incentive Award Plan</w:t>
              </w:r>
            </w:hyperlink>
          </w:p>
        </w:tc>
        <w:tc>
          <w:tcPr>
            <w:tcW w:w="540" w:type="dxa"/>
            <w:vAlign w:val="bottom"/>
            <w:shd w:val="clear" w:color="auto" w:fill="43C0B9"/>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shd w:val="clear" w:color="auto" w:fill="43C0B9"/>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shd w:val="clear" w:color="auto" w:fill="43C0B9"/>
          </w:tcPr>
          <w:p>
            <w:pPr>
              <w:jc w:val="center"/>
              <w:ind w:right="123"/>
              <w:spacing w:after="0"/>
              <w:rPr>
                <w:sz w:val="20"/>
                <w:szCs w:val="20"/>
                <w:color w:val="auto"/>
              </w:rPr>
            </w:pPr>
            <w:r>
              <w:rPr>
                <w:rFonts w:ascii="Arial" w:cs="Arial" w:eastAsia="Arial" w:hAnsi="Arial"/>
                <w:sz w:val="11"/>
                <w:szCs w:val="11"/>
                <w:color w:val="auto"/>
              </w:rPr>
              <w:t>10.5</w:t>
            </w:r>
          </w:p>
        </w:tc>
        <w:tc>
          <w:tcPr>
            <w:tcW w:w="960" w:type="dxa"/>
            <w:vAlign w:val="bottom"/>
            <w:shd w:val="clear" w:color="auto" w:fill="43C0B9"/>
          </w:tcPr>
          <w:p>
            <w:pPr>
              <w:spacing w:after="0"/>
              <w:rPr>
                <w:sz w:val="13"/>
                <w:szCs w:val="13"/>
                <w:color w:val="auto"/>
              </w:rPr>
            </w:pPr>
          </w:p>
        </w:tc>
      </w:tr>
      <w:tr>
        <w:trPr>
          <w:trHeight w:val="144"/>
        </w:trPr>
        <w:tc>
          <w:tcPr>
            <w:tcW w:w="880" w:type="dxa"/>
            <w:vAlign w:val="bottom"/>
            <w:tcBorders>
              <w:top w:val="single" w:sz="8" w:color="43C0B9"/>
            </w:tcBorders>
          </w:tcPr>
          <w:p>
            <w:pPr>
              <w:jc w:val="center"/>
              <w:ind w:right="23"/>
              <w:spacing w:after="0"/>
              <w:rPr>
                <w:sz w:val="20"/>
                <w:szCs w:val="20"/>
                <w:color w:val="auto"/>
              </w:rPr>
            </w:pPr>
            <w:r>
              <w:rPr>
                <w:rFonts w:ascii="Arial" w:cs="Arial" w:eastAsia="Arial" w:hAnsi="Arial"/>
                <w:sz w:val="11"/>
                <w:szCs w:val="11"/>
                <w:color w:val="auto"/>
              </w:rPr>
              <w:t>10.6#+</w:t>
            </w:r>
          </w:p>
        </w:tc>
        <w:tc>
          <w:tcPr>
            <w:tcW w:w="4520" w:type="dxa"/>
            <w:vAlign w:val="bottom"/>
            <w:tcBorders>
              <w:top w:val="single" w:sz="8" w:color="0000FF"/>
              <w:bottom w:val="single" w:sz="8" w:color="0000FF"/>
            </w:tcBorders>
            <w:gridSpan w:val="16"/>
          </w:tcPr>
          <w:p>
            <w:pPr>
              <w:spacing w:after="0"/>
              <w:rPr>
                <w:rFonts w:ascii="Arial" w:cs="Arial" w:eastAsia="Arial" w:hAnsi="Arial"/>
                <w:sz w:val="11"/>
                <w:szCs w:val="11"/>
                <w:color w:val="0000FF"/>
              </w:rPr>
            </w:pPr>
            <w:hyperlink r:id="rId56">
              <w:r>
                <w:rPr>
                  <w:rFonts w:ascii="Arial" w:cs="Arial" w:eastAsia="Arial" w:hAnsi="Arial"/>
                  <w:sz w:val="11"/>
                  <w:szCs w:val="11"/>
                  <w:color w:val="0000FF"/>
                </w:rPr>
                <w:t>Form of RSU Agreement pursuant to the Mission Produce, Inc. 2020 Incentive Award Plan</w:t>
              </w:r>
            </w:hyperlink>
          </w:p>
        </w:tc>
        <w:tc>
          <w:tcPr>
            <w:tcW w:w="400" w:type="dxa"/>
            <w:vAlign w:val="bottom"/>
            <w:tcBorders>
              <w:top w:val="single" w:sz="8" w:color="0000FF"/>
            </w:tcBorders>
          </w:tcPr>
          <w:p>
            <w:pPr>
              <w:spacing w:after="0"/>
              <w:rPr>
                <w:sz w:val="12"/>
                <w:szCs w:val="12"/>
                <w:color w:val="auto"/>
              </w:rPr>
            </w:pPr>
          </w:p>
        </w:tc>
        <w:tc>
          <w:tcPr>
            <w:tcW w:w="1760" w:type="dxa"/>
            <w:vAlign w:val="bottom"/>
            <w:tcBorders>
              <w:top w:val="single" w:sz="8" w:color="43C0B9"/>
            </w:tcBorders>
            <w:gridSpan w:val="12"/>
          </w:tcPr>
          <w:p>
            <w:pPr>
              <w:spacing w:after="0"/>
              <w:rPr>
                <w:sz w:val="12"/>
                <w:szCs w:val="12"/>
                <w:color w:val="auto"/>
              </w:rPr>
            </w:pPr>
          </w:p>
        </w:tc>
        <w:tc>
          <w:tcPr>
            <w:tcW w:w="540" w:type="dxa"/>
            <w:vAlign w:val="bottom"/>
            <w:tcBorders>
              <w:top w:val="single" w:sz="8" w:color="43C0B9"/>
            </w:tcBorders>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tcBorders>
              <w:top w:val="single" w:sz="8" w:color="43C0B9"/>
            </w:tcBorders>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tcBorders>
              <w:top w:val="single" w:sz="8" w:color="43C0B9"/>
            </w:tcBorders>
          </w:tcPr>
          <w:p>
            <w:pPr>
              <w:jc w:val="center"/>
              <w:ind w:right="123"/>
              <w:spacing w:after="0"/>
              <w:rPr>
                <w:sz w:val="20"/>
                <w:szCs w:val="20"/>
                <w:color w:val="auto"/>
              </w:rPr>
            </w:pPr>
            <w:r>
              <w:rPr>
                <w:rFonts w:ascii="Arial" w:cs="Arial" w:eastAsia="Arial" w:hAnsi="Arial"/>
                <w:sz w:val="11"/>
                <w:szCs w:val="11"/>
                <w:color w:val="auto"/>
              </w:rPr>
              <w:t>10.6</w:t>
            </w:r>
          </w:p>
        </w:tc>
        <w:tc>
          <w:tcPr>
            <w:tcW w:w="960" w:type="dxa"/>
            <w:vAlign w:val="bottom"/>
            <w:tcBorders>
              <w:top w:val="single" w:sz="8" w:color="43C0B9"/>
            </w:tcBorders>
          </w:tcPr>
          <w:p>
            <w:pPr>
              <w:spacing w:after="0"/>
              <w:rPr>
                <w:sz w:val="12"/>
                <w:szCs w:val="12"/>
                <w:color w:val="auto"/>
              </w:rPr>
            </w:pPr>
          </w:p>
        </w:tc>
      </w:tr>
      <w:tr>
        <w:trPr>
          <w:trHeight w:val="156"/>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10.7#</w:t>
            </w:r>
          </w:p>
        </w:tc>
        <w:tc>
          <w:tcPr>
            <w:tcW w:w="5280" w:type="dxa"/>
            <w:vAlign w:val="bottom"/>
            <w:tcBorders>
              <w:bottom w:val="single" w:sz="8" w:color="0000FF"/>
            </w:tcBorders>
            <w:gridSpan w:val="18"/>
            <w:shd w:val="clear" w:color="auto" w:fill="43C0B9"/>
          </w:tcPr>
          <w:p>
            <w:pPr>
              <w:spacing w:after="0"/>
              <w:rPr>
                <w:rFonts w:ascii="Arial" w:cs="Arial" w:eastAsia="Arial" w:hAnsi="Arial"/>
                <w:sz w:val="11"/>
                <w:szCs w:val="11"/>
                <w:color w:val="0000FF"/>
              </w:rPr>
            </w:pPr>
            <w:hyperlink r:id="rId57">
              <w:r>
                <w:rPr>
                  <w:rFonts w:ascii="Arial" w:cs="Arial" w:eastAsia="Arial" w:hAnsi="Arial"/>
                  <w:sz w:val="11"/>
                  <w:szCs w:val="11"/>
                  <w:color w:val="0000FF"/>
                </w:rPr>
                <w:t>Form of Indemnification Agreement between Mission Produce, Inc. and certain of its directors and officers</w:t>
              </w:r>
            </w:hyperlink>
          </w:p>
        </w:tc>
        <w:tc>
          <w:tcPr>
            <w:tcW w:w="1400" w:type="dxa"/>
            <w:vAlign w:val="bottom"/>
            <w:tcBorders>
              <w:bottom w:val="single" w:sz="8" w:color="43C0B9"/>
            </w:tcBorders>
            <w:gridSpan w:val="11"/>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tcBorders>
              <w:bottom w:val="single" w:sz="8" w:color="43C0B9"/>
            </w:tcBorders>
            <w:shd w:val="clear" w:color="auto" w:fill="43C0B9"/>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tcBorders>
              <w:bottom w:val="single" w:sz="8" w:color="43C0B9"/>
            </w:tcBorders>
            <w:shd w:val="clear" w:color="auto" w:fill="43C0B9"/>
          </w:tcPr>
          <w:p>
            <w:pPr>
              <w:jc w:val="center"/>
              <w:ind w:right="123"/>
              <w:spacing w:after="0"/>
              <w:rPr>
                <w:sz w:val="20"/>
                <w:szCs w:val="20"/>
                <w:color w:val="auto"/>
              </w:rPr>
            </w:pPr>
            <w:r>
              <w:rPr>
                <w:rFonts w:ascii="Arial" w:cs="Arial" w:eastAsia="Arial" w:hAnsi="Arial"/>
                <w:sz w:val="11"/>
                <w:szCs w:val="11"/>
                <w:color w:val="auto"/>
              </w:rPr>
              <w:t>10.7</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38"/>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10.8#</w:t>
            </w:r>
          </w:p>
        </w:tc>
        <w:tc>
          <w:tcPr>
            <w:tcW w:w="6680" w:type="dxa"/>
            <w:vAlign w:val="bottom"/>
            <w:gridSpan w:val="29"/>
          </w:tcPr>
          <w:p>
            <w:pPr>
              <w:spacing w:after="0"/>
              <w:rPr>
                <w:rFonts w:ascii="Arial" w:cs="Arial" w:eastAsia="Arial" w:hAnsi="Arial"/>
                <w:sz w:val="11"/>
                <w:szCs w:val="11"/>
                <w:color w:val="0000FF"/>
              </w:rPr>
            </w:pPr>
            <w:hyperlink r:id="rId58">
              <w:r>
                <w:rPr>
                  <w:rFonts w:ascii="Arial" w:cs="Arial" w:eastAsia="Arial" w:hAnsi="Arial"/>
                  <w:sz w:val="11"/>
                  <w:szCs w:val="11"/>
                  <w:color w:val="0000FF"/>
                </w:rPr>
                <w:t>Credit Agreement, dated as of October 11, 2018, by and among Mission Produce, Inc., as Borrower, certain subsidiaries of the</w:t>
              </w:r>
            </w:hyperlink>
          </w:p>
        </w:tc>
        <w:tc>
          <w:tcPr>
            <w:tcW w:w="540" w:type="dxa"/>
            <w:vAlign w:val="bottom"/>
          </w:tcPr>
          <w:p>
            <w:pPr>
              <w:jc w:val="center"/>
              <w:ind w:left="3"/>
              <w:spacing w:after="0"/>
              <w:rPr>
                <w:sz w:val="20"/>
                <w:szCs w:val="20"/>
                <w:color w:val="auto"/>
              </w:rPr>
            </w:pPr>
            <w:r>
              <w:rPr>
                <w:rFonts w:ascii="Arial" w:cs="Arial" w:eastAsia="Arial" w:hAnsi="Arial"/>
                <w:sz w:val="11"/>
                <w:szCs w:val="11"/>
                <w:color w:val="auto"/>
                <w:w w:val="93"/>
              </w:rPr>
              <w:t>S-1</w:t>
            </w:r>
          </w:p>
        </w:tc>
        <w:tc>
          <w:tcPr>
            <w:tcW w:w="1540" w:type="dxa"/>
            <w:vAlign w:val="bottom"/>
          </w:tcPr>
          <w:p>
            <w:pPr>
              <w:jc w:val="center"/>
              <w:ind w:right="83"/>
              <w:spacing w:after="0"/>
              <w:rPr>
                <w:sz w:val="20"/>
                <w:szCs w:val="20"/>
                <w:color w:val="auto"/>
              </w:rPr>
            </w:pPr>
            <w:r>
              <w:rPr>
                <w:rFonts w:ascii="Arial" w:cs="Arial" w:eastAsia="Arial" w:hAnsi="Arial"/>
                <w:sz w:val="11"/>
                <w:szCs w:val="11"/>
                <w:color w:val="auto"/>
              </w:rPr>
              <w:t>9/4/2020</w:t>
            </w:r>
          </w:p>
        </w:tc>
        <w:tc>
          <w:tcPr>
            <w:tcW w:w="640" w:type="dxa"/>
            <w:vAlign w:val="bottom"/>
          </w:tcPr>
          <w:p>
            <w:pPr>
              <w:jc w:val="center"/>
              <w:ind w:right="123"/>
              <w:spacing w:after="0"/>
              <w:rPr>
                <w:sz w:val="20"/>
                <w:szCs w:val="20"/>
                <w:color w:val="auto"/>
              </w:rPr>
            </w:pPr>
            <w:r>
              <w:rPr>
                <w:rFonts w:ascii="Arial" w:cs="Arial" w:eastAsia="Arial" w:hAnsi="Arial"/>
                <w:sz w:val="11"/>
                <w:szCs w:val="11"/>
                <w:color w:val="auto"/>
              </w:rPr>
              <w:t>10.8</w:t>
            </w:r>
          </w:p>
        </w:tc>
        <w:tc>
          <w:tcPr>
            <w:tcW w:w="960" w:type="dxa"/>
            <w:vAlign w:val="bottom"/>
          </w:tcPr>
          <w:p>
            <w:pPr>
              <w:spacing w:after="0"/>
              <w:rPr>
                <w:sz w:val="11"/>
                <w:szCs w:val="1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07"/>
        </w:trPr>
        <w:tc>
          <w:tcPr>
            <w:tcW w:w="880" w:type="dxa"/>
            <w:vAlign w:val="bottom"/>
          </w:tcPr>
          <w:p>
            <w:pPr>
              <w:spacing w:after="0"/>
              <w:rPr>
                <w:sz w:val="9"/>
                <w:szCs w:val="9"/>
                <w:color w:val="auto"/>
              </w:rPr>
            </w:pPr>
          </w:p>
        </w:tc>
        <w:tc>
          <w:tcPr>
            <w:tcW w:w="6680" w:type="dxa"/>
            <w:vAlign w:val="bottom"/>
            <w:gridSpan w:val="29"/>
          </w:tcPr>
          <w:p>
            <w:pPr>
              <w:spacing w:after="0" w:line="107" w:lineRule="exact"/>
              <w:rPr>
                <w:rFonts w:ascii="Arial" w:cs="Arial" w:eastAsia="Arial" w:hAnsi="Arial"/>
                <w:sz w:val="11"/>
                <w:szCs w:val="11"/>
                <w:color w:val="0000FF"/>
              </w:rPr>
            </w:pPr>
            <w:hyperlink r:id="rId58">
              <w:r>
                <w:rPr>
                  <w:rFonts w:ascii="Arial" w:cs="Arial" w:eastAsia="Arial" w:hAnsi="Arial"/>
                  <w:sz w:val="11"/>
                  <w:szCs w:val="11"/>
                  <w:color w:val="0000FF"/>
                </w:rPr>
                <w:t>Borrower party thereto as guarantors, Bank of America, N.A. as administrative agent, Swingline Lender and L/C Issuer, Farm Credit</w:t>
              </w:r>
            </w:hyperlink>
          </w:p>
        </w:tc>
        <w:tc>
          <w:tcPr>
            <w:tcW w:w="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7"/>
        </w:trPr>
        <w:tc>
          <w:tcPr>
            <w:tcW w:w="880" w:type="dxa"/>
            <w:vAlign w:val="bottom"/>
          </w:tcPr>
          <w:p>
            <w:pPr>
              <w:spacing w:after="0"/>
              <w:rPr>
                <w:sz w:val="9"/>
                <w:szCs w:val="9"/>
                <w:color w:val="auto"/>
              </w:rPr>
            </w:pPr>
          </w:p>
        </w:tc>
        <w:tc>
          <w:tcPr>
            <w:tcW w:w="6240" w:type="dxa"/>
            <w:vAlign w:val="bottom"/>
            <w:tcBorders>
              <w:top w:val="single" w:sz="8" w:color="0000FF"/>
              <w:bottom w:val="single" w:sz="8" w:color="0000FF"/>
            </w:tcBorders>
            <w:gridSpan w:val="22"/>
          </w:tcPr>
          <w:p>
            <w:pPr>
              <w:spacing w:after="0" w:line="107" w:lineRule="exact"/>
              <w:rPr>
                <w:rFonts w:ascii="Arial" w:cs="Arial" w:eastAsia="Arial" w:hAnsi="Arial"/>
                <w:sz w:val="11"/>
                <w:szCs w:val="11"/>
                <w:color w:val="0000FF"/>
              </w:rPr>
            </w:pPr>
            <w:hyperlink r:id="rId58">
              <w:r>
                <w:rPr>
                  <w:rFonts w:ascii="Arial" w:cs="Arial" w:eastAsia="Arial" w:hAnsi="Arial"/>
                  <w:sz w:val="11"/>
                  <w:szCs w:val="11"/>
                  <w:color w:val="0000FF"/>
                </w:rPr>
                <w:t>West, PCA as Syndication Agent, City National Bank and J.P. Morgan Chase Bank, N.A. as co-documentation agents, Merrill</w:t>
              </w:r>
            </w:hyperlink>
          </w:p>
        </w:tc>
        <w:tc>
          <w:tcPr>
            <w:tcW w:w="320" w:type="dxa"/>
            <w:vAlign w:val="bottom"/>
            <w:tcBorders>
              <w:top w:val="single" w:sz="8" w:color="0000FF"/>
            </w:tcBorders>
            <w:gridSpan w:val="6"/>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07"/>
        </w:trPr>
        <w:tc>
          <w:tcPr>
            <w:tcW w:w="880" w:type="dxa"/>
            <w:vAlign w:val="bottom"/>
          </w:tcPr>
          <w:p>
            <w:pPr>
              <w:spacing w:after="0"/>
              <w:rPr>
                <w:sz w:val="9"/>
                <w:szCs w:val="9"/>
                <w:color w:val="auto"/>
              </w:rPr>
            </w:pPr>
          </w:p>
        </w:tc>
        <w:tc>
          <w:tcPr>
            <w:tcW w:w="6440" w:type="dxa"/>
            <w:vAlign w:val="bottom"/>
            <w:tcBorders>
              <w:bottom w:val="single" w:sz="8" w:color="0000FF"/>
            </w:tcBorders>
            <w:gridSpan w:val="25"/>
          </w:tcPr>
          <w:p>
            <w:pPr>
              <w:spacing w:after="0" w:line="107" w:lineRule="exact"/>
              <w:rPr>
                <w:rFonts w:ascii="Arial" w:cs="Arial" w:eastAsia="Arial" w:hAnsi="Arial"/>
                <w:sz w:val="11"/>
                <w:szCs w:val="11"/>
                <w:color w:val="0000FF"/>
              </w:rPr>
            </w:pPr>
            <w:hyperlink r:id="rId58">
              <w:r>
                <w:rPr>
                  <w:rFonts w:ascii="Arial" w:cs="Arial" w:eastAsia="Arial" w:hAnsi="Arial"/>
                  <w:sz w:val="11"/>
                  <w:szCs w:val="11"/>
                  <w:color w:val="0000FF"/>
                </w:rPr>
                <w:t>Lynch, Pierce, Fenner &amp; Smith Incorporated and Farm Credit West, PCA as joint lead arrangers and joint bookrunners, and other</w:t>
              </w:r>
            </w:hyperlink>
          </w:p>
        </w:tc>
        <w:tc>
          <w:tcPr>
            <w:tcW w:w="240" w:type="dxa"/>
            <w:vAlign w:val="bottom"/>
            <w:gridSpan w:val="4"/>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13"/>
        </w:trPr>
        <w:tc>
          <w:tcPr>
            <w:tcW w:w="880" w:type="dxa"/>
            <w:vAlign w:val="bottom"/>
          </w:tcPr>
          <w:p>
            <w:pPr>
              <w:spacing w:after="0"/>
              <w:rPr>
                <w:sz w:val="9"/>
                <w:szCs w:val="9"/>
                <w:color w:val="auto"/>
              </w:rPr>
            </w:pPr>
          </w:p>
        </w:tc>
        <w:tc>
          <w:tcPr>
            <w:tcW w:w="1040" w:type="dxa"/>
            <w:vAlign w:val="bottom"/>
            <w:tcBorders>
              <w:bottom w:val="single" w:sz="8" w:color="0000FF"/>
            </w:tcBorders>
            <w:gridSpan w:val="2"/>
          </w:tcPr>
          <w:p>
            <w:pPr>
              <w:spacing w:after="0" w:line="107" w:lineRule="exact"/>
              <w:rPr>
                <w:rFonts w:ascii="Arial" w:cs="Arial" w:eastAsia="Arial" w:hAnsi="Arial"/>
                <w:sz w:val="11"/>
                <w:szCs w:val="11"/>
                <w:color w:val="0000FF"/>
              </w:rPr>
            </w:pPr>
            <w:hyperlink r:id="rId58">
              <w:r>
                <w:rPr>
                  <w:rFonts w:ascii="Arial" w:cs="Arial" w:eastAsia="Arial" w:hAnsi="Arial"/>
                  <w:sz w:val="11"/>
                  <w:szCs w:val="11"/>
                  <w:color w:val="0000FF"/>
                </w:rPr>
                <w:t>lenders party thereto</w:t>
              </w:r>
            </w:hyperlink>
          </w:p>
        </w:tc>
        <w:tc>
          <w:tcPr>
            <w:tcW w:w="5640" w:type="dxa"/>
            <w:vAlign w:val="bottom"/>
            <w:gridSpan w:val="27"/>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44"/>
        </w:trPr>
        <w:tc>
          <w:tcPr>
            <w:tcW w:w="880" w:type="dxa"/>
            <w:vAlign w:val="bottom"/>
            <w:shd w:val="clear" w:color="auto" w:fill="43C0B9"/>
          </w:tcPr>
          <w:p>
            <w:pPr>
              <w:jc w:val="center"/>
              <w:ind w:right="23"/>
              <w:spacing w:after="0"/>
              <w:rPr>
                <w:sz w:val="20"/>
                <w:szCs w:val="20"/>
                <w:color w:val="auto"/>
              </w:rPr>
            </w:pPr>
            <w:r>
              <w:rPr>
                <w:rFonts w:ascii="Arial" w:cs="Arial" w:eastAsia="Arial" w:hAnsi="Arial"/>
                <w:sz w:val="11"/>
                <w:szCs w:val="11"/>
                <w:color w:val="auto"/>
              </w:rPr>
              <w:t>10.9#</w:t>
            </w:r>
          </w:p>
        </w:tc>
        <w:tc>
          <w:tcPr>
            <w:tcW w:w="6680" w:type="dxa"/>
            <w:vAlign w:val="bottom"/>
            <w:gridSpan w:val="29"/>
            <w:shd w:val="clear" w:color="auto" w:fill="43C0B9"/>
          </w:tcPr>
          <w:p>
            <w:pPr>
              <w:spacing w:after="0"/>
              <w:rPr>
                <w:rFonts w:ascii="Arial" w:cs="Arial" w:eastAsia="Arial" w:hAnsi="Arial"/>
                <w:sz w:val="11"/>
                <w:szCs w:val="11"/>
                <w:color w:val="0000FF"/>
              </w:rPr>
            </w:pPr>
            <w:hyperlink r:id="rId59">
              <w:r>
                <w:rPr>
                  <w:rFonts w:ascii="Arial" w:cs="Arial" w:eastAsia="Arial" w:hAnsi="Arial"/>
                  <w:sz w:val="11"/>
                  <w:szCs w:val="11"/>
                  <w:color w:val="0000FF"/>
                </w:rPr>
                <w:t>First Amendment to Credit Agreement and Consent, dated September 18, 2020, by and among Mission Produce, Inc., as Borrower,</w:t>
              </w:r>
            </w:hyperlink>
          </w:p>
        </w:tc>
        <w:tc>
          <w:tcPr>
            <w:tcW w:w="540" w:type="dxa"/>
            <w:vAlign w:val="bottom"/>
            <w:shd w:val="clear" w:color="auto" w:fill="43C0B9"/>
          </w:tcPr>
          <w:p>
            <w:pPr>
              <w:jc w:val="center"/>
              <w:ind w:left="3"/>
              <w:spacing w:after="0"/>
              <w:rPr>
                <w:sz w:val="20"/>
                <w:szCs w:val="20"/>
                <w:color w:val="auto"/>
              </w:rPr>
            </w:pPr>
            <w:r>
              <w:rPr>
                <w:rFonts w:ascii="Arial" w:cs="Arial" w:eastAsia="Arial" w:hAnsi="Arial"/>
                <w:sz w:val="11"/>
                <w:szCs w:val="11"/>
                <w:color w:val="auto"/>
              </w:rPr>
              <w:t>S-1/A</w:t>
            </w:r>
          </w:p>
        </w:tc>
        <w:tc>
          <w:tcPr>
            <w:tcW w:w="1540" w:type="dxa"/>
            <w:vAlign w:val="bottom"/>
            <w:shd w:val="clear" w:color="auto" w:fill="43C0B9"/>
          </w:tcPr>
          <w:p>
            <w:pPr>
              <w:jc w:val="center"/>
              <w:ind w:right="63"/>
              <w:spacing w:after="0"/>
              <w:rPr>
                <w:sz w:val="20"/>
                <w:szCs w:val="20"/>
                <w:color w:val="auto"/>
              </w:rPr>
            </w:pPr>
            <w:r>
              <w:rPr>
                <w:rFonts w:ascii="Arial" w:cs="Arial" w:eastAsia="Arial" w:hAnsi="Arial"/>
                <w:sz w:val="11"/>
                <w:szCs w:val="11"/>
                <w:color w:val="auto"/>
              </w:rPr>
              <w:t>9/22/2020</w:t>
            </w:r>
          </w:p>
        </w:tc>
        <w:tc>
          <w:tcPr>
            <w:tcW w:w="640" w:type="dxa"/>
            <w:vAlign w:val="bottom"/>
            <w:shd w:val="clear" w:color="auto" w:fill="43C0B9"/>
          </w:tcPr>
          <w:p>
            <w:pPr>
              <w:jc w:val="center"/>
              <w:ind w:right="123"/>
              <w:spacing w:after="0"/>
              <w:rPr>
                <w:sz w:val="20"/>
                <w:szCs w:val="20"/>
                <w:color w:val="auto"/>
              </w:rPr>
            </w:pPr>
            <w:r>
              <w:rPr>
                <w:rFonts w:ascii="Arial" w:cs="Arial" w:eastAsia="Arial" w:hAnsi="Arial"/>
                <w:sz w:val="11"/>
                <w:szCs w:val="11"/>
                <w:color w:val="auto"/>
              </w:rPr>
              <w:t>10.9</w:t>
            </w:r>
          </w:p>
        </w:tc>
        <w:tc>
          <w:tcPr>
            <w:tcW w:w="960" w:type="dxa"/>
            <w:vAlign w:val="bottom"/>
            <w:shd w:val="clear" w:color="auto" w:fill="43C0B9"/>
          </w:tcPr>
          <w:p>
            <w:pPr>
              <w:spacing w:after="0"/>
              <w:rPr>
                <w:sz w:val="12"/>
                <w:szCs w:val="12"/>
                <w:color w:val="auto"/>
              </w:rPr>
            </w:pPr>
          </w:p>
        </w:tc>
      </w:tr>
      <w:tr>
        <w:trPr>
          <w:trHeight w:val="107"/>
        </w:trPr>
        <w:tc>
          <w:tcPr>
            <w:tcW w:w="880" w:type="dxa"/>
            <w:vAlign w:val="bottom"/>
            <w:tcBorders>
              <w:top w:val="single" w:sz="8" w:color="43C0B9"/>
              <w:bottom w:val="single" w:sz="8" w:color="43C0B9"/>
            </w:tcBorders>
            <w:shd w:val="clear" w:color="auto" w:fill="43C0B9"/>
          </w:tcPr>
          <w:p>
            <w:pPr>
              <w:spacing w:after="0"/>
              <w:rPr>
                <w:sz w:val="9"/>
                <w:szCs w:val="9"/>
                <w:color w:val="auto"/>
              </w:rPr>
            </w:pPr>
          </w:p>
        </w:tc>
        <w:tc>
          <w:tcPr>
            <w:tcW w:w="6460" w:type="dxa"/>
            <w:vAlign w:val="bottom"/>
            <w:tcBorders>
              <w:top w:val="single" w:sz="8" w:color="0000FF"/>
              <w:bottom w:val="single" w:sz="8" w:color="0000FF"/>
            </w:tcBorders>
            <w:gridSpan w:val="26"/>
            <w:shd w:val="clear" w:color="auto" w:fill="43C0B9"/>
          </w:tcPr>
          <w:p>
            <w:pPr>
              <w:spacing w:after="0" w:line="107" w:lineRule="exact"/>
              <w:rPr>
                <w:rFonts w:ascii="Arial" w:cs="Arial" w:eastAsia="Arial" w:hAnsi="Arial"/>
                <w:sz w:val="11"/>
                <w:szCs w:val="11"/>
                <w:color w:val="0000FF"/>
              </w:rPr>
            </w:pPr>
            <w:hyperlink r:id="rId59">
              <w:r>
                <w:rPr>
                  <w:rFonts w:ascii="Arial" w:cs="Arial" w:eastAsia="Arial" w:hAnsi="Arial"/>
                  <w:sz w:val="11"/>
                  <w:szCs w:val="11"/>
                  <w:color w:val="0000FF"/>
                </w:rPr>
                <w:t>certain subsidiaries of the Borrower party thereto as guarantors, Bank of America, N.A. as administrative agent, Swingline Lender</w:t>
              </w:r>
            </w:hyperlink>
          </w:p>
        </w:tc>
        <w:tc>
          <w:tcPr>
            <w:tcW w:w="100" w:type="dxa"/>
            <w:vAlign w:val="bottom"/>
            <w:tcBorders>
              <w:top w:val="single" w:sz="8" w:color="0000FF"/>
              <w:bottom w:val="single" w:sz="8" w:color="43C0B9"/>
            </w:tcBorders>
            <w:gridSpan w:val="2"/>
            <w:shd w:val="clear" w:color="auto" w:fill="43C0B9"/>
          </w:tcPr>
          <w:p>
            <w:pPr>
              <w:spacing w:after="0"/>
              <w:rPr>
                <w:sz w:val="9"/>
                <w:szCs w:val="9"/>
                <w:color w:val="auto"/>
              </w:rPr>
            </w:pPr>
          </w:p>
        </w:tc>
        <w:tc>
          <w:tcPr>
            <w:tcW w:w="120" w:type="dxa"/>
            <w:vAlign w:val="bottom"/>
            <w:tcBorders>
              <w:top w:val="single" w:sz="8" w:color="43C0B9"/>
              <w:bottom w:val="single" w:sz="8" w:color="43C0B9"/>
            </w:tcBorders>
            <w:shd w:val="clear" w:color="auto" w:fill="43C0B9"/>
          </w:tcPr>
          <w:p>
            <w:pPr>
              <w:spacing w:after="0"/>
              <w:rPr>
                <w:sz w:val="9"/>
                <w:szCs w:val="9"/>
                <w:color w:val="auto"/>
              </w:rPr>
            </w:pPr>
          </w:p>
        </w:tc>
        <w:tc>
          <w:tcPr>
            <w:tcW w:w="540" w:type="dxa"/>
            <w:vAlign w:val="bottom"/>
            <w:tcBorders>
              <w:top w:val="single" w:sz="8" w:color="43C0B9"/>
              <w:bottom w:val="single" w:sz="8" w:color="43C0B9"/>
            </w:tcBorders>
            <w:shd w:val="clear" w:color="auto" w:fill="43C0B9"/>
          </w:tcPr>
          <w:p>
            <w:pPr>
              <w:spacing w:after="0"/>
              <w:rPr>
                <w:sz w:val="9"/>
                <w:szCs w:val="9"/>
                <w:color w:val="auto"/>
              </w:rPr>
            </w:pPr>
          </w:p>
        </w:tc>
        <w:tc>
          <w:tcPr>
            <w:tcW w:w="1540" w:type="dxa"/>
            <w:vAlign w:val="bottom"/>
            <w:tcBorders>
              <w:top w:val="single" w:sz="8" w:color="43C0B9"/>
              <w:bottom w:val="single" w:sz="8" w:color="43C0B9"/>
            </w:tcBorders>
            <w:shd w:val="clear" w:color="auto" w:fill="43C0B9"/>
          </w:tcPr>
          <w:p>
            <w:pPr>
              <w:spacing w:after="0"/>
              <w:rPr>
                <w:sz w:val="9"/>
                <w:szCs w:val="9"/>
                <w:color w:val="auto"/>
              </w:rPr>
            </w:pPr>
          </w:p>
        </w:tc>
        <w:tc>
          <w:tcPr>
            <w:tcW w:w="640" w:type="dxa"/>
            <w:vAlign w:val="bottom"/>
            <w:tcBorders>
              <w:top w:val="single" w:sz="8" w:color="43C0B9"/>
              <w:bottom w:val="single" w:sz="8" w:color="43C0B9"/>
            </w:tcBorders>
            <w:shd w:val="clear" w:color="auto" w:fill="43C0B9"/>
          </w:tcPr>
          <w:p>
            <w:pPr>
              <w:spacing w:after="0"/>
              <w:rPr>
                <w:sz w:val="9"/>
                <w:szCs w:val="9"/>
                <w:color w:val="auto"/>
              </w:rPr>
            </w:pPr>
          </w:p>
        </w:tc>
        <w:tc>
          <w:tcPr>
            <w:tcW w:w="960" w:type="dxa"/>
            <w:vAlign w:val="bottom"/>
            <w:tcBorders>
              <w:top w:val="single" w:sz="8" w:color="43C0B9"/>
              <w:bottom w:val="single" w:sz="8" w:color="43C0B9"/>
            </w:tcBorders>
            <w:shd w:val="clear" w:color="auto" w:fill="43C0B9"/>
          </w:tcPr>
          <w:p>
            <w:pPr>
              <w:spacing w:after="0"/>
              <w:rPr>
                <w:sz w:val="9"/>
                <w:szCs w:val="9"/>
                <w:color w:val="auto"/>
              </w:rPr>
            </w:pPr>
          </w:p>
        </w:tc>
      </w:tr>
      <w:tr>
        <w:trPr>
          <w:trHeight w:val="107"/>
        </w:trPr>
        <w:tc>
          <w:tcPr>
            <w:tcW w:w="880" w:type="dxa"/>
            <w:vAlign w:val="bottom"/>
            <w:tcBorders>
              <w:bottom w:val="single" w:sz="8" w:color="43C0B9"/>
            </w:tcBorders>
            <w:shd w:val="clear" w:color="auto" w:fill="43C0B9"/>
          </w:tcPr>
          <w:p>
            <w:pPr>
              <w:spacing w:after="0"/>
              <w:rPr>
                <w:sz w:val="9"/>
                <w:szCs w:val="9"/>
                <w:color w:val="auto"/>
              </w:rPr>
            </w:pPr>
          </w:p>
        </w:tc>
        <w:tc>
          <w:tcPr>
            <w:tcW w:w="6180" w:type="dxa"/>
            <w:vAlign w:val="bottom"/>
            <w:tcBorders>
              <w:bottom w:val="single" w:sz="8" w:color="0000FF"/>
            </w:tcBorders>
            <w:gridSpan w:val="21"/>
            <w:shd w:val="clear" w:color="auto" w:fill="43C0B9"/>
          </w:tcPr>
          <w:p>
            <w:pPr>
              <w:spacing w:after="0" w:line="107" w:lineRule="exact"/>
              <w:rPr>
                <w:rFonts w:ascii="Arial" w:cs="Arial" w:eastAsia="Arial" w:hAnsi="Arial"/>
                <w:sz w:val="11"/>
                <w:szCs w:val="11"/>
                <w:color w:val="0000FF"/>
              </w:rPr>
            </w:pPr>
            <w:hyperlink r:id="rId59">
              <w:r>
                <w:rPr>
                  <w:rFonts w:ascii="Arial" w:cs="Arial" w:eastAsia="Arial" w:hAnsi="Arial"/>
                  <w:sz w:val="11"/>
                  <w:szCs w:val="11"/>
                  <w:color w:val="0000FF"/>
                </w:rPr>
                <w:t>and L/C Issuer, Farm Credit West, PCA as Syndication Agent, City National Bank and J.P. Morgan Chase Bank, N.A. as co-</w:t>
              </w:r>
            </w:hyperlink>
          </w:p>
        </w:tc>
        <w:tc>
          <w:tcPr>
            <w:tcW w:w="500" w:type="dxa"/>
            <w:vAlign w:val="bottom"/>
            <w:tcBorders>
              <w:bottom w:val="single" w:sz="8" w:color="43C0B9"/>
            </w:tcBorders>
            <w:gridSpan w:val="8"/>
            <w:shd w:val="clear" w:color="auto" w:fill="43C0B9"/>
          </w:tcPr>
          <w:p>
            <w:pPr>
              <w:spacing w:after="0"/>
              <w:rPr>
                <w:sz w:val="9"/>
                <w:szCs w:val="9"/>
                <w:color w:val="auto"/>
              </w:rPr>
            </w:pPr>
          </w:p>
        </w:tc>
        <w:tc>
          <w:tcPr>
            <w:tcW w:w="540" w:type="dxa"/>
            <w:vAlign w:val="bottom"/>
            <w:tcBorders>
              <w:bottom w:val="single" w:sz="8" w:color="43C0B9"/>
            </w:tcBorders>
            <w:shd w:val="clear" w:color="auto" w:fill="43C0B9"/>
          </w:tcPr>
          <w:p>
            <w:pPr>
              <w:spacing w:after="0"/>
              <w:rPr>
                <w:sz w:val="9"/>
                <w:szCs w:val="9"/>
                <w:color w:val="auto"/>
              </w:rPr>
            </w:pPr>
          </w:p>
        </w:tc>
        <w:tc>
          <w:tcPr>
            <w:tcW w:w="1540" w:type="dxa"/>
            <w:vAlign w:val="bottom"/>
            <w:tcBorders>
              <w:bottom w:val="single" w:sz="8" w:color="43C0B9"/>
            </w:tcBorders>
            <w:shd w:val="clear" w:color="auto" w:fill="43C0B9"/>
          </w:tcPr>
          <w:p>
            <w:pPr>
              <w:spacing w:after="0"/>
              <w:rPr>
                <w:sz w:val="9"/>
                <w:szCs w:val="9"/>
                <w:color w:val="auto"/>
              </w:rPr>
            </w:pPr>
          </w:p>
        </w:tc>
        <w:tc>
          <w:tcPr>
            <w:tcW w:w="640" w:type="dxa"/>
            <w:vAlign w:val="bottom"/>
            <w:tcBorders>
              <w:bottom w:val="single" w:sz="8" w:color="43C0B9"/>
            </w:tcBorders>
            <w:shd w:val="clear" w:color="auto" w:fill="43C0B9"/>
          </w:tcPr>
          <w:p>
            <w:pPr>
              <w:spacing w:after="0"/>
              <w:rPr>
                <w:sz w:val="9"/>
                <w:szCs w:val="9"/>
                <w:color w:val="auto"/>
              </w:rPr>
            </w:pPr>
          </w:p>
        </w:tc>
        <w:tc>
          <w:tcPr>
            <w:tcW w:w="960" w:type="dxa"/>
            <w:vAlign w:val="bottom"/>
            <w:tcBorders>
              <w:bottom w:val="single" w:sz="8" w:color="43C0B9"/>
            </w:tcBorders>
            <w:shd w:val="clear" w:color="auto" w:fill="43C0B9"/>
          </w:tcPr>
          <w:p>
            <w:pPr>
              <w:spacing w:after="0"/>
              <w:rPr>
                <w:sz w:val="9"/>
                <w:szCs w:val="9"/>
                <w:color w:val="auto"/>
              </w:rPr>
            </w:pPr>
          </w:p>
        </w:tc>
      </w:tr>
      <w:tr>
        <w:trPr>
          <w:trHeight w:val="107"/>
        </w:trPr>
        <w:tc>
          <w:tcPr>
            <w:tcW w:w="880" w:type="dxa"/>
            <w:vAlign w:val="bottom"/>
            <w:shd w:val="clear" w:color="auto" w:fill="43C0B9"/>
          </w:tcPr>
          <w:p>
            <w:pPr>
              <w:spacing w:after="0"/>
              <w:rPr>
                <w:sz w:val="9"/>
                <w:szCs w:val="9"/>
                <w:color w:val="auto"/>
              </w:rPr>
            </w:pPr>
          </w:p>
        </w:tc>
        <w:tc>
          <w:tcPr>
            <w:tcW w:w="6680" w:type="dxa"/>
            <w:vAlign w:val="bottom"/>
            <w:gridSpan w:val="29"/>
            <w:shd w:val="clear" w:color="auto" w:fill="43C0B9"/>
          </w:tcPr>
          <w:p>
            <w:pPr>
              <w:spacing w:after="0" w:line="107" w:lineRule="exact"/>
              <w:rPr>
                <w:rFonts w:ascii="Arial" w:cs="Arial" w:eastAsia="Arial" w:hAnsi="Arial"/>
                <w:sz w:val="11"/>
                <w:szCs w:val="11"/>
                <w:color w:val="0000FF"/>
              </w:rPr>
            </w:pPr>
            <w:hyperlink r:id="rId59">
              <w:r>
                <w:rPr>
                  <w:rFonts w:ascii="Arial" w:cs="Arial" w:eastAsia="Arial" w:hAnsi="Arial"/>
                  <w:sz w:val="11"/>
                  <w:szCs w:val="11"/>
                  <w:color w:val="0000FF"/>
                </w:rPr>
                <w:t>documentation agents, Merrill Lynch, Pierce, Fenner &amp; Smith Incorporated and Farm Credit West, PCA as joint lead arrangers and</w:t>
              </w:r>
            </w:hyperlink>
          </w:p>
        </w:tc>
        <w:tc>
          <w:tcPr>
            <w:tcW w:w="540" w:type="dxa"/>
            <w:vAlign w:val="bottom"/>
            <w:shd w:val="clear" w:color="auto" w:fill="43C0B9"/>
          </w:tcPr>
          <w:p>
            <w:pPr>
              <w:spacing w:after="0"/>
              <w:rPr>
                <w:sz w:val="9"/>
                <w:szCs w:val="9"/>
                <w:color w:val="auto"/>
              </w:rPr>
            </w:pPr>
          </w:p>
        </w:tc>
        <w:tc>
          <w:tcPr>
            <w:tcW w:w="1540" w:type="dxa"/>
            <w:vAlign w:val="bottom"/>
            <w:shd w:val="clear" w:color="auto" w:fill="43C0B9"/>
          </w:tcPr>
          <w:p>
            <w:pPr>
              <w:spacing w:after="0"/>
              <w:rPr>
                <w:sz w:val="9"/>
                <w:szCs w:val="9"/>
                <w:color w:val="auto"/>
              </w:rPr>
            </w:pPr>
          </w:p>
        </w:tc>
        <w:tc>
          <w:tcPr>
            <w:tcW w:w="640" w:type="dxa"/>
            <w:vAlign w:val="bottom"/>
            <w:shd w:val="clear" w:color="auto" w:fill="43C0B9"/>
          </w:tcPr>
          <w:p>
            <w:pPr>
              <w:spacing w:after="0"/>
              <w:rPr>
                <w:sz w:val="9"/>
                <w:szCs w:val="9"/>
                <w:color w:val="auto"/>
              </w:rPr>
            </w:pPr>
          </w:p>
        </w:tc>
        <w:tc>
          <w:tcPr>
            <w:tcW w:w="960" w:type="dxa"/>
            <w:vAlign w:val="bottom"/>
            <w:shd w:val="clear" w:color="auto" w:fill="43C0B9"/>
          </w:tcPr>
          <w:p>
            <w:pPr>
              <w:spacing w:after="0"/>
              <w:rPr>
                <w:sz w:val="9"/>
                <w:szCs w:val="9"/>
                <w:color w:val="auto"/>
              </w:rPr>
            </w:pPr>
          </w:p>
        </w:tc>
      </w:tr>
      <w:tr>
        <w:trPr>
          <w:trHeight w:val="119"/>
        </w:trPr>
        <w:tc>
          <w:tcPr>
            <w:tcW w:w="880" w:type="dxa"/>
            <w:vAlign w:val="bottom"/>
            <w:tcBorders>
              <w:top w:val="single" w:sz="8" w:color="43C0B9"/>
              <w:bottom w:val="single" w:sz="8" w:color="43C0B9"/>
            </w:tcBorders>
            <w:shd w:val="clear" w:color="auto" w:fill="43C0B9"/>
          </w:tcPr>
          <w:p>
            <w:pPr>
              <w:spacing w:after="0"/>
              <w:rPr>
                <w:sz w:val="10"/>
                <w:szCs w:val="10"/>
                <w:color w:val="auto"/>
              </w:rPr>
            </w:pPr>
          </w:p>
        </w:tc>
        <w:tc>
          <w:tcPr>
            <w:tcW w:w="2480" w:type="dxa"/>
            <w:vAlign w:val="bottom"/>
            <w:tcBorders>
              <w:top w:val="single" w:sz="8" w:color="0000FF"/>
              <w:bottom w:val="single" w:sz="8" w:color="0000FF"/>
            </w:tcBorders>
            <w:gridSpan w:val="12"/>
            <w:shd w:val="clear" w:color="auto" w:fill="43C0B9"/>
          </w:tcPr>
          <w:p>
            <w:pPr>
              <w:spacing w:after="0" w:line="107" w:lineRule="exact"/>
              <w:rPr>
                <w:rFonts w:ascii="Arial" w:cs="Arial" w:eastAsia="Arial" w:hAnsi="Arial"/>
                <w:sz w:val="11"/>
                <w:szCs w:val="11"/>
                <w:color w:val="0000FF"/>
              </w:rPr>
            </w:pPr>
            <w:hyperlink r:id="rId59">
              <w:r>
                <w:rPr>
                  <w:rFonts w:ascii="Arial" w:cs="Arial" w:eastAsia="Arial" w:hAnsi="Arial"/>
                  <w:sz w:val="11"/>
                  <w:szCs w:val="11"/>
                  <w:color w:val="0000FF"/>
                </w:rPr>
                <w:t>joint bookrunners, and other lenders party thereto</w:t>
              </w:r>
            </w:hyperlink>
          </w:p>
        </w:tc>
        <w:tc>
          <w:tcPr>
            <w:tcW w:w="4020" w:type="dxa"/>
            <w:vAlign w:val="bottom"/>
            <w:tcBorders>
              <w:top w:val="single" w:sz="8" w:color="0000FF"/>
              <w:bottom w:val="single" w:sz="8" w:color="43C0B9"/>
            </w:tcBorders>
            <w:gridSpan w:val="15"/>
            <w:shd w:val="clear" w:color="auto" w:fill="43C0B9"/>
          </w:tcPr>
          <w:p>
            <w:pPr>
              <w:spacing w:after="0"/>
              <w:rPr>
                <w:sz w:val="10"/>
                <w:szCs w:val="10"/>
                <w:color w:val="auto"/>
              </w:rPr>
            </w:pPr>
          </w:p>
        </w:tc>
        <w:tc>
          <w:tcPr>
            <w:tcW w:w="180" w:type="dxa"/>
            <w:vAlign w:val="bottom"/>
            <w:tcBorders>
              <w:top w:val="single" w:sz="8" w:color="43C0B9"/>
              <w:bottom w:val="single" w:sz="8" w:color="43C0B9"/>
            </w:tcBorders>
            <w:gridSpan w:val="2"/>
            <w:shd w:val="clear" w:color="auto" w:fill="43C0B9"/>
          </w:tcPr>
          <w:p>
            <w:pPr>
              <w:spacing w:after="0"/>
              <w:rPr>
                <w:sz w:val="10"/>
                <w:szCs w:val="10"/>
                <w:color w:val="auto"/>
              </w:rPr>
            </w:pPr>
          </w:p>
        </w:tc>
        <w:tc>
          <w:tcPr>
            <w:tcW w:w="540" w:type="dxa"/>
            <w:vAlign w:val="bottom"/>
            <w:tcBorders>
              <w:top w:val="single" w:sz="8" w:color="43C0B9"/>
              <w:bottom w:val="single" w:sz="8" w:color="43C0B9"/>
            </w:tcBorders>
            <w:shd w:val="clear" w:color="auto" w:fill="43C0B9"/>
          </w:tcPr>
          <w:p>
            <w:pPr>
              <w:spacing w:after="0"/>
              <w:rPr>
                <w:sz w:val="10"/>
                <w:szCs w:val="10"/>
                <w:color w:val="auto"/>
              </w:rPr>
            </w:pPr>
          </w:p>
        </w:tc>
        <w:tc>
          <w:tcPr>
            <w:tcW w:w="1540" w:type="dxa"/>
            <w:vAlign w:val="bottom"/>
            <w:tcBorders>
              <w:top w:val="single" w:sz="8" w:color="43C0B9"/>
              <w:bottom w:val="single" w:sz="8" w:color="43C0B9"/>
            </w:tcBorders>
            <w:shd w:val="clear" w:color="auto" w:fill="43C0B9"/>
          </w:tcPr>
          <w:p>
            <w:pPr>
              <w:spacing w:after="0"/>
              <w:rPr>
                <w:sz w:val="10"/>
                <w:szCs w:val="10"/>
                <w:color w:val="auto"/>
              </w:rPr>
            </w:pPr>
          </w:p>
        </w:tc>
        <w:tc>
          <w:tcPr>
            <w:tcW w:w="640" w:type="dxa"/>
            <w:vAlign w:val="bottom"/>
            <w:tcBorders>
              <w:top w:val="single" w:sz="8" w:color="43C0B9"/>
              <w:bottom w:val="single" w:sz="8" w:color="43C0B9"/>
            </w:tcBorders>
            <w:shd w:val="clear" w:color="auto" w:fill="43C0B9"/>
          </w:tcPr>
          <w:p>
            <w:pPr>
              <w:spacing w:after="0"/>
              <w:rPr>
                <w:sz w:val="10"/>
                <w:szCs w:val="10"/>
                <w:color w:val="auto"/>
              </w:rPr>
            </w:pPr>
          </w:p>
        </w:tc>
        <w:tc>
          <w:tcPr>
            <w:tcW w:w="960" w:type="dxa"/>
            <w:vAlign w:val="bottom"/>
            <w:tcBorders>
              <w:top w:val="single" w:sz="8" w:color="43C0B9"/>
              <w:bottom w:val="single" w:sz="8" w:color="43C0B9"/>
            </w:tcBorders>
            <w:shd w:val="clear" w:color="auto" w:fill="43C0B9"/>
          </w:tcPr>
          <w:p>
            <w:pPr>
              <w:spacing w:after="0"/>
              <w:rPr>
                <w:sz w:val="10"/>
                <w:szCs w:val="10"/>
                <w:color w:val="auto"/>
              </w:rPr>
            </w:pPr>
          </w:p>
        </w:tc>
      </w:tr>
      <w:tr>
        <w:trPr>
          <w:trHeight w:val="144"/>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10.10#</w:t>
            </w:r>
          </w:p>
        </w:tc>
        <w:tc>
          <w:tcPr>
            <w:tcW w:w="6400" w:type="dxa"/>
            <w:vAlign w:val="bottom"/>
            <w:tcBorders>
              <w:bottom w:val="single" w:sz="8" w:color="0000FF"/>
            </w:tcBorders>
            <w:gridSpan w:val="24"/>
          </w:tcPr>
          <w:p>
            <w:pPr>
              <w:spacing w:after="0"/>
              <w:rPr>
                <w:rFonts w:ascii="Arial" w:cs="Arial" w:eastAsia="Arial" w:hAnsi="Arial"/>
                <w:sz w:val="11"/>
                <w:szCs w:val="11"/>
                <w:color w:val="0000FF"/>
              </w:rPr>
            </w:pPr>
            <w:hyperlink r:id="rId60">
              <w:r>
                <w:rPr>
                  <w:rFonts w:ascii="Arial" w:cs="Arial" w:eastAsia="Arial" w:hAnsi="Arial"/>
                  <w:sz w:val="11"/>
                  <w:szCs w:val="11"/>
                  <w:color w:val="0000FF"/>
                </w:rPr>
                <w:t>Form of Amended and Restated Stockholder Agreement, by and among Mission Produce, Inc. and the stockholder party thereto</w:t>
              </w:r>
            </w:hyperlink>
          </w:p>
        </w:tc>
        <w:tc>
          <w:tcPr>
            <w:tcW w:w="280" w:type="dxa"/>
            <w:vAlign w:val="bottom"/>
            <w:gridSpan w:val="5"/>
          </w:tcPr>
          <w:p>
            <w:pPr>
              <w:spacing w:after="0"/>
              <w:rPr>
                <w:sz w:val="12"/>
                <w:szCs w:val="12"/>
                <w:color w:val="auto"/>
              </w:rPr>
            </w:pPr>
          </w:p>
        </w:tc>
        <w:tc>
          <w:tcPr>
            <w:tcW w:w="540" w:type="dxa"/>
            <w:vAlign w:val="bottom"/>
          </w:tcPr>
          <w:p>
            <w:pPr>
              <w:jc w:val="center"/>
              <w:ind w:left="3"/>
              <w:spacing w:after="0"/>
              <w:rPr>
                <w:sz w:val="20"/>
                <w:szCs w:val="20"/>
                <w:color w:val="auto"/>
              </w:rPr>
            </w:pPr>
            <w:r>
              <w:rPr>
                <w:rFonts w:ascii="Arial" w:cs="Arial" w:eastAsia="Arial" w:hAnsi="Arial"/>
                <w:sz w:val="11"/>
                <w:szCs w:val="11"/>
                <w:color w:val="auto"/>
              </w:rPr>
              <w:t>S-1/A</w:t>
            </w:r>
          </w:p>
        </w:tc>
        <w:tc>
          <w:tcPr>
            <w:tcW w:w="1540" w:type="dxa"/>
            <w:vAlign w:val="bottom"/>
          </w:tcPr>
          <w:p>
            <w:pPr>
              <w:jc w:val="center"/>
              <w:ind w:right="63"/>
              <w:spacing w:after="0"/>
              <w:rPr>
                <w:sz w:val="20"/>
                <w:szCs w:val="20"/>
                <w:color w:val="auto"/>
              </w:rPr>
            </w:pPr>
            <w:r>
              <w:rPr>
                <w:rFonts w:ascii="Arial" w:cs="Arial" w:eastAsia="Arial" w:hAnsi="Arial"/>
                <w:sz w:val="11"/>
                <w:szCs w:val="11"/>
                <w:color w:val="auto"/>
              </w:rPr>
              <w:t>9/22/2020</w:t>
            </w:r>
          </w:p>
        </w:tc>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10.10</w:t>
            </w:r>
          </w:p>
        </w:tc>
        <w:tc>
          <w:tcPr>
            <w:tcW w:w="960" w:type="dxa"/>
            <w:vAlign w:val="bottom"/>
          </w:tcPr>
          <w:p>
            <w:pPr>
              <w:spacing w:after="0"/>
              <w:rPr>
                <w:sz w:val="12"/>
                <w:szCs w:val="12"/>
                <w:color w:val="auto"/>
              </w:rPr>
            </w:pPr>
          </w:p>
        </w:tc>
      </w:tr>
      <w:tr>
        <w:trPr>
          <w:trHeight w:val="156"/>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10.11#</w:t>
            </w:r>
          </w:p>
        </w:tc>
        <w:tc>
          <w:tcPr>
            <w:tcW w:w="900" w:type="dxa"/>
            <w:vAlign w:val="bottom"/>
            <w:tcBorders>
              <w:bottom w:val="single" w:sz="8" w:color="0000FF"/>
            </w:tcBorders>
            <w:shd w:val="clear" w:color="auto" w:fill="43C0B9"/>
          </w:tcPr>
          <w:p>
            <w:pPr>
              <w:spacing w:after="0"/>
              <w:rPr>
                <w:rFonts w:ascii="Arial" w:cs="Arial" w:eastAsia="Arial" w:hAnsi="Arial"/>
                <w:sz w:val="11"/>
                <w:szCs w:val="11"/>
                <w:color w:val="0000FF"/>
              </w:rPr>
            </w:pPr>
            <w:hyperlink r:id="rId61">
              <w:r>
                <w:rPr>
                  <w:rFonts w:ascii="Arial" w:cs="Arial" w:eastAsia="Arial" w:hAnsi="Arial"/>
                  <w:sz w:val="11"/>
                  <w:szCs w:val="11"/>
                  <w:color w:val="0000FF"/>
                </w:rPr>
                <w:t>Lease Agreement</w:t>
              </w:r>
            </w:hyperlink>
          </w:p>
        </w:tc>
        <w:tc>
          <w:tcPr>
            <w:tcW w:w="5780" w:type="dxa"/>
            <w:vAlign w:val="bottom"/>
            <w:tcBorders>
              <w:bottom w:val="single" w:sz="8" w:color="43C0B9"/>
            </w:tcBorders>
            <w:gridSpan w:val="28"/>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rPr>
              <w:t>10-K</w:t>
            </w:r>
          </w:p>
        </w:tc>
        <w:tc>
          <w:tcPr>
            <w:tcW w:w="1540" w:type="dxa"/>
            <w:vAlign w:val="bottom"/>
            <w:tcBorders>
              <w:bottom w:val="single" w:sz="8" w:color="43C0B9"/>
            </w:tcBorders>
            <w:shd w:val="clear" w:color="auto" w:fill="43C0B9"/>
          </w:tcPr>
          <w:p>
            <w:pPr>
              <w:jc w:val="center"/>
              <w:ind w:right="63"/>
              <w:spacing w:after="0"/>
              <w:rPr>
                <w:sz w:val="20"/>
                <w:szCs w:val="20"/>
                <w:color w:val="auto"/>
              </w:rPr>
            </w:pPr>
            <w:r>
              <w:rPr>
                <w:rFonts w:ascii="Arial" w:cs="Arial" w:eastAsia="Arial" w:hAnsi="Arial"/>
                <w:sz w:val="11"/>
                <w:szCs w:val="11"/>
                <w:color w:val="auto"/>
              </w:rPr>
              <w:t>1/19/2021</w:t>
            </w:r>
          </w:p>
        </w:tc>
        <w:tc>
          <w:tcPr>
            <w:tcW w:w="640" w:type="dxa"/>
            <w:vAlign w:val="bottom"/>
            <w:tcBorders>
              <w:bottom w:val="single" w:sz="8" w:color="43C0B9"/>
            </w:tcBorders>
            <w:shd w:val="clear" w:color="auto" w:fill="43C0B9"/>
          </w:tcPr>
          <w:p>
            <w:pPr>
              <w:jc w:val="center"/>
              <w:ind w:right="143"/>
              <w:spacing w:after="0"/>
              <w:rPr>
                <w:sz w:val="20"/>
                <w:szCs w:val="20"/>
                <w:color w:val="auto"/>
              </w:rPr>
            </w:pPr>
            <w:r>
              <w:rPr>
                <w:rFonts w:ascii="Arial" w:cs="Arial" w:eastAsia="Arial" w:hAnsi="Arial"/>
                <w:sz w:val="11"/>
                <w:szCs w:val="11"/>
                <w:color w:val="auto"/>
              </w:rPr>
              <w:t>10.11</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44"/>
        </w:trPr>
        <w:tc>
          <w:tcPr>
            <w:tcW w:w="880" w:type="dxa"/>
            <w:vAlign w:val="bottom"/>
          </w:tcPr>
          <w:p>
            <w:pPr>
              <w:jc w:val="center"/>
              <w:ind w:right="23"/>
              <w:spacing w:after="0"/>
              <w:rPr>
                <w:sz w:val="20"/>
                <w:szCs w:val="20"/>
                <w:color w:val="auto"/>
              </w:rPr>
            </w:pPr>
            <w:r>
              <w:rPr>
                <w:rFonts w:ascii="Arial" w:cs="Arial" w:eastAsia="Arial" w:hAnsi="Arial"/>
                <w:sz w:val="11"/>
                <w:szCs w:val="11"/>
                <w:color w:val="auto"/>
                <w:w w:val="99"/>
              </w:rPr>
              <w:t>10.12#+</w:t>
            </w:r>
          </w:p>
        </w:tc>
        <w:tc>
          <w:tcPr>
            <w:tcW w:w="6680" w:type="dxa"/>
            <w:vAlign w:val="bottom"/>
            <w:gridSpan w:val="29"/>
          </w:tcPr>
          <w:p>
            <w:pPr>
              <w:spacing w:after="0"/>
              <w:rPr>
                <w:rFonts w:ascii="Arial" w:cs="Arial" w:eastAsia="Arial" w:hAnsi="Arial"/>
                <w:sz w:val="11"/>
                <w:szCs w:val="11"/>
                <w:color w:val="0000FF"/>
              </w:rPr>
            </w:pPr>
            <w:hyperlink r:id="rId62">
              <w:r>
                <w:rPr>
                  <w:rFonts w:ascii="Arial" w:cs="Arial" w:eastAsia="Arial" w:hAnsi="Arial"/>
                  <w:sz w:val="11"/>
                  <w:szCs w:val="11"/>
                  <w:color w:val="0000FF"/>
                </w:rPr>
                <w:t>Offer letter dated January 29, 2020 to Michael A. Browne</w:t>
              </w:r>
            </w:hyperlink>
          </w:p>
        </w:tc>
        <w:tc>
          <w:tcPr>
            <w:tcW w:w="540" w:type="dxa"/>
            <w:vAlign w:val="bottom"/>
          </w:tcPr>
          <w:p>
            <w:pPr>
              <w:jc w:val="center"/>
              <w:ind w:left="3"/>
              <w:spacing w:after="0"/>
              <w:rPr>
                <w:sz w:val="20"/>
                <w:szCs w:val="20"/>
                <w:color w:val="auto"/>
              </w:rPr>
            </w:pPr>
            <w:r>
              <w:rPr>
                <w:rFonts w:ascii="Arial" w:cs="Arial" w:eastAsia="Arial" w:hAnsi="Arial"/>
                <w:sz w:val="11"/>
                <w:szCs w:val="11"/>
                <w:color w:val="auto"/>
                <w:w w:val="97"/>
              </w:rPr>
              <w:t>10-Q</w:t>
            </w:r>
          </w:p>
        </w:tc>
        <w:tc>
          <w:tcPr>
            <w:tcW w:w="1540" w:type="dxa"/>
            <w:vAlign w:val="bottom"/>
          </w:tcPr>
          <w:p>
            <w:pPr>
              <w:jc w:val="center"/>
              <w:ind w:right="63"/>
              <w:spacing w:after="0"/>
              <w:rPr>
                <w:sz w:val="20"/>
                <w:szCs w:val="20"/>
                <w:color w:val="auto"/>
              </w:rPr>
            </w:pPr>
            <w:r>
              <w:rPr>
                <w:rFonts w:ascii="Arial" w:cs="Arial" w:eastAsia="Arial" w:hAnsi="Arial"/>
                <w:sz w:val="11"/>
                <w:szCs w:val="11"/>
                <w:color w:val="auto"/>
              </w:rPr>
              <w:t>3/11/2021</w:t>
            </w:r>
          </w:p>
        </w:tc>
        <w:tc>
          <w:tcPr>
            <w:tcW w:w="640" w:type="dxa"/>
            <w:vAlign w:val="bottom"/>
          </w:tcPr>
          <w:p>
            <w:pPr>
              <w:jc w:val="center"/>
              <w:ind w:right="143"/>
              <w:spacing w:after="0"/>
              <w:rPr>
                <w:sz w:val="20"/>
                <w:szCs w:val="20"/>
                <w:color w:val="auto"/>
              </w:rPr>
            </w:pPr>
            <w:r>
              <w:rPr>
                <w:rFonts w:ascii="Arial" w:cs="Arial" w:eastAsia="Arial" w:hAnsi="Arial"/>
                <w:sz w:val="11"/>
                <w:szCs w:val="11"/>
                <w:color w:val="auto"/>
              </w:rPr>
              <w:t>10.12</w:t>
            </w:r>
          </w:p>
        </w:tc>
        <w:tc>
          <w:tcPr>
            <w:tcW w:w="960" w:type="dxa"/>
            <w:vAlign w:val="bottom"/>
          </w:tcPr>
          <w:p>
            <w:pPr>
              <w:spacing w:after="0"/>
              <w:rPr>
                <w:sz w:val="12"/>
                <w:szCs w:val="12"/>
                <w:color w:val="auto"/>
              </w:rPr>
            </w:pPr>
          </w:p>
        </w:tc>
      </w:tr>
      <w:tr>
        <w:trPr>
          <w:trHeight w:val="156"/>
        </w:trPr>
        <w:tc>
          <w:tcPr>
            <w:tcW w:w="880" w:type="dxa"/>
            <w:vAlign w:val="bottom"/>
            <w:shd w:val="clear" w:color="auto" w:fill="43C0B9"/>
          </w:tcPr>
          <w:p>
            <w:pPr>
              <w:jc w:val="center"/>
              <w:ind w:right="23"/>
              <w:spacing w:after="0"/>
              <w:rPr>
                <w:sz w:val="20"/>
                <w:szCs w:val="20"/>
                <w:color w:val="auto"/>
              </w:rPr>
            </w:pPr>
            <w:r>
              <w:rPr>
                <w:rFonts w:ascii="Arial" w:cs="Arial" w:eastAsia="Arial" w:hAnsi="Arial"/>
                <w:sz w:val="11"/>
                <w:szCs w:val="11"/>
                <w:color w:val="auto"/>
              </w:rPr>
              <w:t>10.13+</w:t>
            </w:r>
          </w:p>
        </w:tc>
        <w:tc>
          <w:tcPr>
            <w:tcW w:w="2840" w:type="dxa"/>
            <w:vAlign w:val="bottom"/>
            <w:tcBorders>
              <w:top w:val="single" w:sz="8" w:color="0000FF"/>
            </w:tcBorders>
            <w:gridSpan w:val="14"/>
            <w:shd w:val="clear" w:color="auto" w:fill="43C0B9"/>
          </w:tcPr>
          <w:p>
            <w:pPr>
              <w:spacing w:after="0"/>
              <w:rPr>
                <w:rFonts w:ascii="Arial" w:cs="Arial" w:eastAsia="Arial" w:hAnsi="Arial"/>
                <w:sz w:val="11"/>
                <w:szCs w:val="11"/>
                <w:color w:val="0000FF"/>
              </w:rPr>
            </w:pPr>
            <w:hyperlink w:anchor="page69">
              <w:r>
                <w:rPr>
                  <w:rFonts w:ascii="Arial" w:cs="Arial" w:eastAsia="Arial" w:hAnsi="Arial"/>
                  <w:sz w:val="11"/>
                  <w:szCs w:val="11"/>
                  <w:color w:val="0000FF"/>
                </w:rPr>
                <w:t>Mission Produce Deferred Compensation Plan</w:t>
              </w:r>
            </w:hyperlink>
          </w:p>
        </w:tc>
        <w:tc>
          <w:tcPr>
            <w:tcW w:w="3840" w:type="dxa"/>
            <w:vAlign w:val="bottom"/>
            <w:gridSpan w:val="15"/>
            <w:shd w:val="clear" w:color="auto" w:fill="43C0B9"/>
          </w:tcPr>
          <w:p>
            <w:pPr>
              <w:spacing w:after="0"/>
              <w:rPr>
                <w:sz w:val="13"/>
                <w:szCs w:val="13"/>
                <w:color w:val="auto"/>
              </w:rPr>
            </w:pPr>
          </w:p>
        </w:tc>
        <w:tc>
          <w:tcPr>
            <w:tcW w:w="540" w:type="dxa"/>
            <w:vAlign w:val="bottom"/>
            <w:shd w:val="clear" w:color="auto" w:fill="43C0B9"/>
          </w:tcPr>
          <w:p>
            <w:pPr>
              <w:spacing w:after="0"/>
              <w:rPr>
                <w:sz w:val="13"/>
                <w:szCs w:val="13"/>
                <w:color w:val="auto"/>
              </w:rPr>
            </w:pPr>
          </w:p>
        </w:tc>
        <w:tc>
          <w:tcPr>
            <w:tcW w:w="1540" w:type="dxa"/>
            <w:vAlign w:val="bottom"/>
            <w:shd w:val="clear" w:color="auto" w:fill="43C0B9"/>
          </w:tcPr>
          <w:p>
            <w:pPr>
              <w:spacing w:after="0"/>
              <w:rPr>
                <w:sz w:val="13"/>
                <w:szCs w:val="13"/>
                <w:color w:val="auto"/>
              </w:rPr>
            </w:pPr>
          </w:p>
        </w:tc>
        <w:tc>
          <w:tcPr>
            <w:tcW w:w="640" w:type="dxa"/>
            <w:vAlign w:val="bottom"/>
            <w:shd w:val="clear" w:color="auto" w:fill="43C0B9"/>
          </w:tcPr>
          <w:p>
            <w:pPr>
              <w:spacing w:after="0"/>
              <w:rPr>
                <w:sz w:val="13"/>
                <w:szCs w:val="13"/>
                <w:color w:val="auto"/>
              </w:rPr>
            </w:pPr>
          </w:p>
        </w:tc>
        <w:tc>
          <w:tcPr>
            <w:tcW w:w="960" w:type="dxa"/>
            <w:vAlign w:val="bottom"/>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r>
        <w:trPr>
          <w:trHeight w:val="144"/>
        </w:trPr>
        <w:tc>
          <w:tcPr>
            <w:tcW w:w="880" w:type="dxa"/>
            <w:vAlign w:val="bottom"/>
            <w:tcBorders>
              <w:top w:val="single" w:sz="8" w:color="43C0B9"/>
            </w:tcBorders>
          </w:tcPr>
          <w:p>
            <w:pPr>
              <w:jc w:val="center"/>
              <w:ind w:right="23"/>
              <w:spacing w:after="0"/>
              <w:rPr>
                <w:sz w:val="20"/>
                <w:szCs w:val="20"/>
                <w:color w:val="auto"/>
              </w:rPr>
            </w:pPr>
            <w:r>
              <w:rPr>
                <w:rFonts w:ascii="Arial" w:cs="Arial" w:eastAsia="Arial" w:hAnsi="Arial"/>
                <w:sz w:val="11"/>
                <w:szCs w:val="11"/>
                <w:color w:val="auto"/>
              </w:rPr>
              <w:t>10.14+</w:t>
            </w:r>
          </w:p>
        </w:tc>
        <w:tc>
          <w:tcPr>
            <w:tcW w:w="1440" w:type="dxa"/>
            <w:vAlign w:val="bottom"/>
            <w:tcBorders>
              <w:top w:val="single" w:sz="8" w:color="0000FF"/>
              <w:bottom w:val="single" w:sz="8" w:color="0000FF"/>
            </w:tcBorders>
            <w:gridSpan w:val="4"/>
          </w:tcPr>
          <w:p>
            <w:pPr>
              <w:spacing w:after="0"/>
              <w:rPr>
                <w:rFonts w:ascii="Arial" w:cs="Arial" w:eastAsia="Arial" w:hAnsi="Arial"/>
                <w:sz w:val="11"/>
                <w:szCs w:val="11"/>
                <w:color w:val="0000FF"/>
              </w:rPr>
            </w:pPr>
            <w:hyperlink w:anchor="page128">
              <w:r>
                <w:rPr>
                  <w:rFonts w:ascii="Arial" w:cs="Arial" w:eastAsia="Arial" w:hAnsi="Arial"/>
                  <w:sz w:val="11"/>
                  <w:szCs w:val="11"/>
                  <w:color w:val="0000FF"/>
                </w:rPr>
                <w:t>Director Equity Deferral Plan</w:t>
              </w:r>
            </w:hyperlink>
          </w:p>
        </w:tc>
        <w:tc>
          <w:tcPr>
            <w:tcW w:w="880" w:type="dxa"/>
            <w:vAlign w:val="bottom"/>
            <w:tcBorders>
              <w:top w:val="single" w:sz="8" w:color="0000FF"/>
            </w:tcBorders>
            <w:gridSpan w:val="5"/>
          </w:tcPr>
          <w:p>
            <w:pPr>
              <w:spacing w:after="0"/>
              <w:rPr>
                <w:sz w:val="12"/>
                <w:szCs w:val="12"/>
                <w:color w:val="auto"/>
              </w:rPr>
            </w:pPr>
          </w:p>
        </w:tc>
        <w:tc>
          <w:tcPr>
            <w:tcW w:w="4360" w:type="dxa"/>
            <w:vAlign w:val="bottom"/>
            <w:tcBorders>
              <w:top w:val="single" w:sz="8" w:color="43C0B9"/>
            </w:tcBorders>
            <w:gridSpan w:val="20"/>
          </w:tcPr>
          <w:p>
            <w:pPr>
              <w:spacing w:after="0"/>
              <w:rPr>
                <w:sz w:val="12"/>
                <w:szCs w:val="12"/>
                <w:color w:val="auto"/>
              </w:rPr>
            </w:pPr>
          </w:p>
        </w:tc>
        <w:tc>
          <w:tcPr>
            <w:tcW w:w="540" w:type="dxa"/>
            <w:vAlign w:val="bottom"/>
            <w:tcBorders>
              <w:top w:val="single" w:sz="8" w:color="43C0B9"/>
            </w:tcBorders>
          </w:tcPr>
          <w:p>
            <w:pPr>
              <w:spacing w:after="0"/>
              <w:rPr>
                <w:sz w:val="12"/>
                <w:szCs w:val="12"/>
                <w:color w:val="auto"/>
              </w:rPr>
            </w:pPr>
          </w:p>
        </w:tc>
        <w:tc>
          <w:tcPr>
            <w:tcW w:w="1540" w:type="dxa"/>
            <w:vAlign w:val="bottom"/>
            <w:tcBorders>
              <w:top w:val="single" w:sz="8" w:color="43C0B9"/>
            </w:tcBorders>
          </w:tcPr>
          <w:p>
            <w:pPr>
              <w:spacing w:after="0"/>
              <w:rPr>
                <w:sz w:val="12"/>
                <w:szCs w:val="12"/>
                <w:color w:val="auto"/>
              </w:rPr>
            </w:pPr>
          </w:p>
        </w:tc>
        <w:tc>
          <w:tcPr>
            <w:tcW w:w="640" w:type="dxa"/>
            <w:vAlign w:val="bottom"/>
            <w:tcBorders>
              <w:top w:val="single" w:sz="8" w:color="43C0B9"/>
            </w:tcBorders>
          </w:tcPr>
          <w:p>
            <w:pPr>
              <w:spacing w:after="0"/>
              <w:rPr>
                <w:sz w:val="12"/>
                <w:szCs w:val="12"/>
                <w:color w:val="auto"/>
              </w:rPr>
            </w:pPr>
          </w:p>
        </w:tc>
        <w:tc>
          <w:tcPr>
            <w:tcW w:w="960" w:type="dxa"/>
            <w:vAlign w:val="bottom"/>
            <w:tcBorders>
              <w:top w:val="single" w:sz="8" w:color="43C0B9"/>
            </w:tcBorders>
          </w:tcPr>
          <w:p>
            <w:pPr>
              <w:jc w:val="center"/>
              <w:ind w:left="23"/>
              <w:spacing w:after="0"/>
              <w:rPr>
                <w:sz w:val="20"/>
                <w:szCs w:val="20"/>
                <w:color w:val="auto"/>
              </w:rPr>
            </w:pPr>
            <w:r>
              <w:rPr>
                <w:rFonts w:ascii="Arial" w:cs="Arial" w:eastAsia="Arial" w:hAnsi="Arial"/>
                <w:sz w:val="11"/>
                <w:szCs w:val="11"/>
                <w:color w:val="auto"/>
              </w:rPr>
              <w:t>X</w:t>
            </w:r>
          </w:p>
        </w:tc>
      </w:tr>
      <w:tr>
        <w:trPr>
          <w:trHeight w:val="156"/>
        </w:trPr>
        <w:tc>
          <w:tcPr>
            <w:tcW w:w="880" w:type="dxa"/>
            <w:vAlign w:val="bottom"/>
            <w:shd w:val="clear" w:color="auto" w:fill="43C0B9"/>
          </w:tcPr>
          <w:p>
            <w:pPr>
              <w:jc w:val="center"/>
              <w:ind w:right="23"/>
              <w:spacing w:after="0"/>
              <w:rPr>
                <w:sz w:val="20"/>
                <w:szCs w:val="20"/>
                <w:color w:val="auto"/>
              </w:rPr>
            </w:pPr>
            <w:r>
              <w:rPr>
                <w:rFonts w:ascii="Arial" w:cs="Arial" w:eastAsia="Arial" w:hAnsi="Arial"/>
                <w:sz w:val="11"/>
                <w:szCs w:val="11"/>
                <w:color w:val="auto"/>
              </w:rPr>
              <w:t>10.15+</w:t>
            </w:r>
          </w:p>
        </w:tc>
        <w:tc>
          <w:tcPr>
            <w:tcW w:w="6680" w:type="dxa"/>
            <w:vAlign w:val="bottom"/>
            <w:gridSpan w:val="29"/>
            <w:shd w:val="clear" w:color="auto" w:fill="43C0B9"/>
          </w:tcPr>
          <w:p>
            <w:pPr>
              <w:spacing w:after="0"/>
              <w:rPr>
                <w:rFonts w:ascii="Arial" w:cs="Arial" w:eastAsia="Arial" w:hAnsi="Arial"/>
                <w:sz w:val="11"/>
                <w:szCs w:val="11"/>
                <w:color w:val="0000FF"/>
              </w:rPr>
            </w:pPr>
            <w:hyperlink w:anchor="page162">
              <w:r>
                <w:rPr>
                  <w:rFonts w:ascii="Arial" w:cs="Arial" w:eastAsia="Arial" w:hAnsi="Arial"/>
                  <w:sz w:val="11"/>
                  <w:szCs w:val="11"/>
                  <w:color w:val="0000FF"/>
                </w:rPr>
                <w:t>Form of Performance Stock Unit Agreement pursuant to the Mission Produce, Inc. 2020 Incentive Award Plan</w:t>
              </w:r>
            </w:hyperlink>
          </w:p>
        </w:tc>
        <w:tc>
          <w:tcPr>
            <w:tcW w:w="540" w:type="dxa"/>
            <w:vAlign w:val="bottom"/>
            <w:shd w:val="clear" w:color="auto" w:fill="43C0B9"/>
          </w:tcPr>
          <w:p>
            <w:pPr>
              <w:spacing w:after="0"/>
              <w:rPr>
                <w:sz w:val="13"/>
                <w:szCs w:val="13"/>
                <w:color w:val="auto"/>
              </w:rPr>
            </w:pPr>
          </w:p>
        </w:tc>
        <w:tc>
          <w:tcPr>
            <w:tcW w:w="1540" w:type="dxa"/>
            <w:vAlign w:val="bottom"/>
            <w:shd w:val="clear" w:color="auto" w:fill="43C0B9"/>
          </w:tcPr>
          <w:p>
            <w:pPr>
              <w:spacing w:after="0"/>
              <w:rPr>
                <w:sz w:val="13"/>
                <w:szCs w:val="13"/>
                <w:color w:val="auto"/>
              </w:rPr>
            </w:pPr>
          </w:p>
        </w:tc>
        <w:tc>
          <w:tcPr>
            <w:tcW w:w="640" w:type="dxa"/>
            <w:vAlign w:val="bottom"/>
            <w:shd w:val="clear" w:color="auto" w:fill="43C0B9"/>
          </w:tcPr>
          <w:p>
            <w:pPr>
              <w:spacing w:after="0"/>
              <w:rPr>
                <w:sz w:val="13"/>
                <w:szCs w:val="13"/>
                <w:color w:val="auto"/>
              </w:rPr>
            </w:pPr>
          </w:p>
        </w:tc>
        <w:tc>
          <w:tcPr>
            <w:tcW w:w="960" w:type="dxa"/>
            <w:vAlign w:val="bottom"/>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r>
        <w:trPr>
          <w:trHeight w:val="144"/>
        </w:trPr>
        <w:tc>
          <w:tcPr>
            <w:tcW w:w="880" w:type="dxa"/>
            <w:vAlign w:val="bottom"/>
            <w:tcBorders>
              <w:top w:val="single" w:sz="8" w:color="43C0B9"/>
            </w:tcBorders>
          </w:tcPr>
          <w:p>
            <w:pPr>
              <w:jc w:val="center"/>
              <w:ind w:right="23"/>
              <w:spacing w:after="0"/>
              <w:rPr>
                <w:sz w:val="20"/>
                <w:szCs w:val="20"/>
                <w:color w:val="auto"/>
              </w:rPr>
            </w:pPr>
            <w:r>
              <w:rPr>
                <w:rFonts w:ascii="Arial" w:cs="Arial" w:eastAsia="Arial" w:hAnsi="Arial"/>
                <w:sz w:val="11"/>
                <w:szCs w:val="11"/>
                <w:color w:val="auto"/>
              </w:rPr>
              <w:t>10.16+</w:t>
            </w:r>
          </w:p>
        </w:tc>
        <w:tc>
          <w:tcPr>
            <w:tcW w:w="5460" w:type="dxa"/>
            <w:vAlign w:val="bottom"/>
            <w:tcBorders>
              <w:top w:val="single" w:sz="8" w:color="0000FF"/>
            </w:tcBorders>
            <w:gridSpan w:val="19"/>
          </w:tcPr>
          <w:p>
            <w:pPr>
              <w:spacing w:after="0"/>
              <w:rPr>
                <w:rFonts w:ascii="Arial" w:cs="Arial" w:eastAsia="Arial" w:hAnsi="Arial"/>
                <w:sz w:val="11"/>
                <w:szCs w:val="11"/>
                <w:color w:val="0000FF"/>
              </w:rPr>
            </w:pPr>
            <w:hyperlink w:anchor="page168">
              <w:r>
                <w:rPr>
                  <w:rFonts w:ascii="Arial" w:cs="Arial" w:eastAsia="Arial" w:hAnsi="Arial"/>
                  <w:sz w:val="11"/>
                  <w:szCs w:val="11"/>
                  <w:color w:val="0000FF"/>
                </w:rPr>
                <w:t>Offer letter dated March 8, 2021 to Joanne Wu</w:t>
              </w:r>
            </w:hyperlink>
          </w:p>
        </w:tc>
        <w:tc>
          <w:tcPr>
            <w:tcW w:w="1220" w:type="dxa"/>
            <w:vAlign w:val="bottom"/>
            <w:tcBorders>
              <w:top w:val="single" w:sz="8" w:color="43C0B9"/>
            </w:tcBorders>
            <w:gridSpan w:val="10"/>
          </w:tcPr>
          <w:p>
            <w:pPr>
              <w:spacing w:after="0"/>
              <w:rPr>
                <w:sz w:val="12"/>
                <w:szCs w:val="12"/>
                <w:color w:val="auto"/>
              </w:rPr>
            </w:pPr>
          </w:p>
        </w:tc>
        <w:tc>
          <w:tcPr>
            <w:tcW w:w="540" w:type="dxa"/>
            <w:vAlign w:val="bottom"/>
            <w:tcBorders>
              <w:top w:val="single" w:sz="8" w:color="43C0B9"/>
            </w:tcBorders>
          </w:tcPr>
          <w:p>
            <w:pPr>
              <w:spacing w:after="0"/>
              <w:rPr>
                <w:sz w:val="12"/>
                <w:szCs w:val="12"/>
                <w:color w:val="auto"/>
              </w:rPr>
            </w:pPr>
          </w:p>
        </w:tc>
        <w:tc>
          <w:tcPr>
            <w:tcW w:w="1540" w:type="dxa"/>
            <w:vAlign w:val="bottom"/>
            <w:tcBorders>
              <w:top w:val="single" w:sz="8" w:color="43C0B9"/>
            </w:tcBorders>
          </w:tcPr>
          <w:p>
            <w:pPr>
              <w:spacing w:after="0"/>
              <w:rPr>
                <w:sz w:val="12"/>
                <w:szCs w:val="12"/>
                <w:color w:val="auto"/>
              </w:rPr>
            </w:pPr>
          </w:p>
        </w:tc>
        <w:tc>
          <w:tcPr>
            <w:tcW w:w="640" w:type="dxa"/>
            <w:vAlign w:val="bottom"/>
            <w:tcBorders>
              <w:top w:val="single" w:sz="8" w:color="43C0B9"/>
            </w:tcBorders>
          </w:tcPr>
          <w:p>
            <w:pPr>
              <w:spacing w:after="0"/>
              <w:rPr>
                <w:sz w:val="12"/>
                <w:szCs w:val="12"/>
                <w:color w:val="auto"/>
              </w:rPr>
            </w:pPr>
          </w:p>
        </w:tc>
        <w:tc>
          <w:tcPr>
            <w:tcW w:w="960" w:type="dxa"/>
            <w:vAlign w:val="bottom"/>
            <w:tcBorders>
              <w:top w:val="single" w:sz="8" w:color="43C0B9"/>
            </w:tcBorders>
          </w:tcPr>
          <w:p>
            <w:pPr>
              <w:jc w:val="center"/>
              <w:ind w:left="23"/>
              <w:spacing w:after="0"/>
              <w:rPr>
                <w:sz w:val="20"/>
                <w:szCs w:val="20"/>
                <w:color w:val="auto"/>
              </w:rPr>
            </w:pPr>
            <w:r>
              <w:rPr>
                <w:rFonts w:ascii="Arial" w:cs="Arial" w:eastAsia="Arial" w:hAnsi="Arial"/>
                <w:sz w:val="11"/>
                <w:szCs w:val="11"/>
                <w:color w:val="auto"/>
              </w:rPr>
              <w:t>X</w:t>
            </w:r>
          </w:p>
        </w:tc>
      </w:tr>
      <w:tr>
        <w:trPr>
          <w:trHeight w:val="156"/>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21.1#</w:t>
            </w:r>
          </w:p>
        </w:tc>
        <w:tc>
          <w:tcPr>
            <w:tcW w:w="1620" w:type="dxa"/>
            <w:vAlign w:val="bottom"/>
            <w:tcBorders>
              <w:top w:val="single" w:sz="8" w:color="0000FF"/>
              <w:bottom w:val="single" w:sz="8" w:color="0000FF"/>
            </w:tcBorders>
            <w:gridSpan w:val="6"/>
            <w:shd w:val="clear" w:color="auto" w:fill="43C0B9"/>
          </w:tcPr>
          <w:p>
            <w:pPr>
              <w:spacing w:after="0"/>
              <w:rPr>
                <w:rFonts w:ascii="Arial" w:cs="Arial" w:eastAsia="Arial" w:hAnsi="Arial"/>
                <w:sz w:val="11"/>
                <w:szCs w:val="11"/>
                <w:color w:val="0000FF"/>
              </w:rPr>
            </w:pPr>
            <w:hyperlink w:anchor="page171">
              <w:r>
                <w:rPr>
                  <w:rFonts w:ascii="Arial" w:cs="Arial" w:eastAsia="Arial" w:hAnsi="Arial"/>
                  <w:sz w:val="11"/>
                  <w:szCs w:val="11"/>
                  <w:color w:val="0000FF"/>
                </w:rPr>
                <w:t>List of Subsidiaries of Registrant</w:t>
              </w:r>
            </w:hyperlink>
          </w:p>
        </w:tc>
        <w:tc>
          <w:tcPr>
            <w:tcW w:w="700" w:type="dxa"/>
            <w:vAlign w:val="bottom"/>
            <w:tcBorders>
              <w:top w:val="single" w:sz="8" w:color="0000FF"/>
              <w:bottom w:val="single" w:sz="8" w:color="43C0B9"/>
            </w:tcBorders>
            <w:gridSpan w:val="3"/>
            <w:shd w:val="clear" w:color="auto" w:fill="43C0B9"/>
          </w:tcPr>
          <w:p>
            <w:pPr>
              <w:spacing w:after="0"/>
              <w:rPr>
                <w:sz w:val="13"/>
                <w:szCs w:val="13"/>
                <w:color w:val="auto"/>
              </w:rPr>
            </w:pPr>
          </w:p>
        </w:tc>
        <w:tc>
          <w:tcPr>
            <w:tcW w:w="4360" w:type="dxa"/>
            <w:vAlign w:val="bottom"/>
            <w:tcBorders>
              <w:bottom w:val="single" w:sz="8" w:color="43C0B9"/>
            </w:tcBorders>
            <w:gridSpan w:val="20"/>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spacing w:after="0"/>
              <w:rPr>
                <w:sz w:val="13"/>
                <w:szCs w:val="13"/>
                <w:color w:val="auto"/>
              </w:rPr>
            </w:pPr>
          </w:p>
        </w:tc>
        <w:tc>
          <w:tcPr>
            <w:tcW w:w="1540" w:type="dxa"/>
            <w:vAlign w:val="bottom"/>
            <w:tcBorders>
              <w:bottom w:val="single" w:sz="8" w:color="43C0B9"/>
            </w:tcBorders>
            <w:shd w:val="clear" w:color="auto" w:fill="43C0B9"/>
          </w:tcPr>
          <w:p>
            <w:pPr>
              <w:spacing w:after="0"/>
              <w:rPr>
                <w:sz w:val="13"/>
                <w:szCs w:val="13"/>
                <w:color w:val="auto"/>
              </w:rPr>
            </w:pPr>
          </w:p>
        </w:tc>
        <w:tc>
          <w:tcPr>
            <w:tcW w:w="640" w:type="dxa"/>
            <w:vAlign w:val="bottom"/>
            <w:tcBorders>
              <w:bottom w:val="single" w:sz="8" w:color="43C0B9"/>
            </w:tcBorders>
            <w:shd w:val="clear" w:color="auto" w:fill="43C0B9"/>
          </w:tcPr>
          <w:p>
            <w:pPr>
              <w:spacing w:after="0"/>
              <w:rPr>
                <w:sz w:val="13"/>
                <w:szCs w:val="13"/>
                <w:color w:val="auto"/>
              </w:rPr>
            </w:pPr>
          </w:p>
        </w:tc>
        <w:tc>
          <w:tcPr>
            <w:tcW w:w="960" w:type="dxa"/>
            <w:vAlign w:val="bottom"/>
            <w:tcBorders>
              <w:bottom w:val="single" w:sz="8" w:color="43C0B9"/>
            </w:tcBorders>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r>
        <w:trPr>
          <w:trHeight w:val="138"/>
        </w:trPr>
        <w:tc>
          <w:tcPr>
            <w:tcW w:w="880" w:type="dxa"/>
            <w:vAlign w:val="bottom"/>
          </w:tcPr>
          <w:p>
            <w:pPr>
              <w:jc w:val="center"/>
              <w:ind w:right="43"/>
              <w:spacing w:after="0"/>
              <w:rPr>
                <w:sz w:val="20"/>
                <w:szCs w:val="20"/>
                <w:color w:val="auto"/>
              </w:rPr>
            </w:pPr>
            <w:r>
              <w:rPr>
                <w:rFonts w:ascii="Arial" w:cs="Arial" w:eastAsia="Arial" w:hAnsi="Arial"/>
                <w:sz w:val="11"/>
                <w:szCs w:val="11"/>
                <w:color w:val="auto"/>
              </w:rPr>
              <w:t>23.1</w:t>
            </w:r>
          </w:p>
        </w:tc>
        <w:tc>
          <w:tcPr>
            <w:tcW w:w="1700" w:type="dxa"/>
            <w:vAlign w:val="bottom"/>
            <w:tcBorders>
              <w:bottom w:val="single" w:sz="8" w:color="0000FF"/>
            </w:tcBorders>
            <w:gridSpan w:val="7"/>
          </w:tcPr>
          <w:p>
            <w:pPr>
              <w:spacing w:after="0"/>
              <w:rPr>
                <w:rFonts w:ascii="Arial" w:cs="Arial" w:eastAsia="Arial" w:hAnsi="Arial"/>
                <w:sz w:val="11"/>
                <w:szCs w:val="11"/>
                <w:color w:val="0000FF"/>
              </w:rPr>
            </w:pPr>
            <w:hyperlink w:anchor="page172">
              <w:r>
                <w:rPr>
                  <w:rFonts w:ascii="Arial" w:cs="Arial" w:eastAsia="Arial" w:hAnsi="Arial"/>
                  <w:sz w:val="11"/>
                  <w:szCs w:val="11"/>
                  <w:color w:val="0000FF"/>
                </w:rPr>
                <w:t>Consent of Deloitte &amp; Touche LLP</w:t>
              </w:r>
            </w:hyperlink>
          </w:p>
        </w:tc>
        <w:tc>
          <w:tcPr>
            <w:tcW w:w="4980" w:type="dxa"/>
            <w:vAlign w:val="bottom"/>
            <w:gridSpan w:val="22"/>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center"/>
              <w:ind w:left="23"/>
              <w:spacing w:after="0"/>
              <w:rPr>
                <w:sz w:val="20"/>
                <w:szCs w:val="20"/>
                <w:color w:val="auto"/>
              </w:rPr>
            </w:pPr>
            <w:r>
              <w:rPr>
                <w:rFonts w:ascii="Arial" w:cs="Arial" w:eastAsia="Arial" w:hAnsi="Arial"/>
                <w:sz w:val="11"/>
                <w:szCs w:val="11"/>
                <w:color w:val="auto"/>
              </w:rPr>
              <w:t>X</w:t>
            </w:r>
          </w:p>
        </w:tc>
      </w:tr>
    </w:tbl>
    <w:p>
      <w:pPr>
        <w:spacing w:after="0" w:line="200" w:lineRule="exact"/>
        <w:rPr>
          <w:sz w:val="20"/>
          <w:szCs w:val="20"/>
          <w:color w:val="auto"/>
        </w:rPr>
      </w:pPr>
    </w:p>
    <w:p>
      <w:pPr>
        <w:spacing w:after="0" w:line="25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1"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88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2660" w:type="dxa"/>
            <w:vAlign w:val="bottom"/>
            <w:shd w:val="clear" w:color="auto" w:fill="232F84"/>
          </w:tcPr>
          <w:p>
            <w:pPr>
              <w:spacing w:after="0"/>
              <w:rPr>
                <w:sz w:val="14"/>
                <w:szCs w:val="14"/>
                <w:color w:val="auto"/>
              </w:rPr>
            </w:pPr>
          </w:p>
        </w:tc>
        <w:tc>
          <w:tcPr>
            <w:tcW w:w="1320" w:type="dxa"/>
            <w:vAlign w:val="bottom"/>
            <w:tcBorders>
              <w:right w:val="single" w:sz="8" w:color="232F84"/>
            </w:tcBorders>
            <w:shd w:val="clear" w:color="auto" w:fill="232F84"/>
          </w:tcPr>
          <w:p>
            <w:pPr>
              <w:spacing w:after="0"/>
              <w:rPr>
                <w:sz w:val="14"/>
                <w:szCs w:val="14"/>
                <w:color w:val="auto"/>
              </w:rPr>
            </w:pPr>
          </w:p>
        </w:tc>
        <w:tc>
          <w:tcPr>
            <w:tcW w:w="1560" w:type="dxa"/>
            <w:vAlign w:val="bottom"/>
            <w:shd w:val="clear" w:color="auto" w:fill="232F84"/>
          </w:tcPr>
          <w:p>
            <w:pPr>
              <w:spacing w:after="0"/>
              <w:rPr>
                <w:sz w:val="14"/>
                <w:szCs w:val="14"/>
                <w:color w:val="auto"/>
              </w:rPr>
            </w:pPr>
          </w:p>
        </w:tc>
        <w:tc>
          <w:tcPr>
            <w:tcW w:w="2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540" w:type="dxa"/>
            <w:vAlign w:val="bottom"/>
            <w:shd w:val="clear" w:color="auto" w:fill="232F84"/>
          </w:tcPr>
          <w:p>
            <w:pPr>
              <w:spacing w:after="0"/>
              <w:rPr>
                <w:sz w:val="14"/>
                <w:szCs w:val="14"/>
                <w:color w:val="auto"/>
              </w:rPr>
            </w:pPr>
          </w:p>
        </w:tc>
        <w:tc>
          <w:tcPr>
            <w:tcW w:w="1540" w:type="dxa"/>
            <w:vAlign w:val="bottom"/>
            <w:shd w:val="clear" w:color="auto" w:fill="232F84"/>
          </w:tcPr>
          <w:p>
            <w:pPr>
              <w:ind w:left="100"/>
              <w:spacing w:after="0"/>
              <w:rPr>
                <w:sz w:val="20"/>
                <w:szCs w:val="20"/>
                <w:color w:val="auto"/>
              </w:rPr>
            </w:pPr>
            <w:r>
              <w:rPr>
                <w:rFonts w:ascii="Arial" w:cs="Arial" w:eastAsia="Arial" w:hAnsi="Arial"/>
                <w:sz w:val="11"/>
                <w:szCs w:val="11"/>
                <w:b w:val="1"/>
                <w:bCs w:val="1"/>
                <w:color w:val="FFFFFF"/>
              </w:rPr>
              <w:t>Incorporated by Reference</w:t>
            </w:r>
          </w:p>
        </w:tc>
        <w:tc>
          <w:tcPr>
            <w:tcW w:w="640" w:type="dxa"/>
            <w:vAlign w:val="bottom"/>
            <w:shd w:val="clear" w:color="auto" w:fill="232F84"/>
          </w:tcPr>
          <w:p>
            <w:pPr>
              <w:spacing w:after="0"/>
              <w:rPr>
                <w:sz w:val="14"/>
                <w:szCs w:val="14"/>
                <w:color w:val="auto"/>
              </w:rPr>
            </w:pPr>
          </w:p>
        </w:tc>
        <w:tc>
          <w:tcPr>
            <w:tcW w:w="960" w:type="dxa"/>
            <w:vAlign w:val="bottom"/>
            <w:shd w:val="clear" w:color="auto" w:fill="232F84"/>
          </w:tcPr>
          <w:p>
            <w:pPr>
              <w:spacing w:after="0"/>
              <w:rPr>
                <w:sz w:val="14"/>
                <w:szCs w:val="14"/>
                <w:color w:val="auto"/>
              </w:rPr>
            </w:pPr>
          </w:p>
        </w:tc>
      </w:tr>
      <w:tr>
        <w:trPr>
          <w:trHeight w:val="138"/>
        </w:trPr>
        <w:tc>
          <w:tcPr>
            <w:tcW w:w="880" w:type="dxa"/>
            <w:vAlign w:val="bottom"/>
            <w:shd w:val="clear" w:color="auto" w:fill="232F84"/>
          </w:tcPr>
          <w:p>
            <w:pPr>
              <w:ind w:left="100"/>
              <w:spacing w:after="0"/>
              <w:rPr>
                <w:sz w:val="20"/>
                <w:szCs w:val="20"/>
                <w:color w:val="auto"/>
              </w:rPr>
            </w:pPr>
            <w:r>
              <w:rPr>
                <w:rFonts w:ascii="Arial" w:cs="Arial" w:eastAsia="Arial" w:hAnsi="Arial"/>
                <w:sz w:val="11"/>
                <w:szCs w:val="11"/>
                <w:b w:val="1"/>
                <w:bCs w:val="1"/>
                <w:color w:val="FFFFFF"/>
              </w:rPr>
              <w:t>Exhibit No.</w:t>
            </w:r>
          </w:p>
        </w:tc>
        <w:tc>
          <w:tcPr>
            <w:tcW w:w="900" w:type="dxa"/>
            <w:vAlign w:val="bottom"/>
            <w:shd w:val="clear" w:color="auto" w:fill="232F84"/>
          </w:tcPr>
          <w:p>
            <w:pPr>
              <w:spacing w:after="0"/>
              <w:rPr>
                <w:sz w:val="12"/>
                <w:szCs w:val="12"/>
                <w:color w:val="auto"/>
              </w:rPr>
            </w:pPr>
          </w:p>
        </w:tc>
        <w:tc>
          <w:tcPr>
            <w:tcW w:w="2660" w:type="dxa"/>
            <w:vAlign w:val="bottom"/>
            <w:shd w:val="clear" w:color="auto" w:fill="232F84"/>
          </w:tcPr>
          <w:p>
            <w:pPr>
              <w:spacing w:after="0"/>
              <w:rPr>
                <w:sz w:val="12"/>
                <w:szCs w:val="12"/>
                <w:color w:val="auto"/>
              </w:rPr>
            </w:pPr>
          </w:p>
        </w:tc>
        <w:tc>
          <w:tcPr>
            <w:tcW w:w="1320" w:type="dxa"/>
            <w:vAlign w:val="bottom"/>
            <w:tcBorders>
              <w:right w:val="single" w:sz="8" w:color="232F84"/>
            </w:tcBorders>
            <w:shd w:val="clear" w:color="auto" w:fill="232F84"/>
          </w:tcPr>
          <w:p>
            <w:pPr>
              <w:spacing w:after="0"/>
              <w:rPr>
                <w:sz w:val="12"/>
                <w:szCs w:val="12"/>
                <w:color w:val="auto"/>
              </w:rPr>
            </w:pPr>
          </w:p>
        </w:tc>
        <w:tc>
          <w:tcPr>
            <w:tcW w:w="1560" w:type="dxa"/>
            <w:vAlign w:val="bottom"/>
            <w:shd w:val="clear" w:color="auto" w:fill="232F84"/>
          </w:tcPr>
          <w:p>
            <w:pPr>
              <w:spacing w:after="0"/>
              <w:rPr>
                <w:sz w:val="12"/>
                <w:szCs w:val="12"/>
                <w:color w:val="auto"/>
              </w:rPr>
            </w:pPr>
          </w:p>
        </w:tc>
        <w:tc>
          <w:tcPr>
            <w:tcW w:w="20" w:type="dxa"/>
            <w:vAlign w:val="bottom"/>
            <w:shd w:val="clear" w:color="auto" w:fill="232F84"/>
          </w:tcPr>
          <w:p>
            <w:pPr>
              <w:spacing w:after="0"/>
              <w:rPr>
                <w:sz w:val="12"/>
                <w:szCs w:val="12"/>
                <w:color w:val="auto"/>
              </w:rPr>
            </w:pPr>
          </w:p>
        </w:tc>
        <w:tc>
          <w:tcPr>
            <w:tcW w:w="220" w:type="dxa"/>
            <w:vAlign w:val="bottom"/>
            <w:shd w:val="clear" w:color="auto" w:fill="232F84"/>
          </w:tcPr>
          <w:p>
            <w:pPr>
              <w:spacing w:after="0"/>
              <w:rPr>
                <w:sz w:val="12"/>
                <w:szCs w:val="12"/>
                <w:color w:val="auto"/>
              </w:rPr>
            </w:pPr>
          </w:p>
        </w:tc>
        <w:tc>
          <w:tcPr>
            <w:tcW w:w="540" w:type="dxa"/>
            <w:vAlign w:val="bottom"/>
            <w:shd w:val="clear" w:color="auto" w:fill="232F84"/>
          </w:tcPr>
          <w:p>
            <w:pPr>
              <w:spacing w:after="0"/>
              <w:rPr>
                <w:sz w:val="12"/>
                <w:szCs w:val="12"/>
                <w:color w:val="auto"/>
              </w:rPr>
            </w:pPr>
          </w:p>
        </w:tc>
        <w:tc>
          <w:tcPr>
            <w:tcW w:w="154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960" w:type="dxa"/>
            <w:vAlign w:val="bottom"/>
            <w:shd w:val="clear" w:color="auto" w:fill="232F84"/>
          </w:tcPr>
          <w:p>
            <w:pPr>
              <w:jc w:val="center"/>
              <w:ind w:left="23"/>
              <w:spacing w:after="0"/>
              <w:rPr>
                <w:sz w:val="20"/>
                <w:szCs w:val="20"/>
                <w:color w:val="auto"/>
              </w:rPr>
            </w:pPr>
            <w:r>
              <w:rPr>
                <w:rFonts w:ascii="Arial" w:cs="Arial" w:eastAsia="Arial" w:hAnsi="Arial"/>
                <w:sz w:val="11"/>
                <w:szCs w:val="11"/>
                <w:b w:val="1"/>
                <w:bCs w:val="1"/>
                <w:color w:val="FFFFFF"/>
              </w:rPr>
              <w:t>Filed</w:t>
            </w:r>
          </w:p>
        </w:tc>
      </w:tr>
      <w:tr>
        <w:trPr>
          <w:trHeight w:val="159"/>
        </w:trPr>
        <w:tc>
          <w:tcPr>
            <w:tcW w:w="880" w:type="dxa"/>
            <w:vAlign w:val="bottom"/>
            <w:shd w:val="clear" w:color="auto" w:fill="232F84"/>
          </w:tcPr>
          <w:p>
            <w:pPr>
              <w:spacing w:after="0"/>
              <w:rPr>
                <w:sz w:val="13"/>
                <w:szCs w:val="13"/>
                <w:color w:val="auto"/>
              </w:rPr>
            </w:pPr>
          </w:p>
        </w:tc>
        <w:tc>
          <w:tcPr>
            <w:tcW w:w="900" w:type="dxa"/>
            <w:vAlign w:val="bottom"/>
            <w:shd w:val="clear" w:color="auto" w:fill="232F84"/>
          </w:tcPr>
          <w:p>
            <w:pPr>
              <w:spacing w:after="0"/>
              <w:rPr>
                <w:sz w:val="13"/>
                <w:szCs w:val="13"/>
                <w:color w:val="auto"/>
              </w:rPr>
            </w:pPr>
          </w:p>
        </w:tc>
        <w:tc>
          <w:tcPr>
            <w:tcW w:w="5780" w:type="dxa"/>
            <w:vAlign w:val="bottom"/>
            <w:gridSpan w:val="5"/>
            <w:shd w:val="clear" w:color="auto" w:fill="232F84"/>
          </w:tcPr>
          <w:p>
            <w:pPr>
              <w:ind w:left="1860"/>
              <w:spacing w:after="0"/>
              <w:rPr>
                <w:sz w:val="20"/>
                <w:szCs w:val="20"/>
                <w:color w:val="auto"/>
              </w:rPr>
            </w:pPr>
            <w:r>
              <w:rPr>
                <w:rFonts w:ascii="Arial" w:cs="Arial" w:eastAsia="Arial" w:hAnsi="Arial"/>
                <w:sz w:val="11"/>
                <w:szCs w:val="11"/>
                <w:b w:val="1"/>
                <w:bCs w:val="1"/>
                <w:color w:val="FFFFFF"/>
              </w:rPr>
              <w:t>Exhibit Description</w:t>
            </w:r>
          </w:p>
        </w:tc>
        <w:tc>
          <w:tcPr>
            <w:tcW w:w="540" w:type="dxa"/>
            <w:vAlign w:val="bottom"/>
            <w:shd w:val="clear" w:color="auto" w:fill="232F84"/>
          </w:tcPr>
          <w:p>
            <w:pPr>
              <w:jc w:val="center"/>
              <w:ind w:left="3"/>
              <w:spacing w:after="0"/>
              <w:rPr>
                <w:sz w:val="20"/>
                <w:szCs w:val="20"/>
                <w:color w:val="auto"/>
              </w:rPr>
            </w:pPr>
            <w:r>
              <w:rPr>
                <w:rFonts w:ascii="Arial" w:cs="Arial" w:eastAsia="Arial" w:hAnsi="Arial"/>
                <w:sz w:val="11"/>
                <w:szCs w:val="11"/>
                <w:b w:val="1"/>
                <w:bCs w:val="1"/>
                <w:color w:val="FFFFFF"/>
              </w:rPr>
              <w:t>Form</w:t>
            </w:r>
          </w:p>
        </w:tc>
        <w:tc>
          <w:tcPr>
            <w:tcW w:w="1540" w:type="dxa"/>
            <w:vAlign w:val="bottom"/>
            <w:shd w:val="clear" w:color="auto" w:fill="232F84"/>
          </w:tcPr>
          <w:p>
            <w:pPr>
              <w:jc w:val="center"/>
              <w:ind w:right="83"/>
              <w:spacing w:after="0"/>
              <w:rPr>
                <w:sz w:val="20"/>
                <w:szCs w:val="20"/>
                <w:color w:val="auto"/>
              </w:rPr>
            </w:pPr>
            <w:r>
              <w:rPr>
                <w:rFonts w:ascii="Arial" w:cs="Arial" w:eastAsia="Arial" w:hAnsi="Arial"/>
                <w:sz w:val="11"/>
                <w:szCs w:val="11"/>
                <w:b w:val="1"/>
                <w:bCs w:val="1"/>
                <w:color w:val="FFFFFF"/>
              </w:rPr>
              <w:t>Date</w:t>
            </w:r>
          </w:p>
        </w:tc>
        <w:tc>
          <w:tcPr>
            <w:tcW w:w="640" w:type="dxa"/>
            <w:vAlign w:val="bottom"/>
            <w:shd w:val="clear" w:color="auto" w:fill="232F84"/>
          </w:tcPr>
          <w:p>
            <w:pPr>
              <w:jc w:val="center"/>
              <w:ind w:right="143"/>
              <w:spacing w:after="0"/>
              <w:rPr>
                <w:sz w:val="20"/>
                <w:szCs w:val="20"/>
                <w:color w:val="auto"/>
              </w:rPr>
            </w:pPr>
            <w:r>
              <w:rPr>
                <w:rFonts w:ascii="Arial" w:cs="Arial" w:eastAsia="Arial" w:hAnsi="Arial"/>
                <w:sz w:val="11"/>
                <w:szCs w:val="11"/>
                <w:b w:val="1"/>
                <w:bCs w:val="1"/>
                <w:color w:val="FFFFFF"/>
              </w:rPr>
              <w:t>Number</w:t>
            </w:r>
          </w:p>
        </w:tc>
        <w:tc>
          <w:tcPr>
            <w:tcW w:w="960" w:type="dxa"/>
            <w:vAlign w:val="bottom"/>
            <w:shd w:val="clear" w:color="auto" w:fill="232F84"/>
          </w:tcPr>
          <w:p>
            <w:pPr>
              <w:jc w:val="center"/>
              <w:ind w:left="23"/>
              <w:spacing w:after="0"/>
              <w:rPr>
                <w:sz w:val="20"/>
                <w:szCs w:val="20"/>
                <w:color w:val="auto"/>
              </w:rPr>
            </w:pPr>
            <w:r>
              <w:rPr>
                <w:rFonts w:ascii="Arial" w:cs="Arial" w:eastAsia="Arial" w:hAnsi="Arial"/>
                <w:sz w:val="11"/>
                <w:szCs w:val="11"/>
                <w:b w:val="1"/>
                <w:bCs w:val="1"/>
                <w:color w:val="FFFFFF"/>
              </w:rPr>
              <w:t>Herewith</w:t>
            </w:r>
          </w:p>
        </w:tc>
      </w:tr>
      <w:tr>
        <w:trPr>
          <w:trHeight w:val="150"/>
        </w:trPr>
        <w:tc>
          <w:tcPr>
            <w:tcW w:w="880" w:type="dxa"/>
            <w:vAlign w:val="bottom"/>
            <w:tcBorders>
              <w:bottom w:val="single" w:sz="8" w:color="43C0B9"/>
            </w:tcBorders>
            <w:shd w:val="clear" w:color="auto" w:fill="43C0B9"/>
          </w:tcPr>
          <w:p>
            <w:pPr>
              <w:jc w:val="center"/>
              <w:ind w:right="23"/>
              <w:spacing w:after="0"/>
              <w:rPr>
                <w:sz w:val="20"/>
                <w:szCs w:val="20"/>
                <w:color w:val="auto"/>
              </w:rPr>
            </w:pPr>
            <w:r>
              <w:rPr>
                <w:rFonts w:ascii="Arial" w:cs="Arial" w:eastAsia="Arial" w:hAnsi="Arial"/>
                <w:sz w:val="11"/>
                <w:szCs w:val="11"/>
                <w:color w:val="auto"/>
              </w:rPr>
              <w:t>24.1#</w:t>
            </w:r>
          </w:p>
        </w:tc>
        <w:tc>
          <w:tcPr>
            <w:tcW w:w="900" w:type="dxa"/>
            <w:vAlign w:val="bottom"/>
            <w:tcBorders>
              <w:bottom w:val="single" w:sz="8" w:color="0000FF"/>
            </w:tcBorders>
            <w:shd w:val="clear" w:color="auto" w:fill="43C0B9"/>
          </w:tcPr>
          <w:p>
            <w:pPr>
              <w:spacing w:after="0"/>
              <w:rPr>
                <w:rFonts w:ascii="Arial" w:cs="Arial" w:eastAsia="Arial" w:hAnsi="Arial"/>
                <w:sz w:val="11"/>
                <w:szCs w:val="11"/>
                <w:color w:val="0000FF"/>
              </w:rPr>
            </w:pPr>
            <w:hyperlink r:id="rId64">
              <w:r>
                <w:rPr>
                  <w:rFonts w:ascii="Arial" w:cs="Arial" w:eastAsia="Arial" w:hAnsi="Arial"/>
                  <w:sz w:val="11"/>
                  <w:szCs w:val="11"/>
                  <w:color w:val="0000FF"/>
                </w:rPr>
                <w:t>Power of Attorney</w:t>
              </w:r>
            </w:hyperlink>
          </w:p>
        </w:tc>
        <w:tc>
          <w:tcPr>
            <w:tcW w:w="5780" w:type="dxa"/>
            <w:vAlign w:val="bottom"/>
            <w:tcBorders>
              <w:bottom w:val="single" w:sz="8" w:color="43C0B9"/>
            </w:tcBorders>
            <w:gridSpan w:val="5"/>
            <w:shd w:val="clear" w:color="auto" w:fill="43C0B9"/>
          </w:tcPr>
          <w:p>
            <w:pPr>
              <w:spacing w:after="0"/>
              <w:rPr>
                <w:sz w:val="13"/>
                <w:szCs w:val="13"/>
                <w:color w:val="auto"/>
              </w:rPr>
            </w:pPr>
          </w:p>
        </w:tc>
        <w:tc>
          <w:tcPr>
            <w:tcW w:w="540" w:type="dxa"/>
            <w:vAlign w:val="bottom"/>
            <w:tcBorders>
              <w:bottom w:val="single" w:sz="8" w:color="43C0B9"/>
            </w:tcBorders>
            <w:shd w:val="clear" w:color="auto" w:fill="43C0B9"/>
          </w:tcPr>
          <w:p>
            <w:pPr>
              <w:jc w:val="center"/>
              <w:ind w:left="3"/>
              <w:spacing w:after="0"/>
              <w:rPr>
                <w:sz w:val="20"/>
                <w:szCs w:val="20"/>
                <w:color w:val="auto"/>
              </w:rPr>
            </w:pPr>
            <w:r>
              <w:rPr>
                <w:rFonts w:ascii="Arial" w:cs="Arial" w:eastAsia="Arial" w:hAnsi="Arial"/>
                <w:sz w:val="11"/>
                <w:szCs w:val="11"/>
                <w:color w:val="auto"/>
              </w:rPr>
              <w:t>10-K</w:t>
            </w:r>
          </w:p>
        </w:tc>
        <w:tc>
          <w:tcPr>
            <w:tcW w:w="1540" w:type="dxa"/>
            <w:vAlign w:val="bottom"/>
            <w:tcBorders>
              <w:bottom w:val="single" w:sz="8" w:color="43C0B9"/>
            </w:tcBorders>
            <w:shd w:val="clear" w:color="auto" w:fill="43C0B9"/>
          </w:tcPr>
          <w:p>
            <w:pPr>
              <w:jc w:val="right"/>
              <w:ind w:right="523"/>
              <w:spacing w:after="0"/>
              <w:rPr>
                <w:sz w:val="20"/>
                <w:szCs w:val="20"/>
                <w:color w:val="auto"/>
              </w:rPr>
            </w:pPr>
            <w:r>
              <w:rPr>
                <w:rFonts w:ascii="Arial" w:cs="Arial" w:eastAsia="Arial" w:hAnsi="Arial"/>
                <w:sz w:val="11"/>
                <w:szCs w:val="11"/>
                <w:color w:val="auto"/>
              </w:rPr>
              <w:t>1/19/2021</w:t>
            </w:r>
          </w:p>
        </w:tc>
        <w:tc>
          <w:tcPr>
            <w:tcW w:w="640" w:type="dxa"/>
            <w:vAlign w:val="bottom"/>
            <w:tcBorders>
              <w:bottom w:val="single" w:sz="8" w:color="43C0B9"/>
            </w:tcBorders>
            <w:shd w:val="clear" w:color="auto" w:fill="43C0B9"/>
          </w:tcPr>
          <w:p>
            <w:pPr>
              <w:jc w:val="right"/>
              <w:ind w:right="243"/>
              <w:spacing w:after="0"/>
              <w:rPr>
                <w:sz w:val="20"/>
                <w:szCs w:val="20"/>
                <w:color w:val="auto"/>
              </w:rPr>
            </w:pPr>
            <w:r>
              <w:rPr>
                <w:rFonts w:ascii="Arial" w:cs="Arial" w:eastAsia="Arial" w:hAnsi="Arial"/>
                <w:sz w:val="11"/>
                <w:szCs w:val="11"/>
                <w:color w:val="auto"/>
              </w:rPr>
              <w:t>24.1</w:t>
            </w:r>
          </w:p>
        </w:tc>
        <w:tc>
          <w:tcPr>
            <w:tcW w:w="960" w:type="dxa"/>
            <w:vAlign w:val="bottom"/>
            <w:tcBorders>
              <w:bottom w:val="single" w:sz="8" w:color="43C0B9"/>
            </w:tcBorders>
            <w:shd w:val="clear" w:color="auto" w:fill="43C0B9"/>
          </w:tcPr>
          <w:p>
            <w:pPr>
              <w:spacing w:after="0"/>
              <w:rPr>
                <w:sz w:val="13"/>
                <w:szCs w:val="13"/>
                <w:color w:val="auto"/>
              </w:rPr>
            </w:pPr>
          </w:p>
        </w:tc>
      </w:tr>
      <w:tr>
        <w:trPr>
          <w:trHeight w:val="138"/>
        </w:trPr>
        <w:tc>
          <w:tcPr>
            <w:tcW w:w="880" w:type="dxa"/>
            <w:vAlign w:val="bottom"/>
          </w:tcPr>
          <w:p>
            <w:pPr>
              <w:jc w:val="center"/>
              <w:ind w:right="43"/>
              <w:spacing w:after="0"/>
              <w:rPr>
                <w:sz w:val="20"/>
                <w:szCs w:val="20"/>
                <w:color w:val="auto"/>
              </w:rPr>
            </w:pPr>
            <w:r>
              <w:rPr>
                <w:rFonts w:ascii="Arial" w:cs="Arial" w:eastAsia="Arial" w:hAnsi="Arial"/>
                <w:sz w:val="11"/>
                <w:szCs w:val="11"/>
                <w:color w:val="auto"/>
              </w:rPr>
              <w:t>31.1*</w:t>
            </w:r>
          </w:p>
        </w:tc>
        <w:tc>
          <w:tcPr>
            <w:tcW w:w="6680" w:type="dxa"/>
            <w:vAlign w:val="bottom"/>
            <w:gridSpan w:val="6"/>
          </w:tcPr>
          <w:p>
            <w:pPr>
              <w:spacing w:after="0"/>
              <w:rPr>
                <w:rFonts w:ascii="Arial" w:cs="Arial" w:eastAsia="Arial" w:hAnsi="Arial"/>
                <w:sz w:val="11"/>
                <w:szCs w:val="11"/>
                <w:color w:val="0000FF"/>
              </w:rPr>
            </w:pPr>
            <w:hyperlink w:anchor="page173">
              <w:r>
                <w:rPr>
                  <w:rFonts w:ascii="Arial" w:cs="Arial" w:eastAsia="Arial" w:hAnsi="Arial"/>
                  <w:sz w:val="11"/>
                  <w:szCs w:val="11"/>
                  <w:color w:val="0000FF"/>
                </w:rPr>
                <w:t>Certification of Principal Executive Officer Pursuant to Rules 13a-14(a) and 15d-14(a) under the Securities Exchange Act of 1934,</w:t>
              </w:r>
            </w:hyperlink>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jc w:val="center"/>
              <w:ind w:left="23"/>
              <w:spacing w:after="0"/>
              <w:rPr>
                <w:sz w:val="20"/>
                <w:szCs w:val="20"/>
                <w:color w:val="auto"/>
              </w:rPr>
            </w:pPr>
            <w:r>
              <w:rPr>
                <w:rFonts w:ascii="Arial" w:cs="Arial" w:eastAsia="Arial" w:hAnsi="Arial"/>
                <w:sz w:val="11"/>
                <w:szCs w:val="11"/>
                <w:color w:val="auto"/>
              </w:rPr>
              <w:t>X</w:t>
            </w:r>
          </w:p>
        </w:tc>
      </w:tr>
      <w:tr>
        <w:trPr>
          <w:trHeight w:val="107"/>
        </w:trPr>
        <w:tc>
          <w:tcPr>
            <w:tcW w:w="880" w:type="dxa"/>
            <w:vAlign w:val="bottom"/>
          </w:tcPr>
          <w:p>
            <w:pPr>
              <w:spacing w:after="0"/>
              <w:rPr>
                <w:sz w:val="9"/>
                <w:szCs w:val="9"/>
                <w:color w:val="auto"/>
              </w:rPr>
            </w:pPr>
          </w:p>
        </w:tc>
        <w:tc>
          <w:tcPr>
            <w:tcW w:w="6460" w:type="dxa"/>
            <w:vAlign w:val="bottom"/>
            <w:tcBorders>
              <w:top w:val="single" w:sz="8" w:color="0000FF"/>
            </w:tcBorders>
            <w:gridSpan w:val="5"/>
          </w:tcPr>
          <w:p>
            <w:pPr>
              <w:spacing w:after="0" w:line="107" w:lineRule="exact"/>
              <w:rPr>
                <w:rFonts w:ascii="Arial" w:cs="Arial" w:eastAsia="Arial" w:hAnsi="Arial"/>
                <w:sz w:val="11"/>
                <w:szCs w:val="11"/>
                <w:color w:val="0000FF"/>
              </w:rPr>
            </w:pPr>
            <w:hyperlink w:anchor="page173">
              <w:r>
                <w:rPr>
                  <w:rFonts w:ascii="Arial" w:cs="Arial" w:eastAsia="Arial" w:hAnsi="Arial"/>
                  <w:sz w:val="11"/>
                  <w:szCs w:val="11"/>
                  <w:color w:val="0000FF"/>
                </w:rPr>
                <w:t>as Adopted Pursuant to Section 302 of the Sarbanes-Oxley Act of 2002</w:t>
              </w:r>
            </w:hyperlink>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6"/>
        </w:trPr>
        <w:tc>
          <w:tcPr>
            <w:tcW w:w="880" w:type="dxa"/>
            <w:vAlign w:val="bottom"/>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60" w:type="dxa"/>
            <w:vAlign w:val="bottom"/>
            <w:shd w:val="clear" w:color="auto" w:fill="0000FF"/>
          </w:tcPr>
          <w:p>
            <w:pPr>
              <w:spacing w:after="0"/>
              <w:rPr>
                <w:sz w:val="2"/>
                <w:szCs w:val="2"/>
                <w:color w:val="auto"/>
              </w:rPr>
            </w:pPr>
          </w:p>
        </w:tc>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4"/>
        </w:trPr>
        <w:tc>
          <w:tcPr>
            <w:tcW w:w="880" w:type="dxa"/>
            <w:vAlign w:val="bottom"/>
            <w:tcBorders>
              <w:bottom w:val="single" w:sz="8" w:color="43C0B9"/>
            </w:tcBorders>
            <w:shd w:val="clear" w:color="auto" w:fill="43C0B9"/>
          </w:tcPr>
          <w:p>
            <w:pPr>
              <w:jc w:val="center"/>
              <w:ind w:right="43"/>
              <w:spacing w:after="0"/>
              <w:rPr>
                <w:sz w:val="20"/>
                <w:szCs w:val="20"/>
                <w:color w:val="auto"/>
              </w:rPr>
            </w:pPr>
            <w:r>
              <w:rPr>
                <w:rFonts w:ascii="Arial" w:cs="Arial" w:eastAsia="Arial" w:hAnsi="Arial"/>
                <w:sz w:val="11"/>
                <w:szCs w:val="11"/>
                <w:color w:val="auto"/>
              </w:rPr>
              <w:t>31.2*</w:t>
            </w:r>
          </w:p>
        </w:tc>
        <w:tc>
          <w:tcPr>
            <w:tcW w:w="6440" w:type="dxa"/>
            <w:vAlign w:val="bottom"/>
            <w:tcBorders>
              <w:bottom w:val="single" w:sz="8" w:color="0000FF"/>
            </w:tcBorders>
            <w:gridSpan w:val="4"/>
            <w:shd w:val="clear" w:color="auto" w:fill="43C0B9"/>
          </w:tcPr>
          <w:p>
            <w:pPr>
              <w:spacing w:after="0"/>
              <w:rPr>
                <w:rFonts w:ascii="Arial" w:cs="Arial" w:eastAsia="Arial" w:hAnsi="Arial"/>
                <w:sz w:val="11"/>
                <w:szCs w:val="11"/>
                <w:color w:val="0000FF"/>
              </w:rPr>
            </w:pPr>
            <w:hyperlink w:anchor="page174">
              <w:r>
                <w:rPr>
                  <w:rFonts w:ascii="Arial" w:cs="Arial" w:eastAsia="Arial" w:hAnsi="Arial"/>
                  <w:sz w:val="11"/>
                  <w:szCs w:val="11"/>
                  <w:color w:val="0000FF"/>
                </w:rPr>
                <w:t>Certification of Principal Financial Officer Pursuant to Rules 13a-14(a) and 15d-14(a) under the Securities Exchange Act of 1934,</w:t>
              </w:r>
            </w:hyperlink>
          </w:p>
        </w:tc>
        <w:tc>
          <w:tcPr>
            <w:tcW w:w="240" w:type="dxa"/>
            <w:vAlign w:val="bottom"/>
            <w:tcBorders>
              <w:bottom w:val="single" w:sz="8" w:color="43C0B9"/>
            </w:tcBorders>
            <w:gridSpan w:val="2"/>
            <w:shd w:val="clear" w:color="auto" w:fill="43C0B9"/>
          </w:tcPr>
          <w:p>
            <w:pPr>
              <w:spacing w:after="0"/>
              <w:rPr>
                <w:sz w:val="12"/>
                <w:szCs w:val="12"/>
                <w:color w:val="auto"/>
              </w:rPr>
            </w:pPr>
          </w:p>
        </w:tc>
        <w:tc>
          <w:tcPr>
            <w:tcW w:w="540" w:type="dxa"/>
            <w:vAlign w:val="bottom"/>
            <w:tcBorders>
              <w:bottom w:val="single" w:sz="8" w:color="43C0B9"/>
            </w:tcBorders>
            <w:shd w:val="clear" w:color="auto" w:fill="43C0B9"/>
          </w:tcPr>
          <w:p>
            <w:pPr>
              <w:spacing w:after="0"/>
              <w:rPr>
                <w:sz w:val="12"/>
                <w:szCs w:val="12"/>
                <w:color w:val="auto"/>
              </w:rPr>
            </w:pPr>
          </w:p>
        </w:tc>
        <w:tc>
          <w:tcPr>
            <w:tcW w:w="1540" w:type="dxa"/>
            <w:vAlign w:val="bottom"/>
            <w:tcBorders>
              <w:bottom w:val="single" w:sz="8" w:color="43C0B9"/>
            </w:tcBorders>
            <w:shd w:val="clear" w:color="auto" w:fill="43C0B9"/>
          </w:tcPr>
          <w:p>
            <w:pPr>
              <w:spacing w:after="0"/>
              <w:rPr>
                <w:sz w:val="12"/>
                <w:szCs w:val="12"/>
                <w:color w:val="auto"/>
              </w:rPr>
            </w:pPr>
          </w:p>
        </w:tc>
        <w:tc>
          <w:tcPr>
            <w:tcW w:w="640" w:type="dxa"/>
            <w:vAlign w:val="bottom"/>
            <w:tcBorders>
              <w:bottom w:val="single" w:sz="8" w:color="43C0B9"/>
            </w:tcBorders>
            <w:shd w:val="clear" w:color="auto" w:fill="43C0B9"/>
          </w:tcPr>
          <w:p>
            <w:pPr>
              <w:spacing w:after="0"/>
              <w:rPr>
                <w:sz w:val="12"/>
                <w:szCs w:val="12"/>
                <w:color w:val="auto"/>
              </w:rPr>
            </w:pPr>
          </w:p>
        </w:tc>
        <w:tc>
          <w:tcPr>
            <w:tcW w:w="960" w:type="dxa"/>
            <w:vAlign w:val="bottom"/>
            <w:tcBorders>
              <w:bottom w:val="single" w:sz="8" w:color="43C0B9"/>
            </w:tcBorders>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r>
        <w:trPr>
          <w:trHeight w:val="107"/>
        </w:trPr>
        <w:tc>
          <w:tcPr>
            <w:tcW w:w="880" w:type="dxa"/>
            <w:vAlign w:val="bottom"/>
            <w:shd w:val="clear" w:color="auto" w:fill="43C0B9"/>
          </w:tcPr>
          <w:p>
            <w:pPr>
              <w:spacing w:after="0"/>
              <w:rPr>
                <w:sz w:val="9"/>
                <w:szCs w:val="9"/>
                <w:color w:val="auto"/>
              </w:rPr>
            </w:pPr>
          </w:p>
        </w:tc>
        <w:tc>
          <w:tcPr>
            <w:tcW w:w="6680" w:type="dxa"/>
            <w:vAlign w:val="bottom"/>
            <w:gridSpan w:val="6"/>
            <w:shd w:val="clear" w:color="auto" w:fill="43C0B9"/>
          </w:tcPr>
          <w:p>
            <w:pPr>
              <w:spacing w:after="0" w:line="107" w:lineRule="exact"/>
              <w:rPr>
                <w:rFonts w:ascii="Arial" w:cs="Arial" w:eastAsia="Arial" w:hAnsi="Arial"/>
                <w:sz w:val="11"/>
                <w:szCs w:val="11"/>
                <w:color w:val="0000FF"/>
              </w:rPr>
            </w:pPr>
            <w:hyperlink w:anchor="page174">
              <w:r>
                <w:rPr>
                  <w:rFonts w:ascii="Arial" w:cs="Arial" w:eastAsia="Arial" w:hAnsi="Arial"/>
                  <w:sz w:val="11"/>
                  <w:szCs w:val="11"/>
                  <w:color w:val="0000FF"/>
                </w:rPr>
                <w:t>as Adopted Pursuant to Section 302 of the Sarbanes-Oxley Act of 2002</w:t>
              </w:r>
            </w:hyperlink>
          </w:p>
        </w:tc>
        <w:tc>
          <w:tcPr>
            <w:tcW w:w="540" w:type="dxa"/>
            <w:vAlign w:val="bottom"/>
            <w:shd w:val="clear" w:color="auto" w:fill="43C0B9"/>
          </w:tcPr>
          <w:p>
            <w:pPr>
              <w:spacing w:after="0"/>
              <w:rPr>
                <w:sz w:val="9"/>
                <w:szCs w:val="9"/>
                <w:color w:val="auto"/>
              </w:rPr>
            </w:pPr>
          </w:p>
        </w:tc>
        <w:tc>
          <w:tcPr>
            <w:tcW w:w="1540" w:type="dxa"/>
            <w:vAlign w:val="bottom"/>
            <w:shd w:val="clear" w:color="auto" w:fill="43C0B9"/>
          </w:tcPr>
          <w:p>
            <w:pPr>
              <w:spacing w:after="0"/>
              <w:rPr>
                <w:sz w:val="9"/>
                <w:szCs w:val="9"/>
                <w:color w:val="auto"/>
              </w:rPr>
            </w:pPr>
          </w:p>
        </w:tc>
        <w:tc>
          <w:tcPr>
            <w:tcW w:w="640" w:type="dxa"/>
            <w:vAlign w:val="bottom"/>
            <w:shd w:val="clear" w:color="auto" w:fill="43C0B9"/>
          </w:tcPr>
          <w:p>
            <w:pPr>
              <w:spacing w:after="0"/>
              <w:rPr>
                <w:sz w:val="9"/>
                <w:szCs w:val="9"/>
                <w:color w:val="auto"/>
              </w:rPr>
            </w:pPr>
          </w:p>
        </w:tc>
        <w:tc>
          <w:tcPr>
            <w:tcW w:w="960" w:type="dxa"/>
            <w:vAlign w:val="bottom"/>
            <w:shd w:val="clear" w:color="auto" w:fill="43C0B9"/>
          </w:tcPr>
          <w:p>
            <w:pPr>
              <w:spacing w:after="0"/>
              <w:rPr>
                <w:sz w:val="9"/>
                <w:szCs w:val="9"/>
                <w:color w:val="auto"/>
              </w:rPr>
            </w:pPr>
          </w:p>
        </w:tc>
      </w:tr>
      <w:tr>
        <w:trPr>
          <w:trHeight w:val="32"/>
        </w:trPr>
        <w:tc>
          <w:tcPr>
            <w:tcW w:w="880" w:type="dxa"/>
            <w:vAlign w:val="bottom"/>
            <w:shd w:val="clear" w:color="auto" w:fill="43C0B9"/>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60" w:type="dxa"/>
            <w:vAlign w:val="bottom"/>
            <w:shd w:val="clear" w:color="auto" w:fill="0000FF"/>
          </w:tcPr>
          <w:p>
            <w:pPr>
              <w:spacing w:after="0"/>
              <w:rPr>
                <w:sz w:val="2"/>
                <w:szCs w:val="2"/>
                <w:color w:val="auto"/>
              </w:rPr>
            </w:pPr>
          </w:p>
        </w:tc>
        <w:tc>
          <w:tcPr>
            <w:tcW w:w="1320" w:type="dxa"/>
            <w:vAlign w:val="bottom"/>
            <w:tcBorders>
              <w:right w:val="single" w:sz="8" w:color="43C0B9"/>
            </w:tcBorders>
            <w:shd w:val="clear" w:color="auto" w:fill="43C0B9"/>
          </w:tcPr>
          <w:p>
            <w:pPr>
              <w:spacing w:after="0"/>
              <w:rPr>
                <w:sz w:val="2"/>
                <w:szCs w:val="2"/>
                <w:color w:val="auto"/>
              </w:rPr>
            </w:pPr>
          </w:p>
        </w:tc>
        <w:tc>
          <w:tcPr>
            <w:tcW w:w="1560" w:type="dxa"/>
            <w:vAlign w:val="bottom"/>
            <w:shd w:val="clear" w:color="auto" w:fill="43C0B9"/>
          </w:tcPr>
          <w:p>
            <w:pPr>
              <w:spacing w:after="0"/>
              <w:rPr>
                <w:sz w:val="2"/>
                <w:szCs w:val="2"/>
                <w:color w:val="auto"/>
              </w:rPr>
            </w:pPr>
          </w:p>
        </w:tc>
        <w:tc>
          <w:tcPr>
            <w:tcW w:w="20" w:type="dxa"/>
            <w:vAlign w:val="bottom"/>
            <w:shd w:val="clear" w:color="auto" w:fill="43C0B9"/>
          </w:tcPr>
          <w:p>
            <w:pPr>
              <w:spacing w:after="0"/>
              <w:rPr>
                <w:sz w:val="2"/>
                <w:szCs w:val="2"/>
                <w:color w:val="auto"/>
              </w:rPr>
            </w:pPr>
          </w:p>
        </w:tc>
        <w:tc>
          <w:tcPr>
            <w:tcW w:w="220" w:type="dxa"/>
            <w:vAlign w:val="bottom"/>
            <w:shd w:val="clear" w:color="auto" w:fill="43C0B9"/>
          </w:tcPr>
          <w:p>
            <w:pPr>
              <w:spacing w:after="0"/>
              <w:rPr>
                <w:sz w:val="2"/>
                <w:szCs w:val="2"/>
                <w:color w:val="auto"/>
              </w:rPr>
            </w:pPr>
          </w:p>
        </w:tc>
        <w:tc>
          <w:tcPr>
            <w:tcW w:w="540" w:type="dxa"/>
            <w:vAlign w:val="bottom"/>
            <w:shd w:val="clear" w:color="auto" w:fill="43C0B9"/>
          </w:tcPr>
          <w:p>
            <w:pPr>
              <w:spacing w:after="0"/>
              <w:rPr>
                <w:sz w:val="2"/>
                <w:szCs w:val="2"/>
                <w:color w:val="auto"/>
              </w:rPr>
            </w:pPr>
          </w:p>
        </w:tc>
        <w:tc>
          <w:tcPr>
            <w:tcW w:w="1540" w:type="dxa"/>
            <w:vAlign w:val="bottom"/>
            <w:shd w:val="clear" w:color="auto" w:fill="43C0B9"/>
          </w:tcPr>
          <w:p>
            <w:pPr>
              <w:spacing w:after="0"/>
              <w:rPr>
                <w:sz w:val="2"/>
                <w:szCs w:val="2"/>
                <w:color w:val="auto"/>
              </w:rPr>
            </w:pPr>
          </w:p>
        </w:tc>
        <w:tc>
          <w:tcPr>
            <w:tcW w:w="640" w:type="dxa"/>
            <w:vAlign w:val="bottom"/>
            <w:shd w:val="clear" w:color="auto" w:fill="43C0B9"/>
          </w:tcPr>
          <w:p>
            <w:pPr>
              <w:spacing w:after="0"/>
              <w:rPr>
                <w:sz w:val="2"/>
                <w:szCs w:val="2"/>
                <w:color w:val="auto"/>
              </w:rPr>
            </w:pPr>
          </w:p>
        </w:tc>
        <w:tc>
          <w:tcPr>
            <w:tcW w:w="960" w:type="dxa"/>
            <w:vAlign w:val="bottom"/>
            <w:shd w:val="clear" w:color="auto" w:fill="43C0B9"/>
          </w:tcPr>
          <w:p>
            <w:pPr>
              <w:spacing w:after="0"/>
              <w:rPr>
                <w:sz w:val="2"/>
                <w:szCs w:val="2"/>
                <w:color w:val="auto"/>
              </w:rPr>
            </w:pPr>
          </w:p>
        </w:tc>
      </w:tr>
      <w:tr>
        <w:trPr>
          <w:trHeight w:val="144"/>
        </w:trPr>
        <w:tc>
          <w:tcPr>
            <w:tcW w:w="880" w:type="dxa"/>
            <w:vAlign w:val="bottom"/>
          </w:tcPr>
          <w:p>
            <w:pPr>
              <w:jc w:val="center"/>
              <w:ind w:right="43"/>
              <w:spacing w:after="0"/>
              <w:rPr>
                <w:sz w:val="20"/>
                <w:szCs w:val="20"/>
                <w:color w:val="auto"/>
              </w:rPr>
            </w:pPr>
            <w:r>
              <w:rPr>
                <w:rFonts w:ascii="Arial" w:cs="Arial" w:eastAsia="Arial" w:hAnsi="Arial"/>
                <w:sz w:val="11"/>
                <w:szCs w:val="11"/>
                <w:color w:val="auto"/>
              </w:rPr>
              <w:t>32.1*</w:t>
            </w:r>
          </w:p>
        </w:tc>
        <w:tc>
          <w:tcPr>
            <w:tcW w:w="6680" w:type="dxa"/>
            <w:vAlign w:val="bottom"/>
            <w:gridSpan w:val="6"/>
          </w:tcPr>
          <w:p>
            <w:pPr>
              <w:spacing w:after="0"/>
              <w:rPr>
                <w:rFonts w:ascii="Arial" w:cs="Arial" w:eastAsia="Arial" w:hAnsi="Arial"/>
                <w:sz w:val="11"/>
                <w:szCs w:val="11"/>
                <w:color w:val="0000FF"/>
              </w:rPr>
            </w:pPr>
            <w:hyperlink w:anchor="page175">
              <w:r>
                <w:rPr>
                  <w:rFonts w:ascii="Arial" w:cs="Arial" w:eastAsia="Arial" w:hAnsi="Arial"/>
                  <w:sz w:val="11"/>
                  <w:szCs w:val="11"/>
                  <w:color w:val="0000FF"/>
                </w:rPr>
                <w:t>Certification of Chief Executive Officer pursuant to Section 906 of the Sarbanes-Oxley Act of 2002</w:t>
              </w:r>
            </w:hyperlink>
          </w:p>
        </w:tc>
        <w:tc>
          <w:tcPr>
            <w:tcW w:w="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jc w:val="center"/>
              <w:ind w:left="23"/>
              <w:spacing w:after="0"/>
              <w:rPr>
                <w:sz w:val="20"/>
                <w:szCs w:val="20"/>
                <w:color w:val="auto"/>
              </w:rPr>
            </w:pPr>
            <w:r>
              <w:rPr>
                <w:rFonts w:ascii="Arial" w:cs="Arial" w:eastAsia="Arial" w:hAnsi="Arial"/>
                <w:sz w:val="11"/>
                <w:szCs w:val="11"/>
                <w:color w:val="auto"/>
              </w:rPr>
              <w:t>X</w:t>
            </w:r>
          </w:p>
        </w:tc>
      </w:tr>
      <w:tr>
        <w:trPr>
          <w:trHeight w:val="144"/>
        </w:trPr>
        <w:tc>
          <w:tcPr>
            <w:tcW w:w="880" w:type="dxa"/>
            <w:vAlign w:val="bottom"/>
            <w:shd w:val="clear" w:color="auto" w:fill="43C0B9"/>
          </w:tcPr>
          <w:p>
            <w:pPr>
              <w:jc w:val="center"/>
              <w:ind w:right="43"/>
              <w:spacing w:after="0"/>
              <w:rPr>
                <w:sz w:val="20"/>
                <w:szCs w:val="20"/>
                <w:color w:val="auto"/>
              </w:rPr>
            </w:pPr>
            <w:r>
              <w:rPr>
                <w:rFonts w:ascii="Arial" w:cs="Arial" w:eastAsia="Arial" w:hAnsi="Arial"/>
                <w:sz w:val="11"/>
                <w:szCs w:val="11"/>
                <w:color w:val="auto"/>
              </w:rPr>
              <w:t>32.2*</w:t>
            </w:r>
          </w:p>
        </w:tc>
        <w:tc>
          <w:tcPr>
            <w:tcW w:w="4880" w:type="dxa"/>
            <w:vAlign w:val="bottom"/>
            <w:tcBorders>
              <w:top w:val="single" w:sz="8" w:color="0000FF"/>
              <w:right w:val="single" w:sz="8" w:color="43C0B9"/>
            </w:tcBorders>
            <w:gridSpan w:val="3"/>
            <w:shd w:val="clear" w:color="auto" w:fill="43C0B9"/>
          </w:tcPr>
          <w:p>
            <w:pPr>
              <w:spacing w:after="0"/>
              <w:rPr>
                <w:rFonts w:ascii="Arial" w:cs="Arial" w:eastAsia="Arial" w:hAnsi="Arial"/>
                <w:sz w:val="11"/>
                <w:szCs w:val="11"/>
                <w:color w:val="0000FF"/>
              </w:rPr>
            </w:pPr>
            <w:hyperlink w:anchor="page176">
              <w:r>
                <w:rPr>
                  <w:rFonts w:ascii="Arial" w:cs="Arial" w:eastAsia="Arial" w:hAnsi="Arial"/>
                  <w:sz w:val="11"/>
                  <w:szCs w:val="11"/>
                  <w:color w:val="0000FF"/>
                </w:rPr>
                <w:t>Certification of Chief Financial Officer pursuant to Section 906 of the Sarbanes-Oxley Act of 2002</w:t>
              </w:r>
            </w:hyperlink>
          </w:p>
        </w:tc>
        <w:tc>
          <w:tcPr>
            <w:tcW w:w="1800" w:type="dxa"/>
            <w:vAlign w:val="bottom"/>
            <w:gridSpan w:val="3"/>
            <w:shd w:val="clear" w:color="auto" w:fill="43C0B9"/>
          </w:tcPr>
          <w:p>
            <w:pPr>
              <w:spacing w:after="0"/>
              <w:rPr>
                <w:sz w:val="12"/>
                <w:szCs w:val="12"/>
                <w:color w:val="auto"/>
              </w:rPr>
            </w:pPr>
          </w:p>
        </w:tc>
        <w:tc>
          <w:tcPr>
            <w:tcW w:w="540" w:type="dxa"/>
            <w:vAlign w:val="bottom"/>
            <w:shd w:val="clear" w:color="auto" w:fill="43C0B9"/>
          </w:tcPr>
          <w:p>
            <w:pPr>
              <w:spacing w:after="0"/>
              <w:rPr>
                <w:sz w:val="12"/>
                <w:szCs w:val="12"/>
                <w:color w:val="auto"/>
              </w:rPr>
            </w:pPr>
          </w:p>
        </w:tc>
        <w:tc>
          <w:tcPr>
            <w:tcW w:w="1540" w:type="dxa"/>
            <w:vAlign w:val="bottom"/>
            <w:shd w:val="clear" w:color="auto" w:fill="43C0B9"/>
          </w:tcPr>
          <w:p>
            <w:pPr>
              <w:spacing w:after="0"/>
              <w:rPr>
                <w:sz w:val="12"/>
                <w:szCs w:val="12"/>
                <w:color w:val="auto"/>
              </w:rPr>
            </w:pPr>
          </w:p>
        </w:tc>
        <w:tc>
          <w:tcPr>
            <w:tcW w:w="640" w:type="dxa"/>
            <w:vAlign w:val="bottom"/>
            <w:shd w:val="clear" w:color="auto" w:fill="43C0B9"/>
          </w:tcPr>
          <w:p>
            <w:pPr>
              <w:spacing w:after="0"/>
              <w:rPr>
                <w:sz w:val="12"/>
                <w:szCs w:val="12"/>
                <w:color w:val="auto"/>
              </w:rPr>
            </w:pPr>
          </w:p>
        </w:tc>
        <w:tc>
          <w:tcPr>
            <w:tcW w:w="960" w:type="dxa"/>
            <w:vAlign w:val="bottom"/>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r>
        <w:trPr>
          <w:trHeight w:val="32"/>
        </w:trPr>
        <w:tc>
          <w:tcPr>
            <w:tcW w:w="880" w:type="dxa"/>
            <w:vAlign w:val="bottom"/>
            <w:shd w:val="clear" w:color="auto" w:fill="43C0B9"/>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2660" w:type="dxa"/>
            <w:vAlign w:val="bottom"/>
            <w:shd w:val="clear" w:color="auto" w:fill="0000FF"/>
          </w:tcPr>
          <w:p>
            <w:pPr>
              <w:spacing w:after="0"/>
              <w:rPr>
                <w:sz w:val="2"/>
                <w:szCs w:val="2"/>
                <w:color w:val="auto"/>
              </w:rPr>
            </w:pPr>
          </w:p>
        </w:tc>
        <w:tc>
          <w:tcPr>
            <w:tcW w:w="1320" w:type="dxa"/>
            <w:vAlign w:val="bottom"/>
            <w:tcBorders>
              <w:right w:val="single" w:sz="8" w:color="43C0B9"/>
            </w:tcBorders>
            <w:shd w:val="clear" w:color="auto" w:fill="0000FF"/>
          </w:tcPr>
          <w:p>
            <w:pPr>
              <w:spacing w:after="0"/>
              <w:rPr>
                <w:sz w:val="2"/>
                <w:szCs w:val="2"/>
                <w:color w:val="auto"/>
              </w:rPr>
            </w:pPr>
          </w:p>
        </w:tc>
        <w:tc>
          <w:tcPr>
            <w:tcW w:w="1560" w:type="dxa"/>
            <w:vAlign w:val="bottom"/>
            <w:shd w:val="clear" w:color="auto" w:fill="43C0B9"/>
          </w:tcPr>
          <w:p>
            <w:pPr>
              <w:spacing w:after="0"/>
              <w:rPr>
                <w:sz w:val="2"/>
                <w:szCs w:val="2"/>
                <w:color w:val="auto"/>
              </w:rPr>
            </w:pPr>
          </w:p>
        </w:tc>
        <w:tc>
          <w:tcPr>
            <w:tcW w:w="20" w:type="dxa"/>
            <w:vAlign w:val="bottom"/>
            <w:shd w:val="clear" w:color="auto" w:fill="43C0B9"/>
          </w:tcPr>
          <w:p>
            <w:pPr>
              <w:spacing w:after="0"/>
              <w:rPr>
                <w:sz w:val="2"/>
                <w:szCs w:val="2"/>
                <w:color w:val="auto"/>
              </w:rPr>
            </w:pPr>
          </w:p>
        </w:tc>
        <w:tc>
          <w:tcPr>
            <w:tcW w:w="220" w:type="dxa"/>
            <w:vAlign w:val="bottom"/>
            <w:shd w:val="clear" w:color="auto" w:fill="43C0B9"/>
          </w:tcPr>
          <w:p>
            <w:pPr>
              <w:spacing w:after="0"/>
              <w:rPr>
                <w:sz w:val="2"/>
                <w:szCs w:val="2"/>
                <w:color w:val="auto"/>
              </w:rPr>
            </w:pPr>
          </w:p>
        </w:tc>
        <w:tc>
          <w:tcPr>
            <w:tcW w:w="540" w:type="dxa"/>
            <w:vAlign w:val="bottom"/>
            <w:shd w:val="clear" w:color="auto" w:fill="43C0B9"/>
          </w:tcPr>
          <w:p>
            <w:pPr>
              <w:spacing w:after="0"/>
              <w:rPr>
                <w:sz w:val="2"/>
                <w:szCs w:val="2"/>
                <w:color w:val="auto"/>
              </w:rPr>
            </w:pPr>
          </w:p>
        </w:tc>
        <w:tc>
          <w:tcPr>
            <w:tcW w:w="1540" w:type="dxa"/>
            <w:vAlign w:val="bottom"/>
            <w:shd w:val="clear" w:color="auto" w:fill="43C0B9"/>
          </w:tcPr>
          <w:p>
            <w:pPr>
              <w:spacing w:after="0"/>
              <w:rPr>
                <w:sz w:val="2"/>
                <w:szCs w:val="2"/>
                <w:color w:val="auto"/>
              </w:rPr>
            </w:pPr>
          </w:p>
        </w:tc>
        <w:tc>
          <w:tcPr>
            <w:tcW w:w="640" w:type="dxa"/>
            <w:vAlign w:val="bottom"/>
            <w:shd w:val="clear" w:color="auto" w:fill="43C0B9"/>
          </w:tcPr>
          <w:p>
            <w:pPr>
              <w:spacing w:after="0"/>
              <w:rPr>
                <w:sz w:val="2"/>
                <w:szCs w:val="2"/>
                <w:color w:val="auto"/>
              </w:rPr>
            </w:pPr>
          </w:p>
        </w:tc>
        <w:tc>
          <w:tcPr>
            <w:tcW w:w="960" w:type="dxa"/>
            <w:vAlign w:val="bottom"/>
            <w:shd w:val="clear" w:color="auto" w:fill="43C0B9"/>
          </w:tcPr>
          <w:p>
            <w:pPr>
              <w:spacing w:after="0"/>
              <w:rPr>
                <w:sz w:val="2"/>
                <w:szCs w:val="2"/>
                <w:color w:val="auto"/>
              </w:rPr>
            </w:pPr>
          </w:p>
        </w:tc>
      </w:tr>
      <w:tr>
        <w:trPr>
          <w:trHeight w:val="152"/>
        </w:trPr>
        <w:tc>
          <w:tcPr>
            <w:tcW w:w="880" w:type="dxa"/>
            <w:vAlign w:val="bottom"/>
          </w:tcPr>
          <w:p>
            <w:pPr>
              <w:jc w:val="center"/>
              <w:ind w:right="23"/>
              <w:spacing w:after="0"/>
              <w:rPr>
                <w:sz w:val="20"/>
                <w:szCs w:val="20"/>
                <w:color w:val="auto"/>
              </w:rPr>
            </w:pPr>
            <w:r>
              <w:rPr>
                <w:rFonts w:ascii="Arial" w:cs="Arial" w:eastAsia="Arial" w:hAnsi="Arial"/>
                <w:sz w:val="11"/>
                <w:szCs w:val="11"/>
                <w:color w:val="auto"/>
              </w:rPr>
              <w:t>101</w:t>
            </w:r>
          </w:p>
        </w:tc>
        <w:tc>
          <w:tcPr>
            <w:tcW w:w="6680" w:type="dxa"/>
            <w:vAlign w:val="bottom"/>
            <w:gridSpan w:val="6"/>
          </w:tcPr>
          <w:p>
            <w:pPr>
              <w:spacing w:after="0"/>
              <w:rPr>
                <w:sz w:val="20"/>
                <w:szCs w:val="20"/>
                <w:color w:val="auto"/>
              </w:rPr>
            </w:pPr>
            <w:r>
              <w:rPr>
                <w:rFonts w:ascii="Arial" w:cs="Arial" w:eastAsia="Arial" w:hAnsi="Arial"/>
                <w:sz w:val="11"/>
                <w:szCs w:val="11"/>
                <w:color w:val="auto"/>
              </w:rPr>
              <w:t>The following financial statements from the Company's Annual Report on Form 10-K for the year ended October 31, 2021</w:t>
            </w:r>
          </w:p>
        </w:tc>
        <w:tc>
          <w:tcPr>
            <w:tcW w:w="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center"/>
              <w:ind w:left="23"/>
              <w:spacing w:after="0"/>
              <w:rPr>
                <w:sz w:val="20"/>
                <w:szCs w:val="20"/>
                <w:color w:val="auto"/>
              </w:rPr>
            </w:pPr>
            <w:r>
              <w:rPr>
                <w:rFonts w:ascii="Arial" w:cs="Arial" w:eastAsia="Arial" w:hAnsi="Arial"/>
                <w:sz w:val="11"/>
                <w:szCs w:val="11"/>
                <w:color w:val="auto"/>
              </w:rPr>
              <w:t>X</w:t>
            </w:r>
          </w:p>
        </w:tc>
      </w:tr>
      <w:tr>
        <w:trPr>
          <w:trHeight w:val="127"/>
        </w:trPr>
        <w:tc>
          <w:tcPr>
            <w:tcW w:w="880" w:type="dxa"/>
            <w:vAlign w:val="bottom"/>
          </w:tcPr>
          <w:p>
            <w:pPr>
              <w:spacing w:after="0"/>
              <w:rPr>
                <w:sz w:val="11"/>
                <w:szCs w:val="11"/>
                <w:color w:val="auto"/>
              </w:rPr>
            </w:pPr>
          </w:p>
        </w:tc>
        <w:tc>
          <w:tcPr>
            <w:tcW w:w="6680" w:type="dxa"/>
            <w:vAlign w:val="bottom"/>
            <w:gridSpan w:val="6"/>
          </w:tcPr>
          <w:p>
            <w:pPr>
              <w:spacing w:after="0"/>
              <w:rPr>
                <w:sz w:val="20"/>
                <w:szCs w:val="20"/>
                <w:color w:val="auto"/>
              </w:rPr>
            </w:pPr>
            <w:r>
              <w:rPr>
                <w:rFonts w:ascii="Arial" w:cs="Arial" w:eastAsia="Arial" w:hAnsi="Arial"/>
                <w:sz w:val="11"/>
                <w:szCs w:val="11"/>
                <w:color w:val="auto"/>
              </w:rPr>
              <w:t>formatted in Inline XBRL: (i) Consolidated Balance Sheets, (ii) Consolidated Statements of Operations, (iii) Consolidated</w:t>
            </w:r>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27"/>
        </w:trPr>
        <w:tc>
          <w:tcPr>
            <w:tcW w:w="880" w:type="dxa"/>
            <w:vAlign w:val="bottom"/>
          </w:tcPr>
          <w:p>
            <w:pPr>
              <w:spacing w:after="0"/>
              <w:rPr>
                <w:sz w:val="11"/>
                <w:szCs w:val="11"/>
                <w:color w:val="auto"/>
              </w:rPr>
            </w:pPr>
          </w:p>
        </w:tc>
        <w:tc>
          <w:tcPr>
            <w:tcW w:w="6680" w:type="dxa"/>
            <w:vAlign w:val="bottom"/>
            <w:gridSpan w:val="6"/>
          </w:tcPr>
          <w:p>
            <w:pPr>
              <w:spacing w:after="0"/>
              <w:rPr>
                <w:sz w:val="20"/>
                <w:szCs w:val="20"/>
                <w:color w:val="auto"/>
              </w:rPr>
            </w:pPr>
            <w:r>
              <w:rPr>
                <w:rFonts w:ascii="Arial" w:cs="Arial" w:eastAsia="Arial" w:hAnsi="Arial"/>
                <w:sz w:val="11"/>
                <w:szCs w:val="11"/>
                <w:color w:val="auto"/>
              </w:rPr>
              <w:t>Statements of Comprehensive Income, (iv) Consolidated Statements of Stockholders' Equity, (v) Consolidated Statements of Cash</w:t>
            </w:r>
          </w:p>
        </w:tc>
        <w:tc>
          <w:tcPr>
            <w:tcW w:w="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1"/>
        </w:trPr>
        <w:tc>
          <w:tcPr>
            <w:tcW w:w="880" w:type="dxa"/>
            <w:vAlign w:val="bottom"/>
          </w:tcPr>
          <w:p>
            <w:pPr>
              <w:spacing w:after="0"/>
              <w:rPr>
                <w:sz w:val="12"/>
                <w:szCs w:val="12"/>
                <w:color w:val="auto"/>
              </w:rPr>
            </w:pPr>
          </w:p>
        </w:tc>
        <w:tc>
          <w:tcPr>
            <w:tcW w:w="6680" w:type="dxa"/>
            <w:vAlign w:val="bottom"/>
            <w:gridSpan w:val="6"/>
          </w:tcPr>
          <w:p>
            <w:pPr>
              <w:spacing w:after="0"/>
              <w:rPr>
                <w:sz w:val="20"/>
                <w:szCs w:val="20"/>
                <w:color w:val="auto"/>
              </w:rPr>
            </w:pPr>
            <w:r>
              <w:rPr>
                <w:rFonts w:ascii="Arial" w:cs="Arial" w:eastAsia="Arial" w:hAnsi="Arial"/>
                <w:sz w:val="11"/>
                <w:szCs w:val="11"/>
                <w:color w:val="auto"/>
              </w:rPr>
              <w:t>Flows, and (vi) Notes to Consolidated Financial Statements, tagged as blocks of text and including detailed tags.</w:t>
            </w:r>
          </w:p>
        </w:tc>
        <w:tc>
          <w:tcPr>
            <w:tcW w:w="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880" w:type="dxa"/>
            <w:vAlign w:val="bottom"/>
            <w:shd w:val="clear" w:color="auto" w:fill="43C0B9"/>
          </w:tcPr>
          <w:p>
            <w:pPr>
              <w:jc w:val="center"/>
              <w:ind w:right="23"/>
              <w:spacing w:after="0"/>
              <w:rPr>
                <w:sz w:val="20"/>
                <w:szCs w:val="20"/>
                <w:color w:val="auto"/>
              </w:rPr>
            </w:pPr>
            <w:r>
              <w:rPr>
                <w:rFonts w:ascii="Arial" w:cs="Arial" w:eastAsia="Arial" w:hAnsi="Arial"/>
                <w:sz w:val="11"/>
                <w:szCs w:val="11"/>
                <w:color w:val="auto"/>
              </w:rPr>
              <w:t>104</w:t>
            </w:r>
          </w:p>
        </w:tc>
        <w:tc>
          <w:tcPr>
            <w:tcW w:w="6680" w:type="dxa"/>
            <w:vAlign w:val="bottom"/>
            <w:gridSpan w:val="6"/>
            <w:shd w:val="clear" w:color="auto" w:fill="43C0B9"/>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c>
          <w:tcPr>
            <w:tcW w:w="540" w:type="dxa"/>
            <w:vAlign w:val="bottom"/>
            <w:shd w:val="clear" w:color="auto" w:fill="43C0B9"/>
          </w:tcPr>
          <w:p>
            <w:pPr>
              <w:spacing w:after="0"/>
              <w:rPr>
                <w:sz w:val="15"/>
                <w:szCs w:val="15"/>
                <w:color w:val="auto"/>
              </w:rPr>
            </w:pPr>
          </w:p>
        </w:tc>
        <w:tc>
          <w:tcPr>
            <w:tcW w:w="1540" w:type="dxa"/>
            <w:vAlign w:val="bottom"/>
            <w:shd w:val="clear" w:color="auto" w:fill="43C0B9"/>
          </w:tcPr>
          <w:p>
            <w:pPr>
              <w:spacing w:after="0"/>
              <w:rPr>
                <w:sz w:val="15"/>
                <w:szCs w:val="15"/>
                <w:color w:val="auto"/>
              </w:rPr>
            </w:pPr>
          </w:p>
        </w:tc>
        <w:tc>
          <w:tcPr>
            <w:tcW w:w="640" w:type="dxa"/>
            <w:vAlign w:val="bottom"/>
            <w:shd w:val="clear" w:color="auto" w:fill="43C0B9"/>
          </w:tcPr>
          <w:p>
            <w:pPr>
              <w:spacing w:after="0"/>
              <w:rPr>
                <w:sz w:val="15"/>
                <w:szCs w:val="15"/>
                <w:color w:val="auto"/>
              </w:rPr>
            </w:pPr>
          </w:p>
        </w:tc>
        <w:tc>
          <w:tcPr>
            <w:tcW w:w="960" w:type="dxa"/>
            <w:vAlign w:val="bottom"/>
            <w:shd w:val="clear" w:color="auto" w:fill="43C0B9"/>
          </w:tcPr>
          <w:p>
            <w:pPr>
              <w:jc w:val="center"/>
              <w:ind w:left="23"/>
              <w:spacing w:after="0"/>
              <w:rPr>
                <w:sz w:val="20"/>
                <w:szCs w:val="20"/>
                <w:color w:val="auto"/>
              </w:rPr>
            </w:pPr>
            <w:r>
              <w:rPr>
                <w:rFonts w:ascii="Arial" w:cs="Arial" w:eastAsia="Arial" w:hAnsi="Arial"/>
                <w:sz w:val="11"/>
                <w:szCs w:val="11"/>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61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0"/>
          <w:szCs w:val="10"/>
          <w:color w:val="auto"/>
        </w:rPr>
        <w:t># Previously filed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Indicates management contract or compensatory plan.</w:t>
      </w:r>
    </w:p>
    <w:p>
      <w:pPr>
        <w:spacing w:after="0" w:line="26" w:lineRule="exact"/>
        <w:rPr>
          <w:sz w:val="20"/>
          <w:szCs w:val="20"/>
          <w:color w:val="auto"/>
        </w:rPr>
      </w:pPr>
    </w:p>
    <w:p>
      <w:pPr>
        <w:ind w:left="480" w:right="300" w:hanging="71"/>
        <w:spacing w:after="0" w:line="222" w:lineRule="auto"/>
        <w:tabs>
          <w:tab w:leader="none" w:pos="480"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331"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b w:val="1"/>
          <w:bCs w:val="1"/>
          <w:color w:val="232F84"/>
        </w:rPr>
        <w:t>Item 16.</w:t>
      </w:r>
      <w:r>
        <w:rPr>
          <w:sz w:val="20"/>
          <w:szCs w:val="20"/>
          <w:color w:val="auto"/>
        </w:rPr>
        <w:tab/>
      </w:r>
      <w:r>
        <w:rPr>
          <w:rFonts w:ascii="Arial" w:cs="Arial" w:eastAsia="Arial" w:hAnsi="Arial"/>
          <w:sz w:val="19"/>
          <w:szCs w:val="19"/>
          <w:b w:val="1"/>
          <w:bCs w:val="1"/>
          <w:color w:val="232F84"/>
        </w:rPr>
        <w:t>Form 10-K Summary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3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70"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20"/>
          <w:szCs w:val="20"/>
          <w:b w:val="1"/>
          <w:bCs w:val="1"/>
          <w:color w:val="232F84"/>
        </w:rPr>
        <w:t>SIGNATURES</w:t>
      </w:r>
    </w:p>
    <w:p>
      <w:pPr>
        <w:spacing w:after="0" w:line="197" w:lineRule="exact"/>
        <w:rPr>
          <w:sz w:val="20"/>
          <w:szCs w:val="20"/>
          <w:color w:val="auto"/>
        </w:rPr>
      </w:pPr>
    </w:p>
    <w:p>
      <w:pPr>
        <w:ind w:right="240" w:firstLine="509"/>
        <w:spacing w:after="0" w:line="24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to be signed on its behalf by the undersigned, thereunto duly authorized, on December 22, 2021.</w:t>
      </w:r>
    </w:p>
    <w:p>
      <w:pPr>
        <w:spacing w:after="0" w:line="211" w:lineRule="exact"/>
        <w:rPr>
          <w:sz w:val="20"/>
          <w:szCs w:val="20"/>
          <w:color w:val="auto"/>
        </w:rPr>
      </w:pPr>
    </w:p>
    <w:p>
      <w:pPr>
        <w:jc w:val="center"/>
        <w:ind w:left="7360"/>
        <w:spacing w:after="0"/>
        <w:rPr>
          <w:sz w:val="20"/>
          <w:szCs w:val="20"/>
          <w:color w:val="auto"/>
        </w:rPr>
      </w:pPr>
      <w:r>
        <w:rPr>
          <w:rFonts w:ascii="Arial" w:cs="Arial" w:eastAsia="Arial" w:hAnsi="Arial"/>
          <w:sz w:val="13"/>
          <w:szCs w:val="13"/>
          <w:b w:val="1"/>
          <w:bCs w:val="1"/>
          <w:color w:val="232F84"/>
        </w:rPr>
        <w:t>MISSION PRODUCE, INC.</w:t>
      </w:r>
    </w:p>
    <w:p>
      <w:pPr>
        <w:spacing w:after="0" w:line="123" w:lineRule="exact"/>
        <w:rPr>
          <w:sz w:val="20"/>
          <w:szCs w:val="20"/>
          <w:color w:val="auto"/>
        </w:rPr>
      </w:pPr>
    </w:p>
    <w:p>
      <w:pPr>
        <w:ind w:left="876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5080</wp:posOffset>
            </wp:positionV>
            <wp:extent cx="24860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2486025" cy="6985"/>
                    </a:xfrm>
                    <a:prstGeom prst="rect">
                      <a:avLst/>
                    </a:prstGeom>
                    <a:noFill/>
                  </pic:spPr>
                </pic:pic>
              </a:graphicData>
            </a:graphic>
          </wp:anchor>
        </w:drawing>
      </w:r>
    </w:p>
    <w:p>
      <w:pPr>
        <w:spacing w:after="0" w:line="23" w:lineRule="exact"/>
        <w:rPr>
          <w:sz w:val="20"/>
          <w:szCs w:val="20"/>
          <w:color w:val="auto"/>
        </w:rPr>
      </w:pPr>
    </w:p>
    <w:p>
      <w:pPr>
        <w:ind w:left="8840"/>
        <w:spacing w:after="0"/>
        <w:rPr>
          <w:sz w:val="20"/>
          <w:szCs w:val="20"/>
          <w:color w:val="auto"/>
        </w:rPr>
      </w:pPr>
      <w:r>
        <w:rPr>
          <w:rFonts w:ascii="Arial" w:cs="Arial" w:eastAsia="Arial" w:hAnsi="Arial"/>
          <w:sz w:val="11"/>
          <w:szCs w:val="11"/>
          <w:color w:val="auto"/>
        </w:rPr>
        <w:t>Stephen J. Barnard</w:t>
      </w:r>
    </w:p>
    <w:p>
      <w:pPr>
        <w:spacing w:after="0" w:line="21" w:lineRule="exact"/>
        <w:rPr>
          <w:sz w:val="20"/>
          <w:szCs w:val="20"/>
          <w:color w:val="auto"/>
        </w:rPr>
      </w:pPr>
    </w:p>
    <w:p>
      <w:pPr>
        <w:ind w:left="8760"/>
        <w:spacing w:after="0"/>
        <w:rPr>
          <w:sz w:val="20"/>
          <w:szCs w:val="20"/>
          <w:color w:val="auto"/>
        </w:rPr>
      </w:pPr>
      <w:r>
        <w:rPr>
          <w:rFonts w:ascii="Arial" w:cs="Arial" w:eastAsia="Arial" w:hAnsi="Arial"/>
          <w:sz w:val="11"/>
          <w:szCs w:val="11"/>
          <w:i w:val="1"/>
          <w:iCs w:val="1"/>
          <w:color w:val="auto"/>
        </w:rPr>
        <w:t>Chief Executive Officer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232F84"/>
        </w:rPr>
        <w:t>POWER OF ATTORNEY</w:t>
      </w:r>
    </w:p>
    <w:p>
      <w:pPr>
        <w:spacing w:after="0" w:line="188"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KNOW ALL PERSONS BY THESE PRESENTS, that each person whose signature appears below constitutes and appoints Stephen J. Barnard and Bryan E. Giles, or either of them,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55"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Pursuant to the requirements of the Securities Exchange Act of 1934, this annual report has been signed below on December 22, 2021, by the following persons on behalf of the registrant and in the capacities and on the dates indicated.</w:t>
      </w:r>
    </w:p>
    <w:p>
      <w:pPr>
        <w:sectPr>
          <w:pgSz w:w="11900" w:h="16838" w:orient="portrait"/>
          <w:cols w:equalWidth="0" w:num="1">
            <w:col w:w="11280"/>
          </w:cols>
          <w:pgMar w:left="300" w:top="711" w:right="319" w:bottom="1440" w:gutter="0" w:footer="0" w:header="0"/>
        </w:sectPr>
      </w:pPr>
    </w:p>
    <w:p>
      <w:pPr>
        <w:spacing w:after="0" w:line="363" w:lineRule="exact"/>
        <w:rPr>
          <w:sz w:val="20"/>
          <w:szCs w:val="20"/>
          <w:color w:val="auto"/>
        </w:rPr>
      </w:pPr>
    </w:p>
    <w:p>
      <w:pPr>
        <w:ind w:left="1880"/>
        <w:spacing w:after="0"/>
        <w:rPr>
          <w:sz w:val="20"/>
          <w:szCs w:val="20"/>
          <w:color w:val="auto"/>
        </w:rPr>
      </w:pPr>
      <w:r>
        <w:rPr>
          <w:rFonts w:ascii="Arial" w:cs="Arial" w:eastAsia="Arial" w:hAnsi="Arial"/>
          <w:sz w:val="11"/>
          <w:szCs w:val="11"/>
          <w:b w:val="1"/>
          <w:bCs w:val="1"/>
          <w:color w:val="auto"/>
        </w:rPr>
        <w:t>Signature</w:t>
      </w:r>
    </w:p>
    <w:p>
      <w:pPr>
        <w:spacing w:after="0" w:line="386"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18415</wp:posOffset>
            </wp:positionV>
            <wp:extent cx="21628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44" w:lineRule="exact"/>
        <w:rPr>
          <w:sz w:val="20"/>
          <w:szCs w:val="20"/>
          <w:color w:val="auto"/>
        </w:rPr>
      </w:pPr>
    </w:p>
    <w:p>
      <w:pPr>
        <w:jc w:val="center"/>
        <w:ind w:right="480"/>
        <w:spacing w:after="0"/>
        <w:rPr>
          <w:sz w:val="20"/>
          <w:szCs w:val="20"/>
          <w:color w:val="auto"/>
        </w:rPr>
      </w:pPr>
      <w:r>
        <w:rPr>
          <w:rFonts w:ascii="Arial" w:cs="Arial" w:eastAsia="Arial" w:hAnsi="Arial"/>
          <w:sz w:val="11"/>
          <w:szCs w:val="11"/>
          <w:color w:val="auto"/>
        </w:rPr>
        <w:t>Stephen J. Barnard</w:t>
      </w:r>
    </w:p>
    <w:p>
      <w:pPr>
        <w:spacing w:after="0" w:line="213"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Bryan E. Giles</w:t>
      </w:r>
    </w:p>
    <w:p>
      <w:pPr>
        <w:spacing w:after="0" w:line="224" w:lineRule="exact"/>
        <w:rPr>
          <w:sz w:val="20"/>
          <w:szCs w:val="20"/>
          <w:color w:val="auto"/>
        </w:rPr>
      </w:pPr>
    </w:p>
    <w:p>
      <w:pPr>
        <w:ind w:left="1660"/>
        <w:spacing w:after="0"/>
        <w:rPr>
          <w:sz w:val="20"/>
          <w:szCs w:val="20"/>
          <w:color w:val="auto"/>
        </w:rPr>
      </w:pPr>
      <w:r>
        <w:rPr>
          <w:rFonts w:ascii="Arial" w:cs="Arial" w:eastAsia="Arial" w:hAnsi="Arial"/>
          <w:sz w:val="11"/>
          <w:szCs w:val="11"/>
          <w:color w:val="auto"/>
        </w:rPr>
        <w:t>/s/ Steve A.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Steve A. Beebe</w:t>
      </w:r>
    </w:p>
    <w:p>
      <w:pPr>
        <w:spacing w:after="0" w:line="224" w:lineRule="exact"/>
        <w:rPr>
          <w:sz w:val="20"/>
          <w:szCs w:val="20"/>
          <w:color w:val="auto"/>
        </w:rPr>
      </w:pPr>
    </w:p>
    <w:p>
      <w:pPr>
        <w:ind w:left="1540"/>
        <w:spacing w:after="0"/>
        <w:rPr>
          <w:sz w:val="20"/>
          <w:szCs w:val="20"/>
          <w:color w:val="auto"/>
        </w:rPr>
      </w:pPr>
      <w:r>
        <w:rPr>
          <w:rFonts w:ascii="Arial" w:cs="Arial" w:eastAsia="Arial" w:hAnsi="Arial"/>
          <w:sz w:val="11"/>
          <w:szCs w:val="11"/>
          <w:color w:val="auto"/>
        </w:rPr>
        <w:t>/s/ Stephen W. Bershad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1"/>
          <w:szCs w:val="11"/>
          <w:color w:val="auto"/>
        </w:rPr>
        <w:t>Stephen W. Bershad</w:t>
      </w:r>
    </w:p>
    <w:p>
      <w:pPr>
        <w:spacing w:after="0" w:line="224" w:lineRule="exact"/>
        <w:rPr>
          <w:sz w:val="20"/>
          <w:szCs w:val="20"/>
          <w:color w:val="auto"/>
        </w:rPr>
      </w:pPr>
    </w:p>
    <w:p>
      <w:pPr>
        <w:ind w:left="1620"/>
        <w:spacing w:after="0"/>
        <w:rPr>
          <w:sz w:val="20"/>
          <w:szCs w:val="20"/>
          <w:color w:val="auto"/>
        </w:rPr>
      </w:pPr>
      <w:r>
        <w:rPr>
          <w:rFonts w:ascii="Arial" w:cs="Arial" w:eastAsia="Arial" w:hAnsi="Arial"/>
          <w:sz w:val="11"/>
          <w:szCs w:val="11"/>
          <w:color w:val="auto"/>
        </w:rPr>
        <w:t>/s/ Luis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00"/>
        <w:spacing w:after="0"/>
        <w:rPr>
          <w:sz w:val="20"/>
          <w:szCs w:val="20"/>
          <w:color w:val="auto"/>
        </w:rPr>
      </w:pPr>
      <w:r>
        <w:rPr>
          <w:rFonts w:ascii="Arial" w:cs="Arial" w:eastAsia="Arial" w:hAnsi="Arial"/>
          <w:sz w:val="11"/>
          <w:szCs w:val="11"/>
          <w:color w:val="auto"/>
        </w:rPr>
        <w:t>Luis A. Gonzalez</w:t>
      </w:r>
    </w:p>
    <w:p>
      <w:pPr>
        <w:spacing w:after="0" w:line="224"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/s/ Bonnie C. Lind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Bonnie C. Lind</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/s/ Jay A.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840"/>
        <w:spacing w:after="0"/>
        <w:rPr>
          <w:sz w:val="20"/>
          <w:szCs w:val="20"/>
          <w:color w:val="auto"/>
        </w:rPr>
      </w:pPr>
      <w:r>
        <w:rPr>
          <w:rFonts w:ascii="Arial" w:cs="Arial" w:eastAsia="Arial" w:hAnsi="Arial"/>
          <w:sz w:val="11"/>
          <w:szCs w:val="11"/>
          <w:color w:val="auto"/>
        </w:rPr>
        <w:t>Jay A. Pack</w:t>
      </w:r>
    </w:p>
    <w:p>
      <w:pPr>
        <w:spacing w:after="0" w:line="224"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/s/ Bruce C.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40"/>
        <w:spacing w:after="0"/>
        <w:rPr>
          <w:sz w:val="20"/>
          <w:szCs w:val="20"/>
          <w:color w:val="auto"/>
        </w:rPr>
      </w:pPr>
      <w:r>
        <w:rPr>
          <w:rFonts w:ascii="Arial" w:cs="Arial" w:eastAsia="Arial" w:hAnsi="Arial"/>
          <w:sz w:val="11"/>
          <w:szCs w:val="11"/>
          <w:color w:val="auto"/>
        </w:rPr>
        <w:t>Bruce C. Taylor</w:t>
      </w:r>
    </w:p>
    <w:p>
      <w:pPr>
        <w:spacing w:after="0" w:line="224"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/s/ Linda B. Segre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760"/>
        <w:spacing w:after="0"/>
        <w:rPr>
          <w:sz w:val="20"/>
          <w:szCs w:val="20"/>
          <w:color w:val="auto"/>
        </w:rPr>
      </w:pPr>
      <w:r>
        <w:rPr>
          <w:rFonts w:ascii="Arial" w:cs="Arial" w:eastAsia="Arial" w:hAnsi="Arial"/>
          <w:sz w:val="11"/>
          <w:szCs w:val="11"/>
          <w:color w:val="auto"/>
        </w:rPr>
        <w:t>Linda B. Segre</w:t>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/s/ Shaunte Mears-Watkins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11430</wp:posOffset>
            </wp:positionV>
            <wp:extent cx="21628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2162810" cy="6985"/>
                    </a:xfrm>
                    <a:prstGeom prst="rect">
                      <a:avLst/>
                    </a:prstGeom>
                    <a:noFill/>
                  </pic:spPr>
                </pic:pic>
              </a:graphicData>
            </a:graphic>
          </wp:anchor>
        </w:drawing>
      </w:r>
    </w:p>
    <w:p>
      <w:pPr>
        <w:spacing w:after="0" w:line="182" w:lineRule="exact"/>
        <w:rPr>
          <w:sz w:val="20"/>
          <w:szCs w:val="20"/>
          <w:color w:val="auto"/>
        </w:rPr>
      </w:pPr>
    </w:p>
    <w:p>
      <w:pPr>
        <w:ind w:left="1540"/>
        <w:spacing w:after="0"/>
        <w:rPr>
          <w:sz w:val="20"/>
          <w:szCs w:val="20"/>
          <w:color w:val="auto"/>
        </w:rPr>
      </w:pPr>
      <w:r>
        <w:rPr>
          <w:rFonts w:ascii="Arial" w:cs="Arial" w:eastAsia="Arial" w:hAnsi="Arial"/>
          <w:sz w:val="11"/>
          <w:szCs w:val="11"/>
          <w:color w:val="auto"/>
        </w:rPr>
        <w:t>Shaunte Mears-Watkins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1780"/>
        <w:spacing w:after="0"/>
        <w:rPr>
          <w:sz w:val="20"/>
          <w:szCs w:val="20"/>
          <w:color w:val="auto"/>
        </w:rPr>
      </w:pPr>
      <w:r>
        <w:rPr>
          <w:rFonts w:ascii="Arial" w:cs="Arial" w:eastAsia="Arial" w:hAnsi="Arial"/>
          <w:sz w:val="11"/>
          <w:szCs w:val="11"/>
          <w:b w:val="1"/>
          <w:bCs w:val="1"/>
          <w:color w:val="auto"/>
        </w:rPr>
        <w:t>Title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President, Chief Executive Officer and Director (Principal Executive Officer)</w:t>
      </w: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Chief Financial Officer (Principal Financial and Accounting Officer)</w:t>
      </w:r>
    </w:p>
    <w:p>
      <w:pPr>
        <w:spacing w:after="0" w:line="200" w:lineRule="exact"/>
        <w:rPr>
          <w:sz w:val="20"/>
          <w:szCs w:val="20"/>
          <w:color w:val="auto"/>
        </w:rPr>
      </w:pPr>
    </w:p>
    <w:p>
      <w:pPr>
        <w:spacing w:after="0" w:line="289"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00" w:lineRule="exact"/>
        <w:rPr>
          <w:sz w:val="20"/>
          <w:szCs w:val="20"/>
          <w:color w:val="auto"/>
        </w:rPr>
      </w:pPr>
    </w:p>
    <w:p>
      <w:pPr>
        <w:spacing w:after="0" w:line="353" w:lineRule="exact"/>
        <w:rPr>
          <w:sz w:val="20"/>
          <w:szCs w:val="20"/>
          <w:color w:val="auto"/>
        </w:rPr>
      </w:pPr>
    </w:p>
    <w:p>
      <w:pPr>
        <w:ind w:left="1680"/>
        <w:spacing w:after="0"/>
        <w:rPr>
          <w:sz w:val="20"/>
          <w:szCs w:val="20"/>
          <w:color w:val="auto"/>
        </w:rPr>
      </w:pPr>
      <w:r>
        <w:rPr>
          <w:rFonts w:ascii="Arial" w:cs="Arial" w:eastAsia="Arial" w:hAnsi="Arial"/>
          <w:sz w:val="11"/>
          <w:szCs w:val="11"/>
          <w:color w:val="auto"/>
        </w:rPr>
        <w:t>Director</w:t>
      </w:r>
    </w:p>
    <w:p>
      <w:pPr>
        <w:spacing w:after="0" w:line="274" w:lineRule="exact"/>
        <w:rPr>
          <w:sz w:val="20"/>
          <w:szCs w:val="20"/>
          <w:color w:val="auto"/>
        </w:rPr>
      </w:pPr>
    </w:p>
    <w:p>
      <w:pPr>
        <w:sectPr>
          <w:pgSz w:w="11900" w:h="16838" w:orient="portrait"/>
          <w:cols w:equalWidth="0" w:num="2">
            <w:col w:w="4740" w:space="720"/>
            <w:col w:w="5820"/>
          </w:cols>
          <w:pgMar w:left="300" w:top="711" w:right="319" w:bottom="1440" w:gutter="0" w:footer="0" w:header="0"/>
          <w:type w:val="continuous"/>
        </w:sectPr>
      </w:pPr>
    </w:p>
    <w:p>
      <w:pPr>
        <w:spacing w:after="0" w:line="276" w:lineRule="exact"/>
        <w:rPr>
          <w:sz w:val="20"/>
          <w:szCs w:val="20"/>
          <w:color w:val="auto"/>
        </w:rPr>
      </w:pPr>
    </w:p>
    <w:p>
      <w:pPr>
        <w:jc w:val="center"/>
        <w:ind w:left="4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type w:val="continuous"/>
        </w:sectPr>
      </w:pPr>
    </w:p>
    <w:bookmarkStart w:id="35" w:name="page36"/>
    <w:bookmarkEnd w:id="35"/>
    <w:p>
      <w:pPr>
        <w:jc w:val="center"/>
        <w:ind w:left="1720"/>
        <w:spacing w:after="0"/>
        <w:rPr>
          <w:sz w:val="20"/>
          <w:szCs w:val="20"/>
          <w:color w:val="auto"/>
        </w:rPr>
      </w:pPr>
      <w:r>
        <w:rPr>
          <w:rFonts w:ascii="Arial" w:cs="Arial" w:eastAsia="Arial" w:hAnsi="Arial"/>
          <w:sz w:val="20"/>
          <w:szCs w:val="20"/>
          <w:b w:val="1"/>
          <w:bCs w:val="1"/>
          <w:color w:val="232F84"/>
        </w:rPr>
        <w:t>MISSION PRODUCE, INC.</w:t>
      </w:r>
    </w:p>
    <w:p>
      <w:pPr>
        <w:spacing w:after="0" w:line="67" w:lineRule="exact"/>
        <w:rPr>
          <w:sz w:val="20"/>
          <w:szCs w:val="20"/>
          <w:color w:val="auto"/>
        </w:rPr>
      </w:pPr>
    </w:p>
    <w:p>
      <w:pPr>
        <w:jc w:val="center"/>
        <w:ind w:left="1720"/>
        <w:spacing w:after="0"/>
        <w:rPr>
          <w:sz w:val="20"/>
          <w:szCs w:val="20"/>
          <w:color w:val="auto"/>
        </w:rPr>
      </w:pPr>
      <w:r>
        <w:rPr>
          <w:rFonts w:ascii="Arial" w:cs="Arial" w:eastAsia="Arial" w:hAnsi="Arial"/>
          <w:sz w:val="19"/>
          <w:szCs w:val="19"/>
          <w:b w:val="1"/>
          <w:bCs w:val="1"/>
          <w:color w:val="232F84"/>
        </w:rPr>
        <w:t>INDEX TO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Report of Independent Registered Public Accounting Firm</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Consolidated Balance Sheets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Consolidated Statements of Comprehensive Income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Consolidated Statements of Shareholders' Equity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Consolidated Statements of Cash Flows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563C1"/>
        </w:rPr>
        <w:t>Notes to Consolidated Financial Statements</w:t>
      </w:r>
    </w:p>
    <w:p>
      <w:pPr>
        <w:spacing w:after="0" w:line="200" w:lineRule="exact"/>
        <w:rPr>
          <w:sz w:val="20"/>
          <w:szCs w:val="20"/>
          <w:color w:val="auto"/>
        </w:rPr>
      </w:pPr>
    </w:p>
    <w:p>
      <w:pPr>
        <w:spacing w:after="0" w:line="26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39370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Page</w:t>
      </w:r>
    </w:p>
    <w:p>
      <w:pPr>
        <w:spacing w:after="0" w:line="57"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36">
        <w:r>
          <w:rPr>
            <w:rFonts w:ascii="Arial" w:cs="Arial" w:eastAsia="Arial" w:hAnsi="Arial"/>
            <w:sz w:val="13"/>
            <w:szCs w:val="13"/>
            <w:color w:val="auto"/>
          </w:rPr>
          <w:t>2</w:t>
        </w:r>
      </w:hyperlink>
    </w:p>
    <w:p>
      <w:pPr>
        <w:spacing w:after="0" w:line="41"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39">
        <w:r>
          <w:rPr>
            <w:rFonts w:ascii="Arial" w:cs="Arial" w:eastAsia="Arial" w:hAnsi="Arial"/>
            <w:sz w:val="13"/>
            <w:szCs w:val="13"/>
            <w:color w:val="auto"/>
          </w:rPr>
          <w:t>5</w:t>
        </w:r>
      </w:hyperlink>
    </w:p>
    <w:p>
      <w:pPr>
        <w:spacing w:after="0" w:line="41"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40">
        <w:r>
          <w:rPr>
            <w:rFonts w:ascii="Arial" w:cs="Arial" w:eastAsia="Arial" w:hAnsi="Arial"/>
            <w:sz w:val="13"/>
            <w:szCs w:val="13"/>
            <w:color w:val="auto"/>
          </w:rPr>
          <w:t>6</w:t>
        </w:r>
      </w:hyperlink>
    </w:p>
    <w:p>
      <w:pPr>
        <w:spacing w:after="0" w:line="41"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41">
        <w:r>
          <w:rPr>
            <w:rFonts w:ascii="Arial" w:cs="Arial" w:eastAsia="Arial" w:hAnsi="Arial"/>
            <w:sz w:val="13"/>
            <w:szCs w:val="13"/>
            <w:color w:val="auto"/>
          </w:rPr>
          <w:t>7</w:t>
        </w:r>
      </w:hyperlink>
    </w:p>
    <w:p>
      <w:pPr>
        <w:spacing w:after="0" w:line="41"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42">
        <w:r>
          <w:rPr>
            <w:rFonts w:ascii="Arial" w:cs="Arial" w:eastAsia="Arial" w:hAnsi="Arial"/>
            <w:sz w:val="13"/>
            <w:szCs w:val="13"/>
            <w:color w:val="auto"/>
          </w:rPr>
          <w:t>8</w:t>
        </w:r>
      </w:hyperlink>
    </w:p>
    <w:p>
      <w:pPr>
        <w:spacing w:after="0" w:line="41" w:lineRule="exact"/>
        <w:rPr>
          <w:sz w:val="20"/>
          <w:szCs w:val="20"/>
          <w:color w:val="auto"/>
        </w:rPr>
      </w:pPr>
    </w:p>
    <w:p>
      <w:pPr>
        <w:jc w:val="center"/>
        <w:spacing w:after="0"/>
        <w:rPr>
          <w:rFonts w:ascii="Arial" w:cs="Arial" w:eastAsia="Arial" w:hAnsi="Arial"/>
          <w:sz w:val="13"/>
          <w:szCs w:val="13"/>
          <w:color w:val="auto"/>
        </w:rPr>
      </w:pPr>
      <w:r>
        <w:rPr>
          <w:rFonts w:ascii="Arial" w:cs="Arial" w:eastAsia="Arial" w:hAnsi="Arial"/>
          <w:sz w:val="13"/>
          <w:szCs w:val="13"/>
          <w:color w:val="auto"/>
        </w:rPr>
        <w:t>F-</w:t>
      </w:r>
      <w:hyperlink w:anchor="page44">
        <w:r>
          <w:rPr>
            <w:rFonts w:ascii="Arial" w:cs="Arial" w:eastAsia="Arial" w:hAnsi="Arial"/>
            <w:sz w:val="13"/>
            <w:szCs w:val="13"/>
            <w:color w:val="auto"/>
          </w:rPr>
          <w:t>10</w:t>
        </w:r>
      </w:hyperlink>
    </w:p>
    <w:p>
      <w:pPr>
        <w:sectPr>
          <w:pgSz w:w="11900" w:h="16838" w:orient="portrait"/>
          <w:cols w:equalWidth="0" w:num="2">
            <w:col w:w="9540" w:space="720"/>
            <w:col w:w="320"/>
          </w:cols>
          <w:pgMar w:left="320" w:top="679" w:right="99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20"/>
          <w:szCs w:val="20"/>
          <w:b w:val="1"/>
          <w:bCs w:val="1"/>
          <w:color w:val="232F84"/>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Mission Produce, Inc.</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Opinion on Internal Control over Financial Reporting</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have audited the internal control over financial reporting of Mission Produce, Inc and subsidiaries (the “Company”) as of October 31, 2021, based on criteria established in Internal Control</w:t>
      </w:r>
    </w:p>
    <w:p>
      <w:pPr>
        <w:spacing w:after="0" w:line="1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 Integrated Framework (2013) issued by the Committee of Sponsoring Organizations of the Treadway Commission (COSO). In our opinion, the Company maintained, in all material respects, effective internal control over financial reporting as of October 31, 2021, based on criteria established in Internal Control — Integrated Framework (2013) issued by COSO.</w:t>
      </w:r>
    </w:p>
    <w:p>
      <w:pPr>
        <w:spacing w:after="0" w:line="15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October 31, 2021, of the Company and our report dated December 22, 2021, expressed an unqualified opinion on those financial statements and included an explanatory paragraph regarding the Company’s adoption new accounting standards.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Basis for Opinion</w:t>
      </w:r>
    </w:p>
    <w:p>
      <w:pPr>
        <w:spacing w:after="0" w:line="188" w:lineRule="exact"/>
        <w:rPr>
          <w:sz w:val="20"/>
          <w:szCs w:val="20"/>
          <w:color w:val="auto"/>
        </w:rPr>
      </w:pPr>
    </w:p>
    <w:p>
      <w:pPr>
        <w:ind w:right="80" w:firstLine="509"/>
        <w:spacing w:after="0"/>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120" w:firstLine="509"/>
        <w:spacing w:after="0"/>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Definition and Limitations of Internal Control over Financial Reporting</w:t>
      </w:r>
    </w:p>
    <w:p>
      <w:pPr>
        <w:spacing w:after="0" w:line="188" w:lineRule="exact"/>
        <w:rPr>
          <w:sz w:val="20"/>
          <w:szCs w:val="20"/>
          <w:color w:val="auto"/>
        </w:rPr>
      </w:pPr>
    </w:p>
    <w:p>
      <w:pPr>
        <w:ind w:right="180" w:firstLine="509"/>
        <w:spacing w:after="0" w:line="239"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200" w:firstLine="509"/>
        <w:spacing w:after="0" w:line="24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b w:val="1"/>
          <w:bCs w:val="1"/>
          <w:color w:val="232F84"/>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rPr>
          <w:sz w:val="20"/>
          <w:szCs w:val="20"/>
          <w:color w:val="auto"/>
        </w:rPr>
      </w:pPr>
      <w:r>
        <w:rPr>
          <w:rFonts w:ascii="Arial" w:cs="Arial" w:eastAsia="Arial" w:hAnsi="Arial"/>
          <w:sz w:val="13"/>
          <w:szCs w:val="13"/>
          <w:color w:val="auto"/>
        </w:rPr>
        <w:t>December 22, 2021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1"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0"/>
          <w:szCs w:val="20"/>
          <w:b w:val="1"/>
          <w:bCs w:val="1"/>
          <w:color w:val="232F84"/>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Mission Produce, Inc.</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Opinion on the Financial Statements</w:t>
      </w:r>
    </w:p>
    <w:p>
      <w:pPr>
        <w:spacing w:after="0" w:line="177" w:lineRule="exact"/>
        <w:rPr>
          <w:sz w:val="20"/>
          <w:szCs w:val="20"/>
          <w:color w:val="auto"/>
        </w:rPr>
      </w:pPr>
    </w:p>
    <w:p>
      <w:pPr>
        <w:ind w:right="360" w:firstLine="509"/>
        <w:spacing w:after="0" w:line="267" w:lineRule="auto"/>
        <w:rPr>
          <w:sz w:val="20"/>
          <w:szCs w:val="20"/>
          <w:color w:val="auto"/>
        </w:rPr>
      </w:pPr>
      <w:r>
        <w:rPr>
          <w:rFonts w:ascii="Arial" w:cs="Arial" w:eastAsia="Arial" w:hAnsi="Arial"/>
          <w:sz w:val="12"/>
          <w:szCs w:val="12"/>
          <w:color w:val="auto"/>
        </w:rPr>
        <w:t>We have audited the accompanying consolidated balance sheets of Mission Produce, Inc. and subsidiaries (the "Company") as of October 31, 2021 and 2020, the related consolidated statements of comprehensive income, shareholders' equity, and cash flows, for each of the three years in the period ended October 31, 2021, and the related notes (collectively referred to as the "financial statements"). In our opinion, the financial statements present fairly, in all material respects, the financial position of the Company as of October 31, 2021 and 2020, and the results of its operations and its cash flows for each of the three years in the period ended October 31, 2021, in conformity with accounting principles generally accepted in the United States of America.</w:t>
      </w:r>
    </w:p>
    <w:p>
      <w:pPr>
        <w:spacing w:after="0" w:line="139"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Company's internal control over financial reporting as of October 31, 2021, based on criteria established in Internal Control — Integrated Framework (2013) issued by the Committee of Sponsoring Organizations of the Treadway Commission and our report dated December 22, 2021, expressed an unqualified opinion on the Company's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Change in Accounting Principle</w:t>
      </w:r>
    </w:p>
    <w:p>
      <w:pPr>
        <w:spacing w:after="0" w:line="188" w:lineRule="exact"/>
        <w:rPr>
          <w:sz w:val="20"/>
          <w:szCs w:val="20"/>
          <w:color w:val="auto"/>
        </w:rPr>
      </w:pPr>
    </w:p>
    <w:p>
      <w:pPr>
        <w:ind w:right="80" w:firstLine="509"/>
        <w:spacing w:after="0" w:line="241" w:lineRule="auto"/>
        <w:rPr>
          <w:sz w:val="20"/>
          <w:szCs w:val="20"/>
          <w:color w:val="auto"/>
        </w:rPr>
      </w:pPr>
      <w:r>
        <w:rPr>
          <w:rFonts w:ascii="Arial" w:cs="Arial" w:eastAsia="Arial" w:hAnsi="Arial"/>
          <w:sz w:val="13"/>
          <w:szCs w:val="13"/>
          <w:color w:val="auto"/>
        </w:rPr>
        <w:t>As discussed in Note 2 to the consolidated financial statements, the Company has changed its method of accounting for leases effective November 1, 2020 due to the adoption of FASB ASC Topic 842, Leases, using the modified retrospective approach. Additionally, as discussed in Note 2 to the consolidated financial statements, the Company has changed its method of accounting for income taxes effective November 1, 2020 due to the adoption of FASB ASU 2019-12, Simplifying the Accounting for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Basis for Opinion</w:t>
      </w:r>
    </w:p>
    <w:p>
      <w:pPr>
        <w:spacing w:after="0" w:line="177" w:lineRule="exact"/>
        <w:rPr>
          <w:sz w:val="20"/>
          <w:szCs w:val="20"/>
          <w:color w:val="auto"/>
        </w:rPr>
      </w:pPr>
    </w:p>
    <w:p>
      <w:pPr>
        <w:jc w:val="both"/>
        <w:ind w:right="160" w:firstLine="509"/>
        <w:spacing w:after="0" w:line="241"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232F84"/>
        </w:rPr>
        <w:t>Critical Audit Matter</w:t>
      </w:r>
    </w:p>
    <w:p>
      <w:pPr>
        <w:spacing w:after="0" w:line="188" w:lineRule="exact"/>
        <w:rPr>
          <w:sz w:val="20"/>
          <w:szCs w:val="20"/>
          <w:color w:val="auto"/>
        </w:rPr>
      </w:pPr>
    </w:p>
    <w:p>
      <w:pPr>
        <w:ind w:right="20" w:firstLine="509"/>
        <w:spacing w:after="0"/>
        <w:rPr>
          <w:sz w:val="20"/>
          <w:szCs w:val="20"/>
          <w:color w:val="auto"/>
        </w:rPr>
      </w:pPr>
      <w:r>
        <w:rPr>
          <w:rFonts w:ascii="Arial" w:cs="Arial" w:eastAsia="Arial" w:hAnsi="Arial"/>
          <w:sz w:val="13"/>
          <w:szCs w:val="13"/>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Uncertain tax positions — Refer to Notes 3 and 8 to the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Critical Audit Matter Description</w:t>
      </w:r>
    </w:p>
    <w:p>
      <w:pPr>
        <w:spacing w:after="0" w:line="160"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As a multinational corporation, the Company is subject to taxation in many jurisdictions, and the calculation of tax liabilities involves dealing with uncertainties in the application of complex tax laws and regulations in various taxing jurisdictions. The Company’s wholly owned subsidiary in Mexico is currently under audit for the fiscal year 2013 and received certain proposed adjustments during fiscal year 2018 from the Mexican taxing authorities. During June 2018, the Company filed an administrative appeal challenging the 2013 tax assessment. The Company is currently waiting for the resolution of the appeal to be issued.</w:t>
      </w:r>
    </w:p>
    <w:p>
      <w:pPr>
        <w:spacing w:after="0" w:line="155" w:lineRule="exact"/>
        <w:rPr>
          <w:sz w:val="20"/>
          <w:szCs w:val="20"/>
          <w:color w:val="auto"/>
        </w:rPr>
      </w:pPr>
    </w:p>
    <w:p>
      <w:pPr>
        <w:jc w:val="both"/>
        <w:ind w:right="280" w:firstLine="509"/>
        <w:spacing w:after="0" w:line="241" w:lineRule="auto"/>
        <w:rPr>
          <w:sz w:val="20"/>
          <w:szCs w:val="20"/>
          <w:color w:val="auto"/>
        </w:rPr>
      </w:pPr>
      <w:r>
        <w:rPr>
          <w:rFonts w:ascii="Arial" w:cs="Arial" w:eastAsia="Arial" w:hAnsi="Arial"/>
          <w:sz w:val="13"/>
          <w:szCs w:val="13"/>
          <w:color w:val="auto"/>
        </w:rPr>
        <w:t>The Company recognizes the tax benefit from an uncertain tax position only if it is more likely than not the tax position will be sustained on examination by taxing authorities, based on the technical merits of the position. The tax benefits recognized in the financial statements for such a position is measured based on the largest benefit that has a greater than 50% likelihood of being realized upon ultimate settlement. As of October 31, 2021, uncertain tax positions were $15.7 million.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00" w:right="339" w:bottom="1440" w:gutter="0" w:footer="0" w:header="0"/>
        </w:sectPr>
      </w:pPr>
    </w:p>
    <w:bookmarkStart w:id="38" w:name="page39"/>
    <w:bookmarkEnd w:id="38"/>
    <w:p>
      <w:pPr>
        <w:ind w:firstLine="509"/>
        <w:spacing w:after="0" w:line="241" w:lineRule="auto"/>
        <w:rPr>
          <w:sz w:val="20"/>
          <w:szCs w:val="20"/>
          <w:color w:val="auto"/>
        </w:rPr>
      </w:pPr>
      <w:r>
        <w:rPr>
          <w:rFonts w:ascii="Arial" w:cs="Arial" w:eastAsia="Arial" w:hAnsi="Arial"/>
          <w:sz w:val="13"/>
          <w:szCs w:val="13"/>
          <w:color w:val="auto"/>
        </w:rPr>
        <w:t>Given the determination of whether it is more likely than not that the tax positions challenged by Mexican taxing authorities will be sustained on examination requires management to make significant judgments related to the application of tax laws and regulations, performing audit procedures to evaluate the Company’s interpretation and compliance with tax laws involved a high degree of auditor judgment and an increased extent of effort, including the need to involve our income tax specialists.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How the Critical Audit Matter Was Addressed in the Audit</w:t>
      </w:r>
    </w:p>
    <w:p>
      <w:pPr>
        <w:spacing w:after="0" w:line="160" w:lineRule="exact"/>
        <w:rPr>
          <w:sz w:val="20"/>
          <w:szCs w:val="20"/>
          <w:color w:val="auto"/>
        </w:rPr>
      </w:pPr>
    </w:p>
    <w:p>
      <w:pPr>
        <w:ind w:right="220" w:firstLine="509"/>
        <w:spacing w:after="0" w:line="244" w:lineRule="auto"/>
        <w:rPr>
          <w:sz w:val="20"/>
          <w:szCs w:val="20"/>
          <w:color w:val="auto"/>
        </w:rPr>
      </w:pPr>
      <w:r>
        <w:rPr>
          <w:rFonts w:ascii="Arial" w:cs="Arial" w:eastAsia="Arial" w:hAnsi="Arial"/>
          <w:sz w:val="13"/>
          <w:szCs w:val="13"/>
          <w:color w:val="auto"/>
        </w:rPr>
        <w:t>Our audit procedures related to the determination of whether it is more likely than not that the Company’s uncertain tax positions challenged by Mexican taxing authorities will be realized included the following, among others:</w:t>
      </w:r>
    </w:p>
    <w:p>
      <w:pPr>
        <w:spacing w:after="0" w:line="110" w:lineRule="exact"/>
        <w:rPr>
          <w:sz w:val="20"/>
          <w:szCs w:val="20"/>
          <w:color w:val="auto"/>
        </w:rPr>
      </w:pPr>
    </w:p>
    <w:p>
      <w:pPr>
        <w:ind w:left="520" w:right="140" w:hanging="260"/>
        <w:spacing w:after="0" w:line="244" w:lineRule="auto"/>
        <w:tabs>
          <w:tab w:leader="none" w:pos="50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tested the effectiveness of the control over the evaluation of uncertain tax positions as it relates to the period subject to audit by the Mexican taxing authorities, along with the review of related disclosures.</w:t>
      </w:r>
    </w:p>
    <w:p>
      <w:pPr>
        <w:spacing w:after="0" w:line="109" w:lineRule="exact"/>
        <w:rPr>
          <w:rFonts w:ascii="Arial" w:cs="Arial" w:eastAsia="Arial" w:hAnsi="Arial"/>
          <w:sz w:val="13"/>
          <w:szCs w:val="13"/>
          <w:color w:val="auto"/>
        </w:rPr>
      </w:pPr>
    </w:p>
    <w:p>
      <w:pPr>
        <w:ind w:left="520" w:right="20" w:hanging="260"/>
        <w:spacing w:after="0" w:line="244" w:lineRule="auto"/>
        <w:tabs>
          <w:tab w:leader="none" w:pos="50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obtained the evaluation from the Company’s tax advisors related to understanding the advisor’s current assessment of whether it is more likely than not that the Company’s uncertain tax positions challenged by the Mexican taxing authorities will be sustained on examination.</w:t>
      </w:r>
    </w:p>
    <w:p>
      <w:pPr>
        <w:spacing w:after="0" w:line="99"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obtained communications between the Company and the Mexican taxing authorities to evaluate management’s assertions regarding the status of the tax assessment.</w:t>
      </w:r>
    </w:p>
    <w:p>
      <w:pPr>
        <w:spacing w:after="0" w:line="115" w:lineRule="exact"/>
        <w:rPr>
          <w:rFonts w:ascii="Arial" w:cs="Arial" w:eastAsia="Arial" w:hAnsi="Arial"/>
          <w:sz w:val="13"/>
          <w:szCs w:val="13"/>
          <w:color w:val="auto"/>
        </w:rPr>
      </w:pPr>
    </w:p>
    <w:p>
      <w:pPr>
        <w:ind w:left="520" w:hanging="260"/>
        <w:spacing w:after="0" w:line="244" w:lineRule="auto"/>
        <w:tabs>
          <w:tab w:leader="none" w:pos="501" w:val="left"/>
        </w:tabs>
        <w:numPr>
          <w:ilvl w:val="0"/>
          <w:numId w:val="11"/>
        </w:numPr>
        <w:rPr>
          <w:rFonts w:ascii="Arial" w:cs="Arial" w:eastAsia="Arial" w:hAnsi="Arial"/>
          <w:sz w:val="13"/>
          <w:szCs w:val="13"/>
          <w:color w:val="auto"/>
        </w:rPr>
      </w:pPr>
      <w:r>
        <w:rPr>
          <w:rFonts w:ascii="Arial" w:cs="Arial" w:eastAsia="Arial" w:hAnsi="Arial"/>
          <w:sz w:val="13"/>
          <w:szCs w:val="13"/>
          <w:color w:val="auto"/>
        </w:rPr>
        <w:t>With the assistance of our tax specialists, we evaluated whether management properly applied the relevant tax laws and regulations in their determination of whether it is more likely than not that the uncertain tax positions challenged by the Mexican taxing authorities will be sustained on examination.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232F84"/>
        </w:rPr>
        <w:t>/s/ Deloitte &amp; Touche LLP</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rPr>
          <w:sz w:val="20"/>
          <w:szCs w:val="20"/>
          <w:color w:val="auto"/>
        </w:rPr>
      </w:pPr>
      <w:r>
        <w:rPr>
          <w:rFonts w:ascii="Arial" w:cs="Arial" w:eastAsia="Arial" w:hAnsi="Arial"/>
          <w:sz w:val="13"/>
          <w:szCs w:val="13"/>
          <w:color w:val="auto"/>
        </w:rPr>
        <w:t>December 22, 2021</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2019.</w:t>
      </w: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09" w:right="45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232F84"/>
        </w:rPr>
        <w:t>MISSION PRODUCE,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2F84"/>
        </w:rPr>
        <w:t>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4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1760" w:type="dxa"/>
            <w:vAlign w:val="bottom"/>
            <w:gridSpan w:val="2"/>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October 31,</w:t>
            </w:r>
          </w:p>
        </w:tc>
        <w:tc>
          <w:tcPr>
            <w:tcW w:w="820" w:type="dxa"/>
            <w:vAlign w:val="bottom"/>
            <w:shd w:val="clear" w:color="auto" w:fill="232F84"/>
          </w:tcPr>
          <w:p>
            <w:pPr>
              <w:spacing w:after="0"/>
              <w:rPr>
                <w:sz w:val="15"/>
                <w:szCs w:val="15"/>
                <w:color w:val="auto"/>
              </w:rPr>
            </w:pPr>
          </w:p>
        </w:tc>
      </w:tr>
      <w:tr>
        <w:trPr>
          <w:trHeight w:val="175"/>
        </w:trPr>
        <w:tc>
          <w:tcPr>
            <w:tcW w:w="804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 except for shares)</w:t>
            </w:r>
          </w:p>
        </w:tc>
        <w:tc>
          <w:tcPr>
            <w:tcW w:w="66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00" w:type="dxa"/>
            <w:vAlign w:val="bottom"/>
            <w:shd w:val="clear" w:color="auto" w:fill="232F84"/>
          </w:tcPr>
          <w:p>
            <w:pPr>
              <w:spacing w:after="0"/>
              <w:rPr>
                <w:sz w:val="15"/>
                <w:szCs w:val="15"/>
                <w:color w:val="auto"/>
              </w:rPr>
            </w:pPr>
          </w:p>
        </w:tc>
        <w:tc>
          <w:tcPr>
            <w:tcW w:w="820" w:type="dxa"/>
            <w:vAlign w:val="bottom"/>
            <w:shd w:val="clear" w:color="auto" w:fill="232F84"/>
          </w:tcPr>
          <w:p>
            <w:pPr>
              <w:jc w:val="center"/>
              <w:ind w:left="483"/>
              <w:spacing w:after="0"/>
              <w:rPr>
                <w:sz w:val="20"/>
                <w:szCs w:val="20"/>
                <w:color w:val="auto"/>
              </w:rPr>
            </w:pPr>
            <w:r>
              <w:rPr>
                <w:rFonts w:ascii="Arial" w:cs="Arial" w:eastAsia="Arial" w:hAnsi="Arial"/>
                <w:sz w:val="11"/>
                <w:szCs w:val="11"/>
                <w:b w:val="1"/>
                <w:bCs w:val="1"/>
                <w:color w:val="FFFFFF"/>
                <w:w w:val="97"/>
              </w:rPr>
              <w:t>2020</w:t>
            </w:r>
          </w:p>
        </w:tc>
      </w:tr>
      <w:tr>
        <w:trPr>
          <w:trHeight w:val="170"/>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232F84"/>
              </w:rPr>
              <w:t>Assets</w:t>
            </w:r>
          </w:p>
        </w:tc>
        <w:tc>
          <w:tcPr>
            <w:tcW w:w="660" w:type="dxa"/>
            <w:vAlign w:val="bottom"/>
            <w:shd w:val="clear" w:color="auto" w:fill="43C0B9"/>
          </w:tcPr>
          <w:p>
            <w:pPr>
              <w:spacing w:after="0"/>
              <w:rPr>
                <w:sz w:val="14"/>
                <w:szCs w:val="14"/>
                <w:color w:val="auto"/>
              </w:rPr>
            </w:pPr>
          </w:p>
        </w:tc>
        <w:tc>
          <w:tcPr>
            <w:tcW w:w="96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Cash and cash equivalents</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84.5</w:t>
            </w:r>
          </w:p>
        </w:tc>
        <w:tc>
          <w:tcPr>
            <w:tcW w:w="800" w:type="dxa"/>
            <w:vAlign w:val="bottom"/>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124.0</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Restricted cash</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6.1</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Accounts receivable</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spacing w:after="0"/>
              <w:rPr>
                <w:sz w:val="15"/>
                <w:szCs w:val="15"/>
                <w:color w:val="auto"/>
              </w:rPr>
            </w:pPr>
          </w:p>
        </w:tc>
      </w:tr>
      <w:tr>
        <w:trPr>
          <w:trHeight w:val="166"/>
        </w:trPr>
        <w:tc>
          <w:tcPr>
            <w:tcW w:w="8040" w:type="dxa"/>
            <w:vAlign w:val="bottom"/>
          </w:tcPr>
          <w:p>
            <w:pPr>
              <w:ind w:left="700"/>
              <w:spacing w:after="0"/>
              <w:rPr>
                <w:sz w:val="20"/>
                <w:szCs w:val="20"/>
                <w:color w:val="auto"/>
              </w:rPr>
            </w:pPr>
            <w:r>
              <w:rPr>
                <w:rFonts w:ascii="Arial" w:cs="Arial" w:eastAsia="Arial" w:hAnsi="Arial"/>
                <w:sz w:val="11"/>
                <w:szCs w:val="11"/>
                <w:color w:val="auto"/>
              </w:rPr>
              <w:t>Trade, net of allowances of $0.2 and $0.3, respectively</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73.8</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57.5</w:t>
            </w:r>
          </w:p>
        </w:tc>
      </w:tr>
      <w:tr>
        <w:trPr>
          <w:trHeight w:val="174"/>
        </w:trPr>
        <w:tc>
          <w:tcPr>
            <w:tcW w:w="8040" w:type="dxa"/>
            <w:vAlign w:val="bottom"/>
            <w:shd w:val="clear" w:color="auto" w:fill="43C0B9"/>
          </w:tcPr>
          <w:p>
            <w:pPr>
              <w:ind w:left="700"/>
              <w:spacing w:after="0"/>
              <w:rPr>
                <w:sz w:val="20"/>
                <w:szCs w:val="20"/>
                <w:color w:val="auto"/>
              </w:rPr>
            </w:pPr>
            <w:r>
              <w:rPr>
                <w:rFonts w:ascii="Arial" w:cs="Arial" w:eastAsia="Arial" w:hAnsi="Arial"/>
                <w:sz w:val="11"/>
                <w:szCs w:val="11"/>
                <w:color w:val="auto"/>
              </w:rPr>
              <w:t>Grower and fruit advances</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0.6</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1.5</w:t>
            </w:r>
          </w:p>
        </w:tc>
      </w:tr>
      <w:tr>
        <w:trPr>
          <w:trHeight w:val="166"/>
        </w:trPr>
        <w:tc>
          <w:tcPr>
            <w:tcW w:w="8040" w:type="dxa"/>
            <w:vAlign w:val="bottom"/>
          </w:tcPr>
          <w:p>
            <w:pPr>
              <w:ind w:left="700"/>
              <w:spacing w:after="0"/>
              <w:rPr>
                <w:sz w:val="20"/>
                <w:szCs w:val="20"/>
                <w:color w:val="auto"/>
              </w:rPr>
            </w:pPr>
            <w:r>
              <w:rPr>
                <w:rFonts w:ascii="Arial" w:cs="Arial" w:eastAsia="Arial" w:hAnsi="Arial"/>
                <w:sz w:val="11"/>
                <w:szCs w:val="11"/>
                <w:color w:val="auto"/>
              </w:rPr>
              <w:t>Miscellaneous receivables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12.3</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13.4</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Inventory</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48.2</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38.6</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11.6</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8.8</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Loans to equity method investees</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3.3</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0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Income taxes receivable</w:t>
            </w: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6.7</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r>
      <w:tr>
        <w:trPr>
          <w:trHeight w:val="165"/>
        </w:trPr>
        <w:tc>
          <w:tcPr>
            <w:tcW w:w="8040" w:type="dxa"/>
            <w:vAlign w:val="bottom"/>
            <w:shd w:val="clear" w:color="auto" w:fill="43C0B9"/>
          </w:tcPr>
          <w:p>
            <w:pPr>
              <w:ind w:left="1040"/>
              <w:spacing w:after="0"/>
              <w:rPr>
                <w:sz w:val="20"/>
                <w:szCs w:val="20"/>
                <w:color w:val="auto"/>
              </w:rPr>
            </w:pPr>
            <w:r>
              <w:rPr>
                <w:rFonts w:ascii="Arial" w:cs="Arial" w:eastAsia="Arial" w:hAnsi="Arial"/>
                <w:sz w:val="11"/>
                <w:szCs w:val="11"/>
                <w:color w:val="auto"/>
              </w:rPr>
              <w:t>Total current assets</w:t>
            </w:r>
          </w:p>
        </w:tc>
        <w:tc>
          <w:tcPr>
            <w:tcW w:w="660" w:type="dxa"/>
            <w:vAlign w:val="bottom"/>
            <w:shd w:val="clear" w:color="auto" w:fill="43C0B9"/>
          </w:tcPr>
          <w:p>
            <w:pPr>
              <w:spacing w:after="0"/>
              <w:rPr>
                <w:sz w:val="14"/>
                <w:szCs w:val="14"/>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247.1</w:t>
            </w: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248.1</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Property, plant and equipment, net</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424.2</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379.1</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Operating lease right-of-use assets</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43.9</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Equity method investees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52.7</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46.7</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Loans to equity method investees</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1.8</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4.5</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Deferred income tax assets, net</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7.6</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4.4</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Goodwill</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76.4</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76.4</w:t>
            </w:r>
          </w:p>
        </w:tc>
      </w:tr>
      <w:tr>
        <w:trPr>
          <w:trHeight w:val="16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assets</w:t>
            </w: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19.8</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w:t>
            </w:r>
          </w:p>
        </w:tc>
      </w:tr>
      <w:tr>
        <w:trPr>
          <w:trHeight w:val="160"/>
        </w:trPr>
        <w:tc>
          <w:tcPr>
            <w:tcW w:w="80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assets</w:t>
            </w:r>
          </w:p>
        </w:tc>
        <w:tc>
          <w:tcPr>
            <w:tcW w:w="66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873.5</w:t>
            </w:r>
          </w:p>
        </w:tc>
        <w:tc>
          <w:tcPr>
            <w:tcW w:w="800" w:type="dxa"/>
            <w:vAlign w:val="bottom"/>
            <w:tcBorders>
              <w:bottom w:val="single" w:sz="8" w:color="auto"/>
            </w:tcBorders>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777.3</w:t>
            </w:r>
          </w:p>
        </w:tc>
      </w:tr>
      <w:tr>
        <w:trPr>
          <w:trHeight w:val="165"/>
        </w:trPr>
        <w:tc>
          <w:tcPr>
            <w:tcW w:w="8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232F84"/>
              </w:rPr>
              <w:t>Liabilities and Shareholders' Equity</w:t>
            </w:r>
          </w:p>
        </w:tc>
        <w:tc>
          <w:tcPr>
            <w:tcW w:w="660" w:type="dxa"/>
            <w:vAlign w:val="bottom"/>
            <w:shd w:val="clear" w:color="auto" w:fill="43C0B9"/>
          </w:tcPr>
          <w:p>
            <w:pPr>
              <w:spacing w:after="0"/>
              <w:rPr>
                <w:sz w:val="14"/>
                <w:szCs w:val="14"/>
                <w:color w:val="auto"/>
              </w:rPr>
            </w:pPr>
          </w:p>
        </w:tc>
        <w:tc>
          <w:tcPr>
            <w:tcW w:w="96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spacing w:after="0"/>
              <w:rPr>
                <w:sz w:val="14"/>
                <w:szCs w:val="14"/>
                <w:color w:val="auto"/>
              </w:rPr>
            </w:pP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Accounts payable</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22.8</w:t>
            </w:r>
          </w:p>
        </w:tc>
        <w:tc>
          <w:tcPr>
            <w:tcW w:w="800" w:type="dxa"/>
            <w:vAlign w:val="bottom"/>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20.5</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Accrued expenses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28.8</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28.3</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Income taxes payable</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1.9</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1.7</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Grower payables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22.2</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18.8</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Long-term debt—current portion</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8.8</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7.4</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Operating leases—current portion</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3.6</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804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1"/>
                <w:szCs w:val="11"/>
                <w:color w:val="auto"/>
              </w:rPr>
              <w:t>Finance leases—current portion</w:t>
            </w:r>
          </w:p>
        </w:tc>
        <w:tc>
          <w:tcPr>
            <w:tcW w:w="660" w:type="dxa"/>
            <w:vAlign w:val="bottom"/>
            <w:tcBorders>
              <w:bottom w:val="single" w:sz="8" w:color="auto"/>
            </w:tcBorders>
            <w:shd w:val="clear" w:color="auto" w:fill="43C0B9"/>
          </w:tcPr>
          <w:p>
            <w:pPr>
              <w:spacing w:after="0"/>
              <w:rPr>
                <w:sz w:val="14"/>
                <w:szCs w:val="14"/>
                <w:color w:val="auto"/>
              </w:rPr>
            </w:pPr>
          </w:p>
        </w:tc>
        <w:tc>
          <w:tcPr>
            <w:tcW w:w="96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1.1</w:t>
            </w:r>
          </w:p>
        </w:tc>
        <w:tc>
          <w:tcPr>
            <w:tcW w:w="800" w:type="dxa"/>
            <w:vAlign w:val="bottom"/>
            <w:tcBorders>
              <w:bottom w:val="single" w:sz="8" w:color="auto"/>
            </w:tcBorders>
            <w:shd w:val="clear" w:color="auto" w:fill="43C0B9"/>
          </w:tcPr>
          <w:p>
            <w:pPr>
              <w:spacing w:after="0"/>
              <w:rPr>
                <w:sz w:val="14"/>
                <w:szCs w:val="14"/>
                <w:color w:val="auto"/>
              </w:rPr>
            </w:pP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1.2</w:t>
            </w:r>
          </w:p>
        </w:tc>
      </w:tr>
      <w:tr>
        <w:trPr>
          <w:trHeight w:val="160"/>
        </w:trPr>
        <w:tc>
          <w:tcPr>
            <w:tcW w:w="8040" w:type="dxa"/>
            <w:vAlign w:val="bottom"/>
          </w:tcPr>
          <w:p>
            <w:pPr>
              <w:ind w:left="1040"/>
              <w:spacing w:after="0"/>
              <w:rPr>
                <w:sz w:val="20"/>
                <w:szCs w:val="20"/>
                <w:color w:val="auto"/>
              </w:rPr>
            </w:pPr>
            <w:r>
              <w:rPr>
                <w:rFonts w:ascii="Arial" w:cs="Arial" w:eastAsia="Arial" w:hAnsi="Arial"/>
                <w:sz w:val="11"/>
                <w:szCs w:val="11"/>
                <w:color w:val="auto"/>
              </w:rPr>
              <w:t>Total current liabilities</w:t>
            </w:r>
          </w:p>
        </w:tc>
        <w:tc>
          <w:tcPr>
            <w:tcW w:w="660" w:type="dxa"/>
            <w:vAlign w:val="bottom"/>
          </w:tcPr>
          <w:p>
            <w:pPr>
              <w:spacing w:after="0"/>
              <w:rPr>
                <w:sz w:val="13"/>
                <w:szCs w:val="13"/>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89.2</w:t>
            </w:r>
          </w:p>
        </w:tc>
        <w:tc>
          <w:tcPr>
            <w:tcW w:w="8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77.9</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debt, net of current portion</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155.1</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166.7</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Operating leases, net of current portion</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42.5</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Finance leases, net of current portion</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3.3</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Income taxes payable</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3.5</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Deferred income tax liabilities, net</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26.8</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27.8</w:t>
            </w:r>
          </w:p>
        </w:tc>
      </w:tr>
      <w:tr>
        <w:trPr>
          <w:trHeight w:val="16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long-term liabilities</w:t>
            </w: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20.0</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w:t>
            </w:r>
          </w:p>
        </w:tc>
      </w:tr>
      <w:tr>
        <w:trPr>
          <w:trHeight w:val="165"/>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Total liabilities</w:t>
            </w:r>
          </w:p>
        </w:tc>
        <w:tc>
          <w:tcPr>
            <w:tcW w:w="660" w:type="dxa"/>
            <w:vAlign w:val="bottom"/>
            <w:shd w:val="clear" w:color="auto" w:fill="43C0B9"/>
          </w:tcPr>
          <w:p>
            <w:pPr>
              <w:spacing w:after="0"/>
              <w:rPr>
                <w:sz w:val="14"/>
                <w:szCs w:val="14"/>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339.3</w:t>
            </w: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303.8</w:t>
            </w:r>
          </w:p>
        </w:tc>
      </w:tr>
      <w:tr>
        <w:trPr>
          <w:trHeight w:val="166"/>
        </w:trPr>
        <w:tc>
          <w:tcPr>
            <w:tcW w:w="8040" w:type="dxa"/>
            <w:vAlign w:val="bottom"/>
          </w:tcPr>
          <w:p>
            <w:pPr>
              <w:ind w:left="20"/>
              <w:spacing w:after="0"/>
              <w:rPr>
                <w:sz w:val="20"/>
                <w:szCs w:val="20"/>
                <w:color w:val="auto"/>
              </w:rPr>
            </w:pPr>
            <w:r>
              <w:rPr>
                <w:rFonts w:ascii="Arial" w:cs="Arial" w:eastAsia="Arial" w:hAnsi="Arial"/>
                <w:sz w:val="11"/>
                <w:szCs w:val="11"/>
                <w:color w:val="auto"/>
              </w:rPr>
              <w:t>Commitments and contingencies (Note 7)</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4"/>
        </w:trPr>
        <w:tc>
          <w:tcPr>
            <w:tcW w:w="8040" w:type="dxa"/>
            <w:vAlign w:val="bottom"/>
            <w:shd w:val="clear" w:color="auto" w:fill="43C0B9"/>
          </w:tcPr>
          <w:p>
            <w:pPr>
              <w:ind w:left="20"/>
              <w:spacing w:after="0"/>
              <w:rPr>
                <w:sz w:val="20"/>
                <w:szCs w:val="20"/>
                <w:color w:val="auto"/>
              </w:rPr>
            </w:pPr>
            <w:r>
              <w:rPr>
                <w:rFonts w:ascii="Arial" w:cs="Arial" w:eastAsia="Arial" w:hAnsi="Arial"/>
                <w:sz w:val="11"/>
                <w:szCs w:val="11"/>
                <w:color w:val="auto"/>
              </w:rPr>
              <w:t>Shareholders' Equity</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spacing w:after="0"/>
              <w:rPr>
                <w:sz w:val="15"/>
                <w:szCs w:val="15"/>
                <w:color w:val="auto"/>
              </w:rPr>
            </w:pP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spacing w:after="0"/>
              <w:rPr>
                <w:sz w:val="15"/>
                <w:szCs w:val="15"/>
                <w:color w:val="auto"/>
              </w:rPr>
            </w:pPr>
          </w:p>
        </w:tc>
      </w:tr>
      <w:tr>
        <w:trPr>
          <w:trHeight w:val="152"/>
        </w:trPr>
        <w:tc>
          <w:tcPr>
            <w:tcW w:w="8040" w:type="dxa"/>
            <w:vAlign w:val="bottom"/>
          </w:tcPr>
          <w:p>
            <w:pPr>
              <w:ind w:left="360"/>
              <w:spacing w:after="0"/>
              <w:rPr>
                <w:sz w:val="20"/>
                <w:szCs w:val="20"/>
                <w:color w:val="auto"/>
              </w:rPr>
            </w:pPr>
            <w:r>
              <w:rPr>
                <w:rFonts w:ascii="Arial" w:cs="Arial" w:eastAsia="Arial" w:hAnsi="Arial"/>
                <w:sz w:val="11"/>
                <w:szCs w:val="11"/>
                <w:color w:val="auto"/>
              </w:rPr>
              <w:t>Common stock ($0.001 par value, 1,000,000,000 shares authorized; 70,631,525 and 70,550,922 shares issued and outstanding as of October 31, 2021</w:t>
            </w:r>
          </w:p>
        </w:tc>
        <w:tc>
          <w:tcPr>
            <w:tcW w:w="660" w:type="dxa"/>
            <w:vAlign w:val="bottom"/>
          </w:tcPr>
          <w:p>
            <w:pPr>
              <w:spacing w:after="0"/>
              <w:rPr>
                <w:sz w:val="13"/>
                <w:szCs w:val="13"/>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0.1</w:t>
            </w:r>
          </w:p>
        </w:tc>
        <w:tc>
          <w:tcPr>
            <w:tcW w:w="8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41"/>
        </w:trPr>
        <w:tc>
          <w:tcPr>
            <w:tcW w:w="8040" w:type="dxa"/>
            <w:vAlign w:val="bottom"/>
          </w:tcPr>
          <w:p>
            <w:pPr>
              <w:ind w:left="360"/>
              <w:spacing w:after="0"/>
              <w:rPr>
                <w:sz w:val="20"/>
                <w:szCs w:val="20"/>
                <w:color w:val="auto"/>
              </w:rPr>
            </w:pPr>
            <w:r>
              <w:rPr>
                <w:rFonts w:ascii="Arial" w:cs="Arial" w:eastAsia="Arial" w:hAnsi="Arial"/>
                <w:sz w:val="11"/>
                <w:szCs w:val="11"/>
                <w:color w:val="auto"/>
              </w:rPr>
              <w:t>and 2020, respectively)</w:t>
            </w: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Additional paid-in capital</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225.6</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222.8</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Notes receivable from shareholders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4"/>
                <w:szCs w:val="14"/>
                <w:color w:val="auto"/>
              </w:rPr>
            </w:pPr>
          </w:p>
        </w:tc>
        <w:tc>
          <w:tcPr>
            <w:tcW w:w="820" w:type="dxa"/>
            <w:vAlign w:val="bottom"/>
          </w:tcPr>
          <w:p>
            <w:pPr>
              <w:jc w:val="center"/>
              <w:ind w:left="483"/>
              <w:spacing w:after="0"/>
              <w:rPr>
                <w:sz w:val="20"/>
                <w:szCs w:val="20"/>
                <w:color w:val="auto"/>
              </w:rPr>
            </w:pPr>
            <w:r>
              <w:rPr>
                <w:rFonts w:ascii="Arial" w:cs="Arial" w:eastAsia="Arial" w:hAnsi="Arial"/>
                <w:sz w:val="11"/>
                <w:szCs w:val="11"/>
                <w:color w:val="auto"/>
              </w:rPr>
              <w:t>(0.1)</w:t>
            </w:r>
          </w:p>
        </w:tc>
      </w:tr>
      <w:tr>
        <w:trPr>
          <w:trHeight w:val="174"/>
        </w:trPr>
        <w:tc>
          <w:tcPr>
            <w:tcW w:w="80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Accumulated other comprehensive loss</w:t>
            </w:r>
          </w:p>
        </w:tc>
        <w:tc>
          <w:tcPr>
            <w:tcW w:w="660" w:type="dxa"/>
            <w:vAlign w:val="bottom"/>
            <w:shd w:val="clear" w:color="auto" w:fill="43C0B9"/>
          </w:tcPr>
          <w:p>
            <w:pPr>
              <w:spacing w:after="0"/>
              <w:rPr>
                <w:sz w:val="15"/>
                <w:szCs w:val="15"/>
                <w:color w:val="auto"/>
              </w:rPr>
            </w:pPr>
          </w:p>
        </w:tc>
        <w:tc>
          <w:tcPr>
            <w:tcW w:w="96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(0.5)</w:t>
            </w:r>
          </w:p>
        </w:tc>
        <w:tc>
          <w:tcPr>
            <w:tcW w:w="800" w:type="dxa"/>
            <w:vAlign w:val="bottom"/>
            <w:shd w:val="clear" w:color="auto" w:fill="43C0B9"/>
          </w:tcPr>
          <w:p>
            <w:pPr>
              <w:spacing w:after="0"/>
              <w:rPr>
                <w:sz w:val="15"/>
                <w:szCs w:val="15"/>
                <w:color w:val="auto"/>
              </w:rPr>
            </w:pPr>
          </w:p>
        </w:tc>
        <w:tc>
          <w:tcPr>
            <w:tcW w:w="820" w:type="dxa"/>
            <w:vAlign w:val="bottom"/>
            <w:shd w:val="clear" w:color="auto" w:fill="43C0B9"/>
          </w:tcPr>
          <w:p>
            <w:pPr>
              <w:jc w:val="center"/>
              <w:ind w:left="483"/>
              <w:spacing w:after="0"/>
              <w:rPr>
                <w:sz w:val="20"/>
                <w:szCs w:val="20"/>
                <w:color w:val="auto"/>
              </w:rPr>
            </w:pPr>
            <w:r>
              <w:rPr>
                <w:rFonts w:ascii="Arial" w:cs="Arial" w:eastAsia="Arial" w:hAnsi="Arial"/>
                <w:sz w:val="11"/>
                <w:szCs w:val="11"/>
                <w:color w:val="auto"/>
              </w:rPr>
              <w:t>(0.5)</w:t>
            </w:r>
          </w:p>
        </w:tc>
      </w:tr>
      <w:tr>
        <w:trPr>
          <w:trHeight w:val="166"/>
        </w:trPr>
        <w:tc>
          <w:tcPr>
            <w:tcW w:w="8040" w:type="dxa"/>
            <w:vAlign w:val="bottom"/>
          </w:tcPr>
          <w:p>
            <w:pPr>
              <w:ind w:left="360"/>
              <w:spacing w:after="0"/>
              <w:rPr>
                <w:sz w:val="20"/>
                <w:szCs w:val="20"/>
                <w:color w:val="auto"/>
              </w:rPr>
            </w:pPr>
            <w:r>
              <w:rPr>
                <w:rFonts w:ascii="Arial" w:cs="Arial" w:eastAsia="Arial" w:hAnsi="Arial"/>
                <w:sz w:val="11"/>
                <w:szCs w:val="11"/>
                <w:color w:val="auto"/>
              </w:rPr>
              <w:t>Retained earnings</w:t>
            </w:r>
          </w:p>
        </w:tc>
        <w:tc>
          <w:tcPr>
            <w:tcW w:w="660" w:type="dxa"/>
            <w:vAlign w:val="bottom"/>
          </w:tcPr>
          <w:p>
            <w:pPr>
              <w:spacing w:after="0"/>
              <w:rPr>
                <w:sz w:val="14"/>
                <w:szCs w:val="14"/>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309.0</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251.2</w:t>
            </w:r>
          </w:p>
        </w:tc>
      </w:tr>
      <w:tr>
        <w:trPr>
          <w:trHeight w:val="170"/>
        </w:trPr>
        <w:tc>
          <w:tcPr>
            <w:tcW w:w="8040" w:type="dxa"/>
            <w:vAlign w:val="bottom"/>
            <w:tcBorders>
              <w:bottom w:val="single" w:sz="8" w:color="auto"/>
            </w:tcBorders>
            <w:shd w:val="clear" w:color="auto" w:fill="43C0B9"/>
          </w:tcPr>
          <w:p>
            <w:pPr>
              <w:ind w:left="1040"/>
              <w:spacing w:after="0"/>
              <w:rPr>
                <w:sz w:val="20"/>
                <w:szCs w:val="20"/>
                <w:color w:val="auto"/>
              </w:rPr>
            </w:pPr>
            <w:r>
              <w:rPr>
                <w:rFonts w:ascii="Arial" w:cs="Arial" w:eastAsia="Arial" w:hAnsi="Arial"/>
                <w:sz w:val="11"/>
                <w:szCs w:val="11"/>
                <w:color w:val="auto"/>
              </w:rPr>
              <w:t>Total shareholders' equity</w:t>
            </w:r>
          </w:p>
        </w:tc>
        <w:tc>
          <w:tcPr>
            <w:tcW w:w="660" w:type="dxa"/>
            <w:vAlign w:val="bottom"/>
            <w:tcBorders>
              <w:bottom w:val="single" w:sz="8" w:color="auto"/>
            </w:tcBorders>
            <w:shd w:val="clear" w:color="auto" w:fill="43C0B9"/>
          </w:tcPr>
          <w:p>
            <w:pPr>
              <w:spacing w:after="0"/>
              <w:rPr>
                <w:sz w:val="14"/>
                <w:szCs w:val="14"/>
                <w:color w:val="auto"/>
              </w:rPr>
            </w:pPr>
          </w:p>
        </w:tc>
        <w:tc>
          <w:tcPr>
            <w:tcW w:w="96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534.2</w:t>
            </w:r>
          </w:p>
        </w:tc>
        <w:tc>
          <w:tcPr>
            <w:tcW w:w="800" w:type="dxa"/>
            <w:vAlign w:val="bottom"/>
            <w:tcBorders>
              <w:bottom w:val="single" w:sz="8" w:color="auto"/>
            </w:tcBorders>
            <w:shd w:val="clear" w:color="auto" w:fill="43C0B9"/>
          </w:tcPr>
          <w:p>
            <w:pPr>
              <w:spacing w:after="0"/>
              <w:rPr>
                <w:sz w:val="14"/>
                <w:szCs w:val="14"/>
                <w:color w:val="auto"/>
              </w:rPr>
            </w:pP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473.5</w:t>
            </w:r>
          </w:p>
        </w:tc>
      </w:tr>
      <w:tr>
        <w:trPr>
          <w:trHeight w:val="160"/>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liabilities and shareholders' equity</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873.5</w:t>
            </w:r>
          </w:p>
        </w:tc>
        <w:tc>
          <w:tcPr>
            <w:tcW w:w="80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777.3</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232F84"/>
        </w:rPr>
        <w:t>MISSION PRODUCE,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2F84"/>
        </w:rPr>
        <w:t>CONSOLIDATED STATEMENTS OF COMPREHENSIVE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43"/>
              <w:spacing w:after="0"/>
              <w:rPr>
                <w:sz w:val="20"/>
                <w:szCs w:val="20"/>
                <w:color w:val="auto"/>
              </w:rPr>
            </w:pPr>
            <w:r>
              <w:rPr>
                <w:rFonts w:ascii="Arial" w:cs="Arial" w:eastAsia="Arial" w:hAnsi="Arial"/>
                <w:sz w:val="11"/>
                <w:szCs w:val="11"/>
                <w:b w:val="1"/>
                <w:bCs w:val="1"/>
                <w:color w:val="FFFFFF"/>
              </w:rPr>
              <w:t>Year Ended October 31,</w:t>
            </w:r>
          </w:p>
        </w:tc>
        <w:tc>
          <w:tcPr>
            <w:tcW w:w="700" w:type="dxa"/>
            <w:vAlign w:val="bottom"/>
            <w:shd w:val="clear" w:color="auto" w:fill="232F84"/>
          </w:tcPr>
          <w:p>
            <w:pPr>
              <w:spacing w:after="0"/>
              <w:rPr>
                <w:sz w:val="15"/>
                <w:szCs w:val="15"/>
                <w:color w:val="auto"/>
              </w:rPr>
            </w:pPr>
          </w:p>
        </w:tc>
        <w:tc>
          <w:tcPr>
            <w:tcW w:w="920" w:type="dxa"/>
            <w:vAlign w:val="bottom"/>
            <w:shd w:val="clear" w:color="auto" w:fill="232F84"/>
          </w:tcPr>
          <w:p>
            <w:pPr>
              <w:spacing w:after="0"/>
              <w:rPr>
                <w:sz w:val="15"/>
                <w:szCs w:val="15"/>
                <w:color w:val="auto"/>
              </w:rPr>
            </w:pPr>
          </w:p>
        </w:tc>
      </w:tr>
      <w:tr>
        <w:trPr>
          <w:trHeight w:val="175"/>
        </w:trPr>
        <w:tc>
          <w:tcPr>
            <w:tcW w:w="63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 except for per share amounts)</w:t>
            </w:r>
          </w:p>
        </w:tc>
        <w:tc>
          <w:tcPr>
            <w:tcW w:w="64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83"/>
              <w:spacing w:after="0"/>
              <w:rPr>
                <w:sz w:val="20"/>
                <w:szCs w:val="20"/>
                <w:color w:val="auto"/>
              </w:rPr>
            </w:pPr>
            <w:r>
              <w:rPr>
                <w:rFonts w:ascii="Arial" w:cs="Arial" w:eastAsia="Arial" w:hAnsi="Arial"/>
                <w:sz w:val="11"/>
                <w:szCs w:val="11"/>
                <w:b w:val="1"/>
                <w:bCs w:val="1"/>
                <w:color w:val="FFFFFF"/>
              </w:rPr>
              <w:t>2021</w:t>
            </w: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83"/>
              <w:spacing w:after="0"/>
              <w:rPr>
                <w:sz w:val="20"/>
                <w:szCs w:val="20"/>
                <w:color w:val="auto"/>
              </w:rPr>
            </w:pPr>
            <w:r>
              <w:rPr>
                <w:rFonts w:ascii="Arial" w:cs="Arial" w:eastAsia="Arial" w:hAnsi="Arial"/>
                <w:sz w:val="11"/>
                <w:szCs w:val="11"/>
                <w:b w:val="1"/>
                <w:bCs w:val="1"/>
                <w:color w:val="FFFFFF"/>
              </w:rPr>
              <w:t>2020</w:t>
            </w:r>
          </w:p>
        </w:tc>
        <w:tc>
          <w:tcPr>
            <w:tcW w:w="700" w:type="dxa"/>
            <w:vAlign w:val="bottom"/>
            <w:shd w:val="clear" w:color="auto" w:fill="232F84"/>
          </w:tcPr>
          <w:p>
            <w:pPr>
              <w:spacing w:after="0"/>
              <w:rPr>
                <w:sz w:val="15"/>
                <w:szCs w:val="15"/>
                <w:color w:val="auto"/>
              </w:rPr>
            </w:pPr>
          </w:p>
        </w:tc>
        <w:tc>
          <w:tcPr>
            <w:tcW w:w="92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70"/>
        </w:trPr>
        <w:tc>
          <w:tcPr>
            <w:tcW w:w="6360" w:type="dxa"/>
            <w:vAlign w:val="bottom"/>
            <w:shd w:val="clear" w:color="auto" w:fill="43C0B9"/>
          </w:tcPr>
          <w:p>
            <w:pPr>
              <w:ind w:left="20"/>
              <w:spacing w:after="0"/>
              <w:rPr>
                <w:sz w:val="20"/>
                <w:szCs w:val="20"/>
                <w:color w:val="auto"/>
              </w:rPr>
            </w:pPr>
            <w:r>
              <w:rPr>
                <w:rFonts w:ascii="Arial" w:cs="Arial" w:eastAsia="Arial" w:hAnsi="Arial"/>
                <w:sz w:val="11"/>
                <w:szCs w:val="11"/>
                <w:color w:val="auto"/>
              </w:rPr>
              <w:t>Net sales</w:t>
            </w:r>
          </w:p>
        </w:tc>
        <w:tc>
          <w:tcPr>
            <w:tcW w:w="6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891.7</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862.3</w:t>
            </w:r>
          </w:p>
        </w:tc>
        <w:tc>
          <w:tcPr>
            <w:tcW w:w="70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883.3</w:t>
            </w:r>
          </w:p>
        </w:tc>
      </w:tr>
      <w:tr>
        <w:trPr>
          <w:trHeight w:val="16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767.2</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737.7</w:t>
            </w: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728.6</w:t>
            </w:r>
          </w:p>
        </w:tc>
      </w:tr>
      <w:tr>
        <w:trPr>
          <w:trHeight w:val="165"/>
        </w:trPr>
        <w:tc>
          <w:tcPr>
            <w:tcW w:w="6360" w:type="dxa"/>
            <w:vAlign w:val="bottom"/>
            <w:shd w:val="clear" w:color="auto" w:fill="43C0B9"/>
          </w:tcPr>
          <w:p>
            <w:pPr>
              <w:ind w:left="20"/>
              <w:spacing w:after="0"/>
              <w:rPr>
                <w:sz w:val="20"/>
                <w:szCs w:val="20"/>
                <w:color w:val="auto"/>
              </w:rPr>
            </w:pPr>
            <w:r>
              <w:rPr>
                <w:rFonts w:ascii="Arial" w:cs="Arial" w:eastAsia="Arial" w:hAnsi="Arial"/>
                <w:sz w:val="11"/>
                <w:szCs w:val="11"/>
                <w:color w:val="auto"/>
              </w:rPr>
              <w:t>Gross profit</w:t>
            </w:r>
          </w:p>
        </w:tc>
        <w:tc>
          <w:tcPr>
            <w:tcW w:w="640" w:type="dxa"/>
            <w:vAlign w:val="bottom"/>
            <w:shd w:val="clear" w:color="auto" w:fill="43C0B9"/>
          </w:tcPr>
          <w:p>
            <w:pPr>
              <w:spacing w:after="0"/>
              <w:rPr>
                <w:sz w:val="14"/>
                <w:szCs w:val="14"/>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124.5</w:t>
            </w:r>
          </w:p>
        </w:tc>
        <w:tc>
          <w:tcPr>
            <w:tcW w:w="180" w:type="dxa"/>
            <w:vAlign w:val="bottom"/>
            <w:shd w:val="clear" w:color="auto" w:fill="43C0B9"/>
          </w:tcPr>
          <w:p>
            <w:pPr>
              <w:spacing w:after="0"/>
              <w:rPr>
                <w:sz w:val="14"/>
                <w:szCs w:val="14"/>
                <w:color w:val="auto"/>
              </w:rPr>
            </w:pP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124.6</w:t>
            </w:r>
          </w:p>
        </w:tc>
        <w:tc>
          <w:tcPr>
            <w:tcW w:w="700" w:type="dxa"/>
            <w:vAlign w:val="bottom"/>
            <w:shd w:val="clear" w:color="auto" w:fill="43C0B9"/>
          </w:tcPr>
          <w:p>
            <w:pPr>
              <w:spacing w:after="0"/>
              <w:rPr>
                <w:sz w:val="14"/>
                <w:szCs w:val="14"/>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154.7</w:t>
            </w:r>
          </w:p>
        </w:tc>
      </w:tr>
      <w:tr>
        <w:trPr>
          <w:trHeight w:val="16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6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63.6</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56.2</w:t>
            </w: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w:t>
            </w:r>
          </w:p>
        </w:tc>
      </w:tr>
      <w:tr>
        <w:trPr>
          <w:trHeight w:val="165"/>
        </w:trPr>
        <w:tc>
          <w:tcPr>
            <w:tcW w:w="6360" w:type="dxa"/>
            <w:vAlign w:val="bottom"/>
            <w:shd w:val="clear" w:color="auto" w:fill="43C0B9"/>
          </w:tcPr>
          <w:p>
            <w:pPr>
              <w:ind w:left="20"/>
              <w:spacing w:after="0"/>
              <w:rPr>
                <w:sz w:val="20"/>
                <w:szCs w:val="20"/>
                <w:color w:val="auto"/>
              </w:rPr>
            </w:pPr>
            <w:r>
              <w:rPr>
                <w:rFonts w:ascii="Arial" w:cs="Arial" w:eastAsia="Arial" w:hAnsi="Arial"/>
                <w:sz w:val="11"/>
                <w:szCs w:val="11"/>
                <w:color w:val="auto"/>
              </w:rPr>
              <w:t>Operating income</w:t>
            </w:r>
          </w:p>
        </w:tc>
        <w:tc>
          <w:tcPr>
            <w:tcW w:w="640" w:type="dxa"/>
            <w:vAlign w:val="bottom"/>
            <w:shd w:val="clear" w:color="auto" w:fill="43C0B9"/>
          </w:tcPr>
          <w:p>
            <w:pPr>
              <w:spacing w:after="0"/>
              <w:rPr>
                <w:sz w:val="14"/>
                <w:szCs w:val="14"/>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60.9</w:t>
            </w:r>
          </w:p>
        </w:tc>
        <w:tc>
          <w:tcPr>
            <w:tcW w:w="180" w:type="dxa"/>
            <w:vAlign w:val="bottom"/>
            <w:shd w:val="clear" w:color="auto" w:fill="43C0B9"/>
          </w:tcPr>
          <w:p>
            <w:pPr>
              <w:spacing w:after="0"/>
              <w:rPr>
                <w:sz w:val="14"/>
                <w:szCs w:val="14"/>
                <w:color w:val="auto"/>
              </w:rPr>
            </w:pP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68.4</w:t>
            </w:r>
          </w:p>
        </w:tc>
        <w:tc>
          <w:tcPr>
            <w:tcW w:w="700" w:type="dxa"/>
            <w:vAlign w:val="bottom"/>
            <w:shd w:val="clear" w:color="auto" w:fill="43C0B9"/>
          </w:tcPr>
          <w:p>
            <w:pPr>
              <w:spacing w:after="0"/>
              <w:rPr>
                <w:sz w:val="14"/>
                <w:szCs w:val="14"/>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106.5</w:t>
            </w:r>
          </w:p>
        </w:tc>
      </w:tr>
      <w:tr>
        <w:trPr>
          <w:trHeight w:val="166"/>
        </w:trPr>
        <w:tc>
          <w:tcPr>
            <w:tcW w:w="636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64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(3.7)</w:t>
            </w:r>
          </w:p>
        </w:tc>
        <w:tc>
          <w:tcPr>
            <w:tcW w:w="18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(6.7)</w:t>
            </w:r>
          </w:p>
        </w:tc>
        <w:tc>
          <w:tcPr>
            <w:tcW w:w="7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(10.3)</w:t>
            </w:r>
          </w:p>
        </w:tc>
      </w:tr>
      <w:tr>
        <w:trPr>
          <w:trHeight w:val="174"/>
        </w:trPr>
        <w:tc>
          <w:tcPr>
            <w:tcW w:w="6360" w:type="dxa"/>
            <w:vAlign w:val="bottom"/>
            <w:shd w:val="clear" w:color="auto" w:fill="43C0B9"/>
          </w:tcPr>
          <w:p>
            <w:pPr>
              <w:ind w:left="20"/>
              <w:spacing w:after="0"/>
              <w:rPr>
                <w:sz w:val="20"/>
                <w:szCs w:val="20"/>
                <w:color w:val="auto"/>
              </w:rPr>
            </w:pPr>
            <w:r>
              <w:rPr>
                <w:rFonts w:ascii="Arial" w:cs="Arial" w:eastAsia="Arial" w:hAnsi="Arial"/>
                <w:sz w:val="11"/>
                <w:szCs w:val="11"/>
                <w:color w:val="auto"/>
              </w:rPr>
              <w:t>Equity method income</w:t>
            </w:r>
          </w:p>
        </w:tc>
        <w:tc>
          <w:tcPr>
            <w:tcW w:w="64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7.5</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4.0</w:t>
            </w: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3.4</w:t>
            </w:r>
          </w:p>
        </w:tc>
      </w:tr>
      <w:tr>
        <w:trPr>
          <w:trHeight w:val="166"/>
        </w:trPr>
        <w:tc>
          <w:tcPr>
            <w:tcW w:w="6360" w:type="dxa"/>
            <w:vAlign w:val="bottom"/>
          </w:tcPr>
          <w:p>
            <w:pPr>
              <w:ind w:left="20"/>
              <w:spacing w:after="0"/>
              <w:rPr>
                <w:sz w:val="20"/>
                <w:szCs w:val="20"/>
                <w:color w:val="auto"/>
              </w:rPr>
            </w:pPr>
            <w:r>
              <w:rPr>
                <w:rFonts w:ascii="Arial" w:cs="Arial" w:eastAsia="Arial" w:hAnsi="Arial"/>
                <w:sz w:val="11"/>
                <w:szCs w:val="11"/>
                <w:color w:val="auto"/>
              </w:rPr>
              <w:t>Impairment on equity method investment</w:t>
            </w:r>
          </w:p>
        </w:tc>
        <w:tc>
          <w:tcPr>
            <w:tcW w:w="64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Arial" w:cs="Arial" w:eastAsia="Arial" w:hAnsi="Arial"/>
                <w:sz w:val="11"/>
                <w:szCs w:val="11"/>
                <w:color w:val="auto"/>
              </w:rPr>
              <w:t>(21.2)</w:t>
            </w:r>
          </w:p>
        </w:tc>
        <w:tc>
          <w:tcPr>
            <w:tcW w:w="7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3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 income (expense), net</w:t>
            </w:r>
          </w:p>
        </w:tc>
        <w:tc>
          <w:tcPr>
            <w:tcW w:w="64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1.3</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(0.7)</w:t>
            </w:r>
          </w:p>
        </w:tc>
        <w:tc>
          <w:tcPr>
            <w:tcW w:w="70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(3.6)</w:t>
            </w:r>
          </w:p>
        </w:tc>
      </w:tr>
      <w:tr>
        <w:trPr>
          <w:trHeight w:val="160"/>
        </w:trPr>
        <w:tc>
          <w:tcPr>
            <w:tcW w:w="6360" w:type="dxa"/>
            <w:vAlign w:val="bottom"/>
          </w:tcPr>
          <w:p>
            <w:pPr>
              <w:ind w:left="20"/>
              <w:spacing w:after="0"/>
              <w:rPr>
                <w:sz w:val="20"/>
                <w:szCs w:val="20"/>
                <w:color w:val="auto"/>
              </w:rPr>
            </w:pPr>
            <w:r>
              <w:rPr>
                <w:rFonts w:ascii="Arial" w:cs="Arial" w:eastAsia="Arial" w:hAnsi="Arial"/>
                <w:sz w:val="11"/>
                <w:szCs w:val="11"/>
                <w:color w:val="auto"/>
              </w:rPr>
              <w:t>Income before income taxes</w:t>
            </w:r>
          </w:p>
        </w:tc>
        <w:tc>
          <w:tcPr>
            <w:tcW w:w="640" w:type="dxa"/>
            <w:vAlign w:val="bottom"/>
          </w:tcPr>
          <w:p>
            <w:pPr>
              <w:spacing w:after="0"/>
              <w:rPr>
                <w:sz w:val="13"/>
                <w:szCs w:val="13"/>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66.0</w:t>
            </w:r>
          </w:p>
        </w:tc>
        <w:tc>
          <w:tcPr>
            <w:tcW w:w="180" w:type="dxa"/>
            <w:vAlign w:val="bottom"/>
          </w:tcPr>
          <w:p>
            <w:pPr>
              <w:spacing w:after="0"/>
              <w:rPr>
                <w:sz w:val="13"/>
                <w:szCs w:val="13"/>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43.8</w:t>
            </w:r>
          </w:p>
        </w:tc>
        <w:tc>
          <w:tcPr>
            <w:tcW w:w="7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96.0</w:t>
            </w:r>
          </w:p>
        </w:tc>
      </w:tr>
      <w:tr>
        <w:trPr>
          <w:trHeight w:val="170"/>
        </w:trPr>
        <w:tc>
          <w:tcPr>
            <w:tcW w:w="63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Provision for income taxes</w:t>
            </w:r>
          </w:p>
        </w:tc>
        <w:tc>
          <w:tcPr>
            <w:tcW w:w="64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21.1</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15.0</w:t>
            </w:r>
          </w:p>
        </w:tc>
        <w:tc>
          <w:tcPr>
            <w:tcW w:w="70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24.3</w:t>
            </w:r>
          </w:p>
        </w:tc>
      </w:tr>
      <w:tr>
        <w:trPr>
          <w:trHeight w:val="16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28.8</w:t>
            </w: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71.7</w:t>
            </w:r>
          </w:p>
        </w:tc>
      </w:tr>
      <w:tr>
        <w:trPr>
          <w:trHeight w:val="154"/>
        </w:trPr>
        <w:tc>
          <w:tcPr>
            <w:tcW w:w="6360" w:type="dxa"/>
            <w:vAlign w:val="bottom"/>
            <w:shd w:val="clear" w:color="auto" w:fill="43C0B9"/>
          </w:tcPr>
          <w:p>
            <w:pPr>
              <w:spacing w:after="0"/>
              <w:rPr>
                <w:sz w:val="13"/>
                <w:szCs w:val="13"/>
                <w:color w:val="auto"/>
              </w:rPr>
            </w:pPr>
          </w:p>
        </w:tc>
        <w:tc>
          <w:tcPr>
            <w:tcW w:w="64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180" w:type="dxa"/>
            <w:vAlign w:val="bottom"/>
            <w:shd w:val="clear" w:color="auto" w:fill="43C0B9"/>
          </w:tcPr>
          <w:p>
            <w:pPr>
              <w:spacing w:after="0"/>
              <w:rPr>
                <w:sz w:val="13"/>
                <w:szCs w:val="13"/>
                <w:color w:val="auto"/>
              </w:rPr>
            </w:pPr>
          </w:p>
        </w:tc>
        <w:tc>
          <w:tcPr>
            <w:tcW w:w="1500" w:type="dxa"/>
            <w:vAlign w:val="bottom"/>
            <w:shd w:val="clear" w:color="auto" w:fill="43C0B9"/>
          </w:tcPr>
          <w:p>
            <w:pPr>
              <w:spacing w:after="0"/>
              <w:rPr>
                <w:sz w:val="13"/>
                <w:szCs w:val="13"/>
                <w:color w:val="auto"/>
              </w:rPr>
            </w:pPr>
          </w:p>
        </w:tc>
        <w:tc>
          <w:tcPr>
            <w:tcW w:w="700" w:type="dxa"/>
            <w:vAlign w:val="bottom"/>
            <w:shd w:val="clear" w:color="auto" w:fill="43C0B9"/>
          </w:tcPr>
          <w:p>
            <w:pPr>
              <w:spacing w:after="0"/>
              <w:rPr>
                <w:sz w:val="13"/>
                <w:szCs w:val="13"/>
                <w:color w:val="auto"/>
              </w:rPr>
            </w:pPr>
          </w:p>
        </w:tc>
        <w:tc>
          <w:tcPr>
            <w:tcW w:w="920" w:type="dxa"/>
            <w:vAlign w:val="bottom"/>
            <w:shd w:val="clear" w:color="auto" w:fill="43C0B9"/>
          </w:tcPr>
          <w:p>
            <w:pPr>
              <w:spacing w:after="0"/>
              <w:rPr>
                <w:sz w:val="13"/>
                <w:szCs w:val="13"/>
                <w:color w:val="auto"/>
              </w:rPr>
            </w:pPr>
          </w:p>
        </w:tc>
      </w:tr>
      <w:tr>
        <w:trPr>
          <w:trHeight w:val="166"/>
        </w:trPr>
        <w:tc>
          <w:tcPr>
            <w:tcW w:w="6360" w:type="dxa"/>
            <w:vAlign w:val="bottom"/>
          </w:tcPr>
          <w:p>
            <w:pPr>
              <w:ind w:left="20"/>
              <w:spacing w:after="0"/>
              <w:rPr>
                <w:sz w:val="20"/>
                <w:szCs w:val="20"/>
                <w:color w:val="auto"/>
              </w:rPr>
            </w:pPr>
            <w:r>
              <w:rPr>
                <w:rFonts w:ascii="Arial" w:cs="Arial" w:eastAsia="Arial" w:hAnsi="Arial"/>
                <w:sz w:val="11"/>
                <w:szCs w:val="11"/>
                <w:color w:val="auto"/>
              </w:rPr>
              <w:t>Net income per share:</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6360" w:type="dxa"/>
            <w:vAlign w:val="bottom"/>
            <w:shd w:val="clear" w:color="auto" w:fill="43C0B9"/>
          </w:tcPr>
          <w:p>
            <w:pPr>
              <w:ind w:left="280"/>
              <w:spacing w:after="0"/>
              <w:rPr>
                <w:sz w:val="20"/>
                <w:szCs w:val="20"/>
                <w:color w:val="auto"/>
              </w:rPr>
            </w:pPr>
            <w:r>
              <w:rPr>
                <w:rFonts w:ascii="Arial" w:cs="Arial" w:eastAsia="Arial" w:hAnsi="Arial"/>
                <w:sz w:val="11"/>
                <w:szCs w:val="11"/>
                <w:color w:val="auto"/>
              </w:rPr>
              <w:t>Basic</w:t>
            </w:r>
          </w:p>
        </w:tc>
        <w:tc>
          <w:tcPr>
            <w:tcW w:w="6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0.64</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0.45</w:t>
            </w:r>
          </w:p>
        </w:tc>
        <w:tc>
          <w:tcPr>
            <w:tcW w:w="70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1.13</w:t>
            </w:r>
          </w:p>
        </w:tc>
      </w:tr>
      <w:tr>
        <w:trPr>
          <w:trHeight w:val="166"/>
        </w:trPr>
        <w:tc>
          <w:tcPr>
            <w:tcW w:w="6360" w:type="dxa"/>
            <w:vAlign w:val="bottom"/>
          </w:tcPr>
          <w:p>
            <w:pPr>
              <w:ind w:left="280"/>
              <w:spacing w:after="0"/>
              <w:rPr>
                <w:sz w:val="20"/>
                <w:szCs w:val="20"/>
                <w:color w:val="auto"/>
              </w:rPr>
            </w:pPr>
            <w:r>
              <w:rPr>
                <w:rFonts w:ascii="Arial" w:cs="Arial" w:eastAsia="Arial" w:hAnsi="Arial"/>
                <w:sz w:val="11"/>
                <w:szCs w:val="11"/>
                <w:color w:val="auto"/>
              </w:rPr>
              <w:t>Diluted</w:t>
            </w:r>
          </w:p>
        </w:tc>
        <w:tc>
          <w:tcPr>
            <w:tcW w:w="640" w:type="dxa"/>
            <w:vAlign w:val="bottom"/>
          </w:tcPr>
          <w:p>
            <w:pPr>
              <w:jc w:val="right"/>
              <w:ind w:right="50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0.63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0.45</w:t>
            </w:r>
          </w:p>
        </w:tc>
        <w:tc>
          <w:tcPr>
            <w:tcW w:w="70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1.13</w:t>
            </w:r>
          </w:p>
        </w:tc>
      </w:tr>
      <w:tr>
        <w:trPr>
          <w:trHeight w:val="174"/>
        </w:trPr>
        <w:tc>
          <w:tcPr>
            <w:tcW w:w="6360" w:type="dxa"/>
            <w:vAlign w:val="bottom"/>
            <w:shd w:val="clear" w:color="auto" w:fill="43C0B9"/>
          </w:tcPr>
          <w:p>
            <w:pPr>
              <w:spacing w:after="0"/>
              <w:rPr>
                <w:sz w:val="15"/>
                <w:szCs w:val="15"/>
                <w:color w:val="auto"/>
              </w:rPr>
            </w:pPr>
          </w:p>
        </w:tc>
        <w:tc>
          <w:tcPr>
            <w:tcW w:w="64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spacing w:after="0"/>
              <w:rPr>
                <w:sz w:val="15"/>
                <w:szCs w:val="15"/>
                <w:color w:val="auto"/>
              </w:rPr>
            </w:pP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r>
      <w:tr>
        <w:trPr>
          <w:trHeight w:val="166"/>
        </w:trPr>
        <w:tc>
          <w:tcPr>
            <w:tcW w:w="6360" w:type="dxa"/>
            <w:vAlign w:val="bottom"/>
          </w:tcPr>
          <w:p>
            <w:pPr>
              <w:ind w:left="20"/>
              <w:spacing w:after="0"/>
              <w:rPr>
                <w:sz w:val="20"/>
                <w:szCs w:val="20"/>
                <w:color w:val="auto"/>
              </w:rPr>
            </w:pPr>
            <w:r>
              <w:rPr>
                <w:rFonts w:ascii="Arial" w:cs="Arial" w:eastAsia="Arial" w:hAnsi="Arial"/>
                <w:sz w:val="11"/>
                <w:szCs w:val="11"/>
                <w:color w:val="auto"/>
              </w:rPr>
              <w:t>Other comprehensive income, net of tax</w:t>
            </w: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360" w:type="dxa"/>
            <w:vAlign w:val="bottom"/>
            <w:tcBorders>
              <w:bottom w:val="single" w:sz="8" w:color="auto"/>
            </w:tcBorders>
            <w:shd w:val="clear" w:color="auto" w:fill="43C0B9"/>
          </w:tcPr>
          <w:p>
            <w:pPr>
              <w:ind w:left="280"/>
              <w:spacing w:after="0"/>
              <w:rPr>
                <w:sz w:val="20"/>
                <w:szCs w:val="20"/>
                <w:color w:val="auto"/>
              </w:rPr>
            </w:pPr>
            <w:r>
              <w:rPr>
                <w:rFonts w:ascii="Arial" w:cs="Arial" w:eastAsia="Arial" w:hAnsi="Arial"/>
                <w:sz w:val="11"/>
                <w:szCs w:val="11"/>
                <w:color w:val="auto"/>
              </w:rPr>
              <w:t>Foreign currency translation adjustments</w:t>
            </w:r>
          </w:p>
        </w:tc>
        <w:tc>
          <w:tcPr>
            <w:tcW w:w="64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(0.5)</w:t>
            </w:r>
          </w:p>
        </w:tc>
        <w:tc>
          <w:tcPr>
            <w:tcW w:w="70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Comprehensive income</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28.3</w:t>
            </w: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71.7</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232F84"/>
        </w:rPr>
        <w:t>MISSION PRODUCE,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2F84"/>
        </w:rPr>
        <w:t>CONSOLIDATED STATEMENTS OF SHAREHOLDERS’ EQUITY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96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0"/>
                <w:szCs w:val="10"/>
                <w:b w:val="1"/>
                <w:bCs w:val="1"/>
                <w:color w:val="FFFFFF"/>
              </w:rPr>
              <w:t>(In millions, except for shares</w:t>
            </w:r>
          </w:p>
        </w:tc>
        <w:tc>
          <w:tcPr>
            <w:tcW w:w="1660" w:type="dxa"/>
            <w:vAlign w:val="bottom"/>
            <w:tcBorders>
              <w:bottom w:val="single" w:sz="8" w:color="232F84"/>
            </w:tcBorders>
            <w:gridSpan w:val="2"/>
            <w:shd w:val="clear" w:color="auto" w:fill="232F84"/>
          </w:tcPr>
          <w:p>
            <w:pPr>
              <w:jc w:val="right"/>
              <w:ind w:right="131"/>
              <w:spacing w:after="0"/>
              <w:rPr>
                <w:sz w:val="20"/>
                <w:szCs w:val="20"/>
                <w:color w:val="auto"/>
              </w:rPr>
            </w:pPr>
            <w:r>
              <w:rPr>
                <w:rFonts w:ascii="Arial" w:cs="Arial" w:eastAsia="Arial" w:hAnsi="Arial"/>
                <w:sz w:val="10"/>
                <w:szCs w:val="10"/>
                <w:b w:val="1"/>
                <w:bCs w:val="1"/>
                <w:color w:val="FFFFFF"/>
              </w:rPr>
              <w:t>Common stock</w:t>
            </w:r>
          </w:p>
        </w:tc>
        <w:tc>
          <w:tcPr>
            <w:tcW w:w="580" w:type="dxa"/>
            <w:vAlign w:val="bottom"/>
            <w:tcBorders>
              <w:bottom w:val="single" w:sz="8" w:color="232F84"/>
            </w:tcBorders>
            <w:shd w:val="clear" w:color="auto" w:fill="232F84"/>
          </w:tcPr>
          <w:p>
            <w:pPr>
              <w:spacing w:after="0"/>
              <w:rPr>
                <w:sz w:val="24"/>
                <w:szCs w:val="24"/>
                <w:color w:val="auto"/>
              </w:rPr>
            </w:pPr>
          </w:p>
        </w:tc>
        <w:tc>
          <w:tcPr>
            <w:tcW w:w="280" w:type="dxa"/>
            <w:vAlign w:val="bottom"/>
            <w:tcBorders>
              <w:bottom w:val="single" w:sz="8" w:color="232F84"/>
            </w:tcBorders>
            <w:shd w:val="clear" w:color="auto" w:fill="232F84"/>
          </w:tcPr>
          <w:p>
            <w:pPr>
              <w:spacing w:after="0"/>
              <w:rPr>
                <w:sz w:val="24"/>
                <w:szCs w:val="24"/>
                <w:color w:val="auto"/>
              </w:rPr>
            </w:pPr>
          </w:p>
        </w:tc>
        <w:tc>
          <w:tcPr>
            <w:tcW w:w="98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Additional paid-in</w:t>
            </w:r>
          </w:p>
        </w:tc>
        <w:tc>
          <w:tcPr>
            <w:tcW w:w="120" w:type="dxa"/>
            <w:vAlign w:val="bottom"/>
            <w:tcBorders>
              <w:bottom w:val="single" w:sz="8" w:color="232F84"/>
            </w:tcBorders>
            <w:shd w:val="clear" w:color="auto" w:fill="232F84"/>
          </w:tcPr>
          <w:p>
            <w:pPr>
              <w:spacing w:after="0"/>
              <w:rPr>
                <w:sz w:val="24"/>
                <w:szCs w:val="24"/>
                <w:color w:val="auto"/>
              </w:rPr>
            </w:pPr>
          </w:p>
        </w:tc>
        <w:tc>
          <w:tcPr>
            <w:tcW w:w="108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Notes receivable from</w:t>
            </w:r>
          </w:p>
        </w:tc>
        <w:tc>
          <w:tcPr>
            <w:tcW w:w="160" w:type="dxa"/>
            <w:vAlign w:val="bottom"/>
            <w:tcBorders>
              <w:bottom w:val="single" w:sz="8" w:color="232F84"/>
            </w:tcBorders>
            <w:shd w:val="clear" w:color="auto" w:fill="232F84"/>
          </w:tcPr>
          <w:p>
            <w:pPr>
              <w:spacing w:after="0"/>
              <w:rPr>
                <w:sz w:val="24"/>
                <w:szCs w:val="24"/>
                <w:color w:val="auto"/>
              </w:rPr>
            </w:pPr>
          </w:p>
        </w:tc>
        <w:tc>
          <w:tcPr>
            <w:tcW w:w="10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Accumulated other</w:t>
            </w:r>
          </w:p>
        </w:tc>
        <w:tc>
          <w:tcPr>
            <w:tcW w:w="200" w:type="dxa"/>
            <w:vAlign w:val="bottom"/>
            <w:tcBorders>
              <w:bottom w:val="single" w:sz="8" w:color="232F84"/>
            </w:tcBorders>
            <w:shd w:val="clear" w:color="auto" w:fill="232F84"/>
          </w:tcPr>
          <w:p>
            <w:pPr>
              <w:spacing w:after="0"/>
              <w:rPr>
                <w:sz w:val="24"/>
                <w:szCs w:val="24"/>
                <w:color w:val="auto"/>
              </w:rPr>
            </w:pPr>
          </w:p>
        </w:tc>
        <w:tc>
          <w:tcPr>
            <w:tcW w:w="1000" w:type="dxa"/>
            <w:vAlign w:val="bottom"/>
            <w:tcBorders>
              <w:bottom w:val="single" w:sz="8" w:color="232F84"/>
            </w:tcBorders>
            <w:shd w:val="clear" w:color="auto" w:fill="232F84"/>
          </w:tcPr>
          <w:p>
            <w:pPr>
              <w:spacing w:after="0"/>
              <w:rPr>
                <w:sz w:val="24"/>
                <w:szCs w:val="24"/>
                <w:color w:val="auto"/>
              </w:rPr>
            </w:pPr>
          </w:p>
        </w:tc>
        <w:tc>
          <w:tcPr>
            <w:tcW w:w="180" w:type="dxa"/>
            <w:vAlign w:val="bottom"/>
            <w:tcBorders>
              <w:bottom w:val="single" w:sz="8" w:color="232F84"/>
            </w:tcBorders>
            <w:shd w:val="clear" w:color="auto" w:fill="232F84"/>
          </w:tcPr>
          <w:p>
            <w:pPr>
              <w:spacing w:after="0"/>
              <w:rPr>
                <w:sz w:val="24"/>
                <w:szCs w:val="24"/>
                <w:color w:val="auto"/>
              </w:rPr>
            </w:pPr>
          </w:p>
        </w:tc>
        <w:tc>
          <w:tcPr>
            <w:tcW w:w="10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Total shareholders'</w:t>
            </w:r>
          </w:p>
        </w:tc>
      </w:tr>
      <w:tr>
        <w:trPr>
          <w:trHeight w:val="150"/>
        </w:trPr>
        <w:tc>
          <w:tcPr>
            <w:tcW w:w="2960" w:type="dxa"/>
            <w:vAlign w:val="bottom"/>
            <w:tcBorders>
              <w:top w:val="single" w:sz="8" w:color="232F84"/>
            </w:tcBorders>
            <w:shd w:val="clear" w:color="auto" w:fill="232F84"/>
          </w:tcPr>
          <w:p>
            <w:pPr>
              <w:ind w:left="20"/>
              <w:spacing w:after="0"/>
              <w:rPr>
                <w:sz w:val="20"/>
                <w:szCs w:val="20"/>
                <w:color w:val="auto"/>
              </w:rPr>
            </w:pPr>
            <w:r>
              <w:rPr>
                <w:rFonts w:ascii="Arial" w:cs="Arial" w:eastAsia="Arial" w:hAnsi="Arial"/>
                <w:sz w:val="10"/>
                <w:szCs w:val="10"/>
                <w:b w:val="1"/>
                <w:bCs w:val="1"/>
                <w:color w:val="FFFFFF"/>
              </w:rPr>
              <w:t>and per share data)</w:t>
            </w:r>
          </w:p>
        </w:tc>
        <w:tc>
          <w:tcPr>
            <w:tcW w:w="1120" w:type="dxa"/>
            <w:vAlign w:val="bottom"/>
            <w:tcBorders>
              <w:top w:val="single" w:sz="8" w:color="43C0B9"/>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Shares</w:t>
            </w:r>
          </w:p>
        </w:tc>
        <w:tc>
          <w:tcPr>
            <w:tcW w:w="540" w:type="dxa"/>
            <w:vAlign w:val="bottom"/>
            <w:tcBorders>
              <w:top w:val="single" w:sz="8" w:color="43C0B9"/>
            </w:tcBorders>
            <w:shd w:val="clear" w:color="auto" w:fill="232F84"/>
          </w:tcPr>
          <w:p>
            <w:pPr>
              <w:spacing w:after="0"/>
              <w:rPr>
                <w:sz w:val="13"/>
                <w:szCs w:val="13"/>
                <w:color w:val="auto"/>
              </w:rPr>
            </w:pPr>
          </w:p>
        </w:tc>
        <w:tc>
          <w:tcPr>
            <w:tcW w:w="580" w:type="dxa"/>
            <w:vAlign w:val="bottom"/>
            <w:tcBorders>
              <w:top w:val="single" w:sz="8" w:color="43C0B9"/>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Amount</w:t>
            </w:r>
          </w:p>
        </w:tc>
        <w:tc>
          <w:tcPr>
            <w:tcW w:w="280" w:type="dxa"/>
            <w:vAlign w:val="bottom"/>
            <w:tcBorders>
              <w:top w:val="single" w:sz="8" w:color="232F84"/>
            </w:tcBorders>
            <w:shd w:val="clear" w:color="auto" w:fill="232F84"/>
          </w:tcPr>
          <w:p>
            <w:pPr>
              <w:spacing w:after="0"/>
              <w:rPr>
                <w:sz w:val="13"/>
                <w:szCs w:val="13"/>
                <w:color w:val="auto"/>
              </w:rPr>
            </w:pPr>
          </w:p>
        </w:tc>
        <w:tc>
          <w:tcPr>
            <w:tcW w:w="98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capital</w:t>
            </w:r>
          </w:p>
        </w:tc>
        <w:tc>
          <w:tcPr>
            <w:tcW w:w="120" w:type="dxa"/>
            <w:vAlign w:val="bottom"/>
            <w:tcBorders>
              <w:top w:val="single" w:sz="8" w:color="232F84"/>
            </w:tcBorders>
            <w:shd w:val="clear" w:color="auto" w:fill="232F84"/>
          </w:tcPr>
          <w:p>
            <w:pPr>
              <w:spacing w:after="0"/>
              <w:rPr>
                <w:sz w:val="13"/>
                <w:szCs w:val="13"/>
                <w:color w:val="auto"/>
              </w:rPr>
            </w:pPr>
          </w:p>
        </w:tc>
        <w:tc>
          <w:tcPr>
            <w:tcW w:w="108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shareholders</w:t>
            </w:r>
          </w:p>
        </w:tc>
        <w:tc>
          <w:tcPr>
            <w:tcW w:w="160" w:type="dxa"/>
            <w:vAlign w:val="bottom"/>
            <w:tcBorders>
              <w:top w:val="single" w:sz="8" w:color="232F84"/>
            </w:tcBorders>
            <w:shd w:val="clear" w:color="auto" w:fill="232F84"/>
          </w:tcPr>
          <w:p>
            <w:pPr>
              <w:spacing w:after="0"/>
              <w:rPr>
                <w:sz w:val="13"/>
                <w:szCs w:val="13"/>
                <w:color w:val="auto"/>
              </w:rPr>
            </w:pPr>
          </w:p>
        </w:tc>
        <w:tc>
          <w:tcPr>
            <w:tcW w:w="104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comprehensive loss</w:t>
            </w:r>
          </w:p>
        </w:tc>
        <w:tc>
          <w:tcPr>
            <w:tcW w:w="200" w:type="dxa"/>
            <w:vAlign w:val="bottom"/>
            <w:tcBorders>
              <w:top w:val="single" w:sz="8" w:color="232F84"/>
            </w:tcBorders>
            <w:shd w:val="clear" w:color="auto" w:fill="232F84"/>
          </w:tcPr>
          <w:p>
            <w:pPr>
              <w:spacing w:after="0"/>
              <w:rPr>
                <w:sz w:val="13"/>
                <w:szCs w:val="13"/>
                <w:color w:val="auto"/>
              </w:rPr>
            </w:pPr>
          </w:p>
        </w:tc>
        <w:tc>
          <w:tcPr>
            <w:tcW w:w="100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Retained earnings</w:t>
            </w:r>
          </w:p>
        </w:tc>
        <w:tc>
          <w:tcPr>
            <w:tcW w:w="180" w:type="dxa"/>
            <w:vAlign w:val="bottom"/>
            <w:tcBorders>
              <w:top w:val="single" w:sz="8" w:color="232F84"/>
            </w:tcBorders>
            <w:shd w:val="clear" w:color="auto" w:fill="232F84"/>
          </w:tcPr>
          <w:p>
            <w:pPr>
              <w:spacing w:after="0"/>
              <w:rPr>
                <w:sz w:val="13"/>
                <w:szCs w:val="13"/>
                <w:color w:val="auto"/>
              </w:rPr>
            </w:pPr>
          </w:p>
        </w:tc>
        <w:tc>
          <w:tcPr>
            <w:tcW w:w="1040" w:type="dxa"/>
            <w:vAlign w:val="bottom"/>
            <w:tcBorders>
              <w:top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equity</w:t>
            </w: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Balance at October 31, 2018</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63,491,651</w:t>
            </w:r>
          </w:p>
        </w:tc>
        <w:tc>
          <w:tcPr>
            <w:tcW w:w="540" w:type="dxa"/>
            <w:vAlign w:val="bottom"/>
            <w:tcBorders>
              <w:bottom w:val="single" w:sz="8" w:color="43C0B9"/>
            </w:tcBorders>
            <w:shd w:val="clear" w:color="auto" w:fill="43C0B9"/>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0.1</w:t>
            </w:r>
          </w:p>
        </w:tc>
        <w:tc>
          <w:tcPr>
            <w:tcW w:w="280" w:type="dxa"/>
            <w:vAlign w:val="bottom"/>
            <w:tcBorders>
              <w:bottom w:val="single" w:sz="8" w:color="43C0B9"/>
            </w:tcBorders>
            <w:shd w:val="clear" w:color="auto" w:fill="43C0B9"/>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139.7</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(0.4)</w:t>
            </w:r>
          </w:p>
        </w:tc>
        <w:tc>
          <w:tcPr>
            <w:tcW w:w="16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174.1</w:t>
            </w:r>
          </w:p>
        </w:tc>
        <w:tc>
          <w:tcPr>
            <w:tcW w:w="18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313.5</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Dividends declared ($0.09 per share)</w:t>
            </w: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(5.6)</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(5.6)</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Repayment of stock option notes receivable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0.3</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0.3</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Purchase and retirement of stock</w:t>
            </w:r>
          </w:p>
        </w:tc>
        <w:tc>
          <w:tcPr>
            <w:tcW w:w="1120" w:type="dxa"/>
            <w:vAlign w:val="bottom"/>
          </w:tcPr>
          <w:p>
            <w:pPr>
              <w:jc w:val="right"/>
              <w:spacing w:after="0"/>
              <w:rPr>
                <w:sz w:val="20"/>
                <w:szCs w:val="20"/>
                <w:color w:val="auto"/>
              </w:rPr>
            </w:pPr>
            <w:r>
              <w:rPr>
                <w:rFonts w:ascii="Arial" w:cs="Arial" w:eastAsia="Arial" w:hAnsi="Arial"/>
                <w:sz w:val="10"/>
                <w:szCs w:val="10"/>
                <w:color w:val="auto"/>
              </w:rPr>
              <w:t>(105,400)</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(0.9)</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(0.9)</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4"/>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Net income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3"/>
                <w:szCs w:val="13"/>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3"/>
                <w:szCs w:val="13"/>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3"/>
                <w:szCs w:val="13"/>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3"/>
                <w:szCs w:val="13"/>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71.7</w:t>
            </w:r>
          </w:p>
        </w:tc>
        <w:tc>
          <w:tcPr>
            <w:tcW w:w="18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71.7</w:t>
            </w:r>
          </w:p>
        </w:tc>
      </w:tr>
      <w:tr>
        <w:trPr>
          <w:trHeight w:val="125"/>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Balance at October 31,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63,386,251</w:t>
            </w:r>
          </w:p>
        </w:tc>
        <w:tc>
          <w:tcPr>
            <w:tcW w:w="540" w:type="dxa"/>
            <w:vAlign w:val="bottom"/>
            <w:tcBorders>
              <w:top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0.1</w:t>
            </w: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139.7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239.3</w:t>
            </w:r>
          </w:p>
        </w:tc>
        <w:tc>
          <w:tcPr>
            <w:tcW w:w="1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379.0</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Dividends declared ($0.21 per share)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(13.0)</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(13.0)</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w w:val="99"/>
              </w:rPr>
              <w:t>Issuance of common stock in public offering, net of issuance costs</w:t>
            </w:r>
          </w:p>
        </w:tc>
        <w:tc>
          <w:tcPr>
            <w:tcW w:w="1120" w:type="dxa"/>
            <w:vAlign w:val="bottom"/>
          </w:tcPr>
          <w:p>
            <w:pPr>
              <w:jc w:val="right"/>
              <w:spacing w:after="0"/>
              <w:rPr>
                <w:sz w:val="20"/>
                <w:szCs w:val="20"/>
                <w:color w:val="auto"/>
              </w:rPr>
            </w:pPr>
            <w:r>
              <w:rPr>
                <w:rFonts w:ascii="Arial" w:cs="Arial" w:eastAsia="Arial" w:hAnsi="Arial"/>
                <w:sz w:val="10"/>
                <w:szCs w:val="10"/>
                <w:color w:val="auto"/>
              </w:rPr>
              <w:t>7,450,000</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78.1</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78.1</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Issuance of common stock</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7,921</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0.1</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0.1</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4.6</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4.6</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Reclassification of liability-based awards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0.3</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0.3</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0"/>
                <w:szCs w:val="10"/>
                <w:color w:val="auto"/>
              </w:rPr>
              <w:t>17,000</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Purchase and retirement of stock</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(310,250)</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(3.9)</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(3.9)</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28.8</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28.8</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4"/>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Other comprehensive loss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3"/>
                <w:szCs w:val="13"/>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3"/>
                <w:szCs w:val="13"/>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3"/>
                <w:szCs w:val="13"/>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(0.5)</w:t>
            </w:r>
          </w:p>
        </w:tc>
        <w:tc>
          <w:tcPr>
            <w:tcW w:w="200" w:type="dxa"/>
            <w:vAlign w:val="bottom"/>
            <w:tcBorders>
              <w:bottom w:val="single" w:sz="8" w:color="43C0B9"/>
            </w:tcBorders>
            <w:shd w:val="clear" w:color="auto" w:fill="43C0B9"/>
          </w:tcPr>
          <w:p>
            <w:pPr>
              <w:spacing w:after="0"/>
              <w:rPr>
                <w:sz w:val="13"/>
                <w:szCs w:val="13"/>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(0.5)</w:t>
            </w:r>
          </w:p>
        </w:tc>
      </w:tr>
      <w:tr>
        <w:trPr>
          <w:trHeight w:val="125"/>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Balance at October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70,550,922</w:t>
            </w:r>
          </w:p>
        </w:tc>
        <w:tc>
          <w:tcPr>
            <w:tcW w:w="540" w:type="dxa"/>
            <w:vAlign w:val="bottom"/>
            <w:tcBorders>
              <w:top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0.1</w:t>
            </w: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222.8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(0.5)</w:t>
            </w:r>
          </w:p>
        </w:tc>
        <w:tc>
          <w:tcPr>
            <w:tcW w:w="20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251.2</w:t>
            </w:r>
          </w:p>
        </w:tc>
        <w:tc>
          <w:tcPr>
            <w:tcW w:w="18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473.5</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Exercise of stock options</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22,272</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0.2</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0.2</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Issuance of common stock for equity awards</w:t>
            </w:r>
          </w:p>
        </w:tc>
        <w:tc>
          <w:tcPr>
            <w:tcW w:w="1120" w:type="dxa"/>
            <w:vAlign w:val="bottom"/>
          </w:tcPr>
          <w:p>
            <w:pPr>
              <w:jc w:val="right"/>
              <w:spacing w:after="0"/>
              <w:rPr>
                <w:sz w:val="20"/>
                <w:szCs w:val="20"/>
                <w:color w:val="auto"/>
              </w:rPr>
            </w:pPr>
            <w:r>
              <w:rPr>
                <w:rFonts w:ascii="Arial" w:cs="Arial" w:eastAsia="Arial" w:hAnsi="Arial"/>
                <w:sz w:val="10"/>
                <w:szCs w:val="10"/>
                <w:color w:val="auto"/>
              </w:rPr>
              <w:t>58,331</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Stock-based compensation</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2.6</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2.6</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Repayment of stock option notes receivable</w:t>
            </w: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0.1</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0.1</w:t>
            </w:r>
          </w:p>
        </w:tc>
      </w:tr>
      <w:tr>
        <w:trPr>
          <w:trHeight w:val="25"/>
        </w:trPr>
        <w:tc>
          <w:tcPr>
            <w:tcW w:w="2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9"/>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Net income</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43C0B9"/>
            </w:tcBorders>
            <w:shd w:val="clear" w:color="auto" w:fill="43C0B9"/>
          </w:tcPr>
          <w:p>
            <w:pPr>
              <w:spacing w:after="0"/>
              <w:rPr>
                <w:sz w:val="12"/>
                <w:szCs w:val="12"/>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43C0B9"/>
            </w:tcBorders>
            <w:shd w:val="clear" w:color="auto" w:fill="43C0B9"/>
          </w:tcPr>
          <w:p>
            <w:pPr>
              <w:spacing w:after="0"/>
              <w:rPr>
                <w:sz w:val="12"/>
                <w:szCs w:val="12"/>
                <w:color w:val="auto"/>
              </w:rPr>
            </w:pP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44.9</w:t>
            </w:r>
          </w:p>
        </w:tc>
        <w:tc>
          <w:tcPr>
            <w:tcW w:w="18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44.9</w:t>
            </w:r>
          </w:p>
        </w:tc>
      </w:tr>
      <w:tr>
        <w:trPr>
          <w:trHeight w:val="134"/>
        </w:trPr>
        <w:tc>
          <w:tcPr>
            <w:tcW w:w="2960" w:type="dxa"/>
            <w:vAlign w:val="bottom"/>
          </w:tcPr>
          <w:p>
            <w:pPr>
              <w:ind w:left="20"/>
              <w:spacing w:after="0"/>
              <w:rPr>
                <w:sz w:val="20"/>
                <w:szCs w:val="20"/>
                <w:color w:val="auto"/>
              </w:rPr>
            </w:pPr>
            <w:r>
              <w:rPr>
                <w:rFonts w:ascii="Arial" w:cs="Arial" w:eastAsia="Arial" w:hAnsi="Arial"/>
                <w:sz w:val="10"/>
                <w:szCs w:val="10"/>
                <w:color w:val="auto"/>
              </w:rPr>
              <w:t>Cumulative effect of change in tax accounting principle (Note 2)</w:t>
            </w: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12.9</w:t>
            </w:r>
          </w:p>
        </w:tc>
        <w:tc>
          <w:tcPr>
            <w:tcW w:w="180" w:type="dxa"/>
            <w:vAlign w:val="bottom"/>
          </w:tcPr>
          <w:p>
            <w:pPr>
              <w:spacing w:after="0"/>
              <w:rPr>
                <w:sz w:val="11"/>
                <w:szCs w:val="11"/>
                <w:color w:val="auto"/>
              </w:rPr>
            </w:pPr>
          </w:p>
        </w:tc>
        <w:tc>
          <w:tcPr>
            <w:tcW w:w="1040" w:type="dxa"/>
            <w:vAlign w:val="bottom"/>
          </w:tcPr>
          <w:p>
            <w:pPr>
              <w:jc w:val="right"/>
              <w:ind w:right="11"/>
              <w:spacing w:after="0"/>
              <w:rPr>
                <w:sz w:val="20"/>
                <w:szCs w:val="20"/>
                <w:color w:val="auto"/>
              </w:rPr>
            </w:pPr>
            <w:r>
              <w:rPr>
                <w:rFonts w:ascii="Arial" w:cs="Arial" w:eastAsia="Arial" w:hAnsi="Arial"/>
                <w:sz w:val="10"/>
                <w:szCs w:val="10"/>
                <w:color w:val="auto"/>
              </w:rPr>
              <w:t>12.9</w:t>
            </w:r>
          </w:p>
        </w:tc>
      </w:tr>
      <w:tr>
        <w:trPr>
          <w:trHeight w:val="25"/>
        </w:trPr>
        <w:tc>
          <w:tcPr>
            <w:tcW w:w="2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0"/>
        </w:trPr>
        <w:tc>
          <w:tcPr>
            <w:tcW w:w="296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Balance at October 31, 2021</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70,631,525</w:t>
            </w:r>
          </w:p>
        </w:tc>
        <w:tc>
          <w:tcPr>
            <w:tcW w:w="540" w:type="dxa"/>
            <w:vAlign w:val="bottom"/>
            <w:tcBorders>
              <w:bottom w:val="single" w:sz="8" w:color="43C0B9"/>
            </w:tcBorders>
            <w:shd w:val="clear" w:color="auto" w:fill="43C0B9"/>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0.1</w:t>
            </w:r>
          </w:p>
        </w:tc>
        <w:tc>
          <w:tcPr>
            <w:tcW w:w="280" w:type="dxa"/>
            <w:vAlign w:val="bottom"/>
            <w:tcBorders>
              <w:bottom w:val="single" w:sz="8" w:color="43C0B9"/>
            </w:tcBorders>
            <w:shd w:val="clear" w:color="auto" w:fill="43C0B9"/>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225.6</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(0.5)</w:t>
            </w:r>
          </w:p>
        </w:tc>
        <w:tc>
          <w:tcPr>
            <w:tcW w:w="2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309.0</w:t>
            </w:r>
          </w:p>
        </w:tc>
        <w:tc>
          <w:tcPr>
            <w:tcW w:w="18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43C0B9"/>
            </w:tcBorders>
            <w:shd w:val="clear" w:color="auto" w:fill="43C0B9"/>
          </w:tcPr>
          <w:p>
            <w:pPr>
              <w:jc w:val="right"/>
              <w:ind w:right="11"/>
              <w:spacing w:after="0"/>
              <w:rPr>
                <w:sz w:val="20"/>
                <w:szCs w:val="20"/>
                <w:color w:val="auto"/>
              </w:rPr>
            </w:pPr>
            <w:r>
              <w:rPr>
                <w:rFonts w:ascii="Arial" w:cs="Arial" w:eastAsia="Arial" w:hAnsi="Arial"/>
                <w:sz w:val="10"/>
                <w:szCs w:val="10"/>
                <w:color w:val="auto"/>
              </w:rPr>
              <w:t>534.2</w:t>
            </w:r>
          </w:p>
        </w:tc>
      </w:tr>
      <w:tr>
        <w:trPr>
          <w:trHeight w:val="20"/>
        </w:trPr>
        <w:tc>
          <w:tcPr>
            <w:tcW w:w="2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232F84"/>
        </w:rPr>
        <w:t>MISSION PRODUCE,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2F84"/>
        </w:rPr>
        <w:t>CONSOLIDATED STATEMENTS OF CASH FLOWS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163"/>
              <w:spacing w:after="0"/>
              <w:rPr>
                <w:sz w:val="20"/>
                <w:szCs w:val="20"/>
                <w:color w:val="auto"/>
              </w:rPr>
            </w:pPr>
            <w:r>
              <w:rPr>
                <w:rFonts w:ascii="Arial" w:cs="Arial" w:eastAsia="Arial" w:hAnsi="Arial"/>
                <w:sz w:val="11"/>
                <w:szCs w:val="11"/>
                <w:b w:val="1"/>
                <w:bCs w:val="1"/>
                <w:color w:val="FFFFFF"/>
              </w:rPr>
              <w:t>Year Ended October 31,</w:t>
            </w:r>
          </w:p>
        </w:tc>
        <w:tc>
          <w:tcPr>
            <w:tcW w:w="720" w:type="dxa"/>
            <w:vAlign w:val="bottom"/>
            <w:shd w:val="clear" w:color="auto" w:fill="232F84"/>
          </w:tcPr>
          <w:p>
            <w:pPr>
              <w:spacing w:after="0"/>
              <w:rPr>
                <w:sz w:val="15"/>
                <w:szCs w:val="15"/>
                <w:color w:val="auto"/>
              </w:rPr>
            </w:pPr>
          </w:p>
        </w:tc>
        <w:tc>
          <w:tcPr>
            <w:tcW w:w="920" w:type="dxa"/>
            <w:vAlign w:val="bottom"/>
            <w:shd w:val="clear" w:color="auto" w:fill="232F84"/>
          </w:tcPr>
          <w:p>
            <w:pPr>
              <w:spacing w:after="0"/>
              <w:rPr>
                <w:sz w:val="15"/>
                <w:szCs w:val="15"/>
                <w:color w:val="auto"/>
              </w:rPr>
            </w:pPr>
          </w:p>
        </w:tc>
      </w:tr>
      <w:tr>
        <w:trPr>
          <w:trHeight w:val="175"/>
        </w:trPr>
        <w:tc>
          <w:tcPr>
            <w:tcW w:w="63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180" w:type="dxa"/>
            <w:vAlign w:val="bottom"/>
            <w:shd w:val="clear" w:color="auto" w:fill="232F84"/>
          </w:tcPr>
          <w:p>
            <w:pPr>
              <w:spacing w:after="0"/>
              <w:rPr>
                <w:sz w:val="15"/>
                <w:szCs w:val="15"/>
                <w:color w:val="auto"/>
              </w:rPr>
            </w:pPr>
          </w:p>
        </w:tc>
        <w:tc>
          <w:tcPr>
            <w:tcW w:w="152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2020</w:t>
            </w:r>
          </w:p>
        </w:tc>
        <w:tc>
          <w:tcPr>
            <w:tcW w:w="720" w:type="dxa"/>
            <w:vAlign w:val="bottom"/>
            <w:shd w:val="clear" w:color="auto" w:fill="232F84"/>
          </w:tcPr>
          <w:p>
            <w:pPr>
              <w:spacing w:after="0"/>
              <w:rPr>
                <w:sz w:val="15"/>
                <w:szCs w:val="15"/>
                <w:color w:val="auto"/>
              </w:rPr>
            </w:pPr>
          </w:p>
        </w:tc>
        <w:tc>
          <w:tcPr>
            <w:tcW w:w="92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70"/>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232F84"/>
              </w:rPr>
              <w:t>Operating Activities</w:t>
            </w:r>
          </w:p>
        </w:tc>
        <w:tc>
          <w:tcPr>
            <w:tcW w:w="660" w:type="dxa"/>
            <w:vAlign w:val="bottom"/>
            <w:shd w:val="clear" w:color="auto" w:fill="43C0B9"/>
          </w:tcPr>
          <w:p>
            <w:pPr>
              <w:spacing w:after="0"/>
              <w:rPr>
                <w:sz w:val="14"/>
                <w:szCs w:val="14"/>
                <w:color w:val="auto"/>
              </w:rPr>
            </w:pPr>
          </w:p>
        </w:tc>
        <w:tc>
          <w:tcPr>
            <w:tcW w:w="980" w:type="dxa"/>
            <w:vAlign w:val="bottom"/>
            <w:shd w:val="clear" w:color="auto" w:fill="43C0B9"/>
          </w:tcPr>
          <w:p>
            <w:pPr>
              <w:spacing w:after="0"/>
              <w:rPr>
                <w:sz w:val="14"/>
                <w:szCs w:val="14"/>
                <w:color w:val="auto"/>
              </w:rPr>
            </w:pPr>
          </w:p>
        </w:tc>
        <w:tc>
          <w:tcPr>
            <w:tcW w:w="180" w:type="dxa"/>
            <w:vAlign w:val="bottom"/>
            <w:shd w:val="clear" w:color="auto" w:fill="43C0B9"/>
          </w:tcPr>
          <w:p>
            <w:pPr>
              <w:spacing w:after="0"/>
              <w:rPr>
                <w:sz w:val="14"/>
                <w:szCs w:val="14"/>
                <w:color w:val="auto"/>
              </w:rPr>
            </w:pPr>
          </w:p>
        </w:tc>
        <w:tc>
          <w:tcPr>
            <w:tcW w:w="1520" w:type="dxa"/>
            <w:vAlign w:val="bottom"/>
            <w:shd w:val="clear" w:color="auto" w:fill="43C0B9"/>
          </w:tcPr>
          <w:p>
            <w:pPr>
              <w:spacing w:after="0"/>
              <w:rPr>
                <w:sz w:val="14"/>
                <w:szCs w:val="14"/>
                <w:color w:val="auto"/>
              </w:rPr>
            </w:pPr>
          </w:p>
        </w:tc>
        <w:tc>
          <w:tcPr>
            <w:tcW w:w="72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44.9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28.8</w:t>
            </w:r>
          </w:p>
        </w:tc>
        <w:tc>
          <w:tcPr>
            <w:tcW w:w="72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71.7</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spacing w:after="0"/>
              <w:rPr>
                <w:sz w:val="15"/>
                <w:szCs w:val="15"/>
                <w:color w:val="auto"/>
              </w:rPr>
            </w:pP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Provision for losses on accounts receivable</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0.2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Depreciation and amortization</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20.4</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18.1</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16.5</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Amortization of debt issuance costs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0.3</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0.3</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Equity method income</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(7.5)</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(4.0)</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(3.4)</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Noncash lease expense</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4.3</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Impairment on equity method investment</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21.2</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Stock-based compensation</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2.6</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5.0</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Dividends received from equity method investees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1.7</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1.7</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Losses (gains) on asset impairment, disposals and sales, net of insurance recoveries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0.1</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0.5</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Deferred income taxes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8.8</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(1.0)</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0.6</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Unrealized (gains) losses on derivative financial instruments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(0.8)</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2.8</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Other</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(0.1)</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(2.6)</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Effect on cash of changes in operating assets and liabilities: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Trade accounts receivable</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(16.4)</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10.3</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(2.7)</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Grower fruit advances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0.8</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2.3</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Miscellaneous receivables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2.6</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(3.8)</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5.5</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Inventory</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(11.2)</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5.9</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(12.3)</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(2.5)</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(2.0)</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(1.3)</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Income taxes receivable</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(3.8)</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(0.4)</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Other assets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(3.5)</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(4.2)</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0.2</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Accounts payable and accrued expenses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8.9</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8.2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5.2</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Operating lease liabilities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(3.2)</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Income taxes payable</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(0.1)</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(1.9)</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Grower payables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3.4</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(8.6)</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4.3</w:t>
            </w:r>
          </w:p>
        </w:tc>
      </w:tr>
      <w:tr>
        <w:trPr>
          <w:trHeight w:val="166"/>
        </w:trPr>
        <w:tc>
          <w:tcPr>
            <w:tcW w:w="630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Other long-term liabilities</w:t>
            </w: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(2.7)</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2.1</w:t>
            </w: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r>
      <w:tr>
        <w:trPr>
          <w:trHeight w:val="16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66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47.0</w:t>
            </w:r>
          </w:p>
        </w:tc>
        <w:tc>
          <w:tcPr>
            <w:tcW w:w="1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78.9</w:t>
            </w:r>
          </w:p>
        </w:tc>
        <w:tc>
          <w:tcPr>
            <w:tcW w:w="72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92.6</w:t>
            </w:r>
          </w:p>
        </w:tc>
      </w:tr>
      <w:tr>
        <w:trPr>
          <w:trHeight w:val="160"/>
        </w:trPr>
        <w:tc>
          <w:tcPr>
            <w:tcW w:w="6300" w:type="dxa"/>
            <w:vAlign w:val="bottom"/>
          </w:tcPr>
          <w:p>
            <w:pPr>
              <w:ind w:left="20"/>
              <w:spacing w:after="0"/>
              <w:rPr>
                <w:sz w:val="20"/>
                <w:szCs w:val="20"/>
                <w:color w:val="auto"/>
              </w:rPr>
            </w:pPr>
            <w:r>
              <w:rPr>
                <w:rFonts w:ascii="Arial" w:cs="Arial" w:eastAsia="Arial" w:hAnsi="Arial"/>
                <w:sz w:val="11"/>
                <w:szCs w:val="11"/>
                <w:b w:val="1"/>
                <w:bCs w:val="1"/>
                <w:color w:val="232F84"/>
              </w:rPr>
              <w:t>Investing Activities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Purchases of property and equipment</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(73.4)</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(67.3)</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(29.7)</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Proceeds from sale of property, plant and equipment</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2.4</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3.0</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Insurance proceeds for the replacement of property, plant and equipment</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1.1</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Investment in equity method investees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(0.2)</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(3.4)</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Loans to equity method investees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(2.0)</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Loan repayments from equity method investees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1.5</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0.3</w:t>
            </w:r>
          </w:p>
        </w:tc>
        <w:tc>
          <w:tcPr>
            <w:tcW w:w="180" w:type="dxa"/>
            <w:vAlign w:val="bottom"/>
            <w:tcBorders>
              <w:bottom w:val="single" w:sz="8" w:color="auto"/>
            </w:tcBorders>
            <w:shd w:val="clear" w:color="auto" w:fill="43C0B9"/>
          </w:tcPr>
          <w:p>
            <w:pPr>
              <w:spacing w:after="0"/>
              <w:rPr>
                <w:sz w:val="14"/>
                <w:szCs w:val="14"/>
                <w:color w:val="auto"/>
              </w:rPr>
            </w:pPr>
          </w:p>
        </w:tc>
        <w:tc>
          <w:tcPr>
            <w:tcW w:w="152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0.8</w:t>
            </w:r>
          </w:p>
        </w:tc>
      </w:tr>
      <w:tr>
        <w:trPr>
          <w:trHeight w:val="16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investing activities</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(67.7)</w:t>
            </w:r>
          </w:p>
        </w:tc>
        <w:tc>
          <w:tcPr>
            <w:tcW w:w="7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w:t>
            </w:r>
          </w:p>
        </w:tc>
      </w:tr>
      <w:tr>
        <w:trPr>
          <w:trHeight w:val="165"/>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232F84"/>
              </w:rPr>
              <w:t>Financing Activities</w:t>
            </w:r>
          </w:p>
        </w:tc>
        <w:tc>
          <w:tcPr>
            <w:tcW w:w="660" w:type="dxa"/>
            <w:vAlign w:val="bottom"/>
            <w:shd w:val="clear" w:color="auto" w:fill="43C0B9"/>
          </w:tcPr>
          <w:p>
            <w:pPr>
              <w:spacing w:after="0"/>
              <w:rPr>
                <w:sz w:val="14"/>
                <w:szCs w:val="14"/>
                <w:color w:val="auto"/>
              </w:rPr>
            </w:pPr>
          </w:p>
        </w:tc>
        <w:tc>
          <w:tcPr>
            <w:tcW w:w="980" w:type="dxa"/>
            <w:vAlign w:val="bottom"/>
            <w:shd w:val="clear" w:color="auto" w:fill="43C0B9"/>
          </w:tcPr>
          <w:p>
            <w:pPr>
              <w:spacing w:after="0"/>
              <w:rPr>
                <w:sz w:val="14"/>
                <w:szCs w:val="14"/>
                <w:color w:val="auto"/>
              </w:rPr>
            </w:pPr>
          </w:p>
        </w:tc>
        <w:tc>
          <w:tcPr>
            <w:tcW w:w="180" w:type="dxa"/>
            <w:vAlign w:val="bottom"/>
            <w:shd w:val="clear" w:color="auto" w:fill="43C0B9"/>
          </w:tcPr>
          <w:p>
            <w:pPr>
              <w:spacing w:after="0"/>
              <w:rPr>
                <w:sz w:val="14"/>
                <w:szCs w:val="14"/>
                <w:color w:val="auto"/>
              </w:rPr>
            </w:pPr>
          </w:p>
        </w:tc>
        <w:tc>
          <w:tcPr>
            <w:tcW w:w="1520" w:type="dxa"/>
            <w:vAlign w:val="bottom"/>
            <w:shd w:val="clear" w:color="auto" w:fill="43C0B9"/>
          </w:tcPr>
          <w:p>
            <w:pPr>
              <w:spacing w:after="0"/>
              <w:rPr>
                <w:sz w:val="14"/>
                <w:szCs w:val="14"/>
                <w:color w:val="auto"/>
              </w:rPr>
            </w:pPr>
          </w:p>
        </w:tc>
        <w:tc>
          <w:tcPr>
            <w:tcW w:w="72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Proceeds from issuance of common stock in public offering, net of issuance costs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78.1</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14.0</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45.0</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Payments on revolving credit facility</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(14.0)</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(51.0)</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(10.5)</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(6.3)</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(14.2)</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(0.9)</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(5.8)</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Payment for debt extinguishment costs</w:t>
            </w:r>
          </w:p>
        </w:tc>
        <w:tc>
          <w:tcPr>
            <w:tcW w:w="66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(0.1)</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Dividends paid</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(13.0)</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(5.6)</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Proceeds from exercise of stock options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0.2</w:t>
            </w:r>
          </w:p>
        </w:tc>
        <w:tc>
          <w:tcPr>
            <w:tcW w:w="180" w:type="dxa"/>
            <w:vAlign w:val="bottom"/>
          </w:tcPr>
          <w:p>
            <w:pPr>
              <w:spacing w:after="0"/>
              <w:rPr>
                <w:sz w:val="14"/>
                <w:szCs w:val="14"/>
                <w:color w:val="auto"/>
              </w:rPr>
            </w:pPr>
          </w:p>
        </w:tc>
        <w:tc>
          <w:tcPr>
            <w:tcW w:w="15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Repayment of stock option notes receivable</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0.1</w:t>
            </w:r>
          </w:p>
        </w:tc>
        <w:tc>
          <w:tcPr>
            <w:tcW w:w="180" w:type="dxa"/>
            <w:vAlign w:val="bottom"/>
            <w:shd w:val="clear" w:color="auto" w:fill="43C0B9"/>
          </w:tcPr>
          <w:p>
            <w:pPr>
              <w:spacing w:after="0"/>
              <w:rPr>
                <w:sz w:val="15"/>
                <w:szCs w:val="15"/>
                <w:color w:val="auto"/>
              </w:rPr>
            </w:pPr>
          </w:p>
        </w:tc>
        <w:tc>
          <w:tcPr>
            <w:tcW w:w="152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0.1</w:t>
            </w:r>
          </w:p>
        </w:tc>
        <w:tc>
          <w:tcPr>
            <w:tcW w:w="72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0.3</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Debt issuance costs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20" w:type="dxa"/>
            <w:vAlign w:val="bottom"/>
          </w:tcPr>
          <w:p>
            <w:pPr>
              <w:jc w:val="right"/>
              <w:ind w:right="23"/>
              <w:spacing w:after="0"/>
              <w:rPr>
                <w:sz w:val="20"/>
                <w:szCs w:val="20"/>
                <w:color w:val="auto"/>
              </w:rPr>
            </w:pPr>
            <w:r>
              <w:rPr>
                <w:rFonts w:ascii="Arial" w:cs="Arial" w:eastAsia="Arial" w:hAnsi="Arial"/>
                <w:sz w:val="11"/>
                <w:szCs w:val="11"/>
                <w:color w:val="auto"/>
              </w:rPr>
              <w:t>(0.2)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Purchase and retirement of stock</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43C0B9"/>
          </w:tcPr>
          <w:p>
            <w:pPr>
              <w:spacing w:after="0"/>
              <w:rPr>
                <w:sz w:val="14"/>
                <w:szCs w:val="14"/>
                <w:color w:val="auto"/>
              </w:rPr>
            </w:pPr>
          </w:p>
        </w:tc>
        <w:tc>
          <w:tcPr>
            <w:tcW w:w="15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(1.9)</w:t>
            </w:r>
          </w:p>
        </w:tc>
        <w:tc>
          <w:tcPr>
            <w:tcW w:w="72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(0.9)</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3"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5"/>
        </w:trPr>
        <w:tc>
          <w:tcPr>
            <w:tcW w:w="630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43"/>
              <w:spacing w:after="0"/>
              <w:rPr>
                <w:sz w:val="20"/>
                <w:szCs w:val="20"/>
                <w:color w:val="auto"/>
              </w:rPr>
            </w:pPr>
            <w:r>
              <w:rPr>
                <w:rFonts w:ascii="Arial" w:cs="Arial" w:eastAsia="Arial" w:hAnsi="Arial"/>
                <w:sz w:val="11"/>
                <w:szCs w:val="11"/>
                <w:b w:val="1"/>
                <w:bCs w:val="1"/>
                <w:color w:val="FFFFFF"/>
              </w:rPr>
              <w:t>Year Ended October 31,</w:t>
            </w:r>
          </w:p>
        </w:tc>
        <w:tc>
          <w:tcPr>
            <w:tcW w:w="740" w:type="dxa"/>
            <w:vAlign w:val="bottom"/>
            <w:shd w:val="clear" w:color="auto" w:fill="232F84"/>
          </w:tcPr>
          <w:p>
            <w:pPr>
              <w:spacing w:after="0"/>
              <w:rPr>
                <w:sz w:val="15"/>
                <w:szCs w:val="15"/>
                <w:color w:val="auto"/>
              </w:rPr>
            </w:pPr>
          </w:p>
        </w:tc>
        <w:tc>
          <w:tcPr>
            <w:tcW w:w="920" w:type="dxa"/>
            <w:vAlign w:val="bottom"/>
            <w:shd w:val="clear" w:color="auto" w:fill="232F84"/>
          </w:tcPr>
          <w:p>
            <w:pPr>
              <w:spacing w:after="0"/>
              <w:rPr>
                <w:sz w:val="15"/>
                <w:szCs w:val="15"/>
                <w:color w:val="auto"/>
              </w:rPr>
            </w:pPr>
          </w:p>
        </w:tc>
      </w:tr>
      <w:tr>
        <w:trPr>
          <w:trHeight w:val="175"/>
        </w:trPr>
        <w:tc>
          <w:tcPr>
            <w:tcW w:w="6300" w:type="dxa"/>
            <w:vAlign w:val="bottom"/>
            <w:tcBorders>
              <w:bottom w:val="single" w:sz="8" w:color="auto"/>
            </w:tcBorders>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tcBorders>
              <w:bottom w:val="single" w:sz="8" w:color="auto"/>
            </w:tcBorders>
            <w:shd w:val="clear" w:color="auto" w:fill="232F84"/>
          </w:tcPr>
          <w:p>
            <w:pPr>
              <w:spacing w:after="0"/>
              <w:rPr>
                <w:sz w:val="15"/>
                <w:szCs w:val="15"/>
                <w:color w:val="auto"/>
              </w:rPr>
            </w:pPr>
          </w:p>
        </w:tc>
        <w:tc>
          <w:tcPr>
            <w:tcW w:w="980" w:type="dxa"/>
            <w:vAlign w:val="bottom"/>
            <w:tcBorders>
              <w:bottom w:val="single" w:sz="8" w:color="auto"/>
            </w:tcBorders>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180" w:type="dxa"/>
            <w:vAlign w:val="bottom"/>
            <w:tcBorders>
              <w:bottom w:val="single" w:sz="8" w:color="auto"/>
            </w:tcBorders>
            <w:shd w:val="clear" w:color="auto" w:fill="232F84"/>
          </w:tcPr>
          <w:p>
            <w:pPr>
              <w:spacing w:after="0"/>
              <w:rPr>
                <w:sz w:val="15"/>
                <w:szCs w:val="15"/>
                <w:color w:val="auto"/>
              </w:rPr>
            </w:pPr>
          </w:p>
        </w:tc>
        <w:tc>
          <w:tcPr>
            <w:tcW w:w="1500" w:type="dxa"/>
            <w:vAlign w:val="bottom"/>
            <w:tcBorders>
              <w:bottom w:val="single" w:sz="8" w:color="auto"/>
            </w:tcBorders>
            <w:shd w:val="clear" w:color="auto" w:fill="232F84"/>
          </w:tcPr>
          <w:p>
            <w:pPr>
              <w:jc w:val="right"/>
              <w:ind w:right="83"/>
              <w:spacing w:after="0"/>
              <w:rPr>
                <w:sz w:val="20"/>
                <w:szCs w:val="20"/>
                <w:color w:val="auto"/>
              </w:rPr>
            </w:pPr>
            <w:r>
              <w:rPr>
                <w:rFonts w:ascii="Arial" w:cs="Arial" w:eastAsia="Arial" w:hAnsi="Arial"/>
                <w:sz w:val="11"/>
                <w:szCs w:val="11"/>
                <w:b w:val="1"/>
                <w:bCs w:val="1"/>
                <w:color w:val="FFFFFF"/>
              </w:rPr>
              <w:t>2020</w:t>
            </w:r>
          </w:p>
        </w:tc>
        <w:tc>
          <w:tcPr>
            <w:tcW w:w="740" w:type="dxa"/>
            <w:vAlign w:val="bottom"/>
            <w:tcBorders>
              <w:bottom w:val="single" w:sz="8" w:color="auto"/>
            </w:tcBorders>
            <w:shd w:val="clear" w:color="auto" w:fill="232F84"/>
          </w:tcPr>
          <w:p>
            <w:pPr>
              <w:spacing w:after="0"/>
              <w:rPr>
                <w:sz w:val="15"/>
                <w:szCs w:val="15"/>
                <w:color w:val="auto"/>
              </w:rPr>
            </w:pPr>
          </w:p>
        </w:tc>
        <w:tc>
          <w:tcPr>
            <w:tcW w:w="920" w:type="dxa"/>
            <w:vAlign w:val="bottom"/>
            <w:tcBorders>
              <w:bottom w:val="single" w:sz="8" w:color="auto"/>
            </w:tcBorders>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56"/>
        </w:trPr>
        <w:tc>
          <w:tcPr>
            <w:tcW w:w="6300" w:type="dxa"/>
            <w:vAlign w:val="bottom"/>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(11.5)</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50.1</w:t>
            </w:r>
          </w:p>
        </w:tc>
        <w:tc>
          <w:tcPr>
            <w:tcW w:w="74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(26.8)</w:t>
            </w:r>
          </w:p>
        </w:tc>
      </w:tr>
      <w:tr>
        <w:trPr>
          <w:trHeight w:val="17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Effect of exchange rate changes on cash</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0.1</w:t>
            </w:r>
          </w:p>
        </w:tc>
        <w:tc>
          <w:tcPr>
            <w:tcW w:w="74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300" w:type="dxa"/>
            <w:vAlign w:val="bottom"/>
          </w:tcPr>
          <w:p>
            <w:pPr>
              <w:ind w:left="20"/>
              <w:spacing w:after="0"/>
              <w:rPr>
                <w:sz w:val="20"/>
                <w:szCs w:val="20"/>
                <w:color w:val="auto"/>
              </w:rPr>
            </w:pPr>
            <w:r>
              <w:rPr>
                <w:rFonts w:ascii="Arial" w:cs="Arial" w:eastAsia="Arial" w:hAnsi="Arial"/>
                <w:sz w:val="11"/>
                <w:szCs w:val="11"/>
                <w:color w:val="auto"/>
              </w:rPr>
              <w:t>Net (decrease) increase in cash, cash equivalents and restricted cash</w:t>
            </w:r>
          </w:p>
        </w:tc>
        <w:tc>
          <w:tcPr>
            <w:tcW w:w="6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(34.8)</w:t>
            </w:r>
          </w:p>
        </w:tc>
        <w:tc>
          <w:tcPr>
            <w:tcW w:w="180" w:type="dxa"/>
            <w:vAlign w:val="bottom"/>
          </w:tcPr>
          <w:p>
            <w:pPr>
              <w:spacing w:after="0"/>
              <w:rPr>
                <w:sz w:val="13"/>
                <w:szCs w:val="13"/>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61.4</w:t>
            </w:r>
          </w:p>
        </w:tc>
        <w:tc>
          <w:tcPr>
            <w:tcW w:w="7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35.1</w:t>
            </w:r>
          </w:p>
        </w:tc>
      </w:tr>
      <w:tr>
        <w:trPr>
          <w:trHeight w:val="17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Cash, cash equivalents and restricted cash, beginning of period</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127.0</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65.6</w:t>
            </w:r>
          </w:p>
        </w:tc>
        <w:tc>
          <w:tcPr>
            <w:tcW w:w="74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30.5</w:t>
            </w:r>
          </w:p>
        </w:tc>
      </w:tr>
      <w:tr>
        <w:trPr>
          <w:trHeight w:val="16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Cash, cash equivalents and restricted cash, end of period</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127.0</w:t>
            </w:r>
          </w:p>
        </w:tc>
        <w:tc>
          <w:tcPr>
            <w:tcW w:w="7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65.6</w:t>
            </w:r>
          </w:p>
        </w:tc>
      </w:tr>
      <w:tr>
        <w:trPr>
          <w:trHeight w:val="143"/>
        </w:trPr>
        <w:tc>
          <w:tcPr>
            <w:tcW w:w="6300" w:type="dxa"/>
            <w:vAlign w:val="bottom"/>
            <w:shd w:val="clear" w:color="auto" w:fill="43C0B9"/>
          </w:tcPr>
          <w:p>
            <w:pPr>
              <w:spacing w:after="0"/>
              <w:rPr>
                <w:sz w:val="12"/>
                <w:szCs w:val="12"/>
                <w:color w:val="auto"/>
              </w:rPr>
            </w:pPr>
          </w:p>
        </w:tc>
        <w:tc>
          <w:tcPr>
            <w:tcW w:w="660" w:type="dxa"/>
            <w:vAlign w:val="bottom"/>
            <w:shd w:val="clear" w:color="auto" w:fill="43C0B9"/>
          </w:tcPr>
          <w:p>
            <w:pPr>
              <w:spacing w:after="0"/>
              <w:rPr>
                <w:sz w:val="12"/>
                <w:szCs w:val="12"/>
                <w:color w:val="auto"/>
              </w:rPr>
            </w:pPr>
          </w:p>
        </w:tc>
        <w:tc>
          <w:tcPr>
            <w:tcW w:w="980" w:type="dxa"/>
            <w:vAlign w:val="bottom"/>
            <w:shd w:val="clear" w:color="auto" w:fill="43C0B9"/>
          </w:tcPr>
          <w:p>
            <w:pPr>
              <w:spacing w:after="0"/>
              <w:rPr>
                <w:sz w:val="12"/>
                <w:szCs w:val="12"/>
                <w:color w:val="auto"/>
              </w:rPr>
            </w:pPr>
          </w:p>
        </w:tc>
        <w:tc>
          <w:tcPr>
            <w:tcW w:w="180" w:type="dxa"/>
            <w:vAlign w:val="bottom"/>
            <w:shd w:val="clear" w:color="auto" w:fill="43C0B9"/>
          </w:tcPr>
          <w:p>
            <w:pPr>
              <w:spacing w:after="0"/>
              <w:rPr>
                <w:sz w:val="12"/>
                <w:szCs w:val="12"/>
                <w:color w:val="auto"/>
              </w:rPr>
            </w:pPr>
          </w:p>
        </w:tc>
        <w:tc>
          <w:tcPr>
            <w:tcW w:w="1500" w:type="dxa"/>
            <w:vAlign w:val="bottom"/>
            <w:shd w:val="clear" w:color="auto" w:fill="43C0B9"/>
          </w:tcPr>
          <w:p>
            <w:pPr>
              <w:spacing w:after="0"/>
              <w:rPr>
                <w:sz w:val="12"/>
                <w:szCs w:val="12"/>
                <w:color w:val="auto"/>
              </w:rPr>
            </w:pPr>
          </w:p>
        </w:tc>
        <w:tc>
          <w:tcPr>
            <w:tcW w:w="740" w:type="dxa"/>
            <w:vAlign w:val="bottom"/>
            <w:shd w:val="clear" w:color="auto" w:fill="43C0B9"/>
          </w:tcPr>
          <w:p>
            <w:pPr>
              <w:spacing w:after="0"/>
              <w:rPr>
                <w:sz w:val="12"/>
                <w:szCs w:val="12"/>
                <w:color w:val="auto"/>
              </w:rPr>
            </w:pPr>
          </w:p>
        </w:tc>
        <w:tc>
          <w:tcPr>
            <w:tcW w:w="920" w:type="dxa"/>
            <w:vAlign w:val="bottom"/>
            <w:shd w:val="clear" w:color="auto" w:fill="43C0B9"/>
          </w:tcPr>
          <w:p>
            <w:pPr>
              <w:spacing w:after="0"/>
              <w:rPr>
                <w:sz w:val="12"/>
                <w:szCs w:val="12"/>
                <w:color w:val="auto"/>
              </w:rPr>
            </w:pP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b w:val="1"/>
                <w:bCs w:val="1"/>
                <w:color w:val="auto"/>
              </w:rPr>
              <w:t>Summary of cash, cash equivalents and restricted cash reported within the consolidated balance sheets: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Cash and cash equivalents</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84.5</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124.0</w:t>
            </w:r>
          </w:p>
        </w:tc>
        <w:tc>
          <w:tcPr>
            <w:tcW w:w="74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64.0</w:t>
            </w: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color w:val="auto"/>
              </w:rPr>
              <w:t>Restricted cash</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6.1</w:t>
            </w:r>
          </w:p>
        </w:tc>
        <w:tc>
          <w:tcPr>
            <w:tcW w:w="180" w:type="dxa"/>
            <w:vAlign w:val="bottom"/>
          </w:tcPr>
          <w:p>
            <w:pPr>
              <w:spacing w:after="0"/>
              <w:rPr>
                <w:sz w:val="14"/>
                <w:szCs w:val="14"/>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1.4</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70"/>
        </w:trPr>
        <w:tc>
          <w:tcPr>
            <w:tcW w:w="6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Restricted cash included in other assets</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1.6</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1.6</w:t>
            </w:r>
          </w:p>
        </w:tc>
        <w:tc>
          <w:tcPr>
            <w:tcW w:w="74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cash, cash equivalents, and restricted cash shown in the consolidated statements of cash flows</w:t>
            </w: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127.0</w:t>
            </w:r>
          </w:p>
        </w:tc>
        <w:tc>
          <w:tcPr>
            <w:tcW w:w="7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65.6</w:t>
            </w:r>
          </w:p>
        </w:tc>
      </w:tr>
      <w:tr>
        <w:trPr>
          <w:trHeight w:val="154"/>
        </w:trPr>
        <w:tc>
          <w:tcPr>
            <w:tcW w:w="6300" w:type="dxa"/>
            <w:vAlign w:val="bottom"/>
            <w:shd w:val="clear" w:color="auto" w:fill="43C0B9"/>
          </w:tcPr>
          <w:p>
            <w:pPr>
              <w:spacing w:after="0"/>
              <w:rPr>
                <w:sz w:val="13"/>
                <w:szCs w:val="13"/>
                <w:color w:val="auto"/>
              </w:rPr>
            </w:pPr>
          </w:p>
        </w:tc>
        <w:tc>
          <w:tcPr>
            <w:tcW w:w="660" w:type="dxa"/>
            <w:vAlign w:val="bottom"/>
            <w:shd w:val="clear" w:color="auto" w:fill="43C0B9"/>
          </w:tcPr>
          <w:p>
            <w:pPr>
              <w:spacing w:after="0"/>
              <w:rPr>
                <w:sz w:val="13"/>
                <w:szCs w:val="13"/>
                <w:color w:val="auto"/>
              </w:rPr>
            </w:pPr>
          </w:p>
        </w:tc>
        <w:tc>
          <w:tcPr>
            <w:tcW w:w="980" w:type="dxa"/>
            <w:vAlign w:val="bottom"/>
            <w:shd w:val="clear" w:color="auto" w:fill="43C0B9"/>
          </w:tcPr>
          <w:p>
            <w:pPr>
              <w:spacing w:after="0"/>
              <w:rPr>
                <w:sz w:val="13"/>
                <w:szCs w:val="13"/>
                <w:color w:val="auto"/>
              </w:rPr>
            </w:pPr>
          </w:p>
        </w:tc>
        <w:tc>
          <w:tcPr>
            <w:tcW w:w="180" w:type="dxa"/>
            <w:vAlign w:val="bottom"/>
            <w:shd w:val="clear" w:color="auto" w:fill="43C0B9"/>
          </w:tcPr>
          <w:p>
            <w:pPr>
              <w:spacing w:after="0"/>
              <w:rPr>
                <w:sz w:val="13"/>
                <w:szCs w:val="13"/>
                <w:color w:val="auto"/>
              </w:rPr>
            </w:pPr>
          </w:p>
        </w:tc>
        <w:tc>
          <w:tcPr>
            <w:tcW w:w="1500" w:type="dxa"/>
            <w:vAlign w:val="bottom"/>
            <w:shd w:val="clear" w:color="auto" w:fill="43C0B9"/>
          </w:tcPr>
          <w:p>
            <w:pPr>
              <w:spacing w:after="0"/>
              <w:rPr>
                <w:sz w:val="13"/>
                <w:szCs w:val="13"/>
                <w:color w:val="auto"/>
              </w:rPr>
            </w:pPr>
          </w:p>
        </w:tc>
        <w:tc>
          <w:tcPr>
            <w:tcW w:w="740" w:type="dxa"/>
            <w:vAlign w:val="bottom"/>
            <w:shd w:val="clear" w:color="auto" w:fill="43C0B9"/>
          </w:tcPr>
          <w:p>
            <w:pPr>
              <w:spacing w:after="0"/>
              <w:rPr>
                <w:sz w:val="13"/>
                <w:szCs w:val="13"/>
                <w:color w:val="auto"/>
              </w:rPr>
            </w:pPr>
          </w:p>
        </w:tc>
        <w:tc>
          <w:tcPr>
            <w:tcW w:w="920" w:type="dxa"/>
            <w:vAlign w:val="bottom"/>
            <w:shd w:val="clear" w:color="auto" w:fill="43C0B9"/>
          </w:tcPr>
          <w:p>
            <w:pPr>
              <w:spacing w:after="0"/>
              <w:rPr>
                <w:sz w:val="13"/>
                <w:szCs w:val="13"/>
                <w:color w:val="auto"/>
              </w:rPr>
            </w:pPr>
          </w:p>
        </w:tc>
      </w:tr>
      <w:tr>
        <w:trPr>
          <w:trHeight w:val="166"/>
        </w:trPr>
        <w:tc>
          <w:tcPr>
            <w:tcW w:w="6300" w:type="dxa"/>
            <w:vAlign w:val="bottom"/>
          </w:tcPr>
          <w:p>
            <w:pPr>
              <w:ind w:left="20"/>
              <w:spacing w:after="0"/>
              <w:rPr>
                <w:sz w:val="20"/>
                <w:szCs w:val="20"/>
                <w:color w:val="auto"/>
              </w:rPr>
            </w:pPr>
            <w:r>
              <w:rPr>
                <w:rFonts w:ascii="Arial" w:cs="Arial" w:eastAsia="Arial" w:hAnsi="Arial"/>
                <w:sz w:val="11"/>
                <w:szCs w:val="11"/>
                <w:b w:val="1"/>
                <w:bCs w:val="1"/>
                <w:color w:val="auto"/>
              </w:rPr>
              <w:t>Cash paid during the year for:</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Interest</w:t>
            </w:r>
          </w:p>
        </w:tc>
        <w:tc>
          <w:tcPr>
            <w:tcW w:w="66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4.3</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6.3</w:t>
            </w:r>
          </w:p>
        </w:tc>
        <w:tc>
          <w:tcPr>
            <w:tcW w:w="74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10.5</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Income taxes</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14.8</w:t>
            </w:r>
          </w:p>
        </w:tc>
        <w:tc>
          <w:tcPr>
            <w:tcW w:w="180" w:type="dxa"/>
            <w:vAlign w:val="bottom"/>
          </w:tcPr>
          <w:p>
            <w:pPr>
              <w:spacing w:after="0"/>
              <w:rPr>
                <w:sz w:val="14"/>
                <w:szCs w:val="14"/>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18.5</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21.5</w:t>
            </w:r>
          </w:p>
        </w:tc>
      </w:tr>
      <w:tr>
        <w:trPr>
          <w:trHeight w:val="174"/>
        </w:trPr>
        <w:tc>
          <w:tcPr>
            <w:tcW w:w="630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spacing w:after="0"/>
              <w:rPr>
                <w:sz w:val="15"/>
                <w:szCs w:val="15"/>
                <w:color w:val="auto"/>
              </w:rPr>
            </w:pP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spacing w:after="0"/>
              <w:rPr>
                <w:sz w:val="15"/>
                <w:szCs w:val="15"/>
                <w:color w:val="auto"/>
              </w:rPr>
            </w:pPr>
          </w:p>
        </w:tc>
        <w:tc>
          <w:tcPr>
            <w:tcW w:w="74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Property, plant and equipment included in accounts payable and accrued expenses</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4.0</w:t>
            </w:r>
          </w:p>
        </w:tc>
        <w:tc>
          <w:tcPr>
            <w:tcW w:w="740" w:type="dxa"/>
            <w:vAlign w:val="bottom"/>
          </w:tcPr>
          <w:p>
            <w:pPr>
              <w:jc w:val="right"/>
              <w:ind w:right="523"/>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74"/>
        </w:trPr>
        <w:tc>
          <w:tcPr>
            <w:tcW w:w="6300" w:type="dxa"/>
            <w:vAlign w:val="bottom"/>
            <w:shd w:val="clear" w:color="auto" w:fill="43C0B9"/>
          </w:tcPr>
          <w:p>
            <w:pPr>
              <w:ind w:left="360"/>
              <w:spacing w:after="0"/>
              <w:rPr>
                <w:sz w:val="20"/>
                <w:szCs w:val="20"/>
                <w:color w:val="auto"/>
              </w:rPr>
            </w:pPr>
            <w:r>
              <w:rPr>
                <w:rFonts w:ascii="Arial" w:cs="Arial" w:eastAsia="Arial" w:hAnsi="Arial"/>
                <w:sz w:val="11"/>
                <w:szCs w:val="11"/>
                <w:color w:val="auto"/>
              </w:rPr>
              <w:t>Advances for property, plant and equipment included in prepaid and other current assets and other assets</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1.4</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740" w:type="dxa"/>
            <w:vAlign w:val="bottom"/>
            <w:shd w:val="clear" w:color="auto" w:fill="43C0B9"/>
          </w:tcPr>
          <w:p>
            <w:pPr>
              <w:spacing w:after="0"/>
              <w:rPr>
                <w:sz w:val="15"/>
                <w:szCs w:val="15"/>
                <w:color w:val="auto"/>
              </w:rPr>
            </w:pP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300" w:type="dxa"/>
            <w:vAlign w:val="bottom"/>
          </w:tcPr>
          <w:p>
            <w:pPr>
              <w:ind w:left="360"/>
              <w:spacing w:after="0"/>
              <w:rPr>
                <w:sz w:val="20"/>
                <w:szCs w:val="20"/>
                <w:color w:val="auto"/>
              </w:rPr>
            </w:pPr>
            <w:r>
              <w:rPr>
                <w:rFonts w:ascii="Arial" w:cs="Arial" w:eastAsia="Arial" w:hAnsi="Arial"/>
                <w:sz w:val="11"/>
                <w:szCs w:val="11"/>
                <w:color w:val="auto"/>
              </w:rPr>
              <w:t>Common stock issued in lieu of compensation (7,921 shares issued in 2020)</w:t>
            </w:r>
          </w:p>
        </w:tc>
        <w:tc>
          <w:tcPr>
            <w:tcW w:w="66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0.1</w:t>
            </w:r>
          </w:p>
        </w:tc>
        <w:tc>
          <w:tcPr>
            <w:tcW w:w="7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0"/>
        </w:trPr>
        <w:tc>
          <w:tcPr>
            <w:tcW w:w="6300" w:type="dxa"/>
            <w:vAlign w:val="bottom"/>
            <w:tcBorders>
              <w:bottom w:val="single" w:sz="8" w:color="auto"/>
            </w:tcBorders>
            <w:shd w:val="clear" w:color="auto" w:fill="43C0B9"/>
          </w:tcPr>
          <w:p>
            <w:pPr>
              <w:ind w:left="360"/>
              <w:spacing w:after="0"/>
              <w:rPr>
                <w:sz w:val="20"/>
                <w:szCs w:val="20"/>
                <w:color w:val="auto"/>
              </w:rPr>
            </w:pPr>
            <w:r>
              <w:rPr>
                <w:rFonts w:ascii="Arial" w:cs="Arial" w:eastAsia="Arial" w:hAnsi="Arial"/>
                <w:sz w:val="11"/>
                <w:szCs w:val="11"/>
                <w:color w:val="auto"/>
              </w:rPr>
              <w:t>Finance leases for equipment and machinery</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shd w:val="clear" w:color="auto" w:fill="43C0B9"/>
          </w:tcPr>
          <w:p>
            <w:pPr>
              <w:spacing w:after="0"/>
              <w:rPr>
                <w:sz w:val="14"/>
                <w:szCs w:val="14"/>
                <w:color w:val="auto"/>
              </w:rPr>
            </w:pPr>
          </w:p>
        </w:tc>
        <w:tc>
          <w:tcPr>
            <w:tcW w:w="15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2.8</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hanging="355"/>
        <w:spacing w:after="0"/>
        <w:tabs>
          <w:tab w:leader="none" w:pos="360" w:val="left"/>
        </w:tabs>
        <w:numPr>
          <w:ilvl w:val="0"/>
          <w:numId w:val="12"/>
        </w:numPr>
        <w:rPr>
          <w:rFonts w:ascii="Arial" w:cs="Arial" w:eastAsia="Arial" w:hAnsi="Arial"/>
          <w:sz w:val="16"/>
          <w:szCs w:val="16"/>
          <w:b w:val="1"/>
          <w:bCs w:val="1"/>
          <w:color w:val="232F84"/>
        </w:rPr>
      </w:pPr>
      <w:r>
        <w:rPr>
          <w:rFonts w:ascii="Arial" w:cs="Arial" w:eastAsia="Arial" w:hAnsi="Arial"/>
          <w:sz w:val="16"/>
          <w:szCs w:val="16"/>
          <w:b w:val="1"/>
          <w:bCs w:val="1"/>
          <w:color w:val="232F84"/>
        </w:rPr>
        <w:t>Nature of Business</w:t>
      </w:r>
    </w:p>
    <w:p>
      <w:pPr>
        <w:spacing w:after="0" w:line="188"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report our results of operations in two operating segments: Marketing and Distribution and International Farming (see Note 13).</w:t>
      </w:r>
    </w:p>
    <w:p>
      <w:pPr>
        <w:spacing w:after="0" w:line="335" w:lineRule="exact"/>
        <w:rPr>
          <w:sz w:val="20"/>
          <w:szCs w:val="20"/>
          <w:color w:val="auto"/>
        </w:rPr>
      </w:pPr>
    </w:p>
    <w:p>
      <w:pPr>
        <w:ind w:left="360" w:hanging="355"/>
        <w:spacing w:after="0"/>
        <w:tabs>
          <w:tab w:leader="none" w:pos="360" w:val="left"/>
        </w:tabs>
        <w:numPr>
          <w:ilvl w:val="0"/>
          <w:numId w:val="13"/>
        </w:numPr>
        <w:rPr>
          <w:rFonts w:ascii="Arial" w:cs="Arial" w:eastAsia="Arial" w:hAnsi="Arial"/>
          <w:sz w:val="16"/>
          <w:szCs w:val="16"/>
          <w:b w:val="1"/>
          <w:bCs w:val="1"/>
          <w:color w:val="232F84"/>
        </w:rPr>
      </w:pPr>
      <w:r>
        <w:rPr>
          <w:rFonts w:ascii="Arial" w:cs="Arial" w:eastAsia="Arial" w:hAnsi="Arial"/>
          <w:sz w:val="16"/>
          <w:szCs w:val="16"/>
          <w:b w:val="1"/>
          <w:bCs w:val="1"/>
          <w:color w:val="232F84"/>
        </w:rPr>
        <w:t>Summary of Significant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Basis of presentation and consolidation</w:t>
      </w:r>
    </w:p>
    <w:p>
      <w:pPr>
        <w:spacing w:after="0" w:line="172"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The accompanying consolidated financial statements include the accounts of the Company and its consolidated subsidiaries and have been prepared in accordance with accounting principles generally accepted in the United States (“U.S. GAAP”). All intercompany balances have been eliminated in consolidation.</w:t>
      </w:r>
    </w:p>
    <w:p>
      <w:pPr>
        <w:spacing w:after="0" w:line="142" w:lineRule="exact"/>
        <w:rPr>
          <w:sz w:val="20"/>
          <w:szCs w:val="20"/>
          <w:color w:val="auto"/>
        </w:rPr>
      </w:pPr>
    </w:p>
    <w:p>
      <w:pPr>
        <w:ind w:right="640" w:firstLine="509"/>
        <w:spacing w:after="0" w:line="244" w:lineRule="auto"/>
        <w:rPr>
          <w:sz w:val="20"/>
          <w:szCs w:val="20"/>
          <w:color w:val="auto"/>
        </w:rPr>
      </w:pPr>
      <w:r>
        <w:rPr>
          <w:rFonts w:ascii="Arial" w:cs="Arial" w:eastAsia="Arial" w:hAnsi="Arial"/>
          <w:sz w:val="13"/>
          <w:szCs w:val="13"/>
          <w:color w:val="auto"/>
        </w:rPr>
        <w:t>The Company previously qualified as an emerging growth company (“EGC”) until October 31, 2021, when it no longer qualified based on its status as a Large Accelerated Filer and accordingly, complies with all financial disclosure and governance requirements applicable to Large Accelerated Filers.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IPO</w:t>
      </w:r>
    </w:p>
    <w:p>
      <w:pPr>
        <w:spacing w:after="0" w:line="172" w:lineRule="exact"/>
        <w:rPr>
          <w:sz w:val="20"/>
          <w:szCs w:val="20"/>
          <w:color w:val="auto"/>
        </w:rPr>
      </w:pPr>
    </w:p>
    <w:p>
      <w:pPr>
        <w:ind w:right="480" w:firstLine="509"/>
        <w:spacing w:after="0" w:line="244" w:lineRule="auto"/>
        <w:rPr>
          <w:sz w:val="20"/>
          <w:szCs w:val="20"/>
          <w:color w:val="auto"/>
        </w:rPr>
      </w:pPr>
      <w:r>
        <w:rPr>
          <w:rFonts w:ascii="Arial" w:cs="Arial" w:eastAsia="Arial" w:hAnsi="Arial"/>
          <w:sz w:val="13"/>
          <w:szCs w:val="13"/>
          <w:color w:val="auto"/>
        </w:rPr>
        <w:t>In October 2020, we completed our initial public offering (“IPO”) of common stock, in which we sold 7,450,000 shares at a public offering price of $12.00 per share. Net proceeds were $78.1 million, after deducting underwriting discounts and commissions of $6.3 million and issuance costs of $5.0 million, which were paid by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Use of estimates</w:t>
      </w:r>
    </w:p>
    <w:p>
      <w:pPr>
        <w:spacing w:after="0" w:line="17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3"/>
          <w:szCs w:val="13"/>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Cash, cash equivalents and restricted cash</w:t>
      </w:r>
    </w:p>
    <w:p>
      <w:pPr>
        <w:spacing w:after="0" w:line="162" w:lineRule="exact"/>
        <w:rPr>
          <w:sz w:val="20"/>
          <w:szCs w:val="20"/>
          <w:color w:val="auto"/>
        </w:rPr>
      </w:pPr>
    </w:p>
    <w:p>
      <w:pPr>
        <w:jc w:val="both"/>
        <w:ind w:right="180" w:firstLine="509"/>
        <w:spacing w:after="0" w:line="244" w:lineRule="auto"/>
        <w:rPr>
          <w:sz w:val="20"/>
          <w:szCs w:val="20"/>
          <w:color w:val="auto"/>
        </w:rPr>
      </w:pPr>
      <w:r>
        <w:rPr>
          <w:rFonts w:ascii="Arial" w:cs="Arial" w:eastAsia="Arial" w:hAnsi="Arial"/>
          <w:sz w:val="13"/>
          <w:szCs w:val="13"/>
          <w:color w:val="auto"/>
        </w:rPr>
        <w:t>The Company considers all highly liquid instruments with an original maturity of three months or less and money market mutual funds to be cash equivalents. The carrying amounts of cash and cash equivalents approximate their fair values.</w:t>
      </w:r>
    </w:p>
    <w:p>
      <w:pPr>
        <w:spacing w:after="0" w:line="152"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3"/>
          <w:szCs w:val="13"/>
          <w:color w:val="auto"/>
        </w:rPr>
        <w:t>Restricted cash represents cash and cash equivalents that are restricted to withdrawal or use as of the reporting date under contractual terms or regulatory requirements. As of October 31, 2021 and 2020, the restricted cash balance related to statutory requirements to support various programs at the Company’s farms. Restricted cash is included with cash and cash equivalents when reconciling the beginning-of-period and end-of-period total amounts shown on the statements of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Accounts receivable</w:t>
      </w:r>
    </w:p>
    <w:p>
      <w:pPr>
        <w:spacing w:after="0" w:line="172" w:lineRule="exact"/>
        <w:rPr>
          <w:sz w:val="20"/>
          <w:szCs w:val="20"/>
          <w:color w:val="auto"/>
        </w:rPr>
      </w:pPr>
    </w:p>
    <w:p>
      <w:pPr>
        <w:jc w:val="both"/>
        <w:ind w:right="160" w:firstLine="509"/>
        <w:spacing w:after="0" w:line="244" w:lineRule="auto"/>
        <w:rPr>
          <w:sz w:val="20"/>
          <w:szCs w:val="20"/>
          <w:color w:val="auto"/>
        </w:rPr>
      </w:pPr>
      <w:r>
        <w:rPr>
          <w:rFonts w:ascii="Arial" w:cs="Arial" w:eastAsia="Arial" w:hAnsi="Arial"/>
          <w:sz w:val="13"/>
          <w:szCs w:val="13"/>
          <w:color w:val="auto"/>
        </w:rPr>
        <w:t>Trade accounts receivable are reported at amounts due from customers, net of an allowance for doubtful accounts. The Company maintains an allowance for doubtful accounts to reflect its estimate of the uncollectability of the trade accounts receivable based on past collection history, the identification of specific potential customer risks, and other factors.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Grower and fruit advances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makes advances to growers and foreign suppliers who supply fruit to the Company. Such advances reduce amounts otherwise due to the growers or suppliers for fruit sales.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Miscellaneous receivables</w:t>
      </w:r>
    </w:p>
    <w:p>
      <w:pPr>
        <w:spacing w:after="0" w:line="172"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Miscellaneous receivables represent non-trade receivables and primarily consist of value-added taxes (“VAT”) collected on behalf of the tax authorities. VAT included in miscellaneous receivables were $11.0 million and $10.6 million as of October 31, 2021 and 2020, respectively.</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7"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Inventory</w:t>
      </w:r>
    </w:p>
    <w:p>
      <w:pPr>
        <w:spacing w:after="0" w:line="172"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Inventories are recorded at the lower of cost or net realizable value using the first-in, first-out method for finished goods and raw materials. Net realizable value is the estimated selling price in the ordinary course of business, less reasonably predictable costs of completion, disposal, and transportation.</w:t>
      </w:r>
    </w:p>
    <w:p>
      <w:pPr>
        <w:spacing w:after="0" w:line="14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3"/>
          <w:szCs w:val="13"/>
          <w:color w:val="auto"/>
        </w:rPr>
        <w:t>Crop growing costs are valued at the lower of cost or net realizable value and are deferred and charged to cost of goods sold when the related crop is harvested and sold. The deferred crop growing costs included in inventory consist primarily of orchard maintenance costs such as cultivation, irrigation, fertilization, soil amendments, pest control and pruning.</w:t>
      </w:r>
    </w:p>
    <w:p>
      <w:pPr>
        <w:spacing w:after="0" w:line="152" w:lineRule="exact"/>
        <w:rPr>
          <w:sz w:val="20"/>
          <w:szCs w:val="20"/>
          <w:color w:val="auto"/>
        </w:rPr>
      </w:pPr>
    </w:p>
    <w:p>
      <w:pPr>
        <w:ind w:right="100" w:firstLine="509"/>
        <w:spacing w:after="0" w:line="241" w:lineRule="auto"/>
        <w:rPr>
          <w:sz w:val="20"/>
          <w:szCs w:val="20"/>
          <w:color w:val="auto"/>
        </w:rPr>
      </w:pPr>
      <w:r>
        <w:rPr>
          <w:rFonts w:ascii="Arial" w:cs="Arial" w:eastAsia="Arial" w:hAnsi="Arial"/>
          <w:sz w:val="13"/>
          <w:szCs w:val="13"/>
          <w:color w:val="auto"/>
        </w:rPr>
        <w:t>We assess the recoverability of inventories through an ongoing review of inventory levels in relation to sales and forecasts and product marketing plans. When the inventory on hand, at the time of review, exceeds the foreseeable demand, the value of inventory that is not expected to be sold is written down. The amount of the write-down is the excess of historical cost over estimated net realizable value. Once established, these write-downs are considered permanent adjustments to the cost basis of the excess inventory.</w:t>
      </w:r>
    </w:p>
    <w:p>
      <w:pPr>
        <w:spacing w:after="0" w:line="15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3"/>
          <w:szCs w:val="13"/>
          <w:color w:val="auto"/>
        </w:rPr>
        <w:t>The assessment of the recoverability of inventories and the amounts of any write-downs are based on currently available information and assumptions about future demand and market conditions. Demand for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During the year ended October 31, 2019, inventories included $2.0 million of fair value adjustments which were recognized in cost of sales as the underlying inventories were sold.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Property, plant and equipment, net</w:t>
      </w:r>
    </w:p>
    <w:p>
      <w:pPr>
        <w:spacing w:after="0" w:line="16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3"/>
          <w:szCs w:val="13"/>
          <w:color w:val="auto"/>
        </w:rPr>
        <w:t>Property, plant and equipment, net is stated at cost, net of accumulated depreciation. Depreciation is computed using the straight-line method using rates based upon the estimated useful lives of the related assets. Property, plant and equipment includes the costs of planting and developing orchards that are capitalized until the orchards become commercially productive. Net proceeds from the sales of fruit before commercial production begins is applied to the capitalized cost of the trees. Planting costs consist primarily of the costs to purchase and plant nursery stock. Orchard development costs consist primarily of maintenance costs of orchards such as cultivation, pruning, irrigation, labor, spraying and fertilization, and interest costs during the development period. The Company ceases the capitalization of costs and commences depreciation when the orchards become commercially productive and once productive, the orchard maintenance costs are accounted for as crop growing costs.</w:t>
      </w:r>
    </w:p>
    <w:p>
      <w:pPr>
        <w:spacing w:after="0" w:line="157" w:lineRule="exact"/>
        <w:rPr>
          <w:sz w:val="20"/>
          <w:szCs w:val="20"/>
          <w:color w:val="auto"/>
        </w:rPr>
      </w:pPr>
    </w:p>
    <w:p>
      <w:pPr>
        <w:ind w:right="60" w:firstLine="509"/>
        <w:spacing w:after="0"/>
        <w:rPr>
          <w:sz w:val="20"/>
          <w:szCs w:val="20"/>
          <w:color w:val="auto"/>
        </w:rPr>
      </w:pPr>
      <w:r>
        <w:rPr>
          <w:rFonts w:ascii="Arial" w:cs="Arial" w:eastAsia="Arial" w:hAnsi="Arial"/>
          <w:sz w:val="13"/>
          <w:szCs w:val="13"/>
          <w:color w:val="auto"/>
        </w:rPr>
        <w:t>Useful lives are as follows: orchard costs—20 to 25 years; buildings and improvements—20 to 40 years; and plant and office equipment—3 to 20 years. Within plant and office equipment, which contains a variety of assets, useful lives are as follows: reservoirs, wells, and irrigation equipment—20 years; bagging, packing, and refrigeration and ripening equipment—10-20 years; industrial vehicles—3 years; and office and computer equipment—5 to 7 years. Leased equipment and leasehold improvements meeting certain criteria are capitalized and amortized over the shorter of the expected lease term or the useful life of the asset using the straight-line method.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Farming costs for nonproductive orchards</w:t>
      </w:r>
    </w:p>
    <w:p>
      <w:pPr>
        <w:spacing w:after="0" w:line="17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3"/>
          <w:szCs w:val="13"/>
          <w:color w:val="auto"/>
        </w:rPr>
        <w:t>We lease land for the development of new orchards. During the development period, these costs are referred to as farming costs for nonproductive orchards and are expensed as incurred in the consolidated statements of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Leases</w:t>
      </w:r>
    </w:p>
    <w:p>
      <w:pPr>
        <w:spacing w:after="0" w:line="162" w:lineRule="exact"/>
        <w:rPr>
          <w:sz w:val="20"/>
          <w:szCs w:val="20"/>
          <w:color w:val="auto"/>
        </w:rPr>
      </w:pPr>
    </w:p>
    <w:p>
      <w:pPr>
        <w:ind w:right="20" w:firstLine="509"/>
        <w:spacing w:after="0" w:line="241" w:lineRule="auto"/>
        <w:rPr>
          <w:sz w:val="20"/>
          <w:szCs w:val="20"/>
          <w:color w:val="auto"/>
        </w:rPr>
      </w:pPr>
      <w:r>
        <w:rPr>
          <w:rFonts w:ascii="Arial" w:cs="Arial" w:eastAsia="Arial" w:hAnsi="Arial"/>
          <w:sz w:val="13"/>
          <w:szCs w:val="13"/>
          <w:color w:val="auto"/>
        </w:rPr>
        <w:t>We determine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54" w:lineRule="exact"/>
        <w:rPr>
          <w:sz w:val="20"/>
          <w:szCs w:val="20"/>
          <w:color w:val="auto"/>
        </w:rPr>
      </w:pPr>
    </w:p>
    <w:p>
      <w:pPr>
        <w:ind w:firstLine="509"/>
        <w:spacing w:after="0" w:line="263" w:lineRule="auto"/>
        <w:rPr>
          <w:sz w:val="20"/>
          <w:szCs w:val="20"/>
          <w:color w:val="auto"/>
        </w:rPr>
      </w:pPr>
      <w:r>
        <w:rPr>
          <w:rFonts w:ascii="Arial" w:cs="Arial" w:eastAsia="Arial" w:hAnsi="Arial"/>
          <w:sz w:val="12"/>
          <w:szCs w:val="12"/>
          <w:color w:val="auto"/>
        </w:rPr>
        <w:t>For leases where we are the lessee, we recognize the right-of-use (“ROU”) assets and lease liabilities for all leases other than those with a term of 12 months or less, as we have elected to apply the short-term lease recognition exemption. ROU assets represent our right to use an underlying asset for the lease term. Lease liabilities represent our obligation to make lease payments arising from the lease. ROU assets and lease liabilities are classified and recognized at the commencement date of a lease. Lease liabilities are measured based on the present value of fixed lease payments over the lease term. ROU assets consist of: (i) initial measurement of the lease liability; (ii) lease payments made to the lessor at or before the commencement date less any lease incentives received; and (iii) initial direct costs incurred by us. Lease payments may vary because of changes in facts or circumstances occurring after the commencement, including changes in inflation indices. Variable lease payments are excluded from the measurement of ROU assets and lease liabilities and are recognized in the period in which the obligation for those payments is incurred.</w:t>
      </w:r>
    </w:p>
    <w:p>
      <w:pPr>
        <w:spacing w:after="0" w:line="143" w:lineRule="exact"/>
        <w:rPr>
          <w:sz w:val="20"/>
          <w:szCs w:val="20"/>
          <w:color w:val="auto"/>
        </w:rPr>
      </w:pPr>
    </w:p>
    <w:p>
      <w:pPr>
        <w:ind w:right="100" w:firstLine="509"/>
        <w:spacing w:after="0" w:line="244" w:lineRule="auto"/>
        <w:rPr>
          <w:sz w:val="20"/>
          <w:szCs w:val="20"/>
          <w:color w:val="auto"/>
        </w:rPr>
      </w:pPr>
      <w:r>
        <w:rPr>
          <w:rFonts w:ascii="Arial" w:cs="Arial" w:eastAsia="Arial" w:hAnsi="Arial"/>
          <w:sz w:val="13"/>
          <w:szCs w:val="13"/>
          <w:color w:val="auto"/>
        </w:rPr>
        <w:t>The discount rate used to determine the present value of the lease payments is the rate of interest that the Company would have to pay to borrow on a collateralized basis over a similar term for an amount equal to the lease payments in a similar economic environment.</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180" w:firstLine="509"/>
        <w:spacing w:after="0" w:line="241" w:lineRule="auto"/>
        <w:rPr>
          <w:sz w:val="20"/>
          <w:szCs w:val="20"/>
          <w:color w:val="auto"/>
        </w:rPr>
      </w:pPr>
      <w:r>
        <w:rPr>
          <w:rFonts w:ascii="Arial" w:cs="Arial" w:eastAsia="Arial" w:hAnsi="Arial"/>
          <w:sz w:val="13"/>
          <w:szCs w:val="13"/>
          <w:color w:val="auto"/>
        </w:rPr>
        <w:t>For income statement purposes, we recognize straight-line rent expense for operating leases. For finance leases, we recognize interest expense associated with the lease liability and depreciation expense associated with the ROU asset. For ROU assets held under finance leases and leasehold improvements, the estimated useful lives are limited to the shorter of the useful life of the asset or the term of the lease.</w:t>
      </w:r>
    </w:p>
    <w:p>
      <w:pPr>
        <w:spacing w:after="0" w:line="144" w:lineRule="exact"/>
        <w:rPr>
          <w:sz w:val="20"/>
          <w:szCs w:val="20"/>
          <w:color w:val="auto"/>
        </w:rPr>
      </w:pPr>
    </w:p>
    <w:p>
      <w:pPr>
        <w:jc w:val="both"/>
        <w:ind w:right="160" w:firstLine="509"/>
        <w:spacing w:after="0" w:line="241" w:lineRule="auto"/>
        <w:rPr>
          <w:sz w:val="20"/>
          <w:szCs w:val="20"/>
          <w:color w:val="auto"/>
        </w:rPr>
      </w:pPr>
      <w:r>
        <w:rPr>
          <w:rFonts w:ascii="Arial" w:cs="Arial" w:eastAsia="Arial" w:hAnsi="Arial"/>
          <w:sz w:val="13"/>
          <w:szCs w:val="13"/>
          <w:color w:val="auto"/>
        </w:rPr>
        <w:t>Many of our lease arrangements include options to extend the lease, which we do not include in the lease term unless we are reasonably certain to exercise it. We have lease arrangements with lease and non-lease components. From a lessee perspective, we have elected to apply the practical expedient to combine lease and related non-lease components, for all classes of underlying assets, and account for the combined contract as a lease component.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Equity method investees</w:t>
      </w:r>
    </w:p>
    <w:p>
      <w:pPr>
        <w:spacing w:after="0" w:line="172" w:lineRule="exact"/>
        <w:rPr>
          <w:sz w:val="20"/>
          <w:szCs w:val="20"/>
          <w:color w:val="auto"/>
        </w:rPr>
      </w:pPr>
    </w:p>
    <w:p>
      <w:pPr>
        <w:ind w:right="240" w:firstLine="509"/>
        <w:spacing w:after="0"/>
        <w:rPr>
          <w:sz w:val="20"/>
          <w:szCs w:val="20"/>
          <w:color w:val="auto"/>
        </w:rPr>
      </w:pPr>
      <w:r>
        <w:rPr>
          <w:rFonts w:ascii="Arial" w:cs="Arial" w:eastAsia="Arial" w:hAnsi="Arial"/>
          <w:sz w:val="13"/>
          <w:szCs w:val="13"/>
          <w:color w:val="auto"/>
        </w:rPr>
        <w:t>We maintain investments in other fruit growers, packers and distributors. These investments are accounted for under the equity method of accounting when we have the ability 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55" w:lineRule="exact"/>
        <w:rPr>
          <w:sz w:val="20"/>
          <w:szCs w:val="20"/>
          <w:color w:val="auto"/>
        </w:rPr>
      </w:pPr>
    </w:p>
    <w:p>
      <w:pPr>
        <w:jc w:val="both"/>
        <w:ind w:right="240" w:firstLine="509"/>
        <w:spacing w:after="0" w:line="241" w:lineRule="auto"/>
        <w:rPr>
          <w:sz w:val="20"/>
          <w:szCs w:val="20"/>
          <w:color w:val="auto"/>
        </w:rPr>
      </w:pPr>
      <w:r>
        <w:rPr>
          <w:rFonts w:ascii="Arial" w:cs="Arial" w:eastAsia="Arial" w:hAnsi="Arial"/>
          <w:sz w:val="13"/>
          <w:szCs w:val="13"/>
          <w:color w:val="auto"/>
        </w:rPr>
        <w:t>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There was no OTTI identified in the year ended October 31, 2021 that would have required us to test for impairment.</w:t>
      </w:r>
    </w:p>
    <w:p>
      <w:pPr>
        <w:spacing w:after="0" w:line="144" w:lineRule="exact"/>
        <w:rPr>
          <w:sz w:val="20"/>
          <w:szCs w:val="20"/>
          <w:color w:val="auto"/>
        </w:rPr>
      </w:pPr>
    </w:p>
    <w:p>
      <w:pPr>
        <w:ind w:right="40" w:firstLine="509"/>
        <w:spacing w:after="0" w:line="239" w:lineRule="auto"/>
        <w:rPr>
          <w:sz w:val="20"/>
          <w:szCs w:val="20"/>
          <w:color w:val="auto"/>
        </w:rPr>
      </w:pPr>
      <w:r>
        <w:rPr>
          <w:rFonts w:ascii="Arial" w:cs="Arial" w:eastAsia="Arial" w:hAnsi="Arial"/>
          <w:sz w:val="13"/>
          <w:szCs w:val="13"/>
          <w:color w:val="auto"/>
        </w:rPr>
        <w:t>During the second quarter of fiscal year 2020, industry-wide production information regarding the 2019-2020 blueberry harvest in Peru became available, indicating that there is greater competition and expansion by competitors than what we were previously expecting. We believed that the increase in supply due to expansion would result in a reduction in pricing over the long-term. As a result of this factor, among others, management lowered its long-term revenue and profitability forecasts of Moruga during the second quarter of 2020 and concluded that the reduction in the forecasted revenues was an indicator of impairment. As a result, management tested its investment in Moruga for impairment and concluded that the estimated fair value of the investment in Moruga was less than the carrying value of the investment. Due to the change in long-term pricing and revenue expectations, management concluded that the impairment is other-than-temporary and recorded an impairment charge of $21.2 million during the second quarter of fiscal year 2020 (see Note 4 for more details).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Long-lived assets</w:t>
      </w:r>
    </w:p>
    <w:p>
      <w:pPr>
        <w:spacing w:after="0" w:line="172" w:lineRule="exact"/>
        <w:rPr>
          <w:sz w:val="20"/>
          <w:szCs w:val="20"/>
          <w:color w:val="auto"/>
        </w:rPr>
      </w:pPr>
    </w:p>
    <w:p>
      <w:pPr>
        <w:ind w:right="80" w:firstLine="509"/>
        <w:spacing w:after="0" w:line="263" w:lineRule="auto"/>
        <w:rPr>
          <w:sz w:val="20"/>
          <w:szCs w:val="20"/>
          <w:color w:val="auto"/>
        </w:rPr>
      </w:pPr>
      <w:r>
        <w:rPr>
          <w:rFonts w:ascii="Arial" w:cs="Arial" w:eastAsia="Arial" w:hAnsi="Arial"/>
          <w:sz w:val="12"/>
          <w:szCs w:val="12"/>
          <w:color w:val="auto"/>
        </w:rPr>
        <w:t>The Company evaluates its long-lived assets for impairment whenever events or changes in circumstances indicate that the carrying amount of any such asset may not be recoverable. Long-lived assets are assessed for impairment by comparing the carrying amount of an asset to future undiscounted net cash flows expected to be generated from the use of the asset and its eventual disposition. If the future undiscounted net cash flows are less than the carrying amount of the asset being tested, an impairment is recorded for the difference between the carrying amount of the asset and the estimated fair value of the asset.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For fiscal years 2021 and 2020, we did not identify any indicators of impairment that would have required the Company to test its long-lived assets for impairment.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Goodwill</w:t>
      </w:r>
    </w:p>
    <w:p>
      <w:pPr>
        <w:spacing w:after="0" w:line="172" w:lineRule="exact"/>
        <w:rPr>
          <w:sz w:val="20"/>
          <w:szCs w:val="20"/>
          <w:color w:val="auto"/>
        </w:rPr>
      </w:pPr>
    </w:p>
    <w:p>
      <w:pPr>
        <w:ind w:firstLine="509"/>
        <w:spacing w:after="0" w:line="258" w:lineRule="auto"/>
        <w:rPr>
          <w:sz w:val="20"/>
          <w:szCs w:val="20"/>
          <w:color w:val="auto"/>
        </w:rPr>
      </w:pPr>
      <w:r>
        <w:rPr>
          <w:rFonts w:ascii="Arial" w:cs="Arial" w:eastAsia="Arial" w:hAnsi="Arial"/>
          <w:sz w:val="12"/>
          <w:szCs w:val="12"/>
          <w:color w:val="auto"/>
        </w:rPr>
        <w:t>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w:t>
      </w:r>
    </w:p>
    <w:p>
      <w:pPr>
        <w:ind w:firstLine="5"/>
        <w:spacing w:after="0" w:line="239" w:lineRule="auto"/>
        <w:tabs>
          <w:tab w:leader="none" w:pos="205"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fair values of the reporting units. The estimates and assumptions described above, along with other factors such as discount rates, will significantly affect the outcome of the impairment tests and the amounts of any resulting impairment losses. We perform a qualitative assessment of goodwill for impairment on an annual basis during the fourth quarter of each year, and between annual tests whenever events or changes in circumstances indicate that the carrying amount may not be recoverable. If qualitative factors were to indicate that it is more-likely-than-not that the fair value of the reporting unit is less than its carrying value, we would then perform a quantitative assessment, which would consist primarily of a discounted cash flow (“DCF”) analysis to determine the fair value of the reporting unit’s goodwill. To the extent the carrying amount of the reporting unit’s allocated goodwill exceeds the unit’s fair value, we recognize an impairment of goodwill for the excess up to the amount of goodwill of that reporting unit.</w:t>
      </w:r>
    </w:p>
    <w:p>
      <w:pPr>
        <w:spacing w:after="0" w:line="147" w:lineRule="exact"/>
        <w:rPr>
          <w:sz w:val="20"/>
          <w:szCs w:val="20"/>
          <w:color w:val="auto"/>
        </w:rPr>
      </w:pPr>
    </w:p>
    <w:p>
      <w:pPr>
        <w:ind w:right="160" w:firstLine="509"/>
        <w:spacing w:after="0" w:line="244" w:lineRule="auto"/>
        <w:rPr>
          <w:sz w:val="20"/>
          <w:szCs w:val="20"/>
          <w:color w:val="auto"/>
        </w:rPr>
      </w:pPr>
      <w:r>
        <w:rPr>
          <w:rFonts w:ascii="Arial" w:cs="Arial" w:eastAsia="Arial" w:hAnsi="Arial"/>
          <w:sz w:val="13"/>
          <w:szCs w:val="13"/>
          <w:color w:val="auto"/>
        </w:rPr>
        <w:t>As of October 31, 2021 and 2020, we had goodwill of $76.4 million. The results of our annual goodwill impairment assessments indicated that it was more likely than not that the fair value of our reporting unit’s goodwill had exceeded its carrying value. As a result, we concluded that there were no impairments for the years ended October 31,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Fair value of financial instruments</w:t>
      </w:r>
    </w:p>
    <w:p>
      <w:pPr>
        <w:spacing w:after="0" w:line="172" w:lineRule="exact"/>
        <w:rPr>
          <w:sz w:val="20"/>
          <w:szCs w:val="20"/>
          <w:color w:val="auto"/>
        </w:rPr>
      </w:pPr>
    </w:p>
    <w:p>
      <w:pPr>
        <w:ind w:right="140" w:firstLine="509"/>
        <w:spacing w:after="0" w:line="244" w:lineRule="auto"/>
        <w:rPr>
          <w:sz w:val="20"/>
          <w:szCs w:val="20"/>
          <w:color w:val="auto"/>
        </w:rPr>
      </w:pPr>
      <w:r>
        <w:rPr>
          <w:rFonts w:ascii="Arial" w:cs="Arial" w:eastAsia="Arial" w:hAnsi="Arial"/>
          <w:sz w:val="13"/>
          <w:szCs w:val="13"/>
          <w:color w:val="auto"/>
        </w:rPr>
        <w:t>The Company applies the provisions of Accounting Standards Codification (“ASC”) 820, Fair Value Measurements, for fair value measurements of financial assets and financial liabilities and for fair value measurements of nonfinancial items that are recognized or disclosed at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fair value in the financial statements. ASC 820 establishes a framework for measuring fair value and expands disclosures about fair value measurements.</w:t>
      </w:r>
    </w:p>
    <w:p>
      <w:pPr>
        <w:spacing w:after="0" w:line="148"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Fair value is defined as the price that would be received when selling an asset or paid to transfer a liability in an orderly transaction between market participants at the measurement date. In determining the fair value for the assets and liabilities required or permitted to be recorded,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3"/>
          <w:szCs w:val="13"/>
          <w:color w:val="auto"/>
        </w:rPr>
        <w:t>ASC 820 establishes a fair value hierarchy that requires an entity to maximize the use of observable inputs and minimize the use of unobservable inputs when measuring fair value. ASC 820 establishes three levels of inputs that may be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Level 1: Unadjusted quoted prices in active markets that are accessible at the measurement date for identical, unrestricted assets or liabilities;</w:t>
      </w:r>
    </w:p>
    <w:p>
      <w:pPr>
        <w:spacing w:after="0" w:line="148" w:lineRule="exact"/>
        <w:rPr>
          <w:sz w:val="20"/>
          <w:szCs w:val="20"/>
          <w:color w:val="auto"/>
        </w:rPr>
      </w:pPr>
    </w:p>
    <w:p>
      <w:pPr>
        <w:ind w:left="760" w:right="640"/>
        <w:spacing w:after="0" w:line="244" w:lineRule="auto"/>
        <w:rPr>
          <w:sz w:val="20"/>
          <w:szCs w:val="20"/>
          <w:color w:val="auto"/>
        </w:rPr>
      </w:pPr>
      <w:r>
        <w:rPr>
          <w:rFonts w:ascii="Arial" w:cs="Arial" w:eastAsia="Arial" w:hAnsi="Arial"/>
          <w:sz w:val="13"/>
          <w:szCs w:val="13"/>
          <w:color w:val="auto"/>
        </w:rPr>
        <w:t>Level 2: Quoted prices, other than those in Level 1, in markets that are not active or for similar assets and liabilities, or inputs that are observable, either directly or indirectly, for substantially the full term of the asset or liability;</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Level 3: Prices or valuation techniques that require inputs that are both significant to the fair value measurement and unobservable (supported by little or no market activity).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There were no transfers between level 1, level 2 or level 3 measurements during the years ended October 31, 2021 and 2020.</w:t>
      </w:r>
    </w:p>
    <w:p>
      <w:pPr>
        <w:spacing w:after="0" w:line="148" w:lineRule="exact"/>
        <w:rPr>
          <w:sz w:val="20"/>
          <w:szCs w:val="20"/>
          <w:color w:val="auto"/>
        </w:rPr>
      </w:pPr>
    </w:p>
    <w:p>
      <w:pPr>
        <w:ind w:right="200" w:firstLine="509"/>
        <w:spacing w:after="0" w:line="241" w:lineRule="auto"/>
        <w:rPr>
          <w:sz w:val="20"/>
          <w:szCs w:val="20"/>
          <w:color w:val="auto"/>
        </w:rPr>
      </w:pPr>
      <w:r>
        <w:rPr>
          <w:rFonts w:ascii="Arial" w:cs="Arial" w:eastAsia="Arial" w:hAnsi="Arial"/>
          <w:sz w:val="13"/>
          <w:szCs w:val="13"/>
          <w:color w:val="auto"/>
        </w:rPr>
        <w:t>We believe that the carrying amounts of cash and cash equivalents, accounts receivable, accounts payable, accrued expenses and short-term borrowings approximates fair value based on either their short-term nature or on terms currently available to the Company in financial markets. Due to current market rates, we believe that our long-term obligations have fair values that approximate carrying values. Refer to Note 10 for further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Interest rate swaps</w:t>
      </w:r>
    </w:p>
    <w:p>
      <w:pPr>
        <w:spacing w:after="0" w:line="172" w:lineRule="exact"/>
        <w:rPr>
          <w:sz w:val="20"/>
          <w:szCs w:val="20"/>
          <w:color w:val="auto"/>
        </w:rPr>
      </w:pPr>
    </w:p>
    <w:p>
      <w:pPr>
        <w:ind w:right="240" w:firstLine="509"/>
        <w:spacing w:after="0" w:line="239" w:lineRule="auto"/>
        <w:rPr>
          <w:sz w:val="20"/>
          <w:szCs w:val="20"/>
          <w:color w:val="auto"/>
        </w:rPr>
      </w:pPr>
      <w:r>
        <w:rPr>
          <w:rFonts w:ascii="Arial" w:cs="Arial" w:eastAsia="Arial" w:hAnsi="Arial"/>
          <w:sz w:val="13"/>
          <w:szCs w:val="13"/>
          <w:color w:val="auto"/>
        </w:rPr>
        <w:t>The Company has four separate interest rate swaps with a total notional amount of $100 million to hedge changes in the variable interest rate on $100 million of principal value of the Company’s term loans. As of October 31, 2021, the interest rate swaps carried fixed-rates ranging from 1.75% to 2.57%.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income (expense), net in the consolidated statements of comprehensive income and changes in the liability are presented in net cash provided by operating activities in the consolidated statements of cash flow. Refer to Note 10 for more details.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Revenue recognition</w:t>
      </w:r>
    </w:p>
    <w:p>
      <w:pPr>
        <w:spacing w:after="0" w:line="172"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We recognize revenue according to the model under ASC 606, which requires the recognition of revenue when performance obligations to customers have been satisfied in amounts equal to the consideration to which we expect to be entitled.</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For our customer contracts, we identify the performance obligations (products or services), determine the transaction price, allocate the contract transaction price to the performance obligations, and recognize the revenue when the performance obligation is fulfilled, which is when the product is shipped to or received by the customer, depending on the specific terms of the arrangement. Our revenues are recorded at a point in time. Revenue recognized from product sales is based primarily on purchase orders issued by customers which specify shipping terms and details of the transaction. The performance obligations in a given transaction are determined by the individual purchase orders with revenue recognized at the time that the performance obligations have been satisfied. Shipping and handling activities that occur prior to the transfer of control of goods to the customer are treated as fulfillment activities related to the promise to transfer goods, rather than as performance obligations. Amounts collected from customers for sales and other similar taxes are excluded from the transaction price.</w:t>
      </w:r>
    </w:p>
    <w:p>
      <w:pPr>
        <w:spacing w:after="0" w:line="15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3"/>
          <w:szCs w:val="13"/>
          <w:color w:val="auto"/>
        </w:rPr>
        <w:t>Most performance obligations are subject to customer acceptance. However, our customers have an implicit and explicit right to return products following acceptance, if they are found not to conform to the specifications generally agreed upon or detailed in the individual purchase orders. We evaluate the need for provisions related to product return allowances based on estimates and record such provisions as a reduction in revenue in the same period that revenue for the related transactions is recognized.</w:t>
      </w:r>
    </w:p>
    <w:p>
      <w:pPr>
        <w:spacing w:after="0" w:line="154" w:lineRule="exact"/>
        <w:rPr>
          <w:sz w:val="20"/>
          <w:szCs w:val="20"/>
          <w:color w:val="auto"/>
        </w:rPr>
      </w:pPr>
    </w:p>
    <w:p>
      <w:pPr>
        <w:jc w:val="both"/>
        <w:ind w:right="240" w:firstLine="509"/>
        <w:spacing w:after="0" w:line="241" w:lineRule="auto"/>
        <w:rPr>
          <w:sz w:val="20"/>
          <w:szCs w:val="20"/>
          <w:color w:val="auto"/>
        </w:rPr>
      </w:pPr>
      <w:r>
        <w:rPr>
          <w:rFonts w:ascii="Arial" w:cs="Arial" w:eastAsia="Arial" w:hAnsi="Arial"/>
          <w:sz w:val="13"/>
          <w:szCs w:val="13"/>
          <w:color w:val="auto"/>
        </w:rPr>
        <w:t>We offer rebate programs to certain customers. These programs are not significant, and the amounts paid to customers related to rebate programs are recorded as a reduction of the sales price and revenue recognized as a result of the transaction. The Company maintains liabilities for the rebate amounts that remain unremitted to customers as of each period end and are included in accrued expenses.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200" w:firstLine="509"/>
        <w:spacing w:after="0"/>
        <w:rPr>
          <w:sz w:val="20"/>
          <w:szCs w:val="20"/>
          <w:color w:val="auto"/>
        </w:rPr>
      </w:pPr>
      <w:r>
        <w:rPr>
          <w:rFonts w:ascii="Arial" w:cs="Arial" w:eastAsia="Arial" w:hAnsi="Arial"/>
          <w:sz w:val="13"/>
          <w:szCs w:val="13"/>
          <w:color w:val="auto"/>
        </w:rPr>
        <w:t>We routinely enter into consignment arrangements to purchase avocados from foreign suppliers in which we do not take legal title of the good prior to selling those goods to customers. The Company has evaluated its role in such transactions and has concluded that it has control of the products due to our ability to determine the sales price and our role as the primary obligor in the transactions with the end customer. As a result, we are deemed to act as the principle rather than the agent, and therefore recognize and report revenue on a gross basis for its consignment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Stock-based compensation</w:t>
      </w:r>
    </w:p>
    <w:p>
      <w:pPr>
        <w:spacing w:after="0" w:line="162" w:lineRule="exact"/>
        <w:rPr>
          <w:sz w:val="20"/>
          <w:szCs w:val="20"/>
          <w:color w:val="auto"/>
        </w:rPr>
      </w:pPr>
    </w:p>
    <w:p>
      <w:pPr>
        <w:ind w:right="140" w:firstLine="509"/>
        <w:spacing w:after="0"/>
        <w:rPr>
          <w:sz w:val="20"/>
          <w:szCs w:val="20"/>
          <w:color w:val="auto"/>
        </w:rPr>
      </w:pPr>
      <w:r>
        <w:rPr>
          <w:rFonts w:ascii="Arial" w:cs="Arial" w:eastAsia="Arial" w:hAnsi="Arial"/>
          <w:sz w:val="13"/>
          <w:szCs w:val="13"/>
          <w:color w:val="auto"/>
        </w:rPr>
        <w:t>The Company uses the fair value recognition method for accounting for stock-based compensation. Under the fair value recognition method, cost is measured at the grant date based on the fair value of the award and is recognized as expense on the straight-line basis over the requisite service period, which is generally the vesting period. When vesting is based on the occurrence of certain defined liquidity events, expense relative to such awards is measured based on the grant date fair value of the award and is recorded when the event occurs. Forfeitures are recognized in the period they occur.</w:t>
      </w:r>
    </w:p>
    <w:p>
      <w:pPr>
        <w:spacing w:after="0" w:line="187" w:lineRule="exact"/>
        <w:rPr>
          <w:sz w:val="20"/>
          <w:szCs w:val="20"/>
          <w:color w:val="auto"/>
        </w:rPr>
      </w:pPr>
    </w:p>
    <w:p>
      <w:pPr>
        <w:ind w:right="200" w:firstLine="509"/>
        <w:spacing w:after="0" w:line="284" w:lineRule="auto"/>
        <w:rPr>
          <w:sz w:val="20"/>
          <w:szCs w:val="20"/>
          <w:color w:val="auto"/>
        </w:rPr>
      </w:pPr>
      <w:r>
        <w:rPr>
          <w:rFonts w:ascii="Arial" w:cs="Arial" w:eastAsia="Arial" w:hAnsi="Arial"/>
          <w:sz w:val="12"/>
          <w:szCs w:val="12"/>
          <w:color w:val="auto"/>
        </w:rPr>
        <w:t>The fair value of stock options is estimated as of the date of grant using the Black-Scholes option model, which requires various inputs, including volatility, risk-free interest rate, and the estimated life of the option term. See Note 9 for more information. The fair value of restricted stock units (“RSUs”) is determined based on the market price of our common stock on the date of grant.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Advertising costs</w:t>
      </w:r>
    </w:p>
    <w:p>
      <w:pPr>
        <w:spacing w:after="0" w:line="172"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Advertising costs are expensed when incurred and are included as a component of selling, general and administrative expense. Such costs were $0.3 million, $0.4 million, and $0.3 million for the years ended October 31, 2021, 2020 and 2019,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Employee benefits</w:t>
      </w:r>
    </w:p>
    <w:p>
      <w:pPr>
        <w:spacing w:after="0" w:line="172"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Eligible employees of the Company may participate in a 401(k)-retirement plan, whereby employees may elect to make contributions pursuant to a salary reduction agreement upon meeting age and length-of-service requirements. Employees can defer up to 60% of their compensation subject to fixed annual limits. The Company makes a 100% matching contribution on deferrals up to 3%, and 50% on deferrals over 3% up to 5%. Total contributions made by the Company were $0.9 million for the year ended October 31, 2021 and $0.7 million for both the years ended October 31, 2020 and 2019.</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Income taxes</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The Company uses the liability method to account for income taxes as prescribed by ASC 740. Deferred tax assets and liabilities are determined based on the difference between the financial statement and tax bases of assets and liabilities as measured by the enacted tax rates which will be in effect when these differences reverse. Deferred tax expense (benefit) is the result of changes in deferred tax assets and liabilities. Deferred income tax assets and liabilities are adjusted to recognize the effects of changes in tax laws or enacted tax rates in the period during which they are signed into law. The factors used to assess the Company’s ability to realize its deferred tax assets are the Company’s forecast of future taxable income and available tax planning strategies that could be implemented. Under ASC 740 a valuation allowance is required when it is more likely than not that all or some portion of the deferred tax assets will not be realized due to the inability to generate sufficient future taxable income of the correct character. Failure to achieve previous forecasted taxable income could affect the ultimate realization of deferred tax assets and could negatively impact the Company’s effective tax rate on future earnings.</w:t>
      </w:r>
    </w:p>
    <w:p>
      <w:pPr>
        <w:spacing w:after="0" w:line="157" w:lineRule="exact"/>
        <w:rPr>
          <w:sz w:val="20"/>
          <w:szCs w:val="20"/>
          <w:color w:val="auto"/>
        </w:rPr>
      </w:pPr>
    </w:p>
    <w:p>
      <w:pPr>
        <w:ind w:right="140" w:firstLine="509"/>
        <w:spacing w:after="0" w:line="241" w:lineRule="auto"/>
        <w:rPr>
          <w:sz w:val="20"/>
          <w:szCs w:val="20"/>
          <w:color w:val="auto"/>
        </w:rPr>
      </w:pPr>
      <w:r>
        <w:rPr>
          <w:rFonts w:ascii="Arial" w:cs="Arial" w:eastAsia="Arial" w:hAnsi="Arial"/>
          <w:sz w:val="13"/>
          <w:szCs w:val="13"/>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54" w:lineRule="exact"/>
        <w:rPr>
          <w:sz w:val="20"/>
          <w:szCs w:val="20"/>
          <w:color w:val="auto"/>
        </w:rPr>
      </w:pPr>
    </w:p>
    <w:p>
      <w:pPr>
        <w:ind w:right="80" w:firstLine="509"/>
        <w:spacing w:after="0"/>
        <w:rPr>
          <w:sz w:val="20"/>
          <w:szCs w:val="20"/>
          <w:color w:val="auto"/>
        </w:rPr>
      </w:pPr>
      <w:r>
        <w:rPr>
          <w:rFonts w:ascii="Arial" w:cs="Arial" w:eastAsia="Arial" w:hAnsi="Arial"/>
          <w:sz w:val="13"/>
          <w:szCs w:val="13"/>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45" w:lineRule="exact"/>
        <w:rPr>
          <w:sz w:val="20"/>
          <w:szCs w:val="20"/>
          <w:color w:val="auto"/>
        </w:rPr>
      </w:pPr>
    </w:p>
    <w:p>
      <w:pPr>
        <w:ind w:right="260" w:firstLine="509"/>
        <w:spacing w:after="0" w:line="241" w:lineRule="auto"/>
        <w:rPr>
          <w:sz w:val="20"/>
          <w:szCs w:val="20"/>
          <w:color w:val="auto"/>
        </w:rPr>
      </w:pPr>
      <w:r>
        <w:rPr>
          <w:rFonts w:ascii="Arial" w:cs="Arial" w:eastAsia="Arial" w:hAnsi="Arial"/>
          <w:sz w:val="13"/>
          <w:szCs w:val="13"/>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Foreign currency translation and remeasurement</w:t>
      </w:r>
    </w:p>
    <w:p>
      <w:pPr>
        <w:spacing w:after="0" w:line="172" w:lineRule="exact"/>
        <w:rPr>
          <w:sz w:val="20"/>
          <w:szCs w:val="20"/>
          <w:color w:val="auto"/>
        </w:rPr>
      </w:pPr>
    </w:p>
    <w:p>
      <w:pPr>
        <w:ind w:right="60" w:firstLine="509"/>
        <w:spacing w:after="0" w:line="241" w:lineRule="auto"/>
        <w:rPr>
          <w:sz w:val="20"/>
          <w:szCs w:val="20"/>
          <w:color w:val="auto"/>
        </w:rPr>
      </w:pPr>
      <w:r>
        <w:rPr>
          <w:rFonts w:ascii="Arial" w:cs="Arial" w:eastAsia="Arial" w:hAnsi="Arial"/>
          <w:sz w:val="13"/>
          <w:szCs w:val="13"/>
          <w:color w:val="auto"/>
        </w:rPr>
        <w:t>Our foreign operations are subject to exchange rate fluctuations and foreign currency transaction costs. The functional currency for substantially all of our foreign subsidiaries is the United States dollar. When remeasuring from a local currency to the functional currency, monetary assets and liabilities are remeasured into U.S. dollars at exchange rates in effect at the balance sheet dates and non-monetary assets, liabilities and equity are remeasured at historical rates when remeasuring from a local currency to the functional currency. Sales and expenses are remeasured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using weighted-average exchange rates for each period. Gains and losses resulting from foreign currency transactions are recognized in other (expense) income, net in the consolidated statements of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Earnings per share</w:t>
      </w:r>
    </w:p>
    <w:p>
      <w:pPr>
        <w:spacing w:after="0" w:line="162"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We compute earnings per share (“EPS”) in accordance with ASC 260, which requires companies with complex capital structures to present basic and diluted EPS. Basic EPS is measured as net income divided by the weighted average shares outstanding during the period. Diluted EPS is similar to basic EPS but presents the dilutive effect on a per share basis of contracts to issue shares (e.g., equity awards) as if they had been converted at the beginning of the periods presented, or issuance date, if later. The computation of diluted EPS includes the estimated impact of the exercise of contracts to purchase common stock using the treasury stock method. Potential shares that have an anti-dilutive effect (i.e., those that increase earnings per share or decrease loss per share) are excluded from the calculation of diluted EPS.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Risk concentration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Accounts receivable from one single customer represented 13% and 11% of trade accounts receivables, net of allowance, as of October 31, 2021 and 2020, respectively.</w:t>
      </w:r>
    </w:p>
    <w:p>
      <w:pPr>
        <w:spacing w:after="0" w:line="158" w:lineRule="exact"/>
        <w:rPr>
          <w:sz w:val="20"/>
          <w:szCs w:val="20"/>
          <w:color w:val="auto"/>
        </w:rPr>
      </w:pPr>
    </w:p>
    <w:p>
      <w:pPr>
        <w:ind w:right="200" w:firstLine="509"/>
        <w:spacing w:after="0" w:line="241" w:lineRule="auto"/>
        <w:rPr>
          <w:sz w:val="20"/>
          <w:szCs w:val="20"/>
          <w:color w:val="auto"/>
        </w:rPr>
      </w:pPr>
      <w:r>
        <w:rPr>
          <w:rFonts w:ascii="Arial" w:cs="Arial" w:eastAsia="Arial" w:hAnsi="Arial"/>
          <w:sz w:val="13"/>
          <w:szCs w:val="13"/>
          <w:color w:val="auto"/>
        </w:rPr>
        <w:t>Sales to our top 10 customers amounted to approximately 59%, 64%, and 60% of our net sales for the years ended October 31, 2021, 2020 and 2019, respectively. For the year ended October 31, 2021, no single customer represented more than 10% of net sales. For the year ended October 31, 2020, two single customers represented 12% and 10% of net sales, respectively. For the year ended October 31, 2019, one single customer represented 15% of net sales. All of these customers were from our Marketing and Distribution segment.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Recently adopted accounting standards</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In February 2016, the Financial Accounting Standards Board (“FASB”) issued Accounting Standard Update (“ASU”) 2016-02, Leases (ASC 842), and subsequent updates following, which requires a dual approach for lessee accounting under which a lessee would account for leases as finance leases or operating leases. Both finance leases and operating leases will result in the lessee recognizing a right-of use asset (“ROU asset”) and a corresponding lease liability. For operating leases, the lessee would recognize a straight-line total lease expense, and for finance leases, the lessee would recognize interest expense and amortization of the ROU asset.</w:t>
      </w:r>
    </w:p>
    <w:p>
      <w:pPr>
        <w:spacing w:after="0" w:line="155" w:lineRule="exact"/>
        <w:rPr>
          <w:sz w:val="20"/>
          <w:szCs w:val="20"/>
          <w:color w:val="auto"/>
        </w:rPr>
      </w:pPr>
    </w:p>
    <w:p>
      <w:pPr>
        <w:ind w:right="120" w:firstLine="509"/>
        <w:spacing w:after="0"/>
        <w:rPr>
          <w:sz w:val="20"/>
          <w:szCs w:val="20"/>
          <w:color w:val="auto"/>
        </w:rPr>
      </w:pPr>
      <w:r>
        <w:rPr>
          <w:rFonts w:ascii="Arial" w:cs="Arial" w:eastAsia="Arial" w:hAnsi="Arial"/>
          <w:sz w:val="13"/>
          <w:szCs w:val="13"/>
          <w:color w:val="auto"/>
        </w:rPr>
        <w:t>We adopted ASC 842 effective November 1, 2020 using the modified retrospective approach and elected to apply the new guidance at the adoption date without adjusting prior periods presented. In adopting the new guidance, we elected to apply the package of transition practical expedients, which allows us not to reassess (1) whether any expired or existing contracts contain leases under the new definition of a lease; (2) lease classification for any expired or existing leases; and (3) whether previously capitalized initial direct costs would qualify for capitalization under ASC 842. In transition, we did not elect to apply the hindsight practical expedient, which permits entities to use hindsight in determining the lease term and assessing impairment of ROU assets.</w:t>
      </w:r>
    </w:p>
    <w:p>
      <w:pPr>
        <w:spacing w:after="0" w:line="155" w:lineRule="exact"/>
        <w:rPr>
          <w:sz w:val="20"/>
          <w:szCs w:val="20"/>
          <w:color w:val="auto"/>
        </w:rPr>
      </w:pPr>
    </w:p>
    <w:p>
      <w:pPr>
        <w:ind w:right="380" w:firstLine="509"/>
        <w:spacing w:after="0" w:line="241" w:lineRule="auto"/>
        <w:rPr>
          <w:sz w:val="20"/>
          <w:szCs w:val="20"/>
          <w:color w:val="auto"/>
        </w:rPr>
      </w:pPr>
      <w:r>
        <w:rPr>
          <w:rFonts w:ascii="Arial" w:cs="Arial" w:eastAsia="Arial" w:hAnsi="Arial"/>
          <w:sz w:val="13"/>
          <w:szCs w:val="13"/>
          <w:color w:val="auto"/>
        </w:rPr>
        <w:t>Upon adoption, we recognized operating ROU assets of $36.9 million, adjusted for $1.4 million of deferred rent and $0.3 million recorded as prepaid rent on the Company’s consolidated balance sheets. We also recognized $38.0 million in operating lease liabilities, of which $2.8 million was classified as current. Adoption of this standard did not have a material impact on our consolidated statements of comprehensive income or cash flows. See Note 6 for more details.</w:t>
      </w:r>
    </w:p>
    <w:p>
      <w:pPr>
        <w:spacing w:after="0" w:line="144" w:lineRule="exact"/>
        <w:rPr>
          <w:sz w:val="20"/>
          <w:szCs w:val="20"/>
          <w:color w:val="auto"/>
        </w:rPr>
      </w:pPr>
    </w:p>
    <w:p>
      <w:pPr>
        <w:jc w:val="both"/>
        <w:ind w:right="20" w:firstLine="509"/>
        <w:spacing w:after="0"/>
        <w:rPr>
          <w:sz w:val="20"/>
          <w:szCs w:val="20"/>
          <w:color w:val="auto"/>
        </w:rPr>
      </w:pPr>
      <w:r>
        <w:rPr>
          <w:rFonts w:ascii="Arial" w:cs="Arial" w:eastAsia="Arial" w:hAnsi="Arial"/>
          <w:sz w:val="13"/>
          <w:szCs w:val="13"/>
          <w:color w:val="auto"/>
        </w:rPr>
        <w:t>In June 2016, the FASB issued ASU No. 2016-13, Financial Instruments—Credit Losses (Topic 326), Measurement of Credit Losses on Financial Instruments. This guidance requires financial assets measured at amortized cost basis to be presented at the net amount expected to be collected. It also requires credit losses on available-for-sale debt securities to be presented as an allowance, rather than reducing the carrying amount. We adopted Topic 326 on October 31, 2021 as of November 1, 2020, using the modified-retrospective method. The impact of the adoption of this ASU did not have a material impact on our financial condition, results of operations, and cash flows.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In December 2019, the FASB issued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This ASU is effective for fiscal years, and interim periods within those fiscal years, beginning after December 15, 2020. We early-adopted ASU 2019-12 effective November 1, 2020. The adoption of this ASU resulted in the derecognition of a deferred tax liability of approximately $12.9 million and a corresponding adjustment to retained earnings.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Recently issued accounting standards</w:t>
      </w:r>
    </w:p>
    <w:p>
      <w:pPr>
        <w:spacing w:after="0" w:line="172"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2"/>
          <w:szCs w:val="12"/>
          <w:color w:val="auto"/>
        </w:rPr>
        <w:t>In March 2020, the FASB issued ASU 2020-04, Reference Rate Reform, and a subsequent update following,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as a result of reference rate reform. The optional expedients in this ASU are available for adoption as of March 12, 2020 through December 31, 2022. The Company is evaluating the impact of electing the adoption of this ASU on our financial condition, results of operations and cash flows.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232F84"/>
        </w:rPr>
        <w:t>3.</w:t>
      </w:r>
      <w:r>
        <w:rPr>
          <w:sz w:val="20"/>
          <w:szCs w:val="20"/>
          <w:color w:val="auto"/>
        </w:rPr>
        <w:tab/>
      </w:r>
      <w:r>
        <w:rPr>
          <w:rFonts w:ascii="Arial" w:cs="Arial" w:eastAsia="Arial" w:hAnsi="Arial"/>
          <w:sz w:val="14"/>
          <w:szCs w:val="14"/>
          <w:b w:val="1"/>
          <w:bCs w:val="1"/>
          <w:color w:val="232F84"/>
        </w:rPr>
        <w:t>Details of Certain Account Balances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Details of certain of our significant account balances in our consolidated financial statements are included below.</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Inventory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shd w:val="clear" w:color="auto" w:fill="232F84"/>
          </w:tcPr>
          <w:p>
            <w:pPr>
              <w:spacing w:after="0"/>
              <w:rPr>
                <w:sz w:val="15"/>
                <w:szCs w:val="15"/>
                <w:color w:val="auto"/>
              </w:rPr>
            </w:pPr>
          </w:p>
        </w:tc>
        <w:tc>
          <w:tcPr>
            <w:tcW w:w="340" w:type="dxa"/>
            <w:vAlign w:val="bottom"/>
            <w:shd w:val="clear" w:color="auto" w:fill="232F84"/>
          </w:tcPr>
          <w:p>
            <w:pPr>
              <w:spacing w:after="0"/>
              <w:rPr>
                <w:sz w:val="15"/>
                <w:szCs w:val="15"/>
                <w:color w:val="auto"/>
              </w:rPr>
            </w:pPr>
          </w:p>
        </w:tc>
        <w:tc>
          <w:tcPr>
            <w:tcW w:w="1680" w:type="dxa"/>
            <w:vAlign w:val="bottom"/>
            <w:gridSpan w:val="2"/>
            <w:shd w:val="clear" w:color="auto" w:fill="232F84"/>
          </w:tcPr>
          <w:p>
            <w:pPr>
              <w:ind w:left="880"/>
              <w:spacing w:after="0"/>
              <w:rPr>
                <w:sz w:val="20"/>
                <w:szCs w:val="20"/>
                <w:color w:val="auto"/>
              </w:rPr>
            </w:pPr>
            <w:r>
              <w:rPr>
                <w:rFonts w:ascii="Arial" w:cs="Arial" w:eastAsia="Arial" w:hAnsi="Arial"/>
                <w:sz w:val="11"/>
                <w:szCs w:val="11"/>
                <w:b w:val="1"/>
                <w:bCs w:val="1"/>
                <w:color w:val="FFFFFF"/>
              </w:rPr>
              <w:t>October 31,</w:t>
            </w:r>
          </w:p>
        </w:tc>
        <w:tc>
          <w:tcPr>
            <w:tcW w:w="1060" w:type="dxa"/>
            <w:vAlign w:val="bottom"/>
            <w:shd w:val="clear" w:color="auto" w:fill="232F84"/>
          </w:tcPr>
          <w:p>
            <w:pPr>
              <w:spacing w:after="0"/>
              <w:rPr>
                <w:sz w:val="15"/>
                <w:szCs w:val="15"/>
                <w:color w:val="auto"/>
              </w:rPr>
            </w:pPr>
          </w:p>
        </w:tc>
      </w:tr>
      <w:tr>
        <w:trPr>
          <w:trHeight w:val="175"/>
        </w:trPr>
        <w:tc>
          <w:tcPr>
            <w:tcW w:w="82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340" w:type="dxa"/>
            <w:vAlign w:val="bottom"/>
            <w:shd w:val="clear" w:color="auto" w:fill="232F84"/>
          </w:tcPr>
          <w:p>
            <w:pPr>
              <w:spacing w:after="0"/>
              <w:rPr>
                <w:sz w:val="15"/>
                <w:szCs w:val="15"/>
                <w:color w:val="auto"/>
              </w:rPr>
            </w:pPr>
          </w:p>
        </w:tc>
        <w:tc>
          <w:tcPr>
            <w:tcW w:w="1180" w:type="dxa"/>
            <w:vAlign w:val="bottom"/>
            <w:shd w:val="clear" w:color="auto" w:fill="232F84"/>
          </w:tcPr>
          <w:p>
            <w:pPr>
              <w:ind w:left="280"/>
              <w:spacing w:after="0"/>
              <w:rPr>
                <w:sz w:val="20"/>
                <w:szCs w:val="20"/>
                <w:color w:val="auto"/>
              </w:rPr>
            </w:pPr>
            <w:r>
              <w:rPr>
                <w:rFonts w:ascii="Arial" w:cs="Arial" w:eastAsia="Arial" w:hAnsi="Arial"/>
                <w:sz w:val="11"/>
                <w:szCs w:val="11"/>
                <w:b w:val="1"/>
                <w:bCs w:val="1"/>
                <w:color w:val="FFFFFF"/>
              </w:rPr>
              <w:t>2021</w:t>
            </w:r>
          </w:p>
        </w:tc>
        <w:tc>
          <w:tcPr>
            <w:tcW w:w="500" w:type="dxa"/>
            <w:vAlign w:val="bottom"/>
            <w:shd w:val="clear" w:color="auto" w:fill="232F84"/>
          </w:tcPr>
          <w:p>
            <w:pPr>
              <w:spacing w:after="0"/>
              <w:rPr>
                <w:sz w:val="15"/>
                <w:szCs w:val="15"/>
                <w:color w:val="auto"/>
              </w:rPr>
            </w:pPr>
          </w:p>
        </w:tc>
        <w:tc>
          <w:tcPr>
            <w:tcW w:w="1060" w:type="dxa"/>
            <w:vAlign w:val="bottom"/>
            <w:shd w:val="clear" w:color="auto" w:fill="232F84"/>
          </w:tcPr>
          <w:p>
            <w:pPr>
              <w:jc w:val="right"/>
              <w:ind w:right="563"/>
              <w:spacing w:after="0"/>
              <w:rPr>
                <w:sz w:val="20"/>
                <w:szCs w:val="20"/>
                <w:color w:val="auto"/>
              </w:rPr>
            </w:pPr>
            <w:r>
              <w:rPr>
                <w:rFonts w:ascii="Arial" w:cs="Arial" w:eastAsia="Arial" w:hAnsi="Arial"/>
                <w:sz w:val="11"/>
                <w:szCs w:val="11"/>
                <w:b w:val="1"/>
                <w:bCs w:val="1"/>
                <w:color w:val="FFFFFF"/>
              </w:rPr>
              <w:t>2020</w:t>
            </w:r>
          </w:p>
        </w:tc>
      </w:tr>
      <w:tr>
        <w:trPr>
          <w:trHeight w:val="170"/>
        </w:trPr>
        <w:tc>
          <w:tcPr>
            <w:tcW w:w="8200" w:type="dxa"/>
            <w:vAlign w:val="bottom"/>
            <w:shd w:val="clear" w:color="auto" w:fill="43C0B9"/>
          </w:tcPr>
          <w:p>
            <w:pPr>
              <w:ind w:left="20"/>
              <w:spacing w:after="0"/>
              <w:rPr>
                <w:sz w:val="20"/>
                <w:szCs w:val="20"/>
                <w:color w:val="auto"/>
              </w:rPr>
            </w:pPr>
            <w:r>
              <w:rPr>
                <w:rFonts w:ascii="Arial" w:cs="Arial" w:eastAsia="Arial" w:hAnsi="Arial"/>
                <w:sz w:val="11"/>
                <w:szCs w:val="11"/>
                <w:color w:val="auto"/>
              </w:rPr>
              <w:t>Finished goods</w:t>
            </w:r>
          </w:p>
        </w:tc>
        <w:tc>
          <w:tcPr>
            <w:tcW w:w="340" w:type="dxa"/>
            <w:vAlign w:val="bottom"/>
            <w:shd w:val="clear" w:color="auto" w:fill="43C0B9"/>
          </w:tcPr>
          <w:p>
            <w:pPr>
              <w:jc w:val="right"/>
              <w:ind w:right="2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43C0B9"/>
          </w:tcPr>
          <w:p>
            <w:pPr>
              <w:ind w:left="880"/>
              <w:spacing w:after="0"/>
              <w:rPr>
                <w:sz w:val="20"/>
                <w:szCs w:val="20"/>
                <w:color w:val="auto"/>
              </w:rPr>
            </w:pPr>
            <w:r>
              <w:rPr>
                <w:rFonts w:ascii="Arial" w:cs="Arial" w:eastAsia="Arial" w:hAnsi="Arial"/>
                <w:sz w:val="11"/>
                <w:szCs w:val="11"/>
                <w:color w:val="auto"/>
              </w:rPr>
              <w:t>22.5</w:t>
            </w:r>
          </w:p>
        </w:tc>
        <w:tc>
          <w:tcPr>
            <w:tcW w:w="500" w:type="dxa"/>
            <w:vAlign w:val="bottom"/>
            <w:shd w:val="clear" w:color="auto" w:fill="43C0B9"/>
          </w:tcPr>
          <w:p>
            <w:pPr>
              <w:jc w:val="right"/>
              <w:ind w:right="303"/>
              <w:spacing w:after="0"/>
              <w:rPr>
                <w:sz w:val="20"/>
                <w:szCs w:val="20"/>
                <w:color w:val="auto"/>
              </w:rPr>
            </w:pPr>
            <w:r>
              <w:rPr>
                <w:rFonts w:ascii="Arial" w:cs="Arial" w:eastAsia="Arial" w:hAnsi="Arial"/>
                <w:sz w:val="11"/>
                <w:szCs w:val="11"/>
                <w:color w:val="auto"/>
              </w:rPr>
              <w:t>$</w:t>
            </w:r>
          </w:p>
        </w:tc>
        <w:tc>
          <w:tcPr>
            <w:tcW w:w="10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16.3</w:t>
            </w:r>
          </w:p>
        </w:tc>
      </w:tr>
      <w:tr>
        <w:trPr>
          <w:trHeight w:val="166"/>
        </w:trPr>
        <w:tc>
          <w:tcPr>
            <w:tcW w:w="8200" w:type="dxa"/>
            <w:vAlign w:val="bottom"/>
          </w:tcPr>
          <w:p>
            <w:pPr>
              <w:ind w:left="20"/>
              <w:spacing w:after="0"/>
              <w:rPr>
                <w:sz w:val="20"/>
                <w:szCs w:val="20"/>
                <w:color w:val="auto"/>
              </w:rPr>
            </w:pPr>
            <w:r>
              <w:rPr>
                <w:rFonts w:ascii="Arial" w:cs="Arial" w:eastAsia="Arial" w:hAnsi="Arial"/>
                <w:sz w:val="11"/>
                <w:szCs w:val="11"/>
                <w:color w:val="auto"/>
              </w:rPr>
              <w:t>Crop growing costs</w:t>
            </w:r>
          </w:p>
        </w:tc>
        <w:tc>
          <w:tcPr>
            <w:tcW w:w="340" w:type="dxa"/>
            <w:vAlign w:val="bottom"/>
          </w:tcPr>
          <w:p>
            <w:pPr>
              <w:spacing w:after="0"/>
              <w:rPr>
                <w:sz w:val="14"/>
                <w:szCs w:val="14"/>
                <w:color w:val="auto"/>
              </w:rPr>
            </w:pPr>
          </w:p>
        </w:tc>
        <w:tc>
          <w:tcPr>
            <w:tcW w:w="1180" w:type="dxa"/>
            <w:vAlign w:val="bottom"/>
          </w:tcPr>
          <w:p>
            <w:pPr>
              <w:ind w:left="880"/>
              <w:spacing w:after="0"/>
              <w:rPr>
                <w:sz w:val="20"/>
                <w:szCs w:val="20"/>
                <w:color w:val="auto"/>
              </w:rPr>
            </w:pPr>
            <w:r>
              <w:rPr>
                <w:rFonts w:ascii="Arial" w:cs="Arial" w:eastAsia="Arial" w:hAnsi="Arial"/>
                <w:sz w:val="11"/>
                <w:szCs w:val="11"/>
                <w:color w:val="auto"/>
              </w:rPr>
              <w:t>11.9</w:t>
            </w:r>
          </w:p>
        </w:tc>
        <w:tc>
          <w:tcPr>
            <w:tcW w:w="5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11.9</w:t>
            </w:r>
          </w:p>
        </w:tc>
      </w:tr>
      <w:tr>
        <w:trPr>
          <w:trHeight w:val="170"/>
        </w:trPr>
        <w:tc>
          <w:tcPr>
            <w:tcW w:w="82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Packaging and supplies</w:t>
            </w:r>
          </w:p>
        </w:tc>
        <w:tc>
          <w:tcPr>
            <w:tcW w:w="340" w:type="dxa"/>
            <w:vAlign w:val="bottom"/>
            <w:tcBorders>
              <w:bottom w:val="single" w:sz="8" w:color="auto"/>
            </w:tcBorders>
            <w:shd w:val="clear" w:color="auto" w:fill="43C0B9"/>
          </w:tcPr>
          <w:p>
            <w:pPr>
              <w:spacing w:after="0"/>
              <w:rPr>
                <w:sz w:val="14"/>
                <w:szCs w:val="14"/>
                <w:color w:val="auto"/>
              </w:rPr>
            </w:pPr>
          </w:p>
        </w:tc>
        <w:tc>
          <w:tcPr>
            <w:tcW w:w="1180" w:type="dxa"/>
            <w:vAlign w:val="bottom"/>
            <w:tcBorders>
              <w:bottom w:val="single" w:sz="8" w:color="auto"/>
            </w:tcBorders>
            <w:shd w:val="clear" w:color="auto" w:fill="43C0B9"/>
          </w:tcPr>
          <w:p>
            <w:pPr>
              <w:ind w:left="880"/>
              <w:spacing w:after="0"/>
              <w:rPr>
                <w:sz w:val="20"/>
                <w:szCs w:val="20"/>
                <w:color w:val="auto"/>
              </w:rPr>
            </w:pPr>
            <w:r>
              <w:rPr>
                <w:rFonts w:ascii="Arial" w:cs="Arial" w:eastAsia="Arial" w:hAnsi="Arial"/>
                <w:sz w:val="11"/>
                <w:szCs w:val="11"/>
                <w:color w:val="auto"/>
              </w:rPr>
              <w:t>13.8</w:t>
            </w:r>
          </w:p>
        </w:tc>
        <w:tc>
          <w:tcPr>
            <w:tcW w:w="500" w:type="dxa"/>
            <w:vAlign w:val="bottom"/>
            <w:tcBorders>
              <w:bottom w:val="single" w:sz="8" w:color="auto"/>
            </w:tcBorders>
            <w:shd w:val="clear" w:color="auto" w:fill="43C0B9"/>
          </w:tcPr>
          <w:p>
            <w:pPr>
              <w:spacing w:after="0"/>
              <w:rPr>
                <w:sz w:val="14"/>
                <w:szCs w:val="14"/>
                <w:color w:val="auto"/>
              </w:rPr>
            </w:pPr>
          </w:p>
        </w:tc>
        <w:tc>
          <w:tcPr>
            <w:tcW w:w="10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10.4</w:t>
            </w:r>
          </w:p>
        </w:tc>
      </w:tr>
      <w:tr>
        <w:trPr>
          <w:trHeight w:val="16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Inventory</w:t>
            </w: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1"/>
                <w:szCs w:val="11"/>
                <w:color w:val="auto"/>
              </w:rPr>
              <w:t>48.2</w:t>
            </w:r>
          </w:p>
        </w:tc>
        <w:tc>
          <w:tcPr>
            <w:tcW w:w="5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Property, plant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shd w:val="clear" w:color="auto" w:fill="232F84"/>
          </w:tcPr>
          <w:p>
            <w:pPr>
              <w:spacing w:after="0"/>
              <w:rPr>
                <w:sz w:val="15"/>
                <w:szCs w:val="15"/>
                <w:color w:val="auto"/>
              </w:rPr>
            </w:pPr>
          </w:p>
        </w:tc>
        <w:tc>
          <w:tcPr>
            <w:tcW w:w="380" w:type="dxa"/>
            <w:vAlign w:val="bottom"/>
            <w:shd w:val="clear" w:color="auto" w:fill="232F84"/>
          </w:tcPr>
          <w:p>
            <w:pPr>
              <w:spacing w:after="0"/>
              <w:rPr>
                <w:sz w:val="15"/>
                <w:szCs w:val="15"/>
                <w:color w:val="auto"/>
              </w:rPr>
            </w:pPr>
          </w:p>
        </w:tc>
        <w:tc>
          <w:tcPr>
            <w:tcW w:w="1720" w:type="dxa"/>
            <w:vAlign w:val="bottom"/>
            <w:gridSpan w:val="2"/>
            <w:shd w:val="clear" w:color="auto" w:fill="232F84"/>
          </w:tcPr>
          <w:p>
            <w:pPr>
              <w:jc w:val="right"/>
              <w:ind w:right="123"/>
              <w:spacing w:after="0"/>
              <w:rPr>
                <w:sz w:val="20"/>
                <w:szCs w:val="20"/>
                <w:color w:val="auto"/>
              </w:rPr>
            </w:pPr>
            <w:r>
              <w:rPr>
                <w:rFonts w:ascii="Arial" w:cs="Arial" w:eastAsia="Arial" w:hAnsi="Arial"/>
                <w:sz w:val="11"/>
                <w:szCs w:val="11"/>
                <w:b w:val="1"/>
                <w:bCs w:val="1"/>
                <w:color w:val="FFFFFF"/>
              </w:rPr>
              <w:t>October 31,</w:t>
            </w:r>
          </w:p>
        </w:tc>
        <w:tc>
          <w:tcPr>
            <w:tcW w:w="1100" w:type="dxa"/>
            <w:vAlign w:val="bottom"/>
            <w:shd w:val="clear" w:color="auto" w:fill="232F84"/>
          </w:tcPr>
          <w:p>
            <w:pPr>
              <w:spacing w:after="0"/>
              <w:rPr>
                <w:sz w:val="15"/>
                <w:szCs w:val="15"/>
                <w:color w:val="auto"/>
              </w:rPr>
            </w:pPr>
          </w:p>
        </w:tc>
      </w:tr>
      <w:tr>
        <w:trPr>
          <w:trHeight w:val="175"/>
        </w:trPr>
        <w:tc>
          <w:tcPr>
            <w:tcW w:w="80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380" w:type="dxa"/>
            <w:vAlign w:val="bottom"/>
            <w:shd w:val="clear" w:color="auto" w:fill="232F84"/>
          </w:tcPr>
          <w:p>
            <w:pPr>
              <w:spacing w:after="0"/>
              <w:rPr>
                <w:sz w:val="15"/>
                <w:szCs w:val="15"/>
                <w:color w:val="auto"/>
              </w:rPr>
            </w:pPr>
          </w:p>
        </w:tc>
        <w:tc>
          <w:tcPr>
            <w:tcW w:w="1220" w:type="dxa"/>
            <w:vAlign w:val="bottom"/>
            <w:shd w:val="clear" w:color="auto" w:fill="232F84"/>
          </w:tcPr>
          <w:p>
            <w:pPr>
              <w:jc w:val="right"/>
              <w:ind w:right="623"/>
              <w:spacing w:after="0"/>
              <w:rPr>
                <w:sz w:val="20"/>
                <w:szCs w:val="20"/>
                <w:color w:val="auto"/>
              </w:rPr>
            </w:pPr>
            <w:r>
              <w:rPr>
                <w:rFonts w:ascii="Arial" w:cs="Arial" w:eastAsia="Arial" w:hAnsi="Arial"/>
                <w:sz w:val="11"/>
                <w:szCs w:val="11"/>
                <w:b w:val="1"/>
                <w:bCs w:val="1"/>
                <w:color w:val="FFFFFF"/>
              </w:rPr>
              <w:t>2021</w:t>
            </w:r>
          </w:p>
        </w:tc>
        <w:tc>
          <w:tcPr>
            <w:tcW w:w="500" w:type="dxa"/>
            <w:vAlign w:val="bottom"/>
            <w:shd w:val="clear" w:color="auto" w:fill="232F84"/>
          </w:tcPr>
          <w:p>
            <w:pPr>
              <w:spacing w:after="0"/>
              <w:rPr>
                <w:sz w:val="15"/>
                <w:szCs w:val="15"/>
                <w:color w:val="auto"/>
              </w:rPr>
            </w:pPr>
          </w:p>
        </w:tc>
        <w:tc>
          <w:tcPr>
            <w:tcW w:w="1100" w:type="dxa"/>
            <w:vAlign w:val="bottom"/>
            <w:shd w:val="clear" w:color="auto" w:fill="232F84"/>
          </w:tcPr>
          <w:p>
            <w:pPr>
              <w:jc w:val="right"/>
              <w:ind w:right="603"/>
              <w:spacing w:after="0"/>
              <w:rPr>
                <w:sz w:val="20"/>
                <w:szCs w:val="20"/>
                <w:color w:val="auto"/>
              </w:rPr>
            </w:pPr>
            <w:r>
              <w:rPr>
                <w:rFonts w:ascii="Arial" w:cs="Arial" w:eastAsia="Arial" w:hAnsi="Arial"/>
                <w:sz w:val="11"/>
                <w:szCs w:val="11"/>
                <w:b w:val="1"/>
                <w:bCs w:val="1"/>
                <w:color w:val="FFFFFF"/>
              </w:rPr>
              <w:t>2020</w:t>
            </w:r>
          </w:p>
        </w:tc>
      </w:tr>
      <w:tr>
        <w:trPr>
          <w:trHeight w:val="170"/>
        </w:trPr>
        <w:tc>
          <w:tcPr>
            <w:tcW w:w="8060" w:type="dxa"/>
            <w:vAlign w:val="bottom"/>
            <w:shd w:val="clear" w:color="auto" w:fill="43C0B9"/>
          </w:tcPr>
          <w:p>
            <w:pPr>
              <w:ind w:left="20"/>
              <w:spacing w:after="0"/>
              <w:rPr>
                <w:sz w:val="20"/>
                <w:szCs w:val="20"/>
                <w:color w:val="auto"/>
              </w:rPr>
            </w:pPr>
            <w:r>
              <w:rPr>
                <w:rFonts w:ascii="Arial" w:cs="Arial" w:eastAsia="Arial" w:hAnsi="Arial"/>
                <w:sz w:val="11"/>
                <w:szCs w:val="11"/>
                <w:color w:val="auto"/>
              </w:rPr>
              <w:t>Land</w:t>
            </w:r>
          </w:p>
        </w:tc>
        <w:tc>
          <w:tcPr>
            <w:tcW w:w="380" w:type="dxa"/>
            <w:vAlign w:val="bottom"/>
            <w:shd w:val="clear" w:color="auto" w:fill="43C0B9"/>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128.8</w:t>
            </w:r>
          </w:p>
        </w:tc>
        <w:tc>
          <w:tcPr>
            <w:tcW w:w="500" w:type="dxa"/>
            <w:vAlign w:val="bottom"/>
            <w:shd w:val="clear" w:color="auto" w:fill="43C0B9"/>
          </w:tcPr>
          <w:p>
            <w:pPr>
              <w:jc w:val="right"/>
              <w:ind w:right="323"/>
              <w:spacing w:after="0"/>
              <w:rPr>
                <w:sz w:val="20"/>
                <w:szCs w:val="20"/>
                <w:color w:val="auto"/>
              </w:rPr>
            </w:pPr>
            <w:r>
              <w:rPr>
                <w:rFonts w:ascii="Arial" w:cs="Arial" w:eastAsia="Arial" w:hAnsi="Arial"/>
                <w:sz w:val="11"/>
                <w:szCs w:val="11"/>
                <w:color w:val="auto"/>
              </w:rPr>
              <w:t>$</w:t>
            </w:r>
          </w:p>
        </w:tc>
        <w:tc>
          <w:tcPr>
            <w:tcW w:w="11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131.0</w:t>
            </w:r>
          </w:p>
        </w:tc>
      </w:tr>
      <w:tr>
        <w:trPr>
          <w:trHeight w:val="166"/>
        </w:trPr>
        <w:tc>
          <w:tcPr>
            <w:tcW w:w="8060" w:type="dxa"/>
            <w:vAlign w:val="bottom"/>
          </w:tcPr>
          <w:p>
            <w:pPr>
              <w:ind w:left="20"/>
              <w:spacing w:after="0"/>
              <w:rPr>
                <w:sz w:val="20"/>
                <w:szCs w:val="20"/>
                <w:color w:val="auto"/>
              </w:rPr>
            </w:pPr>
            <w:r>
              <w:rPr>
                <w:rFonts w:ascii="Arial" w:cs="Arial" w:eastAsia="Arial" w:hAnsi="Arial"/>
                <w:sz w:val="11"/>
                <w:szCs w:val="11"/>
                <w:color w:val="auto"/>
              </w:rPr>
              <w:t>Orchard costs</w:t>
            </w:r>
          </w:p>
        </w:tc>
        <w:tc>
          <w:tcPr>
            <w:tcW w:w="38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62.6</w:t>
            </w:r>
          </w:p>
        </w:tc>
        <w:tc>
          <w:tcPr>
            <w:tcW w:w="50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50.2</w:t>
            </w:r>
          </w:p>
        </w:tc>
      </w:tr>
      <w:tr>
        <w:trPr>
          <w:trHeight w:val="174"/>
        </w:trPr>
        <w:tc>
          <w:tcPr>
            <w:tcW w:w="8060" w:type="dxa"/>
            <w:vAlign w:val="bottom"/>
            <w:shd w:val="clear" w:color="auto" w:fill="43C0B9"/>
          </w:tcPr>
          <w:p>
            <w:pPr>
              <w:ind w:left="20"/>
              <w:spacing w:after="0"/>
              <w:rPr>
                <w:sz w:val="20"/>
                <w:szCs w:val="20"/>
                <w:color w:val="auto"/>
              </w:rPr>
            </w:pPr>
            <w:r>
              <w:rPr>
                <w:rFonts w:ascii="Arial" w:cs="Arial" w:eastAsia="Arial" w:hAnsi="Arial"/>
                <w:sz w:val="11"/>
                <w:szCs w:val="11"/>
                <w:color w:val="auto"/>
              </w:rPr>
              <w:t>Buildings and improvements</w:t>
            </w:r>
          </w:p>
        </w:tc>
        <w:tc>
          <w:tcPr>
            <w:tcW w:w="380" w:type="dxa"/>
            <w:vAlign w:val="bottom"/>
            <w:shd w:val="clear" w:color="auto" w:fill="43C0B9"/>
          </w:tcPr>
          <w:p>
            <w:pPr>
              <w:spacing w:after="0"/>
              <w:rPr>
                <w:sz w:val="15"/>
                <w:szCs w:val="15"/>
                <w:color w:val="auto"/>
              </w:rPr>
            </w:pPr>
          </w:p>
        </w:tc>
        <w:tc>
          <w:tcPr>
            <w:tcW w:w="12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110.9</w:t>
            </w:r>
          </w:p>
        </w:tc>
        <w:tc>
          <w:tcPr>
            <w:tcW w:w="50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73.3</w:t>
            </w:r>
          </w:p>
        </w:tc>
      </w:tr>
      <w:tr>
        <w:trPr>
          <w:trHeight w:val="166"/>
        </w:trPr>
        <w:tc>
          <w:tcPr>
            <w:tcW w:w="8060" w:type="dxa"/>
            <w:vAlign w:val="bottom"/>
          </w:tcPr>
          <w:p>
            <w:pPr>
              <w:ind w:left="20"/>
              <w:spacing w:after="0"/>
              <w:rPr>
                <w:sz w:val="20"/>
                <w:szCs w:val="20"/>
                <w:color w:val="auto"/>
              </w:rPr>
            </w:pPr>
            <w:r>
              <w:rPr>
                <w:rFonts w:ascii="Arial" w:cs="Arial" w:eastAsia="Arial" w:hAnsi="Arial"/>
                <w:sz w:val="11"/>
                <w:szCs w:val="11"/>
                <w:color w:val="auto"/>
              </w:rPr>
              <w:t>Plant and office equipment</w:t>
            </w:r>
          </w:p>
        </w:tc>
        <w:tc>
          <w:tcPr>
            <w:tcW w:w="380" w:type="dxa"/>
            <w:vAlign w:val="bottom"/>
          </w:tcPr>
          <w:p>
            <w:pPr>
              <w:spacing w:after="0"/>
              <w:rPr>
                <w:sz w:val="14"/>
                <w:szCs w:val="14"/>
                <w:color w:val="auto"/>
              </w:rPr>
            </w:pP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177.2</w:t>
            </w:r>
          </w:p>
        </w:tc>
        <w:tc>
          <w:tcPr>
            <w:tcW w:w="50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150.7</w:t>
            </w:r>
          </w:p>
        </w:tc>
      </w:tr>
      <w:tr>
        <w:trPr>
          <w:trHeight w:val="170"/>
        </w:trPr>
        <w:tc>
          <w:tcPr>
            <w:tcW w:w="80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Construction-in-progress</w:t>
            </w:r>
          </w:p>
        </w:tc>
        <w:tc>
          <w:tcPr>
            <w:tcW w:w="380" w:type="dxa"/>
            <w:vAlign w:val="bottom"/>
            <w:tcBorders>
              <w:bottom w:val="single" w:sz="8" w:color="auto"/>
            </w:tcBorders>
            <w:shd w:val="clear" w:color="auto" w:fill="43C0B9"/>
          </w:tcPr>
          <w:p>
            <w:pPr>
              <w:spacing w:after="0"/>
              <w:rPr>
                <w:sz w:val="14"/>
                <w:szCs w:val="14"/>
                <w:color w:val="auto"/>
              </w:rPr>
            </w:pPr>
          </w:p>
        </w:tc>
        <w:tc>
          <w:tcPr>
            <w:tcW w:w="12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43.2</w:t>
            </w:r>
          </w:p>
        </w:tc>
        <w:tc>
          <w:tcPr>
            <w:tcW w:w="50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55.0</w:t>
            </w:r>
          </w:p>
        </w:tc>
      </w:tr>
      <w:tr>
        <w:trPr>
          <w:trHeight w:val="160"/>
        </w:trPr>
        <w:tc>
          <w:tcPr>
            <w:tcW w:w="8060" w:type="dxa"/>
            <w:vAlign w:val="bottom"/>
          </w:tcPr>
          <w:p>
            <w:pPr>
              <w:ind w:left="20"/>
              <w:spacing w:after="0"/>
              <w:rPr>
                <w:sz w:val="20"/>
                <w:szCs w:val="20"/>
                <w:color w:val="auto"/>
              </w:rPr>
            </w:pPr>
            <w:r>
              <w:rPr>
                <w:rFonts w:ascii="Arial" w:cs="Arial" w:eastAsia="Arial" w:hAnsi="Arial"/>
                <w:sz w:val="11"/>
                <w:szCs w:val="11"/>
                <w:color w:val="auto"/>
              </w:rPr>
              <w:t>Property, plant and equipment</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23"/>
              <w:spacing w:after="0"/>
              <w:rPr>
                <w:sz w:val="20"/>
                <w:szCs w:val="20"/>
                <w:color w:val="auto"/>
              </w:rPr>
            </w:pPr>
            <w:r>
              <w:rPr>
                <w:rFonts w:ascii="Arial" w:cs="Arial" w:eastAsia="Arial" w:hAnsi="Arial"/>
                <w:sz w:val="11"/>
                <w:szCs w:val="11"/>
                <w:color w:val="auto"/>
              </w:rPr>
              <w:t>522.8</w:t>
            </w:r>
          </w:p>
        </w:tc>
        <w:tc>
          <w:tcPr>
            <w:tcW w:w="500" w:type="dxa"/>
            <w:vAlign w:val="bottom"/>
          </w:tcPr>
          <w:p>
            <w:pPr>
              <w:jc w:val="right"/>
              <w:ind w:right="32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460.2</w:t>
            </w:r>
          </w:p>
        </w:tc>
      </w:tr>
      <w:tr>
        <w:trPr>
          <w:trHeight w:val="170"/>
        </w:trPr>
        <w:tc>
          <w:tcPr>
            <w:tcW w:w="80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Accumulated depreciation</w:t>
            </w:r>
          </w:p>
        </w:tc>
        <w:tc>
          <w:tcPr>
            <w:tcW w:w="380" w:type="dxa"/>
            <w:vAlign w:val="bottom"/>
            <w:tcBorders>
              <w:bottom w:val="single" w:sz="8" w:color="auto"/>
            </w:tcBorders>
            <w:shd w:val="clear" w:color="auto" w:fill="43C0B9"/>
          </w:tcPr>
          <w:p>
            <w:pPr>
              <w:spacing w:after="0"/>
              <w:rPr>
                <w:sz w:val="14"/>
                <w:szCs w:val="14"/>
                <w:color w:val="auto"/>
              </w:rPr>
            </w:pPr>
          </w:p>
        </w:tc>
        <w:tc>
          <w:tcPr>
            <w:tcW w:w="122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(98.6)</w:t>
            </w:r>
          </w:p>
        </w:tc>
        <w:tc>
          <w:tcPr>
            <w:tcW w:w="50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(81.1)</w:t>
            </w:r>
          </w:p>
        </w:tc>
      </w:tr>
      <w:tr>
        <w:trPr>
          <w:trHeight w:val="16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Property, plant and equipment, net</w:t>
            </w: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424.2</w:t>
            </w:r>
          </w:p>
        </w:tc>
        <w:tc>
          <w:tcPr>
            <w:tcW w:w="5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379.1</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Depreciation expense was $20.4 million, $18.1 million, and $16.5 million for the years ended October 31, 2021, 2020 and 2019.</w:t>
      </w:r>
    </w:p>
    <w:p>
      <w:pPr>
        <w:spacing w:after="0" w:line="158" w:lineRule="exact"/>
        <w:rPr>
          <w:sz w:val="20"/>
          <w:szCs w:val="20"/>
          <w:color w:val="auto"/>
        </w:rPr>
      </w:pPr>
    </w:p>
    <w:p>
      <w:pPr>
        <w:ind w:right="260" w:firstLine="509"/>
        <w:spacing w:after="0" w:line="244" w:lineRule="auto"/>
        <w:rPr>
          <w:sz w:val="20"/>
          <w:szCs w:val="20"/>
          <w:color w:val="auto"/>
        </w:rPr>
      </w:pPr>
      <w:r>
        <w:rPr>
          <w:rFonts w:ascii="Arial" w:cs="Arial" w:eastAsia="Arial" w:hAnsi="Arial"/>
          <w:sz w:val="13"/>
          <w:szCs w:val="13"/>
          <w:color w:val="auto"/>
        </w:rPr>
        <w:t>As of October 31, 2021 and 2020, respectively, $2.7 million and $2.1 million of property, plant and equipment, net was held for sale and classified in prepaid and other current assets in the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Accrued expenses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760" w:type="dxa"/>
            <w:vAlign w:val="bottom"/>
            <w:gridSpan w:val="2"/>
            <w:shd w:val="clear" w:color="auto" w:fill="232F84"/>
          </w:tcPr>
          <w:p>
            <w:pPr>
              <w:jc w:val="right"/>
              <w:ind w:right="463"/>
              <w:spacing w:after="0"/>
              <w:rPr>
                <w:sz w:val="20"/>
                <w:szCs w:val="20"/>
                <w:color w:val="auto"/>
              </w:rPr>
            </w:pPr>
            <w:r>
              <w:rPr>
                <w:rFonts w:ascii="Arial" w:cs="Arial" w:eastAsia="Arial" w:hAnsi="Arial"/>
                <w:sz w:val="11"/>
                <w:szCs w:val="11"/>
                <w:b w:val="1"/>
                <w:bCs w:val="1"/>
                <w:color w:val="FFFFFF"/>
              </w:rPr>
              <w:t>October 31,</w:t>
            </w:r>
          </w:p>
        </w:tc>
        <w:tc>
          <w:tcPr>
            <w:tcW w:w="780" w:type="dxa"/>
            <w:vAlign w:val="bottom"/>
            <w:shd w:val="clear" w:color="auto" w:fill="232F84"/>
          </w:tcPr>
          <w:p>
            <w:pPr>
              <w:spacing w:after="0"/>
              <w:rPr>
                <w:sz w:val="15"/>
                <w:szCs w:val="15"/>
                <w:color w:val="auto"/>
              </w:rPr>
            </w:pPr>
          </w:p>
        </w:tc>
      </w:tr>
      <w:tr>
        <w:trPr>
          <w:trHeight w:val="175"/>
        </w:trPr>
        <w:tc>
          <w:tcPr>
            <w:tcW w:w="80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700" w:type="dxa"/>
            <w:vAlign w:val="bottom"/>
            <w:shd w:val="clear" w:color="auto" w:fill="232F84"/>
          </w:tcPr>
          <w:p>
            <w:pPr>
              <w:spacing w:after="0"/>
              <w:rPr>
                <w:sz w:val="15"/>
                <w:szCs w:val="15"/>
                <w:color w:val="auto"/>
              </w:rPr>
            </w:pPr>
          </w:p>
        </w:tc>
        <w:tc>
          <w:tcPr>
            <w:tcW w:w="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40" w:type="dxa"/>
            <w:vAlign w:val="bottom"/>
            <w:shd w:val="clear" w:color="auto" w:fill="232F84"/>
          </w:tcPr>
          <w:p>
            <w:pPr>
              <w:spacing w:after="0"/>
              <w:rPr>
                <w:sz w:val="15"/>
                <w:szCs w:val="15"/>
                <w:color w:val="auto"/>
              </w:rPr>
            </w:pPr>
          </w:p>
        </w:tc>
        <w:tc>
          <w:tcPr>
            <w:tcW w:w="7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r>
      <w:tr>
        <w:trPr>
          <w:trHeight w:val="170"/>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Employee-related</w:t>
            </w:r>
          </w:p>
        </w:tc>
        <w:tc>
          <w:tcPr>
            <w:tcW w:w="700" w:type="dxa"/>
            <w:vAlign w:val="bottom"/>
            <w:shd w:val="clear" w:color="auto" w:fill="43C0B9"/>
          </w:tcPr>
          <w:p>
            <w:pPr>
              <w:jc w:val="right"/>
              <w:ind w:right="56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14.6</w:t>
            </w:r>
          </w:p>
        </w:tc>
        <w:tc>
          <w:tcPr>
            <w:tcW w:w="840" w:type="dxa"/>
            <w:vAlign w:val="bottom"/>
            <w:shd w:val="clear" w:color="auto" w:fill="43C0B9"/>
          </w:tcPr>
          <w:p>
            <w:pPr>
              <w:jc w:val="right"/>
              <w:ind w:right="663"/>
              <w:spacing w:after="0"/>
              <w:rPr>
                <w:sz w:val="20"/>
                <w:szCs w:val="20"/>
                <w:color w:val="auto"/>
              </w:rPr>
            </w:pPr>
            <w:r>
              <w:rPr>
                <w:rFonts w:ascii="Arial" w:cs="Arial" w:eastAsia="Arial" w:hAnsi="Arial"/>
                <w:sz w:val="11"/>
                <w:szCs w:val="11"/>
                <w:color w:val="auto"/>
              </w:rPr>
              <w:t>$</w:t>
            </w: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15.3</w:t>
            </w:r>
          </w:p>
        </w:tc>
      </w:tr>
      <w:tr>
        <w:trPr>
          <w:trHeight w:val="166"/>
        </w:trPr>
        <w:tc>
          <w:tcPr>
            <w:tcW w:w="8020" w:type="dxa"/>
            <w:vAlign w:val="bottom"/>
          </w:tcPr>
          <w:p>
            <w:pPr>
              <w:ind w:left="20"/>
              <w:spacing w:after="0"/>
              <w:rPr>
                <w:sz w:val="20"/>
                <w:szCs w:val="20"/>
                <w:color w:val="auto"/>
              </w:rPr>
            </w:pPr>
            <w:r>
              <w:rPr>
                <w:rFonts w:ascii="Arial" w:cs="Arial" w:eastAsia="Arial" w:hAnsi="Arial"/>
                <w:sz w:val="11"/>
                <w:szCs w:val="11"/>
                <w:color w:val="auto"/>
              </w:rPr>
              <w:t>Freight</w:t>
            </w:r>
          </w:p>
        </w:tc>
        <w:tc>
          <w:tcPr>
            <w:tcW w:w="7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3.9</w:t>
            </w:r>
          </w:p>
        </w:tc>
        <w:tc>
          <w:tcPr>
            <w:tcW w:w="8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4.4</w:t>
            </w:r>
          </w:p>
        </w:tc>
      </w:tr>
      <w:tr>
        <w:trPr>
          <w:trHeight w:val="174"/>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Construction-in-progress</w:t>
            </w: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0.2</w:t>
            </w:r>
          </w:p>
        </w:tc>
        <w:tc>
          <w:tcPr>
            <w:tcW w:w="840" w:type="dxa"/>
            <w:vAlign w:val="bottom"/>
            <w:shd w:val="clear" w:color="auto" w:fill="43C0B9"/>
          </w:tcPr>
          <w:p>
            <w:pPr>
              <w:spacing w:after="0"/>
              <w:rPr>
                <w:sz w:val="15"/>
                <w:szCs w:val="15"/>
                <w:color w:val="auto"/>
              </w:rPr>
            </w:pP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1.8</w:t>
            </w:r>
          </w:p>
        </w:tc>
      </w:tr>
      <w:tr>
        <w:trPr>
          <w:trHeight w:val="166"/>
        </w:trPr>
        <w:tc>
          <w:tcPr>
            <w:tcW w:w="8020" w:type="dxa"/>
            <w:vAlign w:val="bottom"/>
          </w:tcPr>
          <w:p>
            <w:pPr>
              <w:ind w:left="20"/>
              <w:spacing w:after="0"/>
              <w:rPr>
                <w:sz w:val="20"/>
                <w:szCs w:val="20"/>
                <w:color w:val="auto"/>
              </w:rPr>
            </w:pPr>
            <w:r>
              <w:rPr>
                <w:rFonts w:ascii="Arial" w:cs="Arial" w:eastAsia="Arial" w:hAnsi="Arial"/>
                <w:sz w:val="11"/>
                <w:szCs w:val="11"/>
                <w:color w:val="auto"/>
              </w:rPr>
              <w:t>Interest rate swaps</w:t>
            </w:r>
          </w:p>
        </w:tc>
        <w:tc>
          <w:tcPr>
            <w:tcW w:w="7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2.1</w:t>
            </w:r>
          </w:p>
        </w:tc>
        <w:tc>
          <w:tcPr>
            <w:tcW w:w="8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2.2</w:t>
            </w:r>
          </w:p>
        </w:tc>
      </w:tr>
      <w:tr>
        <w:trPr>
          <w:trHeight w:val="174"/>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Outside fruit purchase</w:t>
            </w: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w:t>
            </w:r>
          </w:p>
        </w:tc>
        <w:tc>
          <w:tcPr>
            <w:tcW w:w="840" w:type="dxa"/>
            <w:vAlign w:val="bottom"/>
            <w:shd w:val="clear" w:color="auto" w:fill="43C0B9"/>
          </w:tcPr>
          <w:p>
            <w:pPr>
              <w:spacing w:after="0"/>
              <w:rPr>
                <w:sz w:val="15"/>
                <w:szCs w:val="15"/>
                <w:color w:val="auto"/>
              </w:rPr>
            </w:pP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0.8</w:t>
            </w:r>
          </w:p>
        </w:tc>
      </w:tr>
      <w:tr>
        <w:trPr>
          <w:trHeight w:val="166"/>
        </w:trPr>
        <w:tc>
          <w:tcPr>
            <w:tcW w:w="8020" w:type="dxa"/>
            <w:vAlign w:val="bottom"/>
          </w:tcPr>
          <w:p>
            <w:pPr>
              <w:ind w:left="20"/>
              <w:spacing w:after="0"/>
              <w:rPr>
                <w:sz w:val="20"/>
                <w:szCs w:val="20"/>
                <w:color w:val="auto"/>
              </w:rPr>
            </w:pPr>
            <w:r>
              <w:rPr>
                <w:rFonts w:ascii="Arial" w:cs="Arial" w:eastAsia="Arial" w:hAnsi="Arial"/>
                <w:sz w:val="11"/>
                <w:szCs w:val="11"/>
                <w:color w:val="auto"/>
              </w:rPr>
              <w:t>VAT and local taxes payable</w:t>
            </w:r>
          </w:p>
        </w:tc>
        <w:tc>
          <w:tcPr>
            <w:tcW w:w="7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1.0</w:t>
            </w:r>
          </w:p>
        </w:tc>
        <w:tc>
          <w:tcPr>
            <w:tcW w:w="8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0.9</w:t>
            </w:r>
          </w:p>
        </w:tc>
      </w:tr>
      <w:tr>
        <w:trPr>
          <w:trHeight w:val="174"/>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Legal settlement</w:t>
            </w: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0.8</w:t>
            </w:r>
          </w:p>
        </w:tc>
        <w:tc>
          <w:tcPr>
            <w:tcW w:w="840" w:type="dxa"/>
            <w:vAlign w:val="bottom"/>
            <w:shd w:val="clear" w:color="auto" w:fill="43C0B9"/>
          </w:tcPr>
          <w:p>
            <w:pPr>
              <w:spacing w:after="0"/>
              <w:rPr>
                <w:sz w:val="15"/>
                <w:szCs w:val="15"/>
                <w:color w:val="auto"/>
              </w:rPr>
            </w:pP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r>
      <w:tr>
        <w:trPr>
          <w:trHeight w:val="166"/>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4.0</w:t>
            </w:r>
          </w:p>
        </w:tc>
        <w:tc>
          <w:tcPr>
            <w:tcW w:w="8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w:t>
            </w:r>
          </w:p>
        </w:tc>
      </w:tr>
      <w:tr>
        <w:trPr>
          <w:trHeight w:val="160"/>
        </w:trPr>
        <w:tc>
          <w:tcPr>
            <w:tcW w:w="80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Accrued expenses</w:t>
            </w:r>
          </w:p>
        </w:tc>
        <w:tc>
          <w:tcPr>
            <w:tcW w:w="700" w:type="dxa"/>
            <w:vAlign w:val="bottom"/>
            <w:tcBorders>
              <w:bottom w:val="single" w:sz="8" w:color="auto"/>
            </w:tcBorders>
            <w:shd w:val="clear" w:color="auto" w:fill="43C0B9"/>
          </w:tcPr>
          <w:p>
            <w:pPr>
              <w:jc w:val="right"/>
              <w:ind w:right="5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28.8</w:t>
            </w:r>
          </w:p>
        </w:tc>
        <w:tc>
          <w:tcPr>
            <w:tcW w:w="840" w:type="dxa"/>
            <w:vAlign w:val="bottom"/>
            <w:tcBorders>
              <w:bottom w:val="single" w:sz="8" w:color="auto"/>
            </w:tcBorders>
            <w:shd w:val="clear" w:color="auto" w:fill="43C0B9"/>
          </w:tcPr>
          <w:p>
            <w:pPr>
              <w:jc w:val="right"/>
              <w:ind w:right="66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28.3</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Other long-term liabilities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760" w:type="dxa"/>
            <w:vAlign w:val="bottom"/>
            <w:gridSpan w:val="2"/>
            <w:shd w:val="clear" w:color="auto" w:fill="232F84"/>
          </w:tcPr>
          <w:p>
            <w:pPr>
              <w:jc w:val="right"/>
              <w:ind w:right="463"/>
              <w:spacing w:after="0"/>
              <w:rPr>
                <w:sz w:val="20"/>
                <w:szCs w:val="20"/>
                <w:color w:val="auto"/>
              </w:rPr>
            </w:pPr>
            <w:r>
              <w:rPr>
                <w:rFonts w:ascii="Arial" w:cs="Arial" w:eastAsia="Arial" w:hAnsi="Arial"/>
                <w:sz w:val="11"/>
                <w:szCs w:val="11"/>
                <w:b w:val="1"/>
                <w:bCs w:val="1"/>
                <w:color w:val="FFFFFF"/>
              </w:rPr>
              <w:t>October 31,</w:t>
            </w:r>
          </w:p>
        </w:tc>
        <w:tc>
          <w:tcPr>
            <w:tcW w:w="780" w:type="dxa"/>
            <w:vAlign w:val="bottom"/>
            <w:shd w:val="clear" w:color="auto" w:fill="232F84"/>
          </w:tcPr>
          <w:p>
            <w:pPr>
              <w:spacing w:after="0"/>
              <w:rPr>
                <w:sz w:val="15"/>
                <w:szCs w:val="15"/>
                <w:color w:val="auto"/>
              </w:rPr>
            </w:pPr>
          </w:p>
        </w:tc>
      </w:tr>
      <w:tr>
        <w:trPr>
          <w:trHeight w:val="175"/>
        </w:trPr>
        <w:tc>
          <w:tcPr>
            <w:tcW w:w="80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700" w:type="dxa"/>
            <w:vAlign w:val="bottom"/>
            <w:shd w:val="clear" w:color="auto" w:fill="232F84"/>
          </w:tcPr>
          <w:p>
            <w:pPr>
              <w:spacing w:after="0"/>
              <w:rPr>
                <w:sz w:val="15"/>
                <w:szCs w:val="15"/>
                <w:color w:val="auto"/>
              </w:rPr>
            </w:pPr>
          </w:p>
        </w:tc>
        <w:tc>
          <w:tcPr>
            <w:tcW w:w="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40" w:type="dxa"/>
            <w:vAlign w:val="bottom"/>
            <w:shd w:val="clear" w:color="auto" w:fill="232F84"/>
          </w:tcPr>
          <w:p>
            <w:pPr>
              <w:spacing w:after="0"/>
              <w:rPr>
                <w:sz w:val="15"/>
                <w:szCs w:val="15"/>
                <w:color w:val="auto"/>
              </w:rPr>
            </w:pPr>
          </w:p>
        </w:tc>
        <w:tc>
          <w:tcPr>
            <w:tcW w:w="7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r>
      <w:tr>
        <w:trPr>
          <w:trHeight w:val="170"/>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Uncertain tax positions</w:t>
            </w:r>
          </w:p>
        </w:tc>
        <w:tc>
          <w:tcPr>
            <w:tcW w:w="700" w:type="dxa"/>
            <w:vAlign w:val="bottom"/>
            <w:shd w:val="clear" w:color="auto" w:fill="43C0B9"/>
          </w:tcPr>
          <w:p>
            <w:pPr>
              <w:spacing w:after="0"/>
              <w:rPr>
                <w:sz w:val="14"/>
                <w:szCs w:val="14"/>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15.7</w:t>
            </w:r>
          </w:p>
        </w:tc>
        <w:tc>
          <w:tcPr>
            <w:tcW w:w="840" w:type="dxa"/>
            <w:vAlign w:val="bottom"/>
            <w:shd w:val="clear" w:color="auto" w:fill="43C0B9"/>
          </w:tcPr>
          <w:p>
            <w:pPr>
              <w:spacing w:after="0"/>
              <w:rPr>
                <w:sz w:val="14"/>
                <w:szCs w:val="14"/>
                <w:color w:val="auto"/>
              </w:rPr>
            </w:pP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13.9</w:t>
            </w:r>
          </w:p>
        </w:tc>
      </w:tr>
      <w:tr>
        <w:trPr>
          <w:trHeight w:val="166"/>
        </w:trPr>
        <w:tc>
          <w:tcPr>
            <w:tcW w:w="8020" w:type="dxa"/>
            <w:vAlign w:val="bottom"/>
          </w:tcPr>
          <w:p>
            <w:pPr>
              <w:ind w:left="20"/>
              <w:spacing w:after="0"/>
              <w:rPr>
                <w:sz w:val="20"/>
                <w:szCs w:val="20"/>
                <w:color w:val="auto"/>
              </w:rPr>
            </w:pPr>
            <w:r>
              <w:rPr>
                <w:rFonts w:ascii="Arial" w:cs="Arial" w:eastAsia="Arial" w:hAnsi="Arial"/>
                <w:sz w:val="11"/>
                <w:szCs w:val="11"/>
                <w:color w:val="auto"/>
              </w:rPr>
              <w:t>Interest rate swaps</w:t>
            </w:r>
          </w:p>
        </w:tc>
        <w:tc>
          <w:tcPr>
            <w:tcW w:w="7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1.4</w:t>
            </w:r>
          </w:p>
        </w:tc>
        <w:tc>
          <w:tcPr>
            <w:tcW w:w="8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4.3</w:t>
            </w:r>
          </w:p>
        </w:tc>
      </w:tr>
      <w:tr>
        <w:trPr>
          <w:trHeight w:val="174"/>
        </w:trPr>
        <w:tc>
          <w:tcPr>
            <w:tcW w:w="8020" w:type="dxa"/>
            <w:vAlign w:val="bottom"/>
            <w:shd w:val="clear" w:color="auto" w:fill="43C0B9"/>
          </w:tcPr>
          <w:p>
            <w:pPr>
              <w:ind w:left="20"/>
              <w:spacing w:after="0"/>
              <w:rPr>
                <w:sz w:val="20"/>
                <w:szCs w:val="20"/>
                <w:color w:val="auto"/>
              </w:rPr>
            </w:pPr>
            <w:r>
              <w:rPr>
                <w:rFonts w:ascii="Arial" w:cs="Arial" w:eastAsia="Arial" w:hAnsi="Arial"/>
                <w:sz w:val="11"/>
                <w:szCs w:val="11"/>
                <w:color w:val="auto"/>
              </w:rPr>
              <w:t>Employee-related</w:t>
            </w:r>
          </w:p>
        </w:tc>
        <w:tc>
          <w:tcPr>
            <w:tcW w:w="70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w:t>
            </w:r>
          </w:p>
        </w:tc>
        <w:tc>
          <w:tcPr>
            <w:tcW w:w="840" w:type="dxa"/>
            <w:vAlign w:val="bottom"/>
            <w:shd w:val="clear" w:color="auto" w:fill="43C0B9"/>
          </w:tcPr>
          <w:p>
            <w:pPr>
              <w:spacing w:after="0"/>
              <w:rPr>
                <w:sz w:val="15"/>
                <w:szCs w:val="15"/>
                <w:color w:val="auto"/>
              </w:rPr>
            </w:pP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1.8</w:t>
            </w:r>
          </w:p>
        </w:tc>
      </w:tr>
      <w:tr>
        <w:trPr>
          <w:trHeight w:val="166"/>
        </w:trPr>
        <w:tc>
          <w:tcPr>
            <w:tcW w:w="8020" w:type="dxa"/>
            <w:vAlign w:val="bottom"/>
          </w:tcPr>
          <w:p>
            <w:pPr>
              <w:ind w:left="20"/>
              <w:spacing w:after="0"/>
              <w:rPr>
                <w:sz w:val="20"/>
                <w:szCs w:val="20"/>
                <w:color w:val="auto"/>
              </w:rPr>
            </w:pPr>
            <w:r>
              <w:rPr>
                <w:rFonts w:ascii="Arial" w:cs="Arial" w:eastAsia="Arial" w:hAnsi="Arial"/>
                <w:sz w:val="11"/>
                <w:szCs w:val="11"/>
                <w:color w:val="auto"/>
              </w:rPr>
              <w:t>Deferred rent</w:t>
            </w:r>
          </w:p>
        </w:tc>
        <w:tc>
          <w:tcPr>
            <w:tcW w:w="70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1.4</w:t>
            </w:r>
          </w:p>
        </w:tc>
      </w:tr>
      <w:tr>
        <w:trPr>
          <w:trHeight w:val="170"/>
        </w:trPr>
        <w:tc>
          <w:tcPr>
            <w:tcW w:w="80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w:t>
            </w:r>
          </w:p>
        </w:tc>
        <w:tc>
          <w:tcPr>
            <w:tcW w:w="70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1.3</w:t>
            </w:r>
          </w:p>
        </w:tc>
        <w:tc>
          <w:tcPr>
            <w:tcW w:w="840" w:type="dxa"/>
            <w:vAlign w:val="bottom"/>
            <w:tcBorders>
              <w:bottom w:val="single" w:sz="8" w:color="auto"/>
            </w:tcBorders>
            <w:shd w:val="clear" w:color="auto" w:fill="43C0B9"/>
          </w:tcPr>
          <w:p>
            <w:pPr>
              <w:spacing w:after="0"/>
              <w:rPr>
                <w:sz w:val="14"/>
                <w:szCs w:val="14"/>
                <w:color w:val="auto"/>
              </w:rPr>
            </w:pPr>
          </w:p>
        </w:tc>
        <w:tc>
          <w:tcPr>
            <w:tcW w:w="7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2.9</w:t>
            </w:r>
          </w:p>
        </w:tc>
      </w:tr>
      <w:tr>
        <w:trPr>
          <w:trHeight w:val="16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long-term liabilities</w:t>
            </w:r>
          </w:p>
        </w:tc>
        <w:tc>
          <w:tcPr>
            <w:tcW w:w="7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20.0</w:t>
            </w:r>
          </w:p>
        </w:tc>
        <w:tc>
          <w:tcPr>
            <w:tcW w:w="84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24.3</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Other income (expense),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40" w:type="dxa"/>
            <w:vAlign w:val="bottom"/>
            <w:shd w:val="clear" w:color="auto" w:fill="232F84"/>
          </w:tcPr>
          <w:p>
            <w:pPr>
              <w:jc w:val="right"/>
              <w:ind w:right="163"/>
              <w:spacing w:after="0"/>
              <w:rPr>
                <w:sz w:val="20"/>
                <w:szCs w:val="20"/>
                <w:color w:val="auto"/>
              </w:rPr>
            </w:pPr>
            <w:r>
              <w:rPr>
                <w:rFonts w:ascii="Arial" w:cs="Arial" w:eastAsia="Arial" w:hAnsi="Arial"/>
                <w:sz w:val="11"/>
                <w:szCs w:val="11"/>
                <w:b w:val="1"/>
                <w:bCs w:val="1"/>
                <w:color w:val="FFFFFF"/>
              </w:rPr>
              <w:t>Year Ended October 31,</w:t>
            </w:r>
          </w:p>
        </w:tc>
        <w:tc>
          <w:tcPr>
            <w:tcW w:w="720" w:type="dxa"/>
            <w:vAlign w:val="bottom"/>
            <w:shd w:val="clear" w:color="auto" w:fill="232F84"/>
          </w:tcPr>
          <w:p>
            <w:pPr>
              <w:spacing w:after="0"/>
              <w:rPr>
                <w:sz w:val="15"/>
                <w:szCs w:val="15"/>
                <w:color w:val="auto"/>
              </w:rPr>
            </w:pPr>
          </w:p>
        </w:tc>
        <w:tc>
          <w:tcPr>
            <w:tcW w:w="940" w:type="dxa"/>
            <w:vAlign w:val="bottom"/>
            <w:shd w:val="clear" w:color="auto" w:fill="232F84"/>
          </w:tcPr>
          <w:p>
            <w:pPr>
              <w:spacing w:after="0"/>
              <w:rPr>
                <w:sz w:val="15"/>
                <w:szCs w:val="15"/>
                <w:color w:val="auto"/>
              </w:rPr>
            </w:pPr>
          </w:p>
        </w:tc>
      </w:tr>
      <w:tr>
        <w:trPr>
          <w:trHeight w:val="175"/>
        </w:trPr>
        <w:tc>
          <w:tcPr>
            <w:tcW w:w="624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6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180" w:type="dxa"/>
            <w:vAlign w:val="bottom"/>
            <w:shd w:val="clear" w:color="auto" w:fill="232F84"/>
          </w:tcPr>
          <w:p>
            <w:pPr>
              <w:spacing w:after="0"/>
              <w:rPr>
                <w:sz w:val="15"/>
                <w:szCs w:val="15"/>
                <w:color w:val="auto"/>
              </w:rPr>
            </w:pPr>
          </w:p>
        </w:tc>
        <w:tc>
          <w:tcPr>
            <w:tcW w:w="154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2020</w:t>
            </w:r>
          </w:p>
        </w:tc>
        <w:tc>
          <w:tcPr>
            <w:tcW w:w="720" w:type="dxa"/>
            <w:vAlign w:val="bottom"/>
            <w:shd w:val="clear" w:color="auto" w:fill="232F84"/>
          </w:tcPr>
          <w:p>
            <w:pPr>
              <w:spacing w:after="0"/>
              <w:rPr>
                <w:sz w:val="15"/>
                <w:szCs w:val="15"/>
                <w:color w:val="auto"/>
              </w:rPr>
            </w:pPr>
          </w:p>
        </w:tc>
        <w:tc>
          <w:tcPr>
            <w:tcW w:w="94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70"/>
        </w:trPr>
        <w:tc>
          <w:tcPr>
            <w:tcW w:w="6240" w:type="dxa"/>
            <w:vAlign w:val="bottom"/>
            <w:shd w:val="clear" w:color="auto" w:fill="43C0B9"/>
          </w:tcPr>
          <w:p>
            <w:pPr>
              <w:ind w:left="20"/>
              <w:spacing w:after="0"/>
              <w:rPr>
                <w:sz w:val="20"/>
                <w:szCs w:val="20"/>
                <w:color w:val="auto"/>
              </w:rPr>
            </w:pPr>
            <w:r>
              <w:rPr>
                <w:rFonts w:ascii="Arial" w:cs="Arial" w:eastAsia="Arial" w:hAnsi="Arial"/>
                <w:sz w:val="11"/>
                <w:szCs w:val="11"/>
                <w:color w:val="auto"/>
              </w:rPr>
              <w:t>Gains (losses) on derivative financial instruments</w:t>
            </w:r>
          </w:p>
        </w:tc>
        <w:tc>
          <w:tcPr>
            <w:tcW w:w="660" w:type="dxa"/>
            <w:vAlign w:val="bottom"/>
            <w:shd w:val="clear" w:color="auto" w:fill="43C0B9"/>
          </w:tcPr>
          <w:p>
            <w:pPr>
              <w:jc w:val="right"/>
              <w:ind w:right="5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43C0B9"/>
          </w:tcPr>
          <w:p>
            <w:pPr>
              <w:jc w:val="center"/>
              <w:ind w:left="563"/>
              <w:spacing w:after="0"/>
              <w:rPr>
                <w:sz w:val="20"/>
                <w:szCs w:val="20"/>
                <w:color w:val="auto"/>
              </w:rPr>
            </w:pPr>
            <w:r>
              <w:rPr>
                <w:rFonts w:ascii="Arial" w:cs="Arial" w:eastAsia="Arial" w:hAnsi="Arial"/>
                <w:sz w:val="11"/>
                <w:szCs w:val="11"/>
                <w:color w:val="auto"/>
              </w:rPr>
              <w:t>0.8</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(4.2)</w:t>
            </w:r>
          </w:p>
        </w:tc>
        <w:tc>
          <w:tcPr>
            <w:tcW w:w="72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4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(3.7)</w:t>
            </w:r>
          </w:p>
        </w:tc>
      </w:tr>
      <w:tr>
        <w:trPr>
          <w:trHeight w:val="166"/>
        </w:trPr>
        <w:tc>
          <w:tcPr>
            <w:tcW w:w="6240" w:type="dxa"/>
            <w:vAlign w:val="bottom"/>
          </w:tcPr>
          <w:p>
            <w:pPr>
              <w:ind w:left="20"/>
              <w:spacing w:after="0"/>
              <w:rPr>
                <w:sz w:val="20"/>
                <w:szCs w:val="20"/>
                <w:color w:val="auto"/>
              </w:rPr>
            </w:pPr>
            <w:r>
              <w:rPr>
                <w:rFonts w:ascii="Arial" w:cs="Arial" w:eastAsia="Arial" w:hAnsi="Arial"/>
                <w:sz w:val="11"/>
                <w:szCs w:val="11"/>
                <w:color w:val="auto"/>
              </w:rPr>
              <w:t>Foreign currency transaction (loss) gain</w:t>
            </w:r>
          </w:p>
        </w:tc>
        <w:tc>
          <w:tcPr>
            <w:tcW w:w="660" w:type="dxa"/>
            <w:vAlign w:val="bottom"/>
          </w:tcPr>
          <w:p>
            <w:pPr>
              <w:spacing w:after="0"/>
              <w:rPr>
                <w:sz w:val="14"/>
                <w:szCs w:val="14"/>
                <w:color w:val="auto"/>
              </w:rPr>
            </w:pPr>
          </w:p>
        </w:tc>
        <w:tc>
          <w:tcPr>
            <w:tcW w:w="980" w:type="dxa"/>
            <w:vAlign w:val="bottom"/>
          </w:tcPr>
          <w:p>
            <w:pPr>
              <w:jc w:val="center"/>
              <w:ind w:left="543"/>
              <w:spacing w:after="0"/>
              <w:rPr>
                <w:sz w:val="20"/>
                <w:szCs w:val="20"/>
                <w:color w:val="auto"/>
              </w:rPr>
            </w:pPr>
            <w:r>
              <w:rPr>
                <w:rFonts w:ascii="Arial" w:cs="Arial" w:eastAsia="Arial" w:hAnsi="Arial"/>
                <w:sz w:val="11"/>
                <w:szCs w:val="11"/>
                <w:color w:val="auto"/>
                <w:w w:val="97"/>
              </w:rPr>
              <w:t>(1.6)</w:t>
            </w:r>
          </w:p>
        </w:tc>
        <w:tc>
          <w:tcPr>
            <w:tcW w:w="180" w:type="dxa"/>
            <w:vAlign w:val="bottom"/>
          </w:tcPr>
          <w:p>
            <w:pPr>
              <w:spacing w:after="0"/>
              <w:rPr>
                <w:sz w:val="14"/>
                <w:szCs w:val="14"/>
                <w:color w:val="auto"/>
              </w:rPr>
            </w:pPr>
          </w:p>
        </w:tc>
        <w:tc>
          <w:tcPr>
            <w:tcW w:w="1540" w:type="dxa"/>
            <w:vAlign w:val="bottom"/>
          </w:tcPr>
          <w:p>
            <w:pPr>
              <w:jc w:val="right"/>
              <w:ind w:right="43"/>
              <w:spacing w:after="0"/>
              <w:rPr>
                <w:sz w:val="20"/>
                <w:szCs w:val="20"/>
                <w:color w:val="auto"/>
              </w:rPr>
            </w:pPr>
            <w:r>
              <w:rPr>
                <w:rFonts w:ascii="Arial" w:cs="Arial" w:eastAsia="Arial" w:hAnsi="Arial"/>
                <w:sz w:val="11"/>
                <w:szCs w:val="11"/>
                <w:color w:val="auto"/>
              </w:rPr>
              <w:t>1.3</w:t>
            </w:r>
          </w:p>
        </w:tc>
        <w:tc>
          <w:tcPr>
            <w:tcW w:w="7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74"/>
        </w:trPr>
        <w:tc>
          <w:tcPr>
            <w:tcW w:w="624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Interest income</w:t>
            </w:r>
          </w:p>
        </w:tc>
        <w:tc>
          <w:tcPr>
            <w:tcW w:w="660" w:type="dxa"/>
            <w:vAlign w:val="bottom"/>
            <w:shd w:val="clear" w:color="auto" w:fill="43C0B9"/>
          </w:tcPr>
          <w:p>
            <w:pPr>
              <w:spacing w:after="0"/>
              <w:rPr>
                <w:sz w:val="15"/>
                <w:szCs w:val="15"/>
                <w:color w:val="auto"/>
              </w:rPr>
            </w:pPr>
          </w:p>
        </w:tc>
        <w:tc>
          <w:tcPr>
            <w:tcW w:w="980" w:type="dxa"/>
            <w:vAlign w:val="bottom"/>
            <w:shd w:val="clear" w:color="auto" w:fill="43C0B9"/>
          </w:tcPr>
          <w:p>
            <w:pPr>
              <w:jc w:val="center"/>
              <w:ind w:left="563"/>
              <w:spacing w:after="0"/>
              <w:rPr>
                <w:sz w:val="20"/>
                <w:szCs w:val="20"/>
                <w:color w:val="auto"/>
              </w:rPr>
            </w:pPr>
            <w:r>
              <w:rPr>
                <w:rFonts w:ascii="Arial" w:cs="Arial" w:eastAsia="Arial" w:hAnsi="Arial"/>
                <w:sz w:val="11"/>
                <w:szCs w:val="11"/>
                <w:color w:val="auto"/>
              </w:rPr>
              <w:t>1.7</w:t>
            </w:r>
          </w:p>
        </w:tc>
        <w:tc>
          <w:tcPr>
            <w:tcW w:w="180" w:type="dxa"/>
            <w:vAlign w:val="bottom"/>
            <w:shd w:val="clear" w:color="auto" w:fill="43C0B9"/>
          </w:tcPr>
          <w:p>
            <w:pPr>
              <w:spacing w:after="0"/>
              <w:rPr>
                <w:sz w:val="15"/>
                <w:szCs w:val="15"/>
                <w:color w:val="auto"/>
              </w:rPr>
            </w:pPr>
          </w:p>
        </w:tc>
        <w:tc>
          <w:tcPr>
            <w:tcW w:w="15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2.4</w:t>
            </w:r>
          </w:p>
        </w:tc>
        <w:tc>
          <w:tcPr>
            <w:tcW w:w="720" w:type="dxa"/>
            <w:vAlign w:val="bottom"/>
            <w:shd w:val="clear" w:color="auto" w:fill="43C0B9"/>
          </w:tcPr>
          <w:p>
            <w:pPr>
              <w:spacing w:after="0"/>
              <w:rPr>
                <w:sz w:val="15"/>
                <w:szCs w:val="15"/>
                <w:color w:val="auto"/>
              </w:rPr>
            </w:pPr>
          </w:p>
        </w:tc>
        <w:tc>
          <w:tcPr>
            <w:tcW w:w="9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1.7</w:t>
            </w:r>
          </w:p>
        </w:tc>
      </w:tr>
      <w:tr>
        <w:trPr>
          <w:trHeight w:val="166"/>
        </w:trPr>
        <w:tc>
          <w:tcPr>
            <w:tcW w:w="6240" w:type="dxa"/>
            <w:vAlign w:val="bottom"/>
          </w:tcPr>
          <w:p>
            <w:pPr>
              <w:ind w:left="20"/>
              <w:spacing w:after="0"/>
              <w:rPr>
                <w:sz w:val="20"/>
                <w:szCs w:val="20"/>
                <w:color w:val="auto"/>
              </w:rPr>
            </w:pPr>
            <w:r>
              <w:rPr>
                <w:rFonts w:ascii="Arial" w:cs="Arial" w:eastAsia="Arial" w:hAnsi="Arial"/>
                <w:sz w:val="11"/>
                <w:szCs w:val="11"/>
                <w:color w:val="auto"/>
              </w:rPr>
              <w:t>Debt extinguishment costs</w:t>
            </w:r>
          </w:p>
        </w:tc>
        <w:tc>
          <w:tcPr>
            <w:tcW w:w="660" w:type="dxa"/>
            <w:vAlign w:val="bottom"/>
          </w:tcPr>
          <w:p>
            <w:pPr>
              <w:spacing w:after="0"/>
              <w:rPr>
                <w:sz w:val="14"/>
                <w:szCs w:val="14"/>
                <w:color w:val="auto"/>
              </w:rPr>
            </w:pPr>
          </w:p>
        </w:tc>
        <w:tc>
          <w:tcPr>
            <w:tcW w:w="980" w:type="dxa"/>
            <w:vAlign w:val="bottom"/>
          </w:tcPr>
          <w:p>
            <w:pPr>
              <w:jc w:val="center"/>
              <w:ind w:left="543"/>
              <w:spacing w:after="0"/>
              <w:rPr>
                <w:sz w:val="20"/>
                <w:szCs w:val="20"/>
                <w:color w:val="auto"/>
              </w:rPr>
            </w:pPr>
            <w:r>
              <w:rPr>
                <w:rFonts w:ascii="Arial" w:cs="Arial" w:eastAsia="Arial" w:hAnsi="Arial"/>
                <w:sz w:val="11"/>
                <w:szCs w:val="11"/>
                <w:color w:val="auto"/>
                <w:w w:val="97"/>
              </w:rPr>
              <w:t>(0.1)</w:t>
            </w:r>
          </w:p>
        </w:tc>
        <w:tc>
          <w:tcPr>
            <w:tcW w:w="180" w:type="dxa"/>
            <w:vAlign w:val="bottom"/>
          </w:tcPr>
          <w:p>
            <w:pPr>
              <w:spacing w:after="0"/>
              <w:rPr>
                <w:sz w:val="14"/>
                <w:szCs w:val="14"/>
                <w:color w:val="auto"/>
              </w:rPr>
            </w:pPr>
          </w:p>
        </w:tc>
        <w:tc>
          <w:tcPr>
            <w:tcW w:w="15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9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0"/>
        </w:trPr>
        <w:tc>
          <w:tcPr>
            <w:tcW w:w="62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Other</w:t>
            </w:r>
          </w:p>
        </w:tc>
        <w:tc>
          <w:tcPr>
            <w:tcW w:w="66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center"/>
              <w:ind w:left="563"/>
              <w:spacing w:after="0"/>
              <w:rPr>
                <w:sz w:val="20"/>
                <w:szCs w:val="20"/>
                <w:color w:val="auto"/>
              </w:rPr>
            </w:pPr>
            <w:r>
              <w:rPr>
                <w:rFonts w:ascii="Arial" w:cs="Arial" w:eastAsia="Arial" w:hAnsi="Arial"/>
                <w:sz w:val="11"/>
                <w:szCs w:val="11"/>
                <w:color w:val="auto"/>
              </w:rPr>
              <w:t>0.5</w:t>
            </w:r>
          </w:p>
        </w:tc>
        <w:tc>
          <w:tcPr>
            <w:tcW w:w="180" w:type="dxa"/>
            <w:vAlign w:val="bottom"/>
            <w:tcBorders>
              <w:bottom w:val="single" w:sz="8" w:color="auto"/>
            </w:tcBorders>
            <w:shd w:val="clear" w:color="auto" w:fill="43C0B9"/>
          </w:tcPr>
          <w:p>
            <w:pPr>
              <w:spacing w:after="0"/>
              <w:rPr>
                <w:sz w:val="14"/>
                <w:szCs w:val="14"/>
                <w:color w:val="auto"/>
              </w:rPr>
            </w:pPr>
          </w:p>
        </w:tc>
        <w:tc>
          <w:tcPr>
            <w:tcW w:w="154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(0.2)</w:t>
            </w:r>
          </w:p>
        </w:tc>
        <w:tc>
          <w:tcPr>
            <w:tcW w:w="720" w:type="dxa"/>
            <w:vAlign w:val="bottom"/>
            <w:tcBorders>
              <w:bottom w:val="single" w:sz="8" w:color="auto"/>
            </w:tcBorders>
            <w:shd w:val="clear" w:color="auto" w:fill="43C0B9"/>
          </w:tcPr>
          <w:p>
            <w:pPr>
              <w:spacing w:after="0"/>
              <w:rPr>
                <w:sz w:val="14"/>
                <w:szCs w:val="14"/>
                <w:color w:val="auto"/>
              </w:rPr>
            </w:pPr>
          </w:p>
        </w:tc>
        <w:tc>
          <w:tcPr>
            <w:tcW w:w="9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(0.3)</w:t>
            </w:r>
          </w:p>
        </w:tc>
      </w:tr>
      <w:tr>
        <w:trPr>
          <w:trHeight w:val="160"/>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center"/>
              <w:ind w:left="563"/>
              <w:spacing w:after="0"/>
              <w:rPr>
                <w:sz w:val="20"/>
                <w:szCs w:val="20"/>
                <w:color w:val="auto"/>
              </w:rPr>
            </w:pPr>
            <w:r>
              <w:rPr>
                <w:rFonts w:ascii="Arial" w:cs="Arial" w:eastAsia="Arial" w:hAnsi="Arial"/>
                <w:sz w:val="11"/>
                <w:szCs w:val="11"/>
                <w:color w:val="auto"/>
              </w:rPr>
              <w:t>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(0.7)</w:t>
            </w:r>
          </w:p>
        </w:tc>
        <w:tc>
          <w:tcPr>
            <w:tcW w:w="7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r>
    </w:tbl>
    <w:p>
      <w:pPr>
        <w:spacing w:after="0" w:line="223"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b w:val="1"/>
          <w:bCs w:val="1"/>
          <w:color w:val="232F84"/>
        </w:rPr>
        <w:t>4.</w:t>
        <w:tab/>
        <w:t>Equity Method Investees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Henry Avocado</w:t>
      </w:r>
    </w:p>
    <w:p>
      <w:pPr>
        <w:spacing w:after="0" w:line="162"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The Company owns a 49% interest in Henry Avocado Corporation (“Henry Avocado”), based in Escondido, California. Henry Avocado packs, distributes and sells fresh avocados in the domestic market from California growers and also imports packed Chilean and Mexican avocados. Henry Avocado also operates a farm management and orchard leasing business where it performs various farming functions on behalf of growers. There is a basis difference between the Company’s historical investment in Henry Avocado and the amount recorded in members’ capital by the investee of $4.0 million as of October 31, 2021 and 2020, comprised solely of goodwill.</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Mr. Avocado</w:t>
      </w:r>
    </w:p>
    <w:p>
      <w:pPr>
        <w:spacing w:after="0" w:line="172"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The Company owns a 33% interest in Shanghai Mr. Avocado Limited (“Mr. Avocado”), a Chinese joint venture enterprise, through its Mission Produce Asia Ltd. subsidiary. The primary business operations include the marketing, ripening and distribution of fresh avocados within China.</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Moruga</w:t>
      </w:r>
    </w:p>
    <w:p>
      <w:pPr>
        <w:spacing w:after="0" w:line="172"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The Company owns a 60% interest in Moruga. Moruga’s primary business activity is to develop and operate blueberry farms. There is a basis difference between the our historical investment in Moruga and the amount of underlying equity in net assets of $10.3 million as of October 31, 2021 and 2020.</w:t>
      </w:r>
    </w:p>
    <w:p>
      <w:pPr>
        <w:spacing w:after="0" w:line="142" w:lineRule="exact"/>
        <w:rPr>
          <w:sz w:val="20"/>
          <w:szCs w:val="20"/>
          <w:color w:val="auto"/>
        </w:rPr>
      </w:pPr>
    </w:p>
    <w:p>
      <w:pPr>
        <w:ind w:right="160" w:firstLine="509"/>
        <w:spacing w:after="0" w:line="264" w:lineRule="auto"/>
        <w:rPr>
          <w:sz w:val="20"/>
          <w:szCs w:val="20"/>
          <w:color w:val="auto"/>
        </w:rPr>
      </w:pPr>
      <w:r>
        <w:rPr>
          <w:rFonts w:ascii="Arial" w:cs="Arial" w:eastAsia="Arial" w:hAnsi="Arial"/>
          <w:sz w:val="12"/>
          <w:szCs w:val="12"/>
          <w:color w:val="auto"/>
        </w:rPr>
        <w:t>During the second quarter of fiscal year 2020, industry-wide production information regarding the 2019-2020 blueberry harvest in Peru became available, indicating that there is greater competition and expansion by competitors than what we were previously expecting. We believed that the increase in supply due to expansion would result in a reduction in pricing over the long-term. As a result of this factor, among others, management lowered its long-term revenue and profitability forecasts of Moruga during the second quarter of 2020 and concluded that the reduction in the forecasted revenues was an indicator of impairment. As a result, management tested its investment in Moruga for impairment and concluded that the estimated fair value of the investment in Moruga was less than the carrying value of the investment. Due to the change in long-term pricing and revenue expectations, management concluded that the impairment is other-than-temporary.</w:t>
      </w:r>
    </w:p>
    <w:p>
      <w:pPr>
        <w:spacing w:after="0" w:line="143" w:lineRule="exact"/>
        <w:rPr>
          <w:sz w:val="20"/>
          <w:szCs w:val="20"/>
          <w:color w:val="auto"/>
        </w:rPr>
      </w:pPr>
    </w:p>
    <w:p>
      <w:pPr>
        <w:ind w:right="220" w:firstLine="509"/>
        <w:spacing w:after="0" w:line="239" w:lineRule="auto"/>
        <w:rPr>
          <w:sz w:val="20"/>
          <w:szCs w:val="20"/>
          <w:color w:val="auto"/>
        </w:rPr>
      </w:pPr>
      <w:r>
        <w:rPr>
          <w:rFonts w:ascii="Arial" w:cs="Arial" w:eastAsia="Arial" w:hAnsi="Arial"/>
          <w:sz w:val="13"/>
          <w:szCs w:val="13"/>
          <w:color w:val="auto"/>
        </w:rPr>
        <w:t>The Company recorded an impairment charge of $21.2 million to reduce the carrying balance of the investment to its estimated fair value of $22.2 million during the second quarter of fiscal year 2020. The fair value of the investment is a Level 3 measurement in the fair value hierarchy and management estimated the fair value of the investment, with the assistance of a third-party valuation specialist, using a combination of the guideline publicly-traded companies (“GPC”) method under the market approach and the discounted cash flow (“DCF”) method under the income approach. We applied an equal weighting to the value conclusions resulting from the two employed approaches, because there was sufficient information available to estimate the fair value of the investment under both methods.</w:t>
      </w:r>
    </w:p>
    <w:p>
      <w:pPr>
        <w:spacing w:after="0" w:line="157"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Under the GPC method, valuation multiples are calculated from the operating data and market metrics of the guideline publicly traded companies and the selected multiples are evaluated and adjusted based on the strengths and weaknesses of the entity relative to the comparable guideline publicly-traded companies. The most significant input used to estimate the fair value of the investment under the GPC method is the selected Business Enterprise Value (“BEV”) to EBITDA multiple. We utilized the derived BEV to EBITDA multiples of the guideline publicly traded companies to select a multiple of 10.5x for the first forecast year and 10.0x for the second forecast year. The median and mean BEV to EBITDA multiple of the comparable publicly traded entities that we evaluated was 12.3x and 12.8x, respectively.</w:t>
      </w:r>
    </w:p>
    <w:p>
      <w:pPr>
        <w:spacing w:after="0" w:line="147" w:lineRule="exact"/>
        <w:rPr>
          <w:sz w:val="20"/>
          <w:szCs w:val="20"/>
          <w:color w:val="auto"/>
        </w:rPr>
      </w:pPr>
    </w:p>
    <w:p>
      <w:pPr>
        <w:ind w:right="40" w:firstLine="509"/>
        <w:spacing w:after="0"/>
        <w:rPr>
          <w:sz w:val="20"/>
          <w:szCs w:val="20"/>
          <w:color w:val="auto"/>
        </w:rPr>
      </w:pPr>
      <w:r>
        <w:rPr>
          <w:rFonts w:ascii="Arial" w:cs="Arial" w:eastAsia="Arial" w:hAnsi="Arial"/>
          <w:sz w:val="13"/>
          <w:szCs w:val="13"/>
          <w:color w:val="auto"/>
        </w:rPr>
        <w:t>Under the DCF method, the most significant inputs used to estimate the fair value of the investment are the cash flow projections, which are most sensitive to the revenue projections, and the weighted average cost of capital (or discount rate) which is used to discount and present value the projected cash flows. For our revenue projections, we assumed a compounded annual growth rate of 4.8% for the discrete forecast period from 2020 to 2030, prior to reaching the terminal period. The weighted average cost of capital was estimated using a capital asset pricing model and the discount rate used to present value the future cash flows was 9.0%.</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Copaltas</w:t>
      </w:r>
    </w:p>
    <w:p>
      <w:pPr>
        <w:spacing w:after="0" w:line="172"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The Company owns a 50% interest in Copaltas S.A.S. (“Copaltas”), a Colombian joint venture enterprise. The primary business operations include the development and operation of avocado farms within Colombia.</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Financial information for our equity method investees as of October 31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2560" w:type="dxa"/>
            <w:vAlign w:val="bottom"/>
            <w:shd w:val="clear" w:color="auto" w:fill="232F84"/>
          </w:tcPr>
          <w:p>
            <w:pPr>
              <w:spacing w:after="0"/>
              <w:rPr>
                <w:sz w:val="14"/>
                <w:szCs w:val="14"/>
                <w:color w:val="auto"/>
              </w:rPr>
            </w:pPr>
          </w:p>
        </w:tc>
        <w:tc>
          <w:tcPr>
            <w:tcW w:w="1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Henry Avocado</w:t>
            </w:r>
          </w:p>
        </w:tc>
        <w:tc>
          <w:tcPr>
            <w:tcW w:w="440" w:type="dxa"/>
            <w:vAlign w:val="bottom"/>
            <w:shd w:val="clear" w:color="auto" w:fill="232F84"/>
          </w:tcPr>
          <w:p>
            <w:pPr>
              <w:spacing w:after="0"/>
              <w:rPr>
                <w:sz w:val="14"/>
                <w:szCs w:val="14"/>
                <w:color w:val="auto"/>
              </w:rPr>
            </w:pPr>
          </w:p>
        </w:tc>
        <w:tc>
          <w:tcPr>
            <w:tcW w:w="10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Mr. Avocado</w:t>
            </w:r>
          </w:p>
        </w:tc>
        <w:tc>
          <w:tcPr>
            <w:tcW w:w="560" w:type="dxa"/>
            <w:vAlign w:val="bottom"/>
            <w:shd w:val="clear" w:color="auto" w:fill="232F84"/>
          </w:tcPr>
          <w:p>
            <w:pPr>
              <w:spacing w:after="0"/>
              <w:rPr>
                <w:sz w:val="14"/>
                <w:szCs w:val="14"/>
                <w:color w:val="auto"/>
              </w:rPr>
            </w:pPr>
          </w:p>
        </w:tc>
        <w:tc>
          <w:tcPr>
            <w:tcW w:w="9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Moruga</w:t>
            </w:r>
          </w:p>
        </w:tc>
        <w:tc>
          <w:tcPr>
            <w:tcW w:w="520" w:type="dxa"/>
            <w:vAlign w:val="bottom"/>
            <w:shd w:val="clear" w:color="auto" w:fill="232F84"/>
          </w:tcPr>
          <w:p>
            <w:pPr>
              <w:spacing w:after="0"/>
              <w:rPr>
                <w:sz w:val="14"/>
                <w:szCs w:val="14"/>
                <w:color w:val="auto"/>
              </w:rPr>
            </w:pP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Copaltas</w:t>
            </w:r>
          </w:p>
        </w:tc>
      </w:tr>
      <w:tr>
        <w:trPr>
          <w:trHeight w:val="170"/>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2021</w:t>
            </w:r>
          </w:p>
        </w:tc>
        <w:tc>
          <w:tcPr>
            <w:tcW w:w="2560" w:type="dxa"/>
            <w:vAlign w:val="bottom"/>
            <w:shd w:val="clear" w:color="auto" w:fill="43C0B9"/>
          </w:tcPr>
          <w:p>
            <w:pPr>
              <w:spacing w:after="0"/>
              <w:rPr>
                <w:sz w:val="14"/>
                <w:szCs w:val="14"/>
                <w:color w:val="auto"/>
              </w:rPr>
            </w:pPr>
          </w:p>
        </w:tc>
        <w:tc>
          <w:tcPr>
            <w:tcW w:w="1100" w:type="dxa"/>
            <w:vAlign w:val="bottom"/>
            <w:shd w:val="clear" w:color="auto" w:fill="43C0B9"/>
          </w:tcPr>
          <w:p>
            <w:pPr>
              <w:spacing w:after="0"/>
              <w:rPr>
                <w:sz w:val="14"/>
                <w:szCs w:val="14"/>
                <w:color w:val="auto"/>
              </w:rPr>
            </w:pPr>
          </w:p>
        </w:tc>
        <w:tc>
          <w:tcPr>
            <w:tcW w:w="440" w:type="dxa"/>
            <w:vAlign w:val="bottom"/>
            <w:shd w:val="clear" w:color="auto" w:fill="43C0B9"/>
          </w:tcPr>
          <w:p>
            <w:pPr>
              <w:spacing w:after="0"/>
              <w:rPr>
                <w:sz w:val="14"/>
                <w:szCs w:val="14"/>
                <w:color w:val="auto"/>
              </w:rPr>
            </w:pPr>
          </w:p>
        </w:tc>
        <w:tc>
          <w:tcPr>
            <w:tcW w:w="10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5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45.1</w:t>
            </w:r>
          </w:p>
        </w:tc>
        <w:tc>
          <w:tcPr>
            <w:tcW w:w="44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4.4</w:t>
            </w:r>
          </w:p>
        </w:tc>
        <w:tc>
          <w:tcPr>
            <w:tcW w:w="56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24.8</w:t>
            </w:r>
          </w:p>
        </w:tc>
        <w:tc>
          <w:tcPr>
            <w:tcW w:w="520" w:type="dxa"/>
            <w:vAlign w:val="bottom"/>
          </w:tcPr>
          <w:p>
            <w:pPr>
              <w:jc w:val="right"/>
              <w:ind w:right="343"/>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assets</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16.6</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0.5</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21.5</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16.6</w:t>
            </w: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5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22.7</w:t>
            </w:r>
          </w:p>
        </w:tc>
        <w:tc>
          <w:tcPr>
            <w:tcW w:w="44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3.1</w:t>
            </w:r>
          </w:p>
        </w:tc>
        <w:tc>
          <w:tcPr>
            <w:tcW w:w="56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13.6</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liabilities</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6.8</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3.8</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6.5</w:t>
            </w: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Sales</w:t>
            </w:r>
          </w:p>
        </w:tc>
        <w:tc>
          <w:tcPr>
            <w:tcW w:w="25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261.7</w:t>
            </w:r>
          </w:p>
        </w:tc>
        <w:tc>
          <w:tcPr>
            <w:tcW w:w="44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20.1</w:t>
            </w:r>
          </w:p>
        </w:tc>
        <w:tc>
          <w:tcPr>
            <w:tcW w:w="56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37.3</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Gross profit</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24.6</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3.4</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10.5</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 (loss)</w:t>
            </w:r>
          </w:p>
        </w:tc>
        <w:tc>
          <w:tcPr>
            <w:tcW w:w="2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7.5</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0.5</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6.4</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r>
      <w:tr>
        <w:trPr>
          <w:trHeight w:val="165"/>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2020</w:t>
            </w:r>
          </w:p>
        </w:tc>
        <w:tc>
          <w:tcPr>
            <w:tcW w:w="2560" w:type="dxa"/>
            <w:vAlign w:val="bottom"/>
            <w:shd w:val="clear" w:color="auto" w:fill="43C0B9"/>
          </w:tcPr>
          <w:p>
            <w:pPr>
              <w:spacing w:after="0"/>
              <w:rPr>
                <w:sz w:val="14"/>
                <w:szCs w:val="14"/>
                <w:color w:val="auto"/>
              </w:rPr>
            </w:pPr>
          </w:p>
        </w:tc>
        <w:tc>
          <w:tcPr>
            <w:tcW w:w="1100" w:type="dxa"/>
            <w:vAlign w:val="bottom"/>
            <w:shd w:val="clear" w:color="auto" w:fill="43C0B9"/>
          </w:tcPr>
          <w:p>
            <w:pPr>
              <w:spacing w:after="0"/>
              <w:rPr>
                <w:sz w:val="14"/>
                <w:szCs w:val="14"/>
                <w:color w:val="auto"/>
              </w:rPr>
            </w:pPr>
          </w:p>
        </w:tc>
        <w:tc>
          <w:tcPr>
            <w:tcW w:w="440" w:type="dxa"/>
            <w:vAlign w:val="bottom"/>
            <w:shd w:val="clear" w:color="auto" w:fill="43C0B9"/>
          </w:tcPr>
          <w:p>
            <w:pPr>
              <w:spacing w:after="0"/>
              <w:rPr>
                <w:sz w:val="14"/>
                <w:szCs w:val="14"/>
                <w:color w:val="auto"/>
              </w:rPr>
            </w:pPr>
          </w:p>
        </w:tc>
        <w:tc>
          <w:tcPr>
            <w:tcW w:w="104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5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35.3</w:t>
            </w:r>
          </w:p>
        </w:tc>
        <w:tc>
          <w:tcPr>
            <w:tcW w:w="44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2.6</w:t>
            </w:r>
          </w:p>
        </w:tc>
        <w:tc>
          <w:tcPr>
            <w:tcW w:w="56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19.9</w:t>
            </w:r>
          </w:p>
        </w:tc>
        <w:tc>
          <w:tcPr>
            <w:tcW w:w="520" w:type="dxa"/>
            <w:vAlign w:val="bottom"/>
          </w:tcPr>
          <w:p>
            <w:pPr>
              <w:jc w:val="right"/>
              <w:ind w:right="343"/>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assets</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17.9</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0.6</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20.1</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10.9</w:t>
            </w: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5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14.3</w:t>
            </w:r>
          </w:p>
        </w:tc>
        <w:tc>
          <w:tcPr>
            <w:tcW w:w="44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1.9</w:t>
            </w:r>
          </w:p>
        </w:tc>
        <w:tc>
          <w:tcPr>
            <w:tcW w:w="56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9.8</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liabilities</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10.6</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7.6</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60" w:type="dxa"/>
            <w:vAlign w:val="bottom"/>
          </w:tcPr>
          <w:p>
            <w:pPr>
              <w:ind w:left="20"/>
              <w:spacing w:after="0"/>
              <w:rPr>
                <w:sz w:val="20"/>
                <w:szCs w:val="20"/>
                <w:color w:val="auto"/>
              </w:rPr>
            </w:pPr>
            <w:r>
              <w:rPr>
                <w:rFonts w:ascii="Arial" w:cs="Arial" w:eastAsia="Arial" w:hAnsi="Arial"/>
                <w:sz w:val="11"/>
                <w:szCs w:val="11"/>
                <w:color w:val="auto"/>
              </w:rPr>
              <w:t>Sales</w:t>
            </w:r>
          </w:p>
        </w:tc>
        <w:tc>
          <w:tcPr>
            <w:tcW w:w="256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254.1</w:t>
            </w:r>
          </w:p>
        </w:tc>
        <w:tc>
          <w:tcPr>
            <w:tcW w:w="44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1"/>
                <w:szCs w:val="11"/>
                <w:color w:val="auto"/>
              </w:rPr>
              <w:t>11.7</w:t>
            </w:r>
          </w:p>
        </w:tc>
        <w:tc>
          <w:tcPr>
            <w:tcW w:w="560" w:type="dxa"/>
            <w:vAlign w:val="bottom"/>
          </w:tcPr>
          <w:p>
            <w:pPr>
              <w:spacing w:after="0"/>
              <w:rPr>
                <w:sz w:val="14"/>
                <w:szCs w:val="14"/>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28.7</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4"/>
        </w:trPr>
        <w:tc>
          <w:tcPr>
            <w:tcW w:w="3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Gross profit</w:t>
            </w:r>
          </w:p>
        </w:tc>
        <w:tc>
          <w:tcPr>
            <w:tcW w:w="256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22.8</w:t>
            </w:r>
          </w:p>
        </w:tc>
        <w:tc>
          <w:tcPr>
            <w:tcW w:w="440" w:type="dxa"/>
            <w:vAlign w:val="bottom"/>
            <w:shd w:val="clear" w:color="auto" w:fill="43C0B9"/>
          </w:tcPr>
          <w:p>
            <w:pPr>
              <w:spacing w:after="0"/>
              <w:rPr>
                <w:sz w:val="15"/>
                <w:szCs w:val="15"/>
                <w:color w:val="auto"/>
              </w:rPr>
            </w:pPr>
          </w:p>
        </w:tc>
        <w:tc>
          <w:tcPr>
            <w:tcW w:w="10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1.9</w:t>
            </w:r>
          </w:p>
        </w:tc>
        <w:tc>
          <w:tcPr>
            <w:tcW w:w="56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7.7</w:t>
            </w:r>
          </w:p>
        </w:tc>
        <w:tc>
          <w:tcPr>
            <w:tcW w:w="52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 (loss)</w:t>
            </w:r>
          </w:p>
        </w:tc>
        <w:tc>
          <w:tcPr>
            <w:tcW w:w="2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4.4</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(0.2)</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3.8</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bl>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Company’s investments in its equity method investees have been impacted by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Borders>
              <w:bottom w:val="single" w:sz="8" w:color="auto"/>
            </w:tcBorders>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1080" w:type="dxa"/>
            <w:vAlign w:val="bottom"/>
            <w:tcBorders>
              <w:bottom w:val="single" w:sz="8" w:color="auto"/>
            </w:tcBorders>
            <w:shd w:val="clear" w:color="auto" w:fill="232F84"/>
          </w:tcPr>
          <w:p>
            <w:pPr>
              <w:spacing w:after="0"/>
              <w:rPr>
                <w:sz w:val="14"/>
                <w:szCs w:val="14"/>
                <w:color w:val="auto"/>
              </w:rPr>
            </w:pPr>
          </w:p>
        </w:tc>
        <w:tc>
          <w:tcPr>
            <w:tcW w:w="1180" w:type="dxa"/>
            <w:vAlign w:val="bottom"/>
            <w:tcBorders>
              <w:bottom w:val="single" w:sz="8" w:color="auto"/>
            </w:tcBorders>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Henry Avocado</w:t>
            </w:r>
          </w:p>
        </w:tc>
        <w:tc>
          <w:tcPr>
            <w:tcW w:w="480" w:type="dxa"/>
            <w:vAlign w:val="bottom"/>
            <w:tcBorders>
              <w:bottom w:val="single" w:sz="8" w:color="auto"/>
            </w:tcBorders>
            <w:shd w:val="clear" w:color="auto" w:fill="232F84"/>
          </w:tcPr>
          <w:p>
            <w:pPr>
              <w:spacing w:after="0"/>
              <w:rPr>
                <w:sz w:val="14"/>
                <w:szCs w:val="14"/>
                <w:color w:val="auto"/>
              </w:rPr>
            </w:pPr>
          </w:p>
        </w:tc>
        <w:tc>
          <w:tcPr>
            <w:tcW w:w="1120" w:type="dxa"/>
            <w:vAlign w:val="bottom"/>
            <w:tcBorders>
              <w:bottom w:val="single" w:sz="8" w:color="auto"/>
            </w:tcBorders>
            <w:shd w:val="clear" w:color="auto" w:fill="232F84"/>
          </w:tcPr>
          <w:p>
            <w:pPr>
              <w:jc w:val="right"/>
              <w:ind w:right="83"/>
              <w:spacing w:after="0"/>
              <w:rPr>
                <w:sz w:val="20"/>
                <w:szCs w:val="20"/>
                <w:color w:val="auto"/>
              </w:rPr>
            </w:pPr>
            <w:r>
              <w:rPr>
                <w:rFonts w:ascii="Arial" w:cs="Arial" w:eastAsia="Arial" w:hAnsi="Arial"/>
                <w:sz w:val="11"/>
                <w:szCs w:val="11"/>
                <w:b w:val="1"/>
                <w:bCs w:val="1"/>
                <w:color w:val="FFFFFF"/>
              </w:rPr>
              <w:t>Mr. Avocado</w:t>
            </w:r>
          </w:p>
        </w:tc>
        <w:tc>
          <w:tcPr>
            <w:tcW w:w="620" w:type="dxa"/>
            <w:vAlign w:val="bottom"/>
            <w:tcBorders>
              <w:bottom w:val="single" w:sz="8" w:color="auto"/>
            </w:tcBorders>
            <w:shd w:val="clear" w:color="auto" w:fill="232F84"/>
          </w:tcPr>
          <w:p>
            <w:pPr>
              <w:spacing w:after="0"/>
              <w:rPr>
                <w:sz w:val="14"/>
                <w:szCs w:val="14"/>
                <w:color w:val="auto"/>
              </w:rPr>
            </w:pPr>
          </w:p>
        </w:tc>
        <w:tc>
          <w:tcPr>
            <w:tcW w:w="840" w:type="dxa"/>
            <w:vAlign w:val="bottom"/>
            <w:tcBorders>
              <w:bottom w:val="single" w:sz="8" w:color="auto"/>
            </w:tcBorders>
            <w:shd w:val="clear" w:color="auto" w:fill="232F84"/>
          </w:tcPr>
          <w:p>
            <w:pPr>
              <w:jc w:val="right"/>
              <w:spacing w:after="0"/>
              <w:rPr>
                <w:sz w:val="20"/>
                <w:szCs w:val="20"/>
                <w:color w:val="auto"/>
              </w:rPr>
            </w:pPr>
            <w:r>
              <w:rPr>
                <w:rFonts w:ascii="Arial" w:cs="Arial" w:eastAsia="Arial" w:hAnsi="Arial"/>
                <w:sz w:val="11"/>
                <w:szCs w:val="11"/>
                <w:b w:val="1"/>
                <w:bCs w:val="1"/>
                <w:color w:val="FFFFFF"/>
              </w:rPr>
              <w:t>Moruga</w:t>
            </w:r>
          </w:p>
        </w:tc>
        <w:tc>
          <w:tcPr>
            <w:tcW w:w="720" w:type="dxa"/>
            <w:vAlign w:val="bottom"/>
            <w:tcBorders>
              <w:bottom w:val="single" w:sz="8" w:color="auto"/>
            </w:tcBorders>
            <w:shd w:val="clear" w:color="auto" w:fill="232F84"/>
          </w:tcPr>
          <w:p>
            <w:pPr>
              <w:spacing w:after="0"/>
              <w:rPr>
                <w:sz w:val="14"/>
                <w:szCs w:val="14"/>
                <w:color w:val="auto"/>
              </w:rPr>
            </w:pPr>
          </w:p>
        </w:tc>
        <w:tc>
          <w:tcPr>
            <w:tcW w:w="1000" w:type="dxa"/>
            <w:vAlign w:val="bottom"/>
            <w:tcBorders>
              <w:bottom w:val="single" w:sz="8" w:color="auto"/>
            </w:tcBorders>
            <w:shd w:val="clear" w:color="auto" w:fill="232F84"/>
          </w:tcPr>
          <w:p>
            <w:pPr>
              <w:jc w:val="right"/>
              <w:ind w:right="83"/>
              <w:spacing w:after="0"/>
              <w:rPr>
                <w:sz w:val="20"/>
                <w:szCs w:val="20"/>
                <w:color w:val="auto"/>
              </w:rPr>
            </w:pPr>
            <w:r>
              <w:rPr>
                <w:rFonts w:ascii="Arial" w:cs="Arial" w:eastAsia="Arial" w:hAnsi="Arial"/>
                <w:sz w:val="11"/>
                <w:szCs w:val="11"/>
                <w:b w:val="1"/>
                <w:bCs w:val="1"/>
                <w:color w:val="FFFFFF"/>
              </w:rPr>
              <w:t>Copaltas</w:t>
            </w:r>
          </w:p>
        </w:tc>
        <w:tc>
          <w:tcPr>
            <w:tcW w:w="680" w:type="dxa"/>
            <w:vAlign w:val="bottom"/>
            <w:tcBorders>
              <w:bottom w:val="single" w:sz="8" w:color="auto"/>
            </w:tcBorders>
            <w:shd w:val="clear" w:color="auto" w:fill="232F84"/>
          </w:tcPr>
          <w:p>
            <w:pPr>
              <w:spacing w:after="0"/>
              <w:rPr>
                <w:sz w:val="14"/>
                <w:szCs w:val="14"/>
                <w:color w:val="auto"/>
              </w:rPr>
            </w:pPr>
          </w:p>
        </w:tc>
        <w:tc>
          <w:tcPr>
            <w:tcW w:w="800" w:type="dxa"/>
            <w:vAlign w:val="bottom"/>
            <w:tcBorders>
              <w:bottom w:val="single" w:sz="8" w:color="auto"/>
            </w:tcBorders>
            <w:shd w:val="clear" w:color="auto" w:fill="232F84"/>
          </w:tcPr>
          <w:p>
            <w:pPr>
              <w:jc w:val="right"/>
              <w:spacing w:after="0"/>
              <w:rPr>
                <w:sz w:val="20"/>
                <w:szCs w:val="20"/>
                <w:color w:val="auto"/>
              </w:rPr>
            </w:pPr>
            <w:r>
              <w:rPr>
                <w:rFonts w:ascii="Arial" w:cs="Arial" w:eastAsia="Arial" w:hAnsi="Arial"/>
                <w:sz w:val="11"/>
                <w:szCs w:val="11"/>
                <w:b w:val="1"/>
                <w:bCs w:val="1"/>
                <w:color w:val="FFFFFF"/>
              </w:rPr>
              <w:t>Total</w:t>
            </w:r>
          </w:p>
        </w:tc>
      </w:tr>
      <w:tr>
        <w:trPr>
          <w:trHeight w:val="160"/>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Investment balance October 31, 2018</w:t>
            </w:r>
          </w:p>
        </w:tc>
        <w:tc>
          <w:tcPr>
            <w:tcW w:w="1080" w:type="dxa"/>
            <w:vAlign w:val="bottom"/>
            <w:shd w:val="clear" w:color="auto" w:fill="43C0B9"/>
          </w:tcPr>
          <w:p>
            <w:pPr>
              <w:jc w:val="right"/>
              <w:ind w:right="163"/>
              <w:spacing w:after="0"/>
              <w:rPr>
                <w:sz w:val="20"/>
                <w:szCs w:val="20"/>
                <w:color w:val="auto"/>
              </w:rPr>
            </w:pPr>
            <w:r>
              <w:rPr>
                <w:rFonts w:ascii="Arial" w:cs="Arial" w:eastAsia="Arial" w:hAnsi="Arial"/>
                <w:sz w:val="11"/>
                <w:szCs w:val="11"/>
                <w:color w:val="auto"/>
              </w:rPr>
              <w:t>$</w:t>
            </w: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15.3</w:t>
            </w:r>
          </w:p>
        </w:tc>
        <w:tc>
          <w:tcPr>
            <w:tcW w:w="480" w:type="dxa"/>
            <w:vAlign w:val="bottom"/>
            <w:shd w:val="clear" w:color="auto" w:fill="43C0B9"/>
          </w:tcPr>
          <w:p>
            <w:pPr>
              <w:jc w:val="right"/>
              <w:ind w:right="223"/>
              <w:spacing w:after="0"/>
              <w:rPr>
                <w:sz w:val="20"/>
                <w:szCs w:val="20"/>
                <w:color w:val="auto"/>
              </w:rPr>
            </w:pPr>
            <w:r>
              <w:rPr>
                <w:rFonts w:ascii="Arial" w:cs="Arial" w:eastAsia="Arial" w:hAnsi="Arial"/>
                <w:sz w:val="11"/>
                <w:szCs w:val="11"/>
                <w:color w:val="auto"/>
              </w:rPr>
              <w:t>$</w:t>
            </w: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0.2</w:t>
            </w:r>
          </w:p>
        </w:tc>
        <w:tc>
          <w:tcPr>
            <w:tcW w:w="620" w:type="dxa"/>
            <w:vAlign w:val="bottom"/>
            <w:shd w:val="clear" w:color="auto" w:fill="43C0B9"/>
          </w:tcPr>
          <w:p>
            <w:pPr>
              <w:jc w:val="right"/>
              <w:ind w:right="363"/>
              <w:spacing w:after="0"/>
              <w:rPr>
                <w:sz w:val="20"/>
                <w:szCs w:val="20"/>
                <w:color w:val="auto"/>
              </w:rPr>
            </w:pPr>
            <w:r>
              <w:rPr>
                <w:rFonts w:ascii="Arial" w:cs="Arial" w:eastAsia="Arial" w:hAnsi="Arial"/>
                <w:sz w:val="11"/>
                <w:szCs w:val="11"/>
                <w:color w:val="auto"/>
              </w:rPr>
              <w:t>$</w:t>
            </w: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42.8</w:t>
            </w:r>
          </w:p>
        </w:tc>
        <w:tc>
          <w:tcPr>
            <w:tcW w:w="720" w:type="dxa"/>
            <w:vAlign w:val="bottom"/>
            <w:shd w:val="clear" w:color="auto" w:fill="43C0B9"/>
          </w:tcPr>
          <w:p>
            <w:pPr>
              <w:jc w:val="right"/>
              <w:ind w:right="350"/>
              <w:spacing w:after="0"/>
              <w:rPr>
                <w:sz w:val="20"/>
                <w:szCs w:val="20"/>
                <w:color w:val="auto"/>
              </w:rPr>
            </w:pPr>
            <w:r>
              <w:rPr>
                <w:rFonts w:ascii="Arial" w:cs="Arial" w:eastAsia="Arial" w:hAnsi="Arial"/>
                <w:sz w:val="11"/>
                <w:szCs w:val="11"/>
                <w:color w:val="auto"/>
              </w:rPr>
              <w:t>$</w:t>
            </w: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0.4</w:t>
            </w:r>
          </w:p>
        </w:tc>
        <w:tc>
          <w:tcPr>
            <w:tcW w:w="6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8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58.7</w:t>
            </w:r>
          </w:p>
        </w:tc>
      </w:tr>
      <w:tr>
        <w:trPr>
          <w:trHeight w:val="166"/>
        </w:trPr>
        <w:tc>
          <w:tcPr>
            <w:tcW w:w="2720" w:type="dxa"/>
            <w:vAlign w:val="bottom"/>
          </w:tcPr>
          <w:p>
            <w:pPr>
              <w:ind w:left="20"/>
              <w:spacing w:after="0"/>
              <w:rPr>
                <w:sz w:val="20"/>
                <w:szCs w:val="20"/>
                <w:color w:val="auto"/>
              </w:rPr>
            </w:pPr>
            <w:r>
              <w:rPr>
                <w:rFonts w:ascii="Arial" w:cs="Arial" w:eastAsia="Arial" w:hAnsi="Arial"/>
                <w:sz w:val="11"/>
                <w:szCs w:val="11"/>
                <w:color w:val="auto"/>
              </w:rPr>
              <w:t>Equity method income (losses)</w:t>
            </w:r>
          </w:p>
        </w:tc>
        <w:tc>
          <w:tcPr>
            <w:tcW w:w="1080" w:type="dxa"/>
            <w:vAlign w:val="bottom"/>
          </w:tcPr>
          <w:p>
            <w:pPr>
              <w:spacing w:after="0"/>
              <w:rPr>
                <w:sz w:val="14"/>
                <w:szCs w:val="14"/>
                <w:color w:val="auto"/>
              </w:rPr>
            </w:pPr>
          </w:p>
        </w:tc>
        <w:tc>
          <w:tcPr>
            <w:tcW w:w="1180" w:type="dxa"/>
            <w:vAlign w:val="bottom"/>
          </w:tcPr>
          <w:p>
            <w:pPr>
              <w:jc w:val="right"/>
              <w:ind w:right="123"/>
              <w:spacing w:after="0"/>
              <w:rPr>
                <w:sz w:val="20"/>
                <w:szCs w:val="20"/>
                <w:color w:val="auto"/>
              </w:rPr>
            </w:pPr>
            <w:r>
              <w:rPr>
                <w:rFonts w:ascii="Arial" w:cs="Arial" w:eastAsia="Arial" w:hAnsi="Arial"/>
                <w:sz w:val="11"/>
                <w:szCs w:val="11"/>
                <w:color w:val="auto"/>
              </w:rPr>
              <w:t>3.4</w:t>
            </w:r>
          </w:p>
        </w:tc>
        <w:tc>
          <w:tcPr>
            <w:tcW w:w="480" w:type="dxa"/>
            <w:vAlign w:val="bottom"/>
          </w:tcPr>
          <w:p>
            <w:pPr>
              <w:spacing w:after="0"/>
              <w:rPr>
                <w:sz w:val="14"/>
                <w:szCs w:val="14"/>
                <w:color w:val="auto"/>
              </w:rPr>
            </w:pPr>
          </w:p>
        </w:tc>
        <w:tc>
          <w:tcPr>
            <w:tcW w:w="1120" w:type="dxa"/>
            <w:vAlign w:val="bottom"/>
          </w:tcPr>
          <w:p>
            <w:pPr>
              <w:jc w:val="right"/>
              <w:ind w:right="103"/>
              <w:spacing w:after="0"/>
              <w:rPr>
                <w:sz w:val="20"/>
                <w:szCs w:val="20"/>
                <w:color w:val="auto"/>
              </w:rPr>
            </w:pPr>
            <w:r>
              <w:rPr>
                <w:rFonts w:ascii="Arial" w:cs="Arial" w:eastAsia="Arial" w:hAnsi="Arial"/>
                <w:sz w:val="11"/>
                <w:szCs w:val="11"/>
                <w:color w:val="auto"/>
              </w:rPr>
              <w:t>(0.4)</w:t>
            </w:r>
          </w:p>
        </w:tc>
        <w:tc>
          <w:tcPr>
            <w:tcW w:w="6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0.4</w:t>
            </w:r>
          </w:p>
        </w:tc>
        <w:tc>
          <w:tcPr>
            <w:tcW w:w="720" w:type="dxa"/>
            <w:vAlign w:val="bottom"/>
          </w:tcPr>
          <w:p>
            <w:pPr>
              <w:jc w:val="right"/>
              <w:ind w:right="570"/>
              <w:spacing w:after="0"/>
              <w:rPr>
                <w:sz w:val="20"/>
                <w:szCs w:val="20"/>
                <w:color w:val="auto"/>
              </w:rPr>
            </w:pPr>
            <w:r>
              <w:rPr>
                <w:rFonts w:ascii="Arial" w:cs="Arial" w:eastAsia="Arial" w:hAnsi="Arial"/>
                <w:sz w:val="7"/>
                <w:szCs w:val="7"/>
                <w:color w:val="auto"/>
                <w:w w:val="92"/>
              </w:rPr>
              <w:t>(1)</w:t>
            </w: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3.4</w:t>
            </w:r>
          </w:p>
        </w:tc>
      </w:tr>
      <w:tr>
        <w:trPr>
          <w:trHeight w:val="174"/>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Dividends received</w:t>
            </w:r>
          </w:p>
        </w:tc>
        <w:tc>
          <w:tcPr>
            <w:tcW w:w="1080" w:type="dxa"/>
            <w:vAlign w:val="bottom"/>
            <w:shd w:val="clear" w:color="auto" w:fill="43C0B9"/>
          </w:tcPr>
          <w:p>
            <w:pPr>
              <w:spacing w:after="0"/>
              <w:rPr>
                <w:sz w:val="15"/>
                <w:szCs w:val="15"/>
                <w:color w:val="auto"/>
              </w:rPr>
            </w:pPr>
          </w:p>
        </w:tc>
        <w:tc>
          <w:tcPr>
            <w:tcW w:w="1180" w:type="dxa"/>
            <w:vAlign w:val="bottom"/>
            <w:shd w:val="clear" w:color="auto" w:fill="43C0B9"/>
          </w:tcPr>
          <w:p>
            <w:pPr>
              <w:jc w:val="right"/>
              <w:ind w:right="103"/>
              <w:spacing w:after="0"/>
              <w:rPr>
                <w:sz w:val="20"/>
                <w:szCs w:val="20"/>
                <w:color w:val="auto"/>
              </w:rPr>
            </w:pPr>
            <w:r>
              <w:rPr>
                <w:rFonts w:ascii="Arial" w:cs="Arial" w:eastAsia="Arial" w:hAnsi="Arial"/>
                <w:sz w:val="11"/>
                <w:szCs w:val="11"/>
                <w:color w:val="auto"/>
              </w:rPr>
              <w:t>(1.3)</w:t>
            </w:r>
          </w:p>
        </w:tc>
        <w:tc>
          <w:tcPr>
            <w:tcW w:w="480" w:type="dxa"/>
            <w:vAlign w:val="bottom"/>
            <w:shd w:val="clear" w:color="auto" w:fill="43C0B9"/>
          </w:tcPr>
          <w:p>
            <w:pPr>
              <w:spacing w:after="0"/>
              <w:rPr>
                <w:sz w:val="15"/>
                <w:szCs w:val="15"/>
                <w:color w:val="auto"/>
              </w:rPr>
            </w:pP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shd w:val="clear" w:color="auto" w:fill="43C0B9"/>
          </w:tcPr>
          <w:p>
            <w:pPr>
              <w:spacing w:after="0"/>
              <w:rPr>
                <w:sz w:val="15"/>
                <w:szCs w:val="15"/>
                <w:color w:val="auto"/>
              </w:rPr>
            </w:pP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43C0B9"/>
          </w:tcPr>
          <w:p>
            <w:pPr>
              <w:spacing w:after="0"/>
              <w:rPr>
                <w:sz w:val="15"/>
                <w:szCs w:val="15"/>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(1.3)</w:t>
            </w:r>
          </w:p>
        </w:tc>
      </w:tr>
      <w:tr>
        <w:trPr>
          <w:trHeight w:val="16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Investment contributions</w:t>
            </w: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0.7</w:t>
            </w: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1.2</w:t>
            </w: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w:t>
            </w:r>
          </w:p>
        </w:tc>
      </w:tr>
      <w:tr>
        <w:trPr>
          <w:trHeight w:val="165"/>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Investment balance October 31, 2019</w:t>
            </w:r>
          </w:p>
        </w:tc>
        <w:tc>
          <w:tcPr>
            <w:tcW w:w="1080" w:type="dxa"/>
            <w:vAlign w:val="bottom"/>
            <w:shd w:val="clear" w:color="auto" w:fill="43C0B9"/>
          </w:tcPr>
          <w:p>
            <w:pPr>
              <w:jc w:val="right"/>
              <w:ind w:right="163"/>
              <w:spacing w:after="0"/>
              <w:rPr>
                <w:sz w:val="20"/>
                <w:szCs w:val="20"/>
                <w:color w:val="auto"/>
              </w:rPr>
            </w:pPr>
            <w:r>
              <w:rPr>
                <w:rFonts w:ascii="Arial" w:cs="Arial" w:eastAsia="Arial" w:hAnsi="Arial"/>
                <w:sz w:val="11"/>
                <w:szCs w:val="11"/>
                <w:color w:val="auto"/>
              </w:rPr>
              <w:t>$</w:t>
            </w: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17.4</w:t>
            </w:r>
          </w:p>
        </w:tc>
        <w:tc>
          <w:tcPr>
            <w:tcW w:w="480" w:type="dxa"/>
            <w:vAlign w:val="bottom"/>
            <w:shd w:val="clear" w:color="auto" w:fill="43C0B9"/>
          </w:tcPr>
          <w:p>
            <w:pPr>
              <w:jc w:val="right"/>
              <w:ind w:right="223"/>
              <w:spacing w:after="0"/>
              <w:rPr>
                <w:sz w:val="20"/>
                <w:szCs w:val="20"/>
                <w:color w:val="auto"/>
              </w:rPr>
            </w:pPr>
            <w:r>
              <w:rPr>
                <w:rFonts w:ascii="Arial" w:cs="Arial" w:eastAsia="Arial" w:hAnsi="Arial"/>
                <w:sz w:val="11"/>
                <w:szCs w:val="11"/>
                <w:color w:val="auto"/>
              </w:rPr>
              <w:t>$</w:t>
            </w: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0.5</w:t>
            </w:r>
          </w:p>
        </w:tc>
        <w:tc>
          <w:tcPr>
            <w:tcW w:w="620" w:type="dxa"/>
            <w:vAlign w:val="bottom"/>
            <w:shd w:val="clear" w:color="auto" w:fill="43C0B9"/>
          </w:tcPr>
          <w:p>
            <w:pPr>
              <w:jc w:val="right"/>
              <w:ind w:right="363"/>
              <w:spacing w:after="0"/>
              <w:rPr>
                <w:sz w:val="20"/>
                <w:szCs w:val="20"/>
                <w:color w:val="auto"/>
              </w:rPr>
            </w:pPr>
            <w:r>
              <w:rPr>
                <w:rFonts w:ascii="Arial" w:cs="Arial" w:eastAsia="Arial" w:hAnsi="Arial"/>
                <w:sz w:val="11"/>
                <w:szCs w:val="11"/>
                <w:color w:val="auto"/>
              </w:rPr>
              <w:t>$</w:t>
            </w: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43.2</w:t>
            </w:r>
          </w:p>
        </w:tc>
        <w:tc>
          <w:tcPr>
            <w:tcW w:w="720" w:type="dxa"/>
            <w:vAlign w:val="bottom"/>
            <w:shd w:val="clear" w:color="auto" w:fill="43C0B9"/>
          </w:tcPr>
          <w:p>
            <w:pPr>
              <w:jc w:val="right"/>
              <w:ind w:right="350"/>
              <w:spacing w:after="0"/>
              <w:rPr>
                <w:sz w:val="20"/>
                <w:szCs w:val="20"/>
                <w:color w:val="auto"/>
              </w:rPr>
            </w:pPr>
            <w:r>
              <w:rPr>
                <w:rFonts w:ascii="Arial" w:cs="Arial" w:eastAsia="Arial" w:hAnsi="Arial"/>
                <w:sz w:val="11"/>
                <w:szCs w:val="11"/>
                <w:color w:val="auto"/>
              </w:rPr>
              <w:t>$</w:t>
            </w: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1.6</w:t>
            </w:r>
          </w:p>
        </w:tc>
        <w:tc>
          <w:tcPr>
            <w:tcW w:w="6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8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62.7</w:t>
            </w:r>
          </w:p>
        </w:tc>
      </w:tr>
      <w:tr>
        <w:trPr>
          <w:trHeight w:val="166"/>
        </w:trPr>
        <w:tc>
          <w:tcPr>
            <w:tcW w:w="2720" w:type="dxa"/>
            <w:vAlign w:val="bottom"/>
          </w:tcPr>
          <w:p>
            <w:pPr>
              <w:ind w:left="20"/>
              <w:spacing w:after="0"/>
              <w:rPr>
                <w:sz w:val="20"/>
                <w:szCs w:val="20"/>
                <w:color w:val="auto"/>
              </w:rPr>
            </w:pPr>
            <w:r>
              <w:rPr>
                <w:rFonts w:ascii="Arial" w:cs="Arial" w:eastAsia="Arial" w:hAnsi="Arial"/>
                <w:sz w:val="11"/>
                <w:szCs w:val="11"/>
                <w:color w:val="auto"/>
              </w:rPr>
              <w:t>Equity method income (losses)</w:t>
            </w:r>
          </w:p>
        </w:tc>
        <w:tc>
          <w:tcPr>
            <w:tcW w:w="1080" w:type="dxa"/>
            <w:vAlign w:val="bottom"/>
          </w:tcPr>
          <w:p>
            <w:pPr>
              <w:spacing w:after="0"/>
              <w:rPr>
                <w:sz w:val="14"/>
                <w:szCs w:val="14"/>
                <w:color w:val="auto"/>
              </w:rPr>
            </w:pPr>
          </w:p>
        </w:tc>
        <w:tc>
          <w:tcPr>
            <w:tcW w:w="1180" w:type="dxa"/>
            <w:vAlign w:val="bottom"/>
          </w:tcPr>
          <w:p>
            <w:pPr>
              <w:jc w:val="right"/>
              <w:ind w:right="123"/>
              <w:spacing w:after="0"/>
              <w:rPr>
                <w:sz w:val="20"/>
                <w:szCs w:val="20"/>
                <w:color w:val="auto"/>
              </w:rPr>
            </w:pPr>
            <w:r>
              <w:rPr>
                <w:rFonts w:ascii="Arial" w:cs="Arial" w:eastAsia="Arial" w:hAnsi="Arial"/>
                <w:sz w:val="11"/>
                <w:szCs w:val="11"/>
                <w:color w:val="auto"/>
              </w:rPr>
              <w:t>2.2</w:t>
            </w:r>
          </w:p>
        </w:tc>
        <w:tc>
          <w:tcPr>
            <w:tcW w:w="480" w:type="dxa"/>
            <w:vAlign w:val="bottom"/>
          </w:tcPr>
          <w:p>
            <w:pPr>
              <w:spacing w:after="0"/>
              <w:rPr>
                <w:sz w:val="14"/>
                <w:szCs w:val="14"/>
                <w:color w:val="auto"/>
              </w:rPr>
            </w:pPr>
          </w:p>
        </w:tc>
        <w:tc>
          <w:tcPr>
            <w:tcW w:w="1120" w:type="dxa"/>
            <w:vAlign w:val="bottom"/>
          </w:tcPr>
          <w:p>
            <w:pPr>
              <w:jc w:val="right"/>
              <w:ind w:right="103"/>
              <w:spacing w:after="0"/>
              <w:rPr>
                <w:sz w:val="20"/>
                <w:szCs w:val="20"/>
                <w:color w:val="auto"/>
              </w:rPr>
            </w:pPr>
            <w:r>
              <w:rPr>
                <w:rFonts w:ascii="Arial" w:cs="Arial" w:eastAsia="Arial" w:hAnsi="Arial"/>
                <w:sz w:val="11"/>
                <w:szCs w:val="11"/>
                <w:color w:val="auto"/>
              </w:rPr>
              <w:t>(0.1)</w:t>
            </w:r>
          </w:p>
        </w:tc>
        <w:tc>
          <w:tcPr>
            <w:tcW w:w="6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1.9</w:t>
            </w:r>
          </w:p>
        </w:tc>
        <w:tc>
          <w:tcPr>
            <w:tcW w:w="720" w:type="dxa"/>
            <w:vAlign w:val="bottom"/>
          </w:tcPr>
          <w:p>
            <w:pPr>
              <w:jc w:val="right"/>
              <w:ind w:right="570"/>
              <w:spacing w:after="0"/>
              <w:rPr>
                <w:sz w:val="20"/>
                <w:szCs w:val="20"/>
                <w:color w:val="auto"/>
              </w:rPr>
            </w:pPr>
            <w:r>
              <w:rPr>
                <w:rFonts w:ascii="Arial" w:cs="Arial" w:eastAsia="Arial" w:hAnsi="Arial"/>
                <w:sz w:val="7"/>
                <w:szCs w:val="7"/>
                <w:color w:val="auto"/>
                <w:w w:val="92"/>
              </w:rPr>
              <w:t>(1)</w:t>
            </w: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4.0</w:t>
            </w:r>
          </w:p>
        </w:tc>
      </w:tr>
      <w:tr>
        <w:trPr>
          <w:trHeight w:val="174"/>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Translation</w:t>
            </w:r>
          </w:p>
        </w:tc>
        <w:tc>
          <w:tcPr>
            <w:tcW w:w="1080" w:type="dxa"/>
            <w:vAlign w:val="bottom"/>
            <w:shd w:val="clear" w:color="auto" w:fill="43C0B9"/>
          </w:tcPr>
          <w:p>
            <w:pPr>
              <w:spacing w:after="0"/>
              <w:rPr>
                <w:sz w:val="15"/>
                <w:szCs w:val="15"/>
                <w:color w:val="auto"/>
              </w:rPr>
            </w:pP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shd w:val="clear" w:color="auto" w:fill="43C0B9"/>
          </w:tcPr>
          <w:p>
            <w:pPr>
              <w:spacing w:after="0"/>
              <w:rPr>
                <w:sz w:val="15"/>
                <w:szCs w:val="15"/>
                <w:color w:val="auto"/>
              </w:rPr>
            </w:pP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shd w:val="clear" w:color="auto" w:fill="43C0B9"/>
          </w:tcPr>
          <w:p>
            <w:pPr>
              <w:spacing w:after="0"/>
              <w:rPr>
                <w:sz w:val="15"/>
                <w:szCs w:val="15"/>
                <w:color w:val="auto"/>
              </w:rPr>
            </w:pP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1000" w:type="dxa"/>
            <w:vAlign w:val="bottom"/>
            <w:shd w:val="clear" w:color="auto" w:fill="43C0B9"/>
          </w:tcPr>
          <w:p>
            <w:pPr>
              <w:jc w:val="right"/>
              <w:ind w:right="83"/>
              <w:spacing w:after="0"/>
              <w:rPr>
                <w:sz w:val="20"/>
                <w:szCs w:val="20"/>
                <w:color w:val="auto"/>
              </w:rPr>
            </w:pPr>
            <w:r>
              <w:rPr>
                <w:rFonts w:ascii="Arial" w:cs="Arial" w:eastAsia="Arial" w:hAnsi="Arial"/>
                <w:sz w:val="11"/>
                <w:szCs w:val="11"/>
                <w:color w:val="auto"/>
              </w:rPr>
              <w:t>(0.5)</w:t>
            </w:r>
          </w:p>
        </w:tc>
        <w:tc>
          <w:tcPr>
            <w:tcW w:w="680" w:type="dxa"/>
            <w:vAlign w:val="bottom"/>
            <w:shd w:val="clear" w:color="auto" w:fill="43C0B9"/>
          </w:tcPr>
          <w:p>
            <w:pPr>
              <w:spacing w:after="0"/>
              <w:rPr>
                <w:sz w:val="15"/>
                <w:szCs w:val="15"/>
                <w:color w:val="auto"/>
              </w:rPr>
            </w:pPr>
          </w:p>
        </w:tc>
        <w:tc>
          <w:tcPr>
            <w:tcW w:w="8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(0.5)</w:t>
            </w:r>
          </w:p>
        </w:tc>
      </w:tr>
      <w:tr>
        <w:trPr>
          <w:trHeight w:val="166"/>
        </w:trPr>
        <w:tc>
          <w:tcPr>
            <w:tcW w:w="2720" w:type="dxa"/>
            <w:vAlign w:val="bottom"/>
          </w:tcPr>
          <w:p>
            <w:pPr>
              <w:ind w:left="20"/>
              <w:spacing w:after="0"/>
              <w:rPr>
                <w:sz w:val="20"/>
                <w:szCs w:val="20"/>
                <w:color w:val="auto"/>
              </w:rPr>
            </w:pPr>
            <w:r>
              <w:rPr>
                <w:rFonts w:ascii="Arial" w:cs="Arial" w:eastAsia="Arial" w:hAnsi="Arial"/>
                <w:sz w:val="11"/>
                <w:szCs w:val="11"/>
                <w:color w:val="auto"/>
              </w:rPr>
              <w:t>Dividends received</w:t>
            </w:r>
          </w:p>
        </w:tc>
        <w:tc>
          <w:tcPr>
            <w:tcW w:w="1080" w:type="dxa"/>
            <w:vAlign w:val="bottom"/>
          </w:tcPr>
          <w:p>
            <w:pPr>
              <w:spacing w:after="0"/>
              <w:rPr>
                <w:sz w:val="14"/>
                <w:szCs w:val="14"/>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(1.7)</w:t>
            </w:r>
          </w:p>
        </w:tc>
        <w:tc>
          <w:tcPr>
            <w:tcW w:w="480" w:type="dxa"/>
            <w:vAlign w:val="bottom"/>
          </w:tcPr>
          <w:p>
            <w:pPr>
              <w:spacing w:after="0"/>
              <w:rPr>
                <w:sz w:val="14"/>
                <w:szCs w:val="14"/>
                <w:color w:val="auto"/>
              </w:rPr>
            </w:pPr>
          </w:p>
        </w:tc>
        <w:tc>
          <w:tcPr>
            <w:tcW w:w="11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74"/>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Investment contributions</w:t>
            </w:r>
          </w:p>
        </w:tc>
        <w:tc>
          <w:tcPr>
            <w:tcW w:w="1080" w:type="dxa"/>
            <w:vAlign w:val="bottom"/>
            <w:shd w:val="clear" w:color="auto" w:fill="43C0B9"/>
          </w:tcPr>
          <w:p>
            <w:pPr>
              <w:spacing w:after="0"/>
              <w:rPr>
                <w:sz w:val="15"/>
                <w:szCs w:val="15"/>
                <w:color w:val="auto"/>
              </w:rPr>
            </w:pP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shd w:val="clear" w:color="auto" w:fill="43C0B9"/>
          </w:tcPr>
          <w:p>
            <w:pPr>
              <w:spacing w:after="0"/>
              <w:rPr>
                <w:sz w:val="15"/>
                <w:szCs w:val="15"/>
                <w:color w:val="auto"/>
              </w:rPr>
            </w:pP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shd w:val="clear" w:color="auto" w:fill="43C0B9"/>
          </w:tcPr>
          <w:p>
            <w:pPr>
              <w:spacing w:after="0"/>
              <w:rPr>
                <w:sz w:val="15"/>
                <w:szCs w:val="15"/>
                <w:color w:val="auto"/>
              </w:rPr>
            </w:pP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3.4</w:t>
            </w:r>
          </w:p>
        </w:tc>
        <w:tc>
          <w:tcPr>
            <w:tcW w:w="68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3.4</w:t>
            </w:r>
          </w:p>
        </w:tc>
      </w:tr>
      <w:tr>
        <w:trPr>
          <w:trHeight w:val="16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Impairment</w:t>
            </w: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w:t>
            </w: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w:t>
            </w:r>
          </w:p>
        </w:tc>
      </w:tr>
      <w:tr>
        <w:trPr>
          <w:trHeight w:val="165"/>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Investment balance October 31, 2020</w:t>
            </w:r>
          </w:p>
        </w:tc>
        <w:tc>
          <w:tcPr>
            <w:tcW w:w="1080" w:type="dxa"/>
            <w:vAlign w:val="bottom"/>
            <w:shd w:val="clear" w:color="auto" w:fill="43C0B9"/>
          </w:tcPr>
          <w:p>
            <w:pPr>
              <w:jc w:val="right"/>
              <w:ind w:right="163"/>
              <w:spacing w:after="0"/>
              <w:rPr>
                <w:sz w:val="20"/>
                <w:szCs w:val="20"/>
                <w:color w:val="auto"/>
              </w:rPr>
            </w:pPr>
            <w:r>
              <w:rPr>
                <w:rFonts w:ascii="Arial" w:cs="Arial" w:eastAsia="Arial" w:hAnsi="Arial"/>
                <w:sz w:val="11"/>
                <w:szCs w:val="11"/>
                <w:color w:val="auto"/>
              </w:rPr>
              <w:t>$</w:t>
            </w: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17.9</w:t>
            </w:r>
          </w:p>
        </w:tc>
        <w:tc>
          <w:tcPr>
            <w:tcW w:w="480" w:type="dxa"/>
            <w:vAlign w:val="bottom"/>
            <w:shd w:val="clear" w:color="auto" w:fill="43C0B9"/>
          </w:tcPr>
          <w:p>
            <w:pPr>
              <w:jc w:val="right"/>
              <w:ind w:right="223"/>
              <w:spacing w:after="0"/>
              <w:rPr>
                <w:sz w:val="20"/>
                <w:szCs w:val="20"/>
                <w:color w:val="auto"/>
              </w:rPr>
            </w:pPr>
            <w:r>
              <w:rPr>
                <w:rFonts w:ascii="Arial" w:cs="Arial" w:eastAsia="Arial" w:hAnsi="Arial"/>
                <w:sz w:val="11"/>
                <w:szCs w:val="11"/>
                <w:color w:val="auto"/>
              </w:rPr>
              <w:t>$</w:t>
            </w: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0.4</w:t>
            </w:r>
          </w:p>
        </w:tc>
        <w:tc>
          <w:tcPr>
            <w:tcW w:w="620" w:type="dxa"/>
            <w:vAlign w:val="bottom"/>
            <w:shd w:val="clear" w:color="auto" w:fill="43C0B9"/>
          </w:tcPr>
          <w:p>
            <w:pPr>
              <w:jc w:val="right"/>
              <w:ind w:right="363"/>
              <w:spacing w:after="0"/>
              <w:rPr>
                <w:sz w:val="20"/>
                <w:szCs w:val="20"/>
                <w:color w:val="auto"/>
              </w:rPr>
            </w:pPr>
            <w:r>
              <w:rPr>
                <w:rFonts w:ascii="Arial" w:cs="Arial" w:eastAsia="Arial" w:hAnsi="Arial"/>
                <w:sz w:val="11"/>
                <w:szCs w:val="11"/>
                <w:color w:val="auto"/>
              </w:rPr>
              <w:t>$</w:t>
            </w: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23.9</w:t>
            </w:r>
          </w:p>
        </w:tc>
        <w:tc>
          <w:tcPr>
            <w:tcW w:w="720" w:type="dxa"/>
            <w:vAlign w:val="bottom"/>
            <w:shd w:val="clear" w:color="auto" w:fill="43C0B9"/>
          </w:tcPr>
          <w:p>
            <w:pPr>
              <w:jc w:val="right"/>
              <w:ind w:right="350"/>
              <w:spacing w:after="0"/>
              <w:rPr>
                <w:sz w:val="20"/>
                <w:szCs w:val="20"/>
                <w:color w:val="auto"/>
              </w:rPr>
            </w:pPr>
            <w:r>
              <w:rPr>
                <w:rFonts w:ascii="Arial" w:cs="Arial" w:eastAsia="Arial" w:hAnsi="Arial"/>
                <w:sz w:val="11"/>
                <w:szCs w:val="11"/>
                <w:color w:val="auto"/>
              </w:rPr>
              <w:t>$</w:t>
            </w: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4.5</w:t>
            </w:r>
          </w:p>
        </w:tc>
        <w:tc>
          <w:tcPr>
            <w:tcW w:w="6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8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46.7</w:t>
            </w:r>
          </w:p>
        </w:tc>
      </w:tr>
      <w:tr>
        <w:trPr>
          <w:trHeight w:val="166"/>
        </w:trPr>
        <w:tc>
          <w:tcPr>
            <w:tcW w:w="2720" w:type="dxa"/>
            <w:vAlign w:val="bottom"/>
          </w:tcPr>
          <w:p>
            <w:pPr>
              <w:ind w:left="20"/>
              <w:spacing w:after="0"/>
              <w:rPr>
                <w:sz w:val="20"/>
                <w:szCs w:val="20"/>
                <w:color w:val="auto"/>
              </w:rPr>
            </w:pPr>
            <w:r>
              <w:rPr>
                <w:rFonts w:ascii="Arial" w:cs="Arial" w:eastAsia="Arial" w:hAnsi="Arial"/>
                <w:sz w:val="11"/>
                <w:szCs w:val="11"/>
                <w:color w:val="auto"/>
              </w:rPr>
              <w:t>Equity method income (losses)</w:t>
            </w:r>
          </w:p>
        </w:tc>
        <w:tc>
          <w:tcPr>
            <w:tcW w:w="1080" w:type="dxa"/>
            <w:vAlign w:val="bottom"/>
          </w:tcPr>
          <w:p>
            <w:pPr>
              <w:spacing w:after="0"/>
              <w:rPr>
                <w:sz w:val="14"/>
                <w:szCs w:val="14"/>
                <w:color w:val="auto"/>
              </w:rPr>
            </w:pPr>
          </w:p>
        </w:tc>
        <w:tc>
          <w:tcPr>
            <w:tcW w:w="1180" w:type="dxa"/>
            <w:vAlign w:val="bottom"/>
          </w:tcPr>
          <w:p>
            <w:pPr>
              <w:jc w:val="right"/>
              <w:ind w:right="123"/>
              <w:spacing w:after="0"/>
              <w:rPr>
                <w:sz w:val="20"/>
                <w:szCs w:val="20"/>
                <w:color w:val="auto"/>
              </w:rPr>
            </w:pPr>
            <w:r>
              <w:rPr>
                <w:rFonts w:ascii="Arial" w:cs="Arial" w:eastAsia="Arial" w:hAnsi="Arial"/>
                <w:sz w:val="11"/>
                <w:szCs w:val="11"/>
                <w:color w:val="auto"/>
              </w:rPr>
              <w:t>3.7</w:t>
            </w:r>
          </w:p>
        </w:tc>
        <w:tc>
          <w:tcPr>
            <w:tcW w:w="480" w:type="dxa"/>
            <w:vAlign w:val="bottom"/>
          </w:tcPr>
          <w:p>
            <w:pPr>
              <w:spacing w:after="0"/>
              <w:rPr>
                <w:sz w:val="14"/>
                <w:szCs w:val="14"/>
                <w:color w:val="auto"/>
              </w:rPr>
            </w:pPr>
          </w:p>
        </w:tc>
        <w:tc>
          <w:tcPr>
            <w:tcW w:w="1120" w:type="dxa"/>
            <w:vAlign w:val="bottom"/>
          </w:tcPr>
          <w:p>
            <w:pPr>
              <w:jc w:val="right"/>
              <w:ind w:right="123"/>
              <w:spacing w:after="0"/>
              <w:rPr>
                <w:sz w:val="20"/>
                <w:szCs w:val="20"/>
                <w:color w:val="auto"/>
              </w:rPr>
            </w:pPr>
            <w:r>
              <w:rPr>
                <w:rFonts w:ascii="Arial" w:cs="Arial" w:eastAsia="Arial" w:hAnsi="Arial"/>
                <w:sz w:val="11"/>
                <w:szCs w:val="11"/>
                <w:color w:val="auto"/>
              </w:rPr>
              <w:t>0.2</w:t>
            </w:r>
          </w:p>
        </w:tc>
        <w:tc>
          <w:tcPr>
            <w:tcW w:w="6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3.8</w:t>
            </w:r>
          </w:p>
        </w:tc>
        <w:tc>
          <w:tcPr>
            <w:tcW w:w="720" w:type="dxa"/>
            <w:vAlign w:val="bottom"/>
          </w:tcPr>
          <w:p>
            <w:pPr>
              <w:spacing w:after="0"/>
              <w:rPr>
                <w:sz w:val="14"/>
                <w:szCs w:val="14"/>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(0.2)</w:t>
            </w:r>
          </w:p>
        </w:tc>
        <w:tc>
          <w:tcPr>
            <w:tcW w:w="68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7.5</w:t>
            </w:r>
          </w:p>
        </w:tc>
      </w:tr>
      <w:tr>
        <w:trPr>
          <w:trHeight w:val="174"/>
        </w:trPr>
        <w:tc>
          <w:tcPr>
            <w:tcW w:w="2720" w:type="dxa"/>
            <w:vAlign w:val="bottom"/>
            <w:shd w:val="clear" w:color="auto" w:fill="43C0B9"/>
          </w:tcPr>
          <w:p>
            <w:pPr>
              <w:ind w:left="20"/>
              <w:spacing w:after="0"/>
              <w:rPr>
                <w:sz w:val="20"/>
                <w:szCs w:val="20"/>
                <w:color w:val="auto"/>
              </w:rPr>
            </w:pPr>
            <w:r>
              <w:rPr>
                <w:rFonts w:ascii="Arial" w:cs="Arial" w:eastAsia="Arial" w:hAnsi="Arial"/>
                <w:sz w:val="11"/>
                <w:szCs w:val="11"/>
                <w:color w:val="auto"/>
              </w:rPr>
              <w:t>Translation</w:t>
            </w:r>
          </w:p>
        </w:tc>
        <w:tc>
          <w:tcPr>
            <w:tcW w:w="1080" w:type="dxa"/>
            <w:vAlign w:val="bottom"/>
            <w:shd w:val="clear" w:color="auto" w:fill="43C0B9"/>
          </w:tcPr>
          <w:p>
            <w:pPr>
              <w:spacing w:after="0"/>
              <w:rPr>
                <w:sz w:val="15"/>
                <w:szCs w:val="15"/>
                <w:color w:val="auto"/>
              </w:rPr>
            </w:pPr>
          </w:p>
        </w:tc>
        <w:tc>
          <w:tcPr>
            <w:tcW w:w="118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shd w:val="clear" w:color="auto" w:fill="43C0B9"/>
          </w:tcPr>
          <w:p>
            <w:pPr>
              <w:spacing w:after="0"/>
              <w:rPr>
                <w:sz w:val="15"/>
                <w:szCs w:val="15"/>
                <w:color w:val="auto"/>
              </w:rPr>
            </w:pPr>
          </w:p>
        </w:tc>
        <w:tc>
          <w:tcPr>
            <w:tcW w:w="112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shd w:val="clear" w:color="auto" w:fill="43C0B9"/>
          </w:tcPr>
          <w:p>
            <w:pPr>
              <w:spacing w:after="0"/>
              <w:rPr>
                <w:sz w:val="15"/>
                <w:szCs w:val="15"/>
                <w:color w:val="auto"/>
              </w:rPr>
            </w:pPr>
          </w:p>
        </w:tc>
        <w:tc>
          <w:tcPr>
            <w:tcW w:w="8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spacing w:after="0"/>
              <w:rPr>
                <w:sz w:val="15"/>
                <w:szCs w:val="15"/>
                <w:color w:val="auto"/>
              </w:rPr>
            </w:pPr>
          </w:p>
        </w:tc>
        <w:tc>
          <w:tcPr>
            <w:tcW w:w="1000" w:type="dxa"/>
            <w:vAlign w:val="bottom"/>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r>
      <w:tr>
        <w:trPr>
          <w:trHeight w:val="166"/>
        </w:trPr>
        <w:tc>
          <w:tcPr>
            <w:tcW w:w="2720" w:type="dxa"/>
            <w:vAlign w:val="bottom"/>
          </w:tcPr>
          <w:p>
            <w:pPr>
              <w:ind w:left="20"/>
              <w:spacing w:after="0"/>
              <w:rPr>
                <w:sz w:val="20"/>
                <w:szCs w:val="20"/>
                <w:color w:val="auto"/>
              </w:rPr>
            </w:pPr>
            <w:r>
              <w:rPr>
                <w:rFonts w:ascii="Arial" w:cs="Arial" w:eastAsia="Arial" w:hAnsi="Arial"/>
                <w:sz w:val="11"/>
                <w:szCs w:val="11"/>
                <w:color w:val="auto"/>
              </w:rPr>
              <w:t>Dividends received</w:t>
            </w:r>
          </w:p>
        </w:tc>
        <w:tc>
          <w:tcPr>
            <w:tcW w:w="1080" w:type="dxa"/>
            <w:vAlign w:val="bottom"/>
          </w:tcPr>
          <w:p>
            <w:pPr>
              <w:spacing w:after="0"/>
              <w:rPr>
                <w:sz w:val="14"/>
                <w:szCs w:val="14"/>
                <w:color w:val="auto"/>
              </w:rPr>
            </w:pPr>
          </w:p>
        </w:tc>
        <w:tc>
          <w:tcPr>
            <w:tcW w:w="1180" w:type="dxa"/>
            <w:vAlign w:val="bottom"/>
          </w:tcPr>
          <w:p>
            <w:pPr>
              <w:jc w:val="right"/>
              <w:ind w:right="103"/>
              <w:spacing w:after="0"/>
              <w:rPr>
                <w:sz w:val="20"/>
                <w:szCs w:val="20"/>
                <w:color w:val="auto"/>
              </w:rPr>
            </w:pPr>
            <w:r>
              <w:rPr>
                <w:rFonts w:ascii="Arial" w:cs="Arial" w:eastAsia="Arial" w:hAnsi="Arial"/>
                <w:sz w:val="11"/>
                <w:szCs w:val="11"/>
                <w:color w:val="auto"/>
              </w:rPr>
              <w:t>(1.7)</w:t>
            </w:r>
          </w:p>
        </w:tc>
        <w:tc>
          <w:tcPr>
            <w:tcW w:w="480" w:type="dxa"/>
            <w:vAlign w:val="bottom"/>
          </w:tcPr>
          <w:p>
            <w:pPr>
              <w:spacing w:after="0"/>
              <w:rPr>
                <w:sz w:val="14"/>
                <w:szCs w:val="14"/>
                <w:color w:val="auto"/>
              </w:rPr>
            </w:pPr>
          </w:p>
        </w:tc>
        <w:tc>
          <w:tcPr>
            <w:tcW w:w="112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70"/>
        </w:trPr>
        <w:tc>
          <w:tcPr>
            <w:tcW w:w="27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Investment contributions</w:t>
            </w:r>
          </w:p>
        </w:tc>
        <w:tc>
          <w:tcPr>
            <w:tcW w:w="1080" w:type="dxa"/>
            <w:vAlign w:val="bottom"/>
            <w:tcBorders>
              <w:bottom w:val="single" w:sz="8" w:color="auto"/>
            </w:tcBorders>
            <w:shd w:val="clear" w:color="auto" w:fill="43C0B9"/>
          </w:tcPr>
          <w:p>
            <w:pPr>
              <w:spacing w:after="0"/>
              <w:rPr>
                <w:sz w:val="14"/>
                <w:szCs w:val="14"/>
                <w:color w:val="auto"/>
              </w:rPr>
            </w:pPr>
          </w:p>
        </w:tc>
        <w:tc>
          <w:tcPr>
            <w:tcW w:w="1180" w:type="dxa"/>
            <w:vAlign w:val="bottom"/>
            <w:tcBorders>
              <w:bottom w:val="single" w:sz="8" w:color="auto"/>
            </w:tcBorders>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shd w:val="clear" w:color="auto" w:fill="43C0B9"/>
          </w:tcPr>
          <w:p>
            <w:pPr>
              <w:spacing w:after="0"/>
              <w:rPr>
                <w:sz w:val="14"/>
                <w:szCs w:val="14"/>
                <w:color w:val="auto"/>
              </w:rPr>
            </w:pPr>
          </w:p>
        </w:tc>
        <w:tc>
          <w:tcPr>
            <w:tcW w:w="1120" w:type="dxa"/>
            <w:vAlign w:val="bottom"/>
            <w:tcBorders>
              <w:bottom w:val="single" w:sz="8" w:color="auto"/>
            </w:tcBorders>
            <w:shd w:val="clear" w:color="auto" w:fill="43C0B9"/>
          </w:tcPr>
          <w:p>
            <w:pPr>
              <w:jc w:val="right"/>
              <w:ind w:right="12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43C0B9"/>
          </w:tcPr>
          <w:p>
            <w:pPr>
              <w:spacing w:after="0"/>
              <w:rPr>
                <w:sz w:val="14"/>
                <w:szCs w:val="14"/>
                <w:color w:val="auto"/>
              </w:rPr>
            </w:pPr>
          </w:p>
        </w:tc>
        <w:tc>
          <w:tcPr>
            <w:tcW w:w="84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43C0B9"/>
          </w:tcPr>
          <w:p>
            <w:pPr>
              <w:spacing w:after="0"/>
              <w:rPr>
                <w:sz w:val="14"/>
                <w:szCs w:val="14"/>
                <w:color w:val="auto"/>
              </w:rPr>
            </w:pPr>
          </w:p>
        </w:tc>
        <w:tc>
          <w:tcPr>
            <w:tcW w:w="1000" w:type="dxa"/>
            <w:vAlign w:val="bottom"/>
            <w:tcBorders>
              <w:bottom w:val="single" w:sz="8" w:color="auto"/>
            </w:tcBorders>
            <w:shd w:val="clear" w:color="auto" w:fill="43C0B9"/>
          </w:tcPr>
          <w:p>
            <w:pPr>
              <w:jc w:val="right"/>
              <w:ind w:right="123"/>
              <w:spacing w:after="0"/>
              <w:rPr>
                <w:sz w:val="20"/>
                <w:szCs w:val="20"/>
                <w:color w:val="auto"/>
              </w:rPr>
            </w:pPr>
            <w:r>
              <w:rPr>
                <w:rFonts w:ascii="Arial" w:cs="Arial" w:eastAsia="Arial" w:hAnsi="Arial"/>
                <w:sz w:val="11"/>
                <w:szCs w:val="11"/>
                <w:color w:val="auto"/>
              </w:rPr>
              <w:t>0.2</w:t>
            </w:r>
          </w:p>
        </w:tc>
        <w:tc>
          <w:tcPr>
            <w:tcW w:w="680" w:type="dxa"/>
            <w:vAlign w:val="bottom"/>
            <w:tcBorders>
              <w:bottom w:val="single" w:sz="8" w:color="auto"/>
            </w:tcBorders>
            <w:shd w:val="clear" w:color="auto" w:fill="43C0B9"/>
          </w:tcPr>
          <w:p>
            <w:pPr>
              <w:spacing w:after="0"/>
              <w:rPr>
                <w:sz w:val="14"/>
                <w:szCs w:val="14"/>
                <w:color w:val="auto"/>
              </w:rPr>
            </w:pPr>
          </w:p>
        </w:tc>
        <w:tc>
          <w:tcPr>
            <w:tcW w:w="8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0.2</w:t>
            </w:r>
          </w:p>
        </w:tc>
      </w:tr>
      <w:tr>
        <w:trPr>
          <w:trHeight w:val="16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Investment balance October 31, 2021</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19.9</w:t>
            </w:r>
          </w:p>
        </w:tc>
        <w:tc>
          <w:tcPr>
            <w:tcW w:w="48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0.6</w:t>
            </w:r>
          </w:p>
        </w:tc>
        <w:tc>
          <w:tcPr>
            <w:tcW w:w="6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27.7</w:t>
            </w: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4.5</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52.7</w:t>
            </w:r>
          </w:p>
        </w:tc>
      </w:tr>
    </w:tbl>
    <w:p>
      <w:pPr>
        <w:spacing w:after="0" w:line="27" w:lineRule="exact"/>
        <w:rPr>
          <w:sz w:val="20"/>
          <w:szCs w:val="20"/>
          <w:color w:val="auto"/>
        </w:rPr>
      </w:pPr>
    </w:p>
    <w:p>
      <w:pPr>
        <w:ind w:left="140" w:hanging="135"/>
        <w:spacing w:after="0"/>
        <w:tabs>
          <w:tab w:leader="none" w:pos="140" w:val="left"/>
        </w:tabs>
        <w:numPr>
          <w:ilvl w:val="0"/>
          <w:numId w:val="15"/>
        </w:numPr>
        <w:rPr>
          <w:rFonts w:ascii="Arial" w:cs="Arial" w:eastAsia="Arial" w:hAnsi="Arial"/>
          <w:sz w:val="13"/>
          <w:szCs w:val="13"/>
          <w:color w:val="auto"/>
          <w:vertAlign w:val="superscript"/>
        </w:rPr>
      </w:pPr>
      <w:r>
        <w:rPr>
          <w:rFonts w:ascii="Arial" w:cs="Arial" w:eastAsia="Arial" w:hAnsi="Arial"/>
          <w:sz w:val="10"/>
          <w:szCs w:val="10"/>
          <w:color w:val="auto"/>
        </w:rPr>
        <w:t>Included amortization of customer relationship intangible of $0.4 million and $0.6 million during the years ended October 31, 2020 and 2019, respectively. The customer relationship intangible was fully amortized as of October 31, 2020.</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There was no OTTI identified in the year ended October 31, 2021 that would have required us to test for impairment on any of our equity method investments.</w:t>
      </w:r>
    </w:p>
    <w:p>
      <w:pPr>
        <w:spacing w:after="0" w:line="146" w:lineRule="exact"/>
        <w:rPr>
          <w:sz w:val="20"/>
          <w:szCs w:val="20"/>
          <w:color w:val="auto"/>
        </w:rPr>
      </w:pPr>
    </w:p>
    <w:p>
      <w:pPr>
        <w:ind w:left="360" w:hanging="355"/>
        <w:spacing w:after="0"/>
        <w:tabs>
          <w:tab w:leader="none" w:pos="360" w:val="left"/>
        </w:tabs>
        <w:numPr>
          <w:ilvl w:val="0"/>
          <w:numId w:val="16"/>
        </w:numPr>
        <w:rPr>
          <w:rFonts w:ascii="Arial" w:cs="Arial" w:eastAsia="Arial" w:hAnsi="Arial"/>
          <w:sz w:val="16"/>
          <w:szCs w:val="16"/>
          <w:b w:val="1"/>
          <w:bCs w:val="1"/>
          <w:color w:val="232F84"/>
        </w:rPr>
      </w:pPr>
      <w:r>
        <w:rPr>
          <w:rFonts w:ascii="Arial" w:cs="Arial" w:eastAsia="Arial" w:hAnsi="Arial"/>
          <w:sz w:val="16"/>
          <w:szCs w:val="16"/>
          <w:b w:val="1"/>
          <w:bCs w:val="1"/>
          <w:color w:val="232F84"/>
        </w:rPr>
        <w:t>Debt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Credit facility</w:t>
      </w:r>
    </w:p>
    <w:p>
      <w:pPr>
        <w:spacing w:after="0" w:line="172" w:lineRule="exact"/>
        <w:rPr>
          <w:sz w:val="20"/>
          <w:szCs w:val="20"/>
          <w:color w:val="auto"/>
        </w:rPr>
      </w:pPr>
    </w:p>
    <w:p>
      <w:pPr>
        <w:ind w:right="40" w:firstLine="509"/>
        <w:spacing w:after="0" w:line="241" w:lineRule="auto"/>
        <w:rPr>
          <w:sz w:val="20"/>
          <w:szCs w:val="20"/>
          <w:color w:val="auto"/>
        </w:rPr>
      </w:pPr>
      <w:r>
        <w:rPr>
          <w:rFonts w:ascii="Arial" w:cs="Arial" w:eastAsia="Arial" w:hAnsi="Arial"/>
          <w:sz w:val="13"/>
          <w:szCs w:val="13"/>
          <w:color w:val="auto"/>
        </w:rPr>
        <w:t>In October 2018 the Company entered into a $275 million syndicated credit facility with Bank of America (“BoA”) Merrill Lynch. The credit facility is comprised of two senior term loans totaling $175 million (Term A-1 and Term A-2) and a revolving credit agreement providing up to $100 million in borrowings. The loans are secured by real property, personal property and the capital stock of the Company’s subsidiaries. Borrowings under the credit facility bear interest at a spread over LIBOR ranging from 1.50% to 2.75% depending on the Company’s leverage ratio.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The credit facility also includes a swing line facility and an accordion feature which allows the Company to increase the borrowings by up to $125 million, with bank approval. We pay fees on unused commitments on the credit facility that accrue at rates ranging from 0.18% to 0.3% depending upon the Company’s leverage ratio.</w:t>
      </w:r>
    </w:p>
    <w:p>
      <w:pPr>
        <w:spacing w:after="0" w:line="14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3"/>
          <w:szCs w:val="13"/>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October 31, 2021, the Company was in compliance with all covenants of the credit facility.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Long-term debt under our credit facility with BoA Merrill Lynch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shd w:val="clear" w:color="auto" w:fill="232F84"/>
          </w:tcPr>
          <w:p>
            <w:pPr>
              <w:spacing w:after="0"/>
              <w:rPr>
                <w:sz w:val="15"/>
                <w:szCs w:val="15"/>
                <w:color w:val="auto"/>
              </w:rPr>
            </w:pPr>
          </w:p>
        </w:tc>
        <w:tc>
          <w:tcPr>
            <w:tcW w:w="720" w:type="dxa"/>
            <w:vAlign w:val="bottom"/>
            <w:shd w:val="clear" w:color="auto" w:fill="232F84"/>
          </w:tcPr>
          <w:p>
            <w:pPr>
              <w:spacing w:after="0"/>
              <w:rPr>
                <w:sz w:val="15"/>
                <w:szCs w:val="15"/>
                <w:color w:val="auto"/>
              </w:rPr>
            </w:pPr>
          </w:p>
        </w:tc>
        <w:tc>
          <w:tcPr>
            <w:tcW w:w="1760" w:type="dxa"/>
            <w:vAlign w:val="bottom"/>
            <w:gridSpan w:val="2"/>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October 31,</w:t>
            </w:r>
          </w:p>
        </w:tc>
        <w:tc>
          <w:tcPr>
            <w:tcW w:w="820" w:type="dxa"/>
            <w:vAlign w:val="bottom"/>
            <w:shd w:val="clear" w:color="auto" w:fill="232F84"/>
          </w:tcPr>
          <w:p>
            <w:pPr>
              <w:spacing w:after="0"/>
              <w:rPr>
                <w:sz w:val="15"/>
                <w:szCs w:val="15"/>
                <w:color w:val="auto"/>
              </w:rPr>
            </w:pPr>
          </w:p>
        </w:tc>
      </w:tr>
      <w:tr>
        <w:trPr>
          <w:trHeight w:val="175"/>
        </w:trPr>
        <w:tc>
          <w:tcPr>
            <w:tcW w:w="79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72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00" w:type="dxa"/>
            <w:vAlign w:val="bottom"/>
            <w:shd w:val="clear" w:color="auto" w:fill="232F84"/>
          </w:tcPr>
          <w:p>
            <w:pPr>
              <w:spacing w:after="0"/>
              <w:rPr>
                <w:sz w:val="15"/>
                <w:szCs w:val="15"/>
                <w:color w:val="auto"/>
              </w:rPr>
            </w:pPr>
          </w:p>
        </w:tc>
        <w:tc>
          <w:tcPr>
            <w:tcW w:w="820" w:type="dxa"/>
            <w:vAlign w:val="bottom"/>
            <w:shd w:val="clear" w:color="auto" w:fill="232F84"/>
          </w:tcPr>
          <w:p>
            <w:pPr>
              <w:jc w:val="center"/>
              <w:ind w:left="483"/>
              <w:spacing w:after="0"/>
              <w:rPr>
                <w:sz w:val="20"/>
                <w:szCs w:val="20"/>
                <w:color w:val="auto"/>
              </w:rPr>
            </w:pPr>
            <w:r>
              <w:rPr>
                <w:rFonts w:ascii="Arial" w:cs="Arial" w:eastAsia="Arial" w:hAnsi="Arial"/>
                <w:sz w:val="11"/>
                <w:szCs w:val="11"/>
                <w:b w:val="1"/>
                <w:bCs w:val="1"/>
                <w:color w:val="FFFFFF"/>
                <w:w w:val="97"/>
              </w:rPr>
              <w:t>2020</w:t>
            </w:r>
          </w:p>
        </w:tc>
      </w:tr>
      <w:tr>
        <w:trPr>
          <w:trHeight w:val="152"/>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Revolving line of credit. The interest rate is variable, based on LIBOR plus a spread that varies with the Company’s leverage ratio. As of October 31, 2021 and</w:t>
            </w:r>
          </w:p>
        </w:tc>
        <w:tc>
          <w:tcPr>
            <w:tcW w:w="720" w:type="dxa"/>
            <w:vAlign w:val="bottom"/>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800" w:type="dxa"/>
            <w:vAlign w:val="bottom"/>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45"/>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2020, the interest rate was 1.84% and 1.90%, respectively. Interest is payable monthly and principal is due in full in October 2023.</w:t>
            </w:r>
          </w:p>
        </w:tc>
        <w:tc>
          <w:tcPr>
            <w:tcW w:w="720" w:type="dxa"/>
            <w:vAlign w:val="bottom"/>
            <w:shd w:val="clear" w:color="auto" w:fill="43C0B9"/>
          </w:tcPr>
          <w:p>
            <w:pPr>
              <w:spacing w:after="0"/>
              <w:rPr>
                <w:sz w:val="12"/>
                <w:szCs w:val="12"/>
                <w:color w:val="auto"/>
              </w:rPr>
            </w:pPr>
          </w:p>
        </w:tc>
        <w:tc>
          <w:tcPr>
            <w:tcW w:w="960" w:type="dxa"/>
            <w:vAlign w:val="bottom"/>
            <w:shd w:val="clear" w:color="auto" w:fill="43C0B9"/>
          </w:tcPr>
          <w:p>
            <w:pPr>
              <w:spacing w:after="0"/>
              <w:rPr>
                <w:sz w:val="12"/>
                <w:szCs w:val="12"/>
                <w:color w:val="auto"/>
              </w:rPr>
            </w:pPr>
          </w:p>
        </w:tc>
        <w:tc>
          <w:tcPr>
            <w:tcW w:w="800" w:type="dxa"/>
            <w:vAlign w:val="bottom"/>
            <w:shd w:val="clear" w:color="auto" w:fill="43C0B9"/>
          </w:tcPr>
          <w:p>
            <w:pPr>
              <w:spacing w:after="0"/>
              <w:rPr>
                <w:sz w:val="12"/>
                <w:szCs w:val="12"/>
                <w:color w:val="auto"/>
              </w:rPr>
            </w:pPr>
          </w:p>
        </w:tc>
        <w:tc>
          <w:tcPr>
            <w:tcW w:w="820" w:type="dxa"/>
            <w:vAlign w:val="bottom"/>
            <w:shd w:val="clear" w:color="auto" w:fill="43C0B9"/>
          </w:tcPr>
          <w:p>
            <w:pPr>
              <w:spacing w:after="0"/>
              <w:rPr>
                <w:sz w:val="12"/>
                <w:szCs w:val="12"/>
                <w:color w:val="auto"/>
              </w:rPr>
            </w:pPr>
          </w:p>
        </w:tc>
      </w:tr>
      <w:tr>
        <w:trPr>
          <w:trHeight w:val="152"/>
        </w:trPr>
        <w:tc>
          <w:tcPr>
            <w:tcW w:w="7980" w:type="dxa"/>
            <w:vAlign w:val="bottom"/>
          </w:tcPr>
          <w:p>
            <w:pPr>
              <w:ind w:left="20"/>
              <w:spacing w:after="0"/>
              <w:rPr>
                <w:sz w:val="20"/>
                <w:szCs w:val="20"/>
                <w:color w:val="auto"/>
              </w:rPr>
            </w:pPr>
            <w:r>
              <w:rPr>
                <w:rFonts w:ascii="Arial" w:cs="Arial" w:eastAsia="Arial" w:hAnsi="Arial"/>
                <w:sz w:val="11"/>
                <w:szCs w:val="11"/>
                <w:color w:val="auto"/>
              </w:rPr>
              <w:t>Senior term loan (A-1). The interest rate is variable, based on LIBOR plus a spread that varies with the Company’s leverage ratio. As of October 31, 2021 and</w:t>
            </w:r>
          </w:p>
        </w:tc>
        <w:tc>
          <w:tcPr>
            <w:tcW w:w="720" w:type="dxa"/>
            <w:vAlign w:val="bottom"/>
          </w:tcPr>
          <w:p>
            <w:pPr>
              <w:spacing w:after="0"/>
              <w:rPr>
                <w:sz w:val="13"/>
                <w:szCs w:val="13"/>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90.0</w:t>
            </w:r>
          </w:p>
        </w:tc>
        <w:tc>
          <w:tcPr>
            <w:tcW w:w="8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95.0</w:t>
            </w:r>
          </w:p>
        </w:tc>
      </w:tr>
      <w:tr>
        <w:trPr>
          <w:trHeight w:val="141"/>
        </w:trPr>
        <w:tc>
          <w:tcPr>
            <w:tcW w:w="7980" w:type="dxa"/>
            <w:vAlign w:val="bottom"/>
          </w:tcPr>
          <w:p>
            <w:pPr>
              <w:ind w:left="20"/>
              <w:spacing w:after="0"/>
              <w:rPr>
                <w:sz w:val="20"/>
                <w:szCs w:val="20"/>
                <w:color w:val="auto"/>
              </w:rPr>
            </w:pPr>
            <w:r>
              <w:rPr>
                <w:rFonts w:ascii="Arial" w:cs="Arial" w:eastAsia="Arial" w:hAnsi="Arial"/>
                <w:sz w:val="11"/>
                <w:szCs w:val="11"/>
                <w:color w:val="auto"/>
              </w:rPr>
              <w:t>2020, the interest rate was 1.84% and 1.90%, respectively. Interest is payable monthly, principal is payable quarterly and due in full in October 2023.</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7"/>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Senior term loan (A-2). The interest rate is variable, based on LIBOR plus a spread that varies with the Company’s leverage ratio. As of October 31, 2021 and</w:t>
            </w:r>
          </w:p>
        </w:tc>
        <w:tc>
          <w:tcPr>
            <w:tcW w:w="720" w:type="dxa"/>
            <w:vAlign w:val="bottom"/>
            <w:shd w:val="clear" w:color="auto" w:fill="43C0B9"/>
          </w:tcPr>
          <w:p>
            <w:pPr>
              <w:spacing w:after="0"/>
              <w:rPr>
                <w:sz w:val="13"/>
                <w:szCs w:val="13"/>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72.8</w:t>
            </w:r>
          </w:p>
        </w:tc>
        <w:tc>
          <w:tcPr>
            <w:tcW w:w="800" w:type="dxa"/>
            <w:vAlign w:val="bottom"/>
            <w:shd w:val="clear" w:color="auto" w:fill="43C0B9"/>
          </w:tcPr>
          <w:p>
            <w:pPr>
              <w:spacing w:after="0"/>
              <w:rPr>
                <w:sz w:val="13"/>
                <w:szCs w:val="13"/>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73.5</w:t>
            </w:r>
          </w:p>
        </w:tc>
      </w:tr>
      <w:tr>
        <w:trPr>
          <w:trHeight w:val="145"/>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2020, the interest rate was 2.34% and 2.40% respectively. Interest is payable monthly, principal is payable quarterly and due in full in October 2025.</w:t>
            </w:r>
          </w:p>
        </w:tc>
        <w:tc>
          <w:tcPr>
            <w:tcW w:w="720" w:type="dxa"/>
            <w:vAlign w:val="bottom"/>
            <w:shd w:val="clear" w:color="auto" w:fill="43C0B9"/>
          </w:tcPr>
          <w:p>
            <w:pPr>
              <w:spacing w:after="0"/>
              <w:rPr>
                <w:sz w:val="12"/>
                <w:szCs w:val="12"/>
                <w:color w:val="auto"/>
              </w:rPr>
            </w:pPr>
          </w:p>
        </w:tc>
        <w:tc>
          <w:tcPr>
            <w:tcW w:w="960" w:type="dxa"/>
            <w:vAlign w:val="bottom"/>
            <w:shd w:val="clear" w:color="auto" w:fill="43C0B9"/>
          </w:tcPr>
          <w:p>
            <w:pPr>
              <w:spacing w:after="0"/>
              <w:rPr>
                <w:sz w:val="12"/>
                <w:szCs w:val="12"/>
                <w:color w:val="auto"/>
              </w:rPr>
            </w:pPr>
          </w:p>
        </w:tc>
        <w:tc>
          <w:tcPr>
            <w:tcW w:w="800" w:type="dxa"/>
            <w:vAlign w:val="bottom"/>
            <w:shd w:val="clear" w:color="auto" w:fill="43C0B9"/>
          </w:tcPr>
          <w:p>
            <w:pPr>
              <w:spacing w:after="0"/>
              <w:rPr>
                <w:sz w:val="12"/>
                <w:szCs w:val="12"/>
                <w:color w:val="auto"/>
              </w:rPr>
            </w:pPr>
          </w:p>
        </w:tc>
        <w:tc>
          <w:tcPr>
            <w:tcW w:w="820" w:type="dxa"/>
            <w:vAlign w:val="bottom"/>
            <w:shd w:val="clear" w:color="auto" w:fill="43C0B9"/>
          </w:tcPr>
          <w:p>
            <w:pPr>
              <w:spacing w:after="0"/>
              <w:rPr>
                <w:sz w:val="12"/>
                <w:szCs w:val="12"/>
                <w:color w:val="auto"/>
              </w:rPr>
            </w:pPr>
          </w:p>
        </w:tc>
      </w:tr>
      <w:tr>
        <w:trPr>
          <w:trHeight w:val="152"/>
        </w:trPr>
        <w:tc>
          <w:tcPr>
            <w:tcW w:w="7980" w:type="dxa"/>
            <w:vAlign w:val="bottom"/>
          </w:tcPr>
          <w:p>
            <w:pPr>
              <w:ind w:left="20"/>
              <w:spacing w:after="0"/>
              <w:rPr>
                <w:sz w:val="20"/>
                <w:szCs w:val="20"/>
                <w:color w:val="auto"/>
              </w:rPr>
            </w:pPr>
            <w:r>
              <w:rPr>
                <w:rFonts w:ascii="Arial" w:cs="Arial" w:eastAsia="Arial" w:hAnsi="Arial"/>
                <w:sz w:val="11"/>
                <w:szCs w:val="11"/>
                <w:color w:val="auto"/>
              </w:rPr>
              <w:t>Notes payable to BoA. Payable in monthly installments including interest at a weighted average rate of 4.41% and 4.52% as of October 31, 2021 and 2020,</w:t>
            </w:r>
          </w:p>
        </w:tc>
        <w:tc>
          <w:tcPr>
            <w:tcW w:w="720" w:type="dxa"/>
            <w:vAlign w:val="bottom"/>
          </w:tcPr>
          <w:p>
            <w:pPr>
              <w:spacing w:after="0"/>
              <w:rPr>
                <w:sz w:val="13"/>
                <w:szCs w:val="13"/>
                <w:color w:val="auto"/>
              </w:rPr>
            </w:pPr>
          </w:p>
        </w:tc>
        <w:tc>
          <w:tcPr>
            <w:tcW w:w="960" w:type="dxa"/>
            <w:vAlign w:val="bottom"/>
          </w:tcPr>
          <w:p>
            <w:pPr>
              <w:jc w:val="right"/>
              <w:ind w:right="23"/>
              <w:spacing w:after="0"/>
              <w:rPr>
                <w:sz w:val="20"/>
                <w:szCs w:val="20"/>
                <w:color w:val="auto"/>
              </w:rPr>
            </w:pPr>
            <w:r>
              <w:rPr>
                <w:rFonts w:ascii="Arial" w:cs="Arial" w:eastAsia="Arial" w:hAnsi="Arial"/>
                <w:sz w:val="11"/>
                <w:szCs w:val="11"/>
                <w:color w:val="auto"/>
              </w:rPr>
              <w:t>1.5</w:t>
            </w:r>
          </w:p>
        </w:tc>
        <w:tc>
          <w:tcPr>
            <w:tcW w:w="8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w:t>
            </w:r>
          </w:p>
        </w:tc>
      </w:tr>
      <w:tr>
        <w:trPr>
          <w:trHeight w:val="141"/>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respectively. Principal is due July 2024.</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65"/>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Total long-term debt</w:t>
            </w:r>
          </w:p>
        </w:tc>
        <w:tc>
          <w:tcPr>
            <w:tcW w:w="720" w:type="dxa"/>
            <w:vAlign w:val="bottom"/>
            <w:shd w:val="clear" w:color="auto" w:fill="43C0B9"/>
          </w:tcPr>
          <w:p>
            <w:pPr>
              <w:spacing w:after="0"/>
              <w:rPr>
                <w:sz w:val="14"/>
                <w:szCs w:val="14"/>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164.3</w:t>
            </w: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174.7</w:t>
            </w:r>
          </w:p>
        </w:tc>
      </w:tr>
      <w:tr>
        <w:trPr>
          <w:trHeight w:val="16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debt issuance costs</w:t>
            </w: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(0.4)</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color w:val="auto"/>
              </w:rPr>
              <w:t>(0.6)</w:t>
            </w:r>
          </w:p>
        </w:tc>
      </w:tr>
      <w:tr>
        <w:trPr>
          <w:trHeight w:val="165"/>
        </w:trPr>
        <w:tc>
          <w:tcPr>
            <w:tcW w:w="7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Long-term debt, net of debt issuance costs</w:t>
            </w:r>
          </w:p>
        </w:tc>
        <w:tc>
          <w:tcPr>
            <w:tcW w:w="720" w:type="dxa"/>
            <w:vAlign w:val="bottom"/>
            <w:shd w:val="clear" w:color="auto" w:fill="43C0B9"/>
          </w:tcPr>
          <w:p>
            <w:pPr>
              <w:spacing w:after="0"/>
              <w:rPr>
                <w:sz w:val="14"/>
                <w:szCs w:val="14"/>
                <w:color w:val="auto"/>
              </w:rPr>
            </w:pPr>
          </w:p>
        </w:tc>
        <w:tc>
          <w:tcPr>
            <w:tcW w:w="96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163.9</w:t>
            </w:r>
          </w:p>
        </w:tc>
        <w:tc>
          <w:tcPr>
            <w:tcW w:w="800" w:type="dxa"/>
            <w:vAlign w:val="bottom"/>
            <w:shd w:val="clear" w:color="auto" w:fill="43C0B9"/>
          </w:tcPr>
          <w:p>
            <w:pPr>
              <w:spacing w:after="0"/>
              <w:rPr>
                <w:sz w:val="14"/>
                <w:szCs w:val="14"/>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174.1</w:t>
            </w:r>
          </w:p>
        </w:tc>
      </w:tr>
      <w:tr>
        <w:trPr>
          <w:trHeight w:val="16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current portion of long-term debt</w:t>
            </w: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(8.8)</w:t>
            </w: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color w:val="auto"/>
              </w:rPr>
              <w:t>(7.4)</w:t>
            </w:r>
          </w:p>
        </w:tc>
      </w:tr>
      <w:tr>
        <w:trPr>
          <w:trHeight w:val="160"/>
        </w:trPr>
        <w:tc>
          <w:tcPr>
            <w:tcW w:w="79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Long-term debt, net of current portion</w:t>
            </w:r>
          </w:p>
        </w:tc>
        <w:tc>
          <w:tcPr>
            <w:tcW w:w="720" w:type="dxa"/>
            <w:vAlign w:val="bottom"/>
            <w:tcBorders>
              <w:bottom w:val="single" w:sz="8" w:color="auto"/>
            </w:tcBorders>
            <w:shd w:val="clear" w:color="auto" w:fill="43C0B9"/>
          </w:tcPr>
          <w:p>
            <w:pPr>
              <w:jc w:val="right"/>
              <w:ind w:right="52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155.1</w:t>
            </w:r>
          </w:p>
        </w:tc>
        <w:tc>
          <w:tcPr>
            <w:tcW w:w="800" w:type="dxa"/>
            <w:vAlign w:val="bottom"/>
            <w:tcBorders>
              <w:bottom w:val="single" w:sz="8" w:color="auto"/>
            </w:tcBorders>
            <w:shd w:val="clear" w:color="auto" w:fill="43C0B9"/>
          </w:tcPr>
          <w:p>
            <w:pPr>
              <w:jc w:val="right"/>
              <w:ind w:right="62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166.7</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October 31, 2021, future principal payments for our total debt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Year Ending October 31,</w:t>
            </w:r>
          </w:p>
        </w:tc>
        <w:tc>
          <w:tcPr>
            <w:tcW w:w="4440" w:type="dxa"/>
            <w:vAlign w:val="bottom"/>
            <w:shd w:val="clear" w:color="auto" w:fill="232F84"/>
          </w:tcPr>
          <w:p>
            <w:pPr>
              <w:spacing w:after="0"/>
              <w:rPr>
                <w:sz w:val="14"/>
                <w:szCs w:val="14"/>
                <w:color w:val="auto"/>
              </w:rPr>
            </w:pPr>
          </w:p>
        </w:tc>
        <w:tc>
          <w:tcPr>
            <w:tcW w:w="1360" w:type="dxa"/>
            <w:vAlign w:val="bottom"/>
            <w:shd w:val="clear" w:color="auto" w:fill="232F84"/>
          </w:tcPr>
          <w:p>
            <w:pPr>
              <w:jc w:val="right"/>
              <w:ind w:right="443"/>
              <w:spacing w:after="0"/>
              <w:rPr>
                <w:sz w:val="20"/>
                <w:szCs w:val="20"/>
                <w:color w:val="auto"/>
              </w:rPr>
            </w:pPr>
            <w:r>
              <w:rPr>
                <w:rFonts w:ascii="Arial" w:cs="Arial" w:eastAsia="Arial" w:hAnsi="Arial"/>
                <w:sz w:val="11"/>
                <w:szCs w:val="11"/>
                <w:b w:val="1"/>
                <w:bCs w:val="1"/>
                <w:color w:val="FFFFFF"/>
              </w:rPr>
              <w:t>(In millions)</w:t>
            </w:r>
          </w:p>
        </w:tc>
      </w:tr>
      <w:tr>
        <w:trPr>
          <w:trHeight w:val="170"/>
        </w:trPr>
        <w:tc>
          <w:tcPr>
            <w:tcW w:w="54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2022</w:t>
            </w:r>
          </w:p>
        </w:tc>
        <w:tc>
          <w:tcPr>
            <w:tcW w:w="4440" w:type="dxa"/>
            <w:vAlign w:val="bottom"/>
            <w:shd w:val="clear" w:color="auto" w:fill="43C0B9"/>
          </w:tcPr>
          <w:p>
            <w:pPr>
              <w:jc w:val="right"/>
              <w:ind w:right="143"/>
              <w:spacing w:after="0"/>
              <w:rPr>
                <w:sz w:val="20"/>
                <w:szCs w:val="20"/>
                <w:color w:val="auto"/>
              </w:rPr>
            </w:pPr>
            <w:r>
              <w:rPr>
                <w:rFonts w:ascii="Arial" w:cs="Arial" w:eastAsia="Arial" w:hAnsi="Arial"/>
                <w:sz w:val="11"/>
                <w:szCs w:val="11"/>
                <w:color w:val="auto"/>
              </w:rPr>
              <w:t>$</w:t>
            </w: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8.8</w:t>
            </w:r>
          </w:p>
        </w:tc>
      </w:tr>
      <w:tr>
        <w:trPr>
          <w:trHeight w:val="166"/>
        </w:trPr>
        <w:tc>
          <w:tcPr>
            <w:tcW w:w="5480" w:type="dxa"/>
            <w:vAlign w:val="bottom"/>
          </w:tcPr>
          <w:p>
            <w:pPr>
              <w:ind w:left="20"/>
              <w:spacing w:after="0"/>
              <w:rPr>
                <w:sz w:val="20"/>
                <w:szCs w:val="20"/>
                <w:color w:val="auto"/>
              </w:rPr>
            </w:pPr>
            <w:r>
              <w:rPr>
                <w:rFonts w:ascii="Arial" w:cs="Arial" w:eastAsia="Arial" w:hAnsi="Arial"/>
                <w:sz w:val="11"/>
                <w:szCs w:val="11"/>
                <w:color w:val="auto"/>
              </w:rPr>
              <w:t>2023</w:t>
            </w:r>
          </w:p>
        </w:tc>
        <w:tc>
          <w:tcPr>
            <w:tcW w:w="4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83.8</w:t>
            </w:r>
          </w:p>
        </w:tc>
      </w:tr>
      <w:tr>
        <w:trPr>
          <w:trHeight w:val="174"/>
        </w:trPr>
        <w:tc>
          <w:tcPr>
            <w:tcW w:w="54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2024</w:t>
            </w:r>
          </w:p>
        </w:tc>
        <w:tc>
          <w:tcPr>
            <w:tcW w:w="4440" w:type="dxa"/>
            <w:vAlign w:val="bottom"/>
            <w:shd w:val="clear" w:color="auto" w:fill="43C0B9"/>
          </w:tcPr>
          <w:p>
            <w:pPr>
              <w:spacing w:after="0"/>
              <w:rPr>
                <w:sz w:val="15"/>
                <w:szCs w:val="15"/>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13.6</w:t>
            </w:r>
          </w:p>
        </w:tc>
      </w:tr>
      <w:tr>
        <w:trPr>
          <w:trHeight w:val="166"/>
        </w:trPr>
        <w:tc>
          <w:tcPr>
            <w:tcW w:w="5480" w:type="dxa"/>
            <w:vAlign w:val="bottom"/>
          </w:tcPr>
          <w:p>
            <w:pPr>
              <w:ind w:left="20"/>
              <w:spacing w:after="0"/>
              <w:rPr>
                <w:sz w:val="20"/>
                <w:szCs w:val="20"/>
                <w:color w:val="auto"/>
              </w:rPr>
            </w:pPr>
            <w:r>
              <w:rPr>
                <w:rFonts w:ascii="Arial" w:cs="Arial" w:eastAsia="Arial" w:hAnsi="Arial"/>
                <w:sz w:val="11"/>
                <w:szCs w:val="11"/>
                <w:color w:val="auto"/>
              </w:rPr>
              <w:t>2025</w:t>
            </w:r>
          </w:p>
        </w:tc>
        <w:tc>
          <w:tcPr>
            <w:tcW w:w="4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58.1</w:t>
            </w:r>
          </w:p>
        </w:tc>
      </w:tr>
      <w:tr>
        <w:trPr>
          <w:trHeight w:val="174"/>
        </w:trPr>
        <w:tc>
          <w:tcPr>
            <w:tcW w:w="54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2026</w:t>
            </w:r>
          </w:p>
        </w:tc>
        <w:tc>
          <w:tcPr>
            <w:tcW w:w="4440" w:type="dxa"/>
            <w:vAlign w:val="bottom"/>
            <w:shd w:val="clear" w:color="auto" w:fill="43C0B9"/>
          </w:tcPr>
          <w:p>
            <w:pPr>
              <w:spacing w:after="0"/>
              <w:rPr>
                <w:sz w:val="15"/>
                <w:szCs w:val="15"/>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Thereafter</w:t>
            </w:r>
          </w:p>
        </w:tc>
        <w:tc>
          <w:tcPr>
            <w:tcW w:w="4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5480" w:type="dxa"/>
            <w:vAlign w:val="bottom"/>
            <w:tcBorders>
              <w:bottom w:val="single" w:sz="8" w:color="auto"/>
            </w:tcBorders>
            <w:shd w:val="clear" w:color="auto" w:fill="43C0B9"/>
          </w:tcPr>
          <w:p>
            <w:pPr>
              <w:spacing w:after="0"/>
              <w:rPr>
                <w:sz w:val="13"/>
                <w:szCs w:val="13"/>
                <w:color w:val="auto"/>
              </w:rPr>
            </w:pPr>
          </w:p>
        </w:tc>
        <w:tc>
          <w:tcPr>
            <w:tcW w:w="4440" w:type="dxa"/>
            <w:vAlign w:val="bottom"/>
            <w:tcBorders>
              <w:bottom w:val="single" w:sz="8" w:color="auto"/>
            </w:tcBorders>
            <w:shd w:val="clear" w:color="auto" w:fill="43C0B9"/>
          </w:tcPr>
          <w:p>
            <w:pPr>
              <w:jc w:val="right"/>
              <w:ind w:right="14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164.3</w:t>
            </w:r>
          </w:p>
        </w:tc>
      </w:tr>
    </w:tbl>
    <w:p>
      <w:pPr>
        <w:spacing w:after="0" w:line="223" w:lineRule="exact"/>
        <w:rPr>
          <w:sz w:val="20"/>
          <w:szCs w:val="20"/>
          <w:color w:val="auto"/>
        </w:rPr>
      </w:pPr>
    </w:p>
    <w:p>
      <w:pPr>
        <w:ind w:left="360" w:hanging="355"/>
        <w:spacing w:after="0"/>
        <w:tabs>
          <w:tab w:leader="none" w:pos="360" w:val="left"/>
        </w:tabs>
        <w:numPr>
          <w:ilvl w:val="0"/>
          <w:numId w:val="17"/>
        </w:numPr>
        <w:rPr>
          <w:rFonts w:ascii="Arial" w:cs="Arial" w:eastAsia="Arial" w:hAnsi="Arial"/>
          <w:sz w:val="16"/>
          <w:szCs w:val="16"/>
          <w:b w:val="1"/>
          <w:bCs w:val="1"/>
          <w:color w:val="232F84"/>
        </w:rPr>
      </w:pPr>
      <w:r>
        <w:rPr>
          <w:rFonts w:ascii="Arial" w:cs="Arial" w:eastAsia="Arial" w:hAnsi="Arial"/>
          <w:sz w:val="16"/>
          <w:szCs w:val="16"/>
          <w:b w:val="1"/>
          <w:bCs w:val="1"/>
          <w:color w:val="232F84"/>
        </w:rPr>
        <w:t>Leases</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We lease facilities, land, fleet and other industrial equipment under operating leases, expiring at various dates through 2048. We also lease equipment under finance leases, expiring at various dates through 2025. Certain of these leases have clauses such as extension options, stipulated escalation provisions, early termination, and payment obligations for property taxes, insurance, maintenance and other costs.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9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Lease-related assets and liabilities on our consolidated balance sheets as of October 31, 2021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7280" w:type="dxa"/>
            <w:vAlign w:val="bottom"/>
            <w:shd w:val="clear" w:color="auto" w:fill="232F84"/>
          </w:tcPr>
          <w:p>
            <w:pPr>
              <w:ind w:left="1160"/>
              <w:spacing w:after="0"/>
              <w:rPr>
                <w:sz w:val="20"/>
                <w:szCs w:val="20"/>
                <w:color w:val="auto"/>
              </w:rPr>
            </w:pPr>
            <w:r>
              <w:rPr>
                <w:rFonts w:ascii="Arial" w:cs="Arial" w:eastAsia="Arial" w:hAnsi="Arial"/>
                <w:sz w:val="11"/>
                <w:szCs w:val="11"/>
                <w:b w:val="1"/>
                <w:bCs w:val="1"/>
                <w:color w:val="FFFFFF"/>
              </w:rPr>
              <w:t>Location on Consolidated Balance Sheets</w:t>
            </w:r>
          </w:p>
        </w:tc>
        <w:tc>
          <w:tcPr>
            <w:tcW w:w="240" w:type="dxa"/>
            <w:vAlign w:val="bottom"/>
            <w:shd w:val="clear" w:color="auto" w:fill="232F84"/>
          </w:tcPr>
          <w:p>
            <w:pPr>
              <w:spacing w:after="0"/>
              <w:rPr>
                <w:sz w:val="14"/>
                <w:szCs w:val="14"/>
                <w:color w:val="auto"/>
              </w:rPr>
            </w:pPr>
          </w:p>
        </w:tc>
        <w:tc>
          <w:tcPr>
            <w:tcW w:w="1500" w:type="dxa"/>
            <w:vAlign w:val="bottom"/>
            <w:shd w:val="clear" w:color="auto" w:fill="232F84"/>
          </w:tcPr>
          <w:p>
            <w:pPr>
              <w:jc w:val="right"/>
              <w:ind w:right="363"/>
              <w:spacing w:after="0"/>
              <w:rPr>
                <w:sz w:val="20"/>
                <w:szCs w:val="20"/>
                <w:color w:val="auto"/>
              </w:rPr>
            </w:pPr>
            <w:r>
              <w:rPr>
                <w:rFonts w:ascii="Arial" w:cs="Arial" w:eastAsia="Arial" w:hAnsi="Arial"/>
                <w:sz w:val="11"/>
                <w:szCs w:val="11"/>
                <w:b w:val="1"/>
                <w:bCs w:val="1"/>
                <w:color w:val="FFFFFF"/>
              </w:rPr>
              <w:t>October 31, 2021</w:t>
            </w:r>
          </w:p>
        </w:tc>
      </w:tr>
      <w:tr>
        <w:trPr>
          <w:trHeight w:val="170"/>
        </w:trPr>
        <w:tc>
          <w:tcPr>
            <w:tcW w:w="226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Assets</w:t>
            </w:r>
          </w:p>
        </w:tc>
        <w:tc>
          <w:tcPr>
            <w:tcW w:w="7280" w:type="dxa"/>
            <w:vAlign w:val="bottom"/>
            <w:shd w:val="clear" w:color="auto" w:fill="43C0B9"/>
          </w:tcPr>
          <w:p>
            <w:pPr>
              <w:spacing w:after="0"/>
              <w:rPr>
                <w:sz w:val="14"/>
                <w:szCs w:val="14"/>
                <w:color w:val="auto"/>
              </w:rPr>
            </w:pPr>
          </w:p>
        </w:tc>
        <w:tc>
          <w:tcPr>
            <w:tcW w:w="240" w:type="dxa"/>
            <w:vAlign w:val="bottom"/>
            <w:shd w:val="clear" w:color="auto" w:fill="43C0B9"/>
          </w:tcPr>
          <w:p>
            <w:pPr>
              <w:spacing w:after="0"/>
              <w:rPr>
                <w:sz w:val="14"/>
                <w:szCs w:val="14"/>
                <w:color w:val="auto"/>
              </w:rPr>
            </w:pPr>
          </w:p>
        </w:tc>
        <w:tc>
          <w:tcPr>
            <w:tcW w:w="1500" w:type="dxa"/>
            <w:vAlign w:val="bottom"/>
            <w:shd w:val="clear" w:color="auto" w:fill="43C0B9"/>
          </w:tcPr>
          <w:p>
            <w:pPr>
              <w:spacing w:after="0"/>
              <w:rPr>
                <w:sz w:val="14"/>
                <w:szCs w:val="14"/>
                <w:color w:val="auto"/>
              </w:rPr>
            </w:pPr>
          </w:p>
        </w:tc>
      </w:tr>
      <w:tr>
        <w:trPr>
          <w:trHeight w:val="166"/>
        </w:trPr>
        <w:tc>
          <w:tcPr>
            <w:tcW w:w="2260" w:type="dxa"/>
            <w:vAlign w:val="bottom"/>
          </w:tcPr>
          <w:p>
            <w:pPr>
              <w:ind w:left="280"/>
              <w:spacing w:after="0"/>
              <w:rPr>
                <w:sz w:val="20"/>
                <w:szCs w:val="20"/>
                <w:color w:val="auto"/>
              </w:rPr>
            </w:pPr>
            <w:r>
              <w:rPr>
                <w:rFonts w:ascii="Arial" w:cs="Arial" w:eastAsia="Arial" w:hAnsi="Arial"/>
                <w:sz w:val="11"/>
                <w:szCs w:val="11"/>
                <w:color w:val="auto"/>
              </w:rPr>
              <w:t>Operating</w:t>
            </w:r>
          </w:p>
        </w:tc>
        <w:tc>
          <w:tcPr>
            <w:tcW w:w="7280" w:type="dxa"/>
            <w:vAlign w:val="bottom"/>
          </w:tcPr>
          <w:p>
            <w:pPr>
              <w:ind w:left="1160"/>
              <w:spacing w:after="0"/>
              <w:rPr>
                <w:sz w:val="20"/>
                <w:szCs w:val="20"/>
                <w:color w:val="auto"/>
              </w:rPr>
            </w:pPr>
            <w:r>
              <w:rPr>
                <w:rFonts w:ascii="Arial" w:cs="Arial" w:eastAsia="Arial" w:hAnsi="Arial"/>
                <w:sz w:val="11"/>
                <w:szCs w:val="11"/>
                <w:color w:val="auto"/>
              </w:rPr>
              <w:t>Operating lease right-of-use assets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43.9</w:t>
            </w:r>
          </w:p>
        </w:tc>
      </w:tr>
      <w:tr>
        <w:trPr>
          <w:trHeight w:val="174"/>
        </w:trPr>
        <w:tc>
          <w:tcPr>
            <w:tcW w:w="2260" w:type="dxa"/>
            <w:vAlign w:val="bottom"/>
            <w:shd w:val="clear" w:color="auto" w:fill="43C0B9"/>
          </w:tcPr>
          <w:p>
            <w:pPr>
              <w:ind w:left="280"/>
              <w:spacing w:after="0"/>
              <w:rPr>
                <w:sz w:val="20"/>
                <w:szCs w:val="20"/>
                <w:color w:val="auto"/>
              </w:rPr>
            </w:pPr>
            <w:r>
              <w:rPr>
                <w:rFonts w:ascii="Arial" w:cs="Arial" w:eastAsia="Arial" w:hAnsi="Arial"/>
                <w:sz w:val="11"/>
                <w:szCs w:val="11"/>
                <w:color w:val="auto"/>
              </w:rPr>
              <w:t>Finance</w:t>
            </w:r>
          </w:p>
        </w:tc>
        <w:tc>
          <w:tcPr>
            <w:tcW w:w="7280" w:type="dxa"/>
            <w:vAlign w:val="bottom"/>
            <w:shd w:val="clear" w:color="auto" w:fill="43C0B9"/>
          </w:tcPr>
          <w:p>
            <w:pPr>
              <w:ind w:left="1160"/>
              <w:spacing w:after="0"/>
              <w:rPr>
                <w:sz w:val="20"/>
                <w:szCs w:val="20"/>
                <w:color w:val="auto"/>
              </w:rPr>
            </w:pPr>
            <w:r>
              <w:rPr>
                <w:rFonts w:ascii="Arial" w:cs="Arial" w:eastAsia="Arial" w:hAnsi="Arial"/>
                <w:sz w:val="11"/>
                <w:szCs w:val="11"/>
                <w:color w:val="auto"/>
              </w:rPr>
              <w:t>Property, plant and equipment, net</w:t>
            </w:r>
          </w:p>
        </w:tc>
        <w:tc>
          <w:tcPr>
            <w:tcW w:w="240" w:type="dxa"/>
            <w:vAlign w:val="bottom"/>
            <w:tcBorders>
              <w:bottom w:val="single" w:sz="8" w:color="auto"/>
            </w:tcBorders>
            <w:shd w:val="clear" w:color="auto" w:fill="43C0B9"/>
          </w:tcPr>
          <w:p>
            <w:pPr>
              <w:spacing w:after="0"/>
              <w:rPr>
                <w:sz w:val="15"/>
                <w:szCs w:val="15"/>
                <w:color w:val="auto"/>
              </w:rPr>
            </w:pPr>
          </w:p>
        </w:tc>
        <w:tc>
          <w:tcPr>
            <w:tcW w:w="15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4.4</w:t>
            </w:r>
          </w:p>
        </w:tc>
      </w:tr>
      <w:tr>
        <w:trPr>
          <w:trHeight w:val="156"/>
        </w:trPr>
        <w:tc>
          <w:tcPr>
            <w:tcW w:w="2260" w:type="dxa"/>
            <w:vAlign w:val="bottom"/>
          </w:tcPr>
          <w:p>
            <w:pPr>
              <w:ind w:left="100"/>
              <w:spacing w:after="0"/>
              <w:rPr>
                <w:sz w:val="20"/>
                <w:szCs w:val="20"/>
                <w:color w:val="auto"/>
              </w:rPr>
            </w:pPr>
            <w:r>
              <w:rPr>
                <w:rFonts w:ascii="Arial" w:cs="Arial" w:eastAsia="Arial" w:hAnsi="Arial"/>
                <w:sz w:val="11"/>
                <w:szCs w:val="11"/>
                <w:color w:val="auto"/>
              </w:rPr>
              <w:t>Total lease assets</w:t>
            </w:r>
          </w:p>
        </w:tc>
        <w:tc>
          <w:tcPr>
            <w:tcW w:w="728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48.3</w:t>
            </w:r>
          </w:p>
        </w:tc>
      </w:tr>
      <w:tr>
        <w:trPr>
          <w:trHeight w:val="174"/>
        </w:trPr>
        <w:tc>
          <w:tcPr>
            <w:tcW w:w="226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Liabilities</w:t>
            </w:r>
          </w:p>
        </w:tc>
        <w:tc>
          <w:tcPr>
            <w:tcW w:w="72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1500" w:type="dxa"/>
            <w:vAlign w:val="bottom"/>
            <w:shd w:val="clear" w:color="auto" w:fill="43C0B9"/>
          </w:tcPr>
          <w:p>
            <w:pPr>
              <w:spacing w:after="0"/>
              <w:rPr>
                <w:sz w:val="15"/>
                <w:szCs w:val="15"/>
                <w:color w:val="auto"/>
              </w:rPr>
            </w:pPr>
          </w:p>
        </w:tc>
      </w:tr>
      <w:tr>
        <w:trPr>
          <w:trHeight w:val="166"/>
        </w:trPr>
        <w:tc>
          <w:tcPr>
            <w:tcW w:w="2260" w:type="dxa"/>
            <w:vAlign w:val="bottom"/>
          </w:tcPr>
          <w:p>
            <w:pPr>
              <w:ind w:left="100"/>
              <w:spacing w:after="0"/>
              <w:rPr>
                <w:sz w:val="20"/>
                <w:szCs w:val="20"/>
                <w:color w:val="auto"/>
              </w:rPr>
            </w:pPr>
            <w:r>
              <w:rPr>
                <w:rFonts w:ascii="Arial" w:cs="Arial" w:eastAsia="Arial" w:hAnsi="Arial"/>
                <w:sz w:val="11"/>
                <w:szCs w:val="11"/>
                <w:color w:val="auto"/>
              </w:rPr>
              <w:t>Current</w:t>
            </w:r>
          </w:p>
        </w:tc>
        <w:tc>
          <w:tcPr>
            <w:tcW w:w="7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4"/>
        </w:trPr>
        <w:tc>
          <w:tcPr>
            <w:tcW w:w="2260" w:type="dxa"/>
            <w:vAlign w:val="bottom"/>
            <w:shd w:val="clear" w:color="auto" w:fill="43C0B9"/>
          </w:tcPr>
          <w:p>
            <w:pPr>
              <w:ind w:left="280"/>
              <w:spacing w:after="0"/>
              <w:rPr>
                <w:sz w:val="20"/>
                <w:szCs w:val="20"/>
                <w:color w:val="auto"/>
              </w:rPr>
            </w:pPr>
            <w:r>
              <w:rPr>
                <w:rFonts w:ascii="Arial" w:cs="Arial" w:eastAsia="Arial" w:hAnsi="Arial"/>
                <w:sz w:val="11"/>
                <w:szCs w:val="11"/>
                <w:color w:val="auto"/>
              </w:rPr>
              <w:t>Operating</w:t>
            </w:r>
          </w:p>
        </w:tc>
        <w:tc>
          <w:tcPr>
            <w:tcW w:w="7280" w:type="dxa"/>
            <w:vAlign w:val="bottom"/>
            <w:shd w:val="clear" w:color="auto" w:fill="43C0B9"/>
          </w:tcPr>
          <w:p>
            <w:pPr>
              <w:ind w:left="1160"/>
              <w:spacing w:after="0"/>
              <w:rPr>
                <w:sz w:val="20"/>
                <w:szCs w:val="20"/>
                <w:color w:val="auto"/>
              </w:rPr>
            </w:pPr>
            <w:r>
              <w:rPr>
                <w:rFonts w:ascii="Arial" w:cs="Arial" w:eastAsia="Arial" w:hAnsi="Arial"/>
                <w:sz w:val="11"/>
                <w:szCs w:val="11"/>
                <w:color w:val="auto"/>
              </w:rPr>
              <w:t>Operating leases—current portion</w:t>
            </w:r>
          </w:p>
        </w:tc>
        <w:tc>
          <w:tcPr>
            <w:tcW w:w="240" w:type="dxa"/>
            <w:vAlign w:val="bottom"/>
            <w:shd w:val="clear" w:color="auto" w:fill="43C0B9"/>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3.6</w:t>
            </w:r>
          </w:p>
        </w:tc>
      </w:tr>
      <w:tr>
        <w:trPr>
          <w:trHeight w:val="166"/>
        </w:trPr>
        <w:tc>
          <w:tcPr>
            <w:tcW w:w="2260" w:type="dxa"/>
            <w:vAlign w:val="bottom"/>
          </w:tcPr>
          <w:p>
            <w:pPr>
              <w:ind w:left="280"/>
              <w:spacing w:after="0"/>
              <w:rPr>
                <w:sz w:val="20"/>
                <w:szCs w:val="20"/>
                <w:color w:val="auto"/>
              </w:rPr>
            </w:pPr>
            <w:r>
              <w:rPr>
                <w:rFonts w:ascii="Arial" w:cs="Arial" w:eastAsia="Arial" w:hAnsi="Arial"/>
                <w:sz w:val="11"/>
                <w:szCs w:val="11"/>
                <w:color w:val="auto"/>
              </w:rPr>
              <w:t>Finance</w:t>
            </w:r>
          </w:p>
        </w:tc>
        <w:tc>
          <w:tcPr>
            <w:tcW w:w="7280" w:type="dxa"/>
            <w:vAlign w:val="bottom"/>
          </w:tcPr>
          <w:p>
            <w:pPr>
              <w:ind w:left="1160"/>
              <w:spacing w:after="0"/>
              <w:rPr>
                <w:sz w:val="20"/>
                <w:szCs w:val="20"/>
                <w:color w:val="auto"/>
              </w:rPr>
            </w:pPr>
            <w:r>
              <w:rPr>
                <w:rFonts w:ascii="Arial" w:cs="Arial" w:eastAsia="Arial" w:hAnsi="Arial"/>
                <w:sz w:val="11"/>
                <w:szCs w:val="11"/>
                <w:color w:val="auto"/>
              </w:rPr>
              <w:t>Finance leases—current portion</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74"/>
        </w:trPr>
        <w:tc>
          <w:tcPr>
            <w:tcW w:w="2260" w:type="dxa"/>
            <w:vAlign w:val="bottom"/>
            <w:shd w:val="clear" w:color="auto" w:fill="43C0B9"/>
          </w:tcPr>
          <w:p>
            <w:pPr>
              <w:ind w:left="100"/>
              <w:spacing w:after="0"/>
              <w:rPr>
                <w:sz w:val="20"/>
                <w:szCs w:val="20"/>
                <w:color w:val="auto"/>
              </w:rPr>
            </w:pPr>
            <w:r>
              <w:rPr>
                <w:rFonts w:ascii="Arial" w:cs="Arial" w:eastAsia="Arial" w:hAnsi="Arial"/>
                <w:sz w:val="11"/>
                <w:szCs w:val="11"/>
                <w:color w:val="auto"/>
              </w:rPr>
              <w:t>Noncurrent</w:t>
            </w:r>
          </w:p>
        </w:tc>
        <w:tc>
          <w:tcPr>
            <w:tcW w:w="728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1500" w:type="dxa"/>
            <w:vAlign w:val="bottom"/>
            <w:shd w:val="clear" w:color="auto" w:fill="43C0B9"/>
          </w:tcPr>
          <w:p>
            <w:pPr>
              <w:spacing w:after="0"/>
              <w:rPr>
                <w:sz w:val="15"/>
                <w:szCs w:val="15"/>
                <w:color w:val="auto"/>
              </w:rPr>
            </w:pPr>
          </w:p>
        </w:tc>
      </w:tr>
      <w:tr>
        <w:trPr>
          <w:trHeight w:val="166"/>
        </w:trPr>
        <w:tc>
          <w:tcPr>
            <w:tcW w:w="2260" w:type="dxa"/>
            <w:vAlign w:val="bottom"/>
          </w:tcPr>
          <w:p>
            <w:pPr>
              <w:ind w:left="280"/>
              <w:spacing w:after="0"/>
              <w:rPr>
                <w:sz w:val="20"/>
                <w:szCs w:val="20"/>
                <w:color w:val="auto"/>
              </w:rPr>
            </w:pPr>
            <w:r>
              <w:rPr>
                <w:rFonts w:ascii="Arial" w:cs="Arial" w:eastAsia="Arial" w:hAnsi="Arial"/>
                <w:sz w:val="11"/>
                <w:szCs w:val="11"/>
                <w:color w:val="auto"/>
              </w:rPr>
              <w:t>Operating</w:t>
            </w:r>
          </w:p>
        </w:tc>
        <w:tc>
          <w:tcPr>
            <w:tcW w:w="7280" w:type="dxa"/>
            <w:vAlign w:val="bottom"/>
          </w:tcPr>
          <w:p>
            <w:pPr>
              <w:ind w:left="1160"/>
              <w:spacing w:after="0"/>
              <w:rPr>
                <w:sz w:val="20"/>
                <w:szCs w:val="20"/>
                <w:color w:val="auto"/>
              </w:rPr>
            </w:pPr>
            <w:r>
              <w:rPr>
                <w:rFonts w:ascii="Arial" w:cs="Arial" w:eastAsia="Arial" w:hAnsi="Arial"/>
                <w:sz w:val="11"/>
                <w:szCs w:val="11"/>
                <w:color w:val="auto"/>
              </w:rPr>
              <w:t>Operating leases, net of current portion</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42.5</w:t>
            </w:r>
          </w:p>
        </w:tc>
      </w:tr>
      <w:tr>
        <w:trPr>
          <w:trHeight w:val="174"/>
        </w:trPr>
        <w:tc>
          <w:tcPr>
            <w:tcW w:w="2260" w:type="dxa"/>
            <w:vAlign w:val="bottom"/>
            <w:shd w:val="clear" w:color="auto" w:fill="43C0B9"/>
          </w:tcPr>
          <w:p>
            <w:pPr>
              <w:ind w:left="280"/>
              <w:spacing w:after="0"/>
              <w:rPr>
                <w:sz w:val="20"/>
                <w:szCs w:val="20"/>
                <w:color w:val="auto"/>
              </w:rPr>
            </w:pPr>
            <w:r>
              <w:rPr>
                <w:rFonts w:ascii="Arial" w:cs="Arial" w:eastAsia="Arial" w:hAnsi="Arial"/>
                <w:sz w:val="11"/>
                <w:szCs w:val="11"/>
                <w:color w:val="auto"/>
              </w:rPr>
              <w:t>Finance</w:t>
            </w:r>
          </w:p>
        </w:tc>
        <w:tc>
          <w:tcPr>
            <w:tcW w:w="7280" w:type="dxa"/>
            <w:vAlign w:val="bottom"/>
            <w:shd w:val="clear" w:color="auto" w:fill="43C0B9"/>
          </w:tcPr>
          <w:p>
            <w:pPr>
              <w:ind w:left="1160"/>
              <w:spacing w:after="0"/>
              <w:rPr>
                <w:sz w:val="20"/>
                <w:szCs w:val="20"/>
                <w:color w:val="auto"/>
              </w:rPr>
            </w:pPr>
            <w:r>
              <w:rPr>
                <w:rFonts w:ascii="Arial" w:cs="Arial" w:eastAsia="Arial" w:hAnsi="Arial"/>
                <w:sz w:val="11"/>
                <w:szCs w:val="11"/>
                <w:color w:val="auto"/>
              </w:rPr>
              <w:t>Finance leases, net of current portion</w:t>
            </w:r>
          </w:p>
        </w:tc>
        <w:tc>
          <w:tcPr>
            <w:tcW w:w="240" w:type="dxa"/>
            <w:vAlign w:val="bottom"/>
            <w:tcBorders>
              <w:bottom w:val="single" w:sz="8" w:color="auto"/>
            </w:tcBorders>
            <w:shd w:val="clear" w:color="auto" w:fill="43C0B9"/>
          </w:tcPr>
          <w:p>
            <w:pPr>
              <w:spacing w:after="0"/>
              <w:rPr>
                <w:sz w:val="15"/>
                <w:szCs w:val="15"/>
                <w:color w:val="auto"/>
              </w:rPr>
            </w:pPr>
          </w:p>
        </w:tc>
        <w:tc>
          <w:tcPr>
            <w:tcW w:w="15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2.2</w:t>
            </w:r>
          </w:p>
        </w:tc>
      </w:tr>
      <w:tr>
        <w:trPr>
          <w:trHeight w:val="156"/>
        </w:trPr>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Total lease liabilities</w:t>
            </w:r>
          </w:p>
        </w:tc>
        <w:tc>
          <w:tcPr>
            <w:tcW w:w="7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49.4</w:t>
            </w:r>
          </w:p>
        </w:tc>
      </w:tr>
    </w:tbl>
    <w:p>
      <w:pPr>
        <w:spacing w:after="0" w:line="224" w:lineRule="exact"/>
        <w:rPr>
          <w:sz w:val="20"/>
          <w:szCs w:val="20"/>
          <w:color w:val="auto"/>
        </w:rPr>
      </w:pPr>
    </w:p>
    <w:p>
      <w:pPr>
        <w:ind w:right="600" w:firstLine="509"/>
        <w:spacing w:after="0" w:line="244" w:lineRule="auto"/>
        <w:rPr>
          <w:sz w:val="20"/>
          <w:szCs w:val="20"/>
          <w:color w:val="auto"/>
        </w:rPr>
      </w:pPr>
      <w:r>
        <w:rPr>
          <w:rFonts w:ascii="Arial" w:cs="Arial" w:eastAsia="Arial" w:hAnsi="Arial"/>
          <w:sz w:val="13"/>
          <w:szCs w:val="13"/>
          <w:color w:val="auto"/>
        </w:rPr>
        <w:t>Most lease costs are recognized in the consolidated statements of comprehensive income, however, costs qualifying for capitalization, such as lease costs for equipment used in the development of orchards, are recognized into property, plant and equipment or inventory. A summary of lease costs for the year ended October 31, 2021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shd w:val="clear" w:color="auto" w:fill="232F84"/>
          </w:tcPr>
          <w:p>
            <w:pPr>
              <w:spacing w:after="0"/>
              <w:rPr>
                <w:sz w:val="15"/>
                <w:szCs w:val="15"/>
                <w:color w:val="auto"/>
              </w:rPr>
            </w:pPr>
          </w:p>
        </w:tc>
        <w:tc>
          <w:tcPr>
            <w:tcW w:w="420" w:type="dxa"/>
            <w:vAlign w:val="bottom"/>
            <w:shd w:val="clear" w:color="auto" w:fill="232F84"/>
          </w:tcPr>
          <w:p>
            <w:pPr>
              <w:spacing w:after="0"/>
              <w:rPr>
                <w:sz w:val="15"/>
                <w:szCs w:val="15"/>
                <w:color w:val="auto"/>
              </w:rPr>
            </w:pPr>
          </w:p>
        </w:tc>
        <w:tc>
          <w:tcPr>
            <w:tcW w:w="92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118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2400" w:type="dxa"/>
            <w:vAlign w:val="bottom"/>
            <w:gridSpan w:val="3"/>
            <w:shd w:val="clear" w:color="auto" w:fill="232F84"/>
          </w:tcPr>
          <w:p>
            <w:pPr>
              <w:jc w:val="right"/>
              <w:ind w:right="543"/>
              <w:spacing w:after="0"/>
              <w:rPr>
                <w:sz w:val="20"/>
                <w:szCs w:val="20"/>
                <w:color w:val="auto"/>
              </w:rPr>
            </w:pPr>
            <w:r>
              <w:rPr>
                <w:rFonts w:ascii="Arial" w:cs="Arial" w:eastAsia="Arial" w:hAnsi="Arial"/>
                <w:sz w:val="11"/>
                <w:szCs w:val="11"/>
                <w:b w:val="1"/>
                <w:bCs w:val="1"/>
                <w:color w:val="FFFFFF"/>
              </w:rPr>
              <w:t>Year Ended October 31, 2021</w:t>
            </w:r>
          </w:p>
        </w:tc>
        <w:tc>
          <w:tcPr>
            <w:tcW w:w="280" w:type="dxa"/>
            <w:vAlign w:val="bottom"/>
            <w:shd w:val="clear" w:color="auto" w:fill="232F84"/>
          </w:tcPr>
          <w:p>
            <w:pPr>
              <w:spacing w:after="0"/>
              <w:rPr>
                <w:sz w:val="15"/>
                <w:szCs w:val="15"/>
                <w:color w:val="auto"/>
              </w:rPr>
            </w:pPr>
          </w:p>
        </w:tc>
        <w:tc>
          <w:tcPr>
            <w:tcW w:w="1100" w:type="dxa"/>
            <w:vAlign w:val="bottom"/>
            <w:shd w:val="clear" w:color="auto" w:fill="232F84"/>
          </w:tcPr>
          <w:p>
            <w:pPr>
              <w:spacing w:after="0"/>
              <w:rPr>
                <w:sz w:val="15"/>
                <w:szCs w:val="15"/>
                <w:color w:val="auto"/>
              </w:rPr>
            </w:pPr>
          </w:p>
        </w:tc>
        <w:tc>
          <w:tcPr>
            <w:tcW w:w="60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r>
      <w:tr>
        <w:trPr>
          <w:trHeight w:val="144"/>
        </w:trPr>
        <w:tc>
          <w:tcPr>
            <w:tcW w:w="3020" w:type="dxa"/>
            <w:vAlign w:val="bottom"/>
            <w:shd w:val="clear" w:color="auto" w:fill="232F84"/>
          </w:tcPr>
          <w:p>
            <w:pPr>
              <w:spacing w:after="0"/>
              <w:rPr>
                <w:sz w:val="12"/>
                <w:szCs w:val="12"/>
                <w:color w:val="auto"/>
              </w:rPr>
            </w:pPr>
          </w:p>
        </w:tc>
        <w:tc>
          <w:tcPr>
            <w:tcW w:w="420" w:type="dxa"/>
            <w:vAlign w:val="bottom"/>
            <w:shd w:val="clear" w:color="auto" w:fill="232F84"/>
          </w:tcPr>
          <w:p>
            <w:pPr>
              <w:spacing w:after="0"/>
              <w:rPr>
                <w:sz w:val="12"/>
                <w:szCs w:val="12"/>
                <w:color w:val="auto"/>
              </w:rPr>
            </w:pPr>
          </w:p>
        </w:tc>
        <w:tc>
          <w:tcPr>
            <w:tcW w:w="920" w:type="dxa"/>
            <w:vAlign w:val="bottom"/>
            <w:shd w:val="clear" w:color="auto" w:fill="232F84"/>
          </w:tcPr>
          <w:p>
            <w:pPr>
              <w:spacing w:after="0"/>
              <w:rPr>
                <w:sz w:val="12"/>
                <w:szCs w:val="12"/>
                <w:color w:val="auto"/>
              </w:rPr>
            </w:pPr>
          </w:p>
        </w:tc>
        <w:tc>
          <w:tcPr>
            <w:tcW w:w="220" w:type="dxa"/>
            <w:vAlign w:val="bottom"/>
            <w:shd w:val="clear" w:color="auto" w:fill="232F84"/>
          </w:tcPr>
          <w:p>
            <w:pPr>
              <w:spacing w:after="0"/>
              <w:rPr>
                <w:sz w:val="12"/>
                <w:szCs w:val="12"/>
                <w:color w:val="auto"/>
              </w:rPr>
            </w:pPr>
          </w:p>
        </w:tc>
        <w:tc>
          <w:tcPr>
            <w:tcW w:w="1180" w:type="dxa"/>
            <w:vAlign w:val="bottom"/>
            <w:shd w:val="clear" w:color="auto" w:fill="232F84"/>
          </w:tcPr>
          <w:p>
            <w:pPr>
              <w:spacing w:after="0"/>
              <w:rPr>
                <w:sz w:val="12"/>
                <w:szCs w:val="12"/>
                <w:color w:val="auto"/>
              </w:rPr>
            </w:pPr>
          </w:p>
        </w:tc>
        <w:tc>
          <w:tcPr>
            <w:tcW w:w="360" w:type="dxa"/>
            <w:vAlign w:val="bottom"/>
            <w:shd w:val="clear" w:color="auto" w:fill="232F84"/>
          </w:tcPr>
          <w:p>
            <w:pPr>
              <w:spacing w:after="0"/>
              <w:rPr>
                <w:sz w:val="12"/>
                <w:szCs w:val="12"/>
                <w:color w:val="auto"/>
              </w:rPr>
            </w:pPr>
          </w:p>
        </w:tc>
        <w:tc>
          <w:tcPr>
            <w:tcW w:w="1000" w:type="dxa"/>
            <w:vAlign w:val="bottom"/>
            <w:shd w:val="clear" w:color="auto" w:fill="232F84"/>
          </w:tcPr>
          <w:p>
            <w:pPr>
              <w:spacing w:after="0"/>
              <w:rPr>
                <w:sz w:val="12"/>
                <w:szCs w:val="12"/>
                <w:color w:val="auto"/>
              </w:rPr>
            </w:pPr>
          </w:p>
        </w:tc>
        <w:tc>
          <w:tcPr>
            <w:tcW w:w="200" w:type="dxa"/>
            <w:vAlign w:val="bottom"/>
            <w:shd w:val="clear" w:color="auto" w:fill="232F84"/>
          </w:tcPr>
          <w:p>
            <w:pPr>
              <w:spacing w:after="0"/>
              <w:rPr>
                <w:sz w:val="12"/>
                <w:szCs w:val="12"/>
                <w:color w:val="auto"/>
              </w:rPr>
            </w:pPr>
          </w:p>
        </w:tc>
        <w:tc>
          <w:tcPr>
            <w:tcW w:w="12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Selling, general and</w:t>
            </w:r>
          </w:p>
        </w:tc>
        <w:tc>
          <w:tcPr>
            <w:tcW w:w="280" w:type="dxa"/>
            <w:vAlign w:val="bottom"/>
            <w:shd w:val="clear" w:color="auto" w:fill="232F84"/>
          </w:tcPr>
          <w:p>
            <w:pPr>
              <w:spacing w:after="0"/>
              <w:rPr>
                <w:sz w:val="12"/>
                <w:szCs w:val="12"/>
                <w:color w:val="auto"/>
              </w:rPr>
            </w:pPr>
          </w:p>
        </w:tc>
        <w:tc>
          <w:tcPr>
            <w:tcW w:w="1100" w:type="dxa"/>
            <w:vAlign w:val="bottom"/>
            <w:shd w:val="clear" w:color="auto" w:fill="232F84"/>
          </w:tcPr>
          <w:p>
            <w:pPr>
              <w:spacing w:after="0"/>
              <w:rPr>
                <w:sz w:val="12"/>
                <w:szCs w:val="12"/>
                <w:color w:val="auto"/>
              </w:rPr>
            </w:pPr>
          </w:p>
        </w:tc>
        <w:tc>
          <w:tcPr>
            <w:tcW w:w="600" w:type="dxa"/>
            <w:vAlign w:val="bottom"/>
            <w:shd w:val="clear" w:color="auto" w:fill="232F84"/>
          </w:tcPr>
          <w:p>
            <w:pPr>
              <w:spacing w:after="0"/>
              <w:rPr>
                <w:sz w:val="12"/>
                <w:szCs w:val="12"/>
                <w:color w:val="auto"/>
              </w:rPr>
            </w:pPr>
          </w:p>
        </w:tc>
        <w:tc>
          <w:tcPr>
            <w:tcW w:w="760" w:type="dxa"/>
            <w:vAlign w:val="bottom"/>
            <w:shd w:val="clear" w:color="auto" w:fill="232F84"/>
          </w:tcPr>
          <w:p>
            <w:pPr>
              <w:spacing w:after="0"/>
              <w:rPr>
                <w:sz w:val="12"/>
                <w:szCs w:val="12"/>
                <w:color w:val="auto"/>
              </w:rPr>
            </w:pPr>
          </w:p>
        </w:tc>
      </w:tr>
      <w:tr>
        <w:trPr>
          <w:trHeight w:val="127"/>
        </w:trPr>
        <w:tc>
          <w:tcPr>
            <w:tcW w:w="3020" w:type="dxa"/>
            <w:vAlign w:val="bottom"/>
            <w:shd w:val="clear" w:color="auto" w:fill="232F84"/>
          </w:tcPr>
          <w:p>
            <w:pPr>
              <w:spacing w:after="0"/>
              <w:rPr>
                <w:sz w:val="11"/>
                <w:szCs w:val="11"/>
                <w:color w:val="auto"/>
              </w:rPr>
            </w:pPr>
          </w:p>
        </w:tc>
        <w:tc>
          <w:tcPr>
            <w:tcW w:w="420" w:type="dxa"/>
            <w:vAlign w:val="bottom"/>
            <w:shd w:val="clear" w:color="auto" w:fill="232F84"/>
          </w:tcPr>
          <w:p>
            <w:pPr>
              <w:spacing w:after="0"/>
              <w:rPr>
                <w:sz w:val="11"/>
                <w:szCs w:val="11"/>
                <w:color w:val="auto"/>
              </w:rPr>
            </w:pPr>
          </w:p>
        </w:tc>
        <w:tc>
          <w:tcPr>
            <w:tcW w:w="920" w:type="dxa"/>
            <w:vAlign w:val="bottom"/>
            <w:shd w:val="clear" w:color="auto" w:fill="232F84"/>
          </w:tcPr>
          <w:p>
            <w:pPr>
              <w:spacing w:after="0"/>
              <w:rPr>
                <w:sz w:val="11"/>
                <w:szCs w:val="11"/>
                <w:color w:val="auto"/>
              </w:rPr>
            </w:pPr>
          </w:p>
        </w:tc>
        <w:tc>
          <w:tcPr>
            <w:tcW w:w="220" w:type="dxa"/>
            <w:vAlign w:val="bottom"/>
            <w:shd w:val="clear" w:color="auto" w:fill="232F84"/>
          </w:tcPr>
          <w:p>
            <w:pPr>
              <w:spacing w:after="0"/>
              <w:rPr>
                <w:sz w:val="11"/>
                <w:szCs w:val="11"/>
                <w:color w:val="auto"/>
              </w:rPr>
            </w:pPr>
          </w:p>
        </w:tc>
        <w:tc>
          <w:tcPr>
            <w:tcW w:w="118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Property, plant and</w:t>
            </w:r>
          </w:p>
        </w:tc>
        <w:tc>
          <w:tcPr>
            <w:tcW w:w="360" w:type="dxa"/>
            <w:vAlign w:val="bottom"/>
            <w:shd w:val="clear" w:color="auto" w:fill="232F84"/>
          </w:tcPr>
          <w:p>
            <w:pPr>
              <w:spacing w:after="0"/>
              <w:rPr>
                <w:sz w:val="11"/>
                <w:szCs w:val="11"/>
                <w:color w:val="auto"/>
              </w:rPr>
            </w:pPr>
          </w:p>
        </w:tc>
        <w:tc>
          <w:tcPr>
            <w:tcW w:w="1000" w:type="dxa"/>
            <w:vAlign w:val="bottom"/>
            <w:shd w:val="clear" w:color="auto" w:fill="232F84"/>
          </w:tcPr>
          <w:p>
            <w:pPr>
              <w:spacing w:after="0"/>
              <w:rPr>
                <w:sz w:val="11"/>
                <w:szCs w:val="11"/>
                <w:color w:val="auto"/>
              </w:rPr>
            </w:pPr>
          </w:p>
        </w:tc>
        <w:tc>
          <w:tcPr>
            <w:tcW w:w="200" w:type="dxa"/>
            <w:vAlign w:val="bottom"/>
            <w:shd w:val="clear" w:color="auto" w:fill="232F84"/>
          </w:tcPr>
          <w:p>
            <w:pPr>
              <w:spacing w:after="0"/>
              <w:rPr>
                <w:sz w:val="11"/>
                <w:szCs w:val="11"/>
                <w:color w:val="auto"/>
              </w:rPr>
            </w:pPr>
          </w:p>
        </w:tc>
        <w:tc>
          <w:tcPr>
            <w:tcW w:w="12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administrative</w:t>
            </w:r>
          </w:p>
        </w:tc>
        <w:tc>
          <w:tcPr>
            <w:tcW w:w="280" w:type="dxa"/>
            <w:vAlign w:val="bottom"/>
            <w:shd w:val="clear" w:color="auto" w:fill="232F84"/>
          </w:tcPr>
          <w:p>
            <w:pPr>
              <w:spacing w:after="0"/>
              <w:rPr>
                <w:sz w:val="11"/>
                <w:szCs w:val="11"/>
                <w:color w:val="auto"/>
              </w:rPr>
            </w:pPr>
          </w:p>
        </w:tc>
        <w:tc>
          <w:tcPr>
            <w:tcW w:w="1100" w:type="dxa"/>
            <w:vAlign w:val="bottom"/>
            <w:shd w:val="clear" w:color="auto" w:fill="232F84"/>
          </w:tcPr>
          <w:p>
            <w:pPr>
              <w:spacing w:after="0"/>
              <w:rPr>
                <w:sz w:val="11"/>
                <w:szCs w:val="11"/>
                <w:color w:val="auto"/>
              </w:rPr>
            </w:pPr>
          </w:p>
        </w:tc>
        <w:tc>
          <w:tcPr>
            <w:tcW w:w="600" w:type="dxa"/>
            <w:vAlign w:val="bottom"/>
            <w:shd w:val="clear" w:color="auto" w:fill="232F84"/>
          </w:tcPr>
          <w:p>
            <w:pPr>
              <w:spacing w:after="0"/>
              <w:rPr>
                <w:sz w:val="11"/>
                <w:szCs w:val="11"/>
                <w:color w:val="auto"/>
              </w:rPr>
            </w:pPr>
          </w:p>
        </w:tc>
        <w:tc>
          <w:tcPr>
            <w:tcW w:w="760" w:type="dxa"/>
            <w:vAlign w:val="bottom"/>
            <w:shd w:val="clear" w:color="auto" w:fill="232F84"/>
          </w:tcPr>
          <w:p>
            <w:pPr>
              <w:spacing w:after="0"/>
              <w:rPr>
                <w:sz w:val="11"/>
                <w:szCs w:val="11"/>
                <w:color w:val="auto"/>
              </w:rPr>
            </w:pPr>
          </w:p>
        </w:tc>
      </w:tr>
      <w:tr>
        <w:trPr>
          <w:trHeight w:val="159"/>
        </w:trPr>
        <w:tc>
          <w:tcPr>
            <w:tcW w:w="30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420" w:type="dxa"/>
            <w:vAlign w:val="bottom"/>
            <w:shd w:val="clear" w:color="auto" w:fill="232F84"/>
          </w:tcPr>
          <w:p>
            <w:pPr>
              <w:spacing w:after="0"/>
              <w:rPr>
                <w:sz w:val="13"/>
                <w:szCs w:val="13"/>
                <w:color w:val="auto"/>
              </w:rPr>
            </w:pPr>
          </w:p>
        </w:tc>
        <w:tc>
          <w:tcPr>
            <w:tcW w:w="92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Inventory</w:t>
            </w:r>
          </w:p>
        </w:tc>
        <w:tc>
          <w:tcPr>
            <w:tcW w:w="220" w:type="dxa"/>
            <w:vAlign w:val="bottom"/>
            <w:shd w:val="clear" w:color="auto" w:fill="232F84"/>
          </w:tcPr>
          <w:p>
            <w:pPr>
              <w:spacing w:after="0"/>
              <w:rPr>
                <w:sz w:val="13"/>
                <w:szCs w:val="13"/>
                <w:color w:val="auto"/>
              </w:rPr>
            </w:pPr>
          </w:p>
        </w:tc>
        <w:tc>
          <w:tcPr>
            <w:tcW w:w="118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equipment</w:t>
            </w:r>
          </w:p>
        </w:tc>
        <w:tc>
          <w:tcPr>
            <w:tcW w:w="360" w:type="dxa"/>
            <w:vAlign w:val="bottom"/>
            <w:shd w:val="clear" w:color="auto" w:fill="232F84"/>
          </w:tcPr>
          <w:p>
            <w:pPr>
              <w:spacing w:after="0"/>
              <w:rPr>
                <w:sz w:val="13"/>
                <w:szCs w:val="13"/>
                <w:color w:val="auto"/>
              </w:rPr>
            </w:pPr>
          </w:p>
        </w:tc>
        <w:tc>
          <w:tcPr>
            <w:tcW w:w="10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Cost of sales</w:t>
            </w:r>
          </w:p>
        </w:tc>
        <w:tc>
          <w:tcPr>
            <w:tcW w:w="200" w:type="dxa"/>
            <w:vAlign w:val="bottom"/>
            <w:shd w:val="clear" w:color="auto" w:fill="232F84"/>
          </w:tcPr>
          <w:p>
            <w:pPr>
              <w:spacing w:after="0"/>
              <w:rPr>
                <w:sz w:val="13"/>
                <w:szCs w:val="13"/>
                <w:color w:val="auto"/>
              </w:rPr>
            </w:pPr>
          </w:p>
        </w:tc>
        <w:tc>
          <w:tcPr>
            <w:tcW w:w="12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expenses</w:t>
            </w:r>
          </w:p>
        </w:tc>
        <w:tc>
          <w:tcPr>
            <w:tcW w:w="280" w:type="dxa"/>
            <w:vAlign w:val="bottom"/>
            <w:shd w:val="clear" w:color="auto" w:fill="232F84"/>
          </w:tcPr>
          <w:p>
            <w:pPr>
              <w:spacing w:after="0"/>
              <w:rPr>
                <w:sz w:val="13"/>
                <w:szCs w:val="13"/>
                <w:color w:val="auto"/>
              </w:rPr>
            </w:pPr>
          </w:p>
        </w:tc>
        <w:tc>
          <w:tcPr>
            <w:tcW w:w="1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Interest Expense</w:t>
            </w:r>
          </w:p>
        </w:tc>
        <w:tc>
          <w:tcPr>
            <w:tcW w:w="600" w:type="dxa"/>
            <w:vAlign w:val="bottom"/>
            <w:shd w:val="clear" w:color="auto" w:fill="232F84"/>
          </w:tcPr>
          <w:p>
            <w:pPr>
              <w:spacing w:after="0"/>
              <w:rPr>
                <w:sz w:val="13"/>
                <w:szCs w:val="13"/>
                <w:color w:val="auto"/>
              </w:rPr>
            </w:pPr>
          </w:p>
        </w:tc>
        <w:tc>
          <w:tcPr>
            <w:tcW w:w="7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Total</w:t>
            </w:r>
          </w:p>
        </w:tc>
      </w:tr>
      <w:tr>
        <w:trPr>
          <w:trHeight w:val="170"/>
        </w:trPr>
        <w:tc>
          <w:tcPr>
            <w:tcW w:w="302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Operating leases</w:t>
            </w:r>
          </w:p>
        </w:tc>
        <w:tc>
          <w:tcPr>
            <w:tcW w:w="42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c>
          <w:tcPr>
            <w:tcW w:w="220" w:type="dxa"/>
            <w:vAlign w:val="bottom"/>
            <w:shd w:val="clear" w:color="auto" w:fill="43C0B9"/>
          </w:tcPr>
          <w:p>
            <w:pPr>
              <w:spacing w:after="0"/>
              <w:rPr>
                <w:sz w:val="14"/>
                <w:szCs w:val="14"/>
                <w:color w:val="auto"/>
              </w:rPr>
            </w:pPr>
          </w:p>
        </w:tc>
        <w:tc>
          <w:tcPr>
            <w:tcW w:w="1180" w:type="dxa"/>
            <w:vAlign w:val="bottom"/>
            <w:shd w:val="clear" w:color="auto" w:fill="43C0B9"/>
          </w:tcPr>
          <w:p>
            <w:pPr>
              <w:spacing w:after="0"/>
              <w:rPr>
                <w:sz w:val="14"/>
                <w:szCs w:val="14"/>
                <w:color w:val="auto"/>
              </w:rPr>
            </w:pPr>
          </w:p>
        </w:tc>
        <w:tc>
          <w:tcPr>
            <w:tcW w:w="360" w:type="dxa"/>
            <w:vAlign w:val="bottom"/>
            <w:shd w:val="clear" w:color="auto" w:fill="43C0B9"/>
          </w:tcPr>
          <w:p>
            <w:pPr>
              <w:spacing w:after="0"/>
              <w:rPr>
                <w:sz w:val="14"/>
                <w:szCs w:val="14"/>
                <w:color w:val="auto"/>
              </w:rPr>
            </w:pPr>
          </w:p>
        </w:tc>
        <w:tc>
          <w:tcPr>
            <w:tcW w:w="1000" w:type="dxa"/>
            <w:vAlign w:val="bottom"/>
            <w:shd w:val="clear" w:color="auto" w:fill="43C0B9"/>
          </w:tcPr>
          <w:p>
            <w:pPr>
              <w:spacing w:after="0"/>
              <w:rPr>
                <w:sz w:val="14"/>
                <w:szCs w:val="14"/>
                <w:color w:val="auto"/>
              </w:rPr>
            </w:pPr>
          </w:p>
        </w:tc>
        <w:tc>
          <w:tcPr>
            <w:tcW w:w="200" w:type="dxa"/>
            <w:vAlign w:val="bottom"/>
            <w:shd w:val="clear" w:color="auto" w:fill="43C0B9"/>
          </w:tcPr>
          <w:p>
            <w:pPr>
              <w:spacing w:after="0"/>
              <w:rPr>
                <w:sz w:val="14"/>
                <w:szCs w:val="14"/>
                <w:color w:val="auto"/>
              </w:rPr>
            </w:pPr>
          </w:p>
        </w:tc>
        <w:tc>
          <w:tcPr>
            <w:tcW w:w="1200" w:type="dxa"/>
            <w:vAlign w:val="bottom"/>
            <w:shd w:val="clear" w:color="auto" w:fill="43C0B9"/>
          </w:tcPr>
          <w:p>
            <w:pPr>
              <w:spacing w:after="0"/>
              <w:rPr>
                <w:sz w:val="14"/>
                <w:szCs w:val="14"/>
                <w:color w:val="auto"/>
              </w:rPr>
            </w:pPr>
          </w:p>
        </w:tc>
        <w:tc>
          <w:tcPr>
            <w:tcW w:w="280" w:type="dxa"/>
            <w:vAlign w:val="bottom"/>
            <w:shd w:val="clear" w:color="auto" w:fill="43C0B9"/>
          </w:tcPr>
          <w:p>
            <w:pPr>
              <w:spacing w:after="0"/>
              <w:rPr>
                <w:sz w:val="14"/>
                <w:szCs w:val="14"/>
                <w:color w:val="auto"/>
              </w:rPr>
            </w:pPr>
          </w:p>
        </w:tc>
        <w:tc>
          <w:tcPr>
            <w:tcW w:w="1100" w:type="dxa"/>
            <w:vAlign w:val="bottom"/>
            <w:shd w:val="clear" w:color="auto" w:fill="43C0B9"/>
          </w:tcPr>
          <w:p>
            <w:pPr>
              <w:spacing w:after="0"/>
              <w:rPr>
                <w:sz w:val="14"/>
                <w:szCs w:val="14"/>
                <w:color w:val="auto"/>
              </w:rPr>
            </w:pPr>
          </w:p>
        </w:tc>
        <w:tc>
          <w:tcPr>
            <w:tcW w:w="600" w:type="dxa"/>
            <w:vAlign w:val="bottom"/>
            <w:shd w:val="clear" w:color="auto" w:fill="43C0B9"/>
          </w:tcPr>
          <w:p>
            <w:pPr>
              <w:spacing w:after="0"/>
              <w:rPr>
                <w:sz w:val="14"/>
                <w:szCs w:val="14"/>
                <w:color w:val="auto"/>
              </w:rPr>
            </w:pPr>
          </w:p>
        </w:tc>
        <w:tc>
          <w:tcPr>
            <w:tcW w:w="760" w:type="dxa"/>
            <w:vAlign w:val="bottom"/>
            <w:shd w:val="clear" w:color="auto" w:fill="43C0B9"/>
          </w:tcPr>
          <w:p>
            <w:pPr>
              <w:spacing w:after="0"/>
              <w:rPr>
                <w:sz w:val="14"/>
                <w:szCs w:val="14"/>
                <w:color w:val="auto"/>
              </w:rPr>
            </w:pPr>
          </w:p>
        </w:tc>
      </w:tr>
      <w:tr>
        <w:trPr>
          <w:trHeight w:val="166"/>
        </w:trPr>
        <w:tc>
          <w:tcPr>
            <w:tcW w:w="3020" w:type="dxa"/>
            <w:vAlign w:val="bottom"/>
          </w:tcPr>
          <w:p>
            <w:pPr>
              <w:ind w:left="280"/>
              <w:spacing w:after="0"/>
              <w:rPr>
                <w:sz w:val="20"/>
                <w:szCs w:val="20"/>
                <w:color w:val="auto"/>
              </w:rPr>
            </w:pPr>
            <w:r>
              <w:rPr>
                <w:rFonts w:ascii="Arial" w:cs="Arial" w:eastAsia="Arial" w:hAnsi="Arial"/>
                <w:sz w:val="11"/>
                <w:szCs w:val="11"/>
                <w:color w:val="auto"/>
              </w:rPr>
              <w:t>Lease cost</w:t>
            </w: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3.9</w:t>
            </w:r>
          </w:p>
        </w:tc>
        <w:tc>
          <w:tcPr>
            <w:tcW w:w="2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2.6</w:t>
            </w:r>
          </w:p>
        </w:tc>
        <w:tc>
          <w:tcPr>
            <w:tcW w:w="2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6.5</w:t>
            </w:r>
          </w:p>
        </w:tc>
      </w:tr>
      <w:tr>
        <w:trPr>
          <w:trHeight w:val="174"/>
        </w:trPr>
        <w:tc>
          <w:tcPr>
            <w:tcW w:w="3020" w:type="dxa"/>
            <w:vAlign w:val="bottom"/>
            <w:shd w:val="clear" w:color="auto" w:fill="43C0B9"/>
          </w:tcPr>
          <w:p>
            <w:pPr>
              <w:ind w:left="280"/>
              <w:spacing w:after="0"/>
              <w:rPr>
                <w:sz w:val="20"/>
                <w:szCs w:val="20"/>
                <w:color w:val="auto"/>
              </w:rPr>
            </w:pPr>
            <w:r>
              <w:rPr>
                <w:rFonts w:ascii="Arial" w:cs="Arial" w:eastAsia="Arial" w:hAnsi="Arial"/>
                <w:sz w:val="11"/>
                <w:szCs w:val="11"/>
                <w:color w:val="auto"/>
              </w:rPr>
              <w:t>Variable lease cost</w:t>
            </w:r>
          </w:p>
        </w:tc>
        <w:tc>
          <w:tcPr>
            <w:tcW w:w="42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shd w:val="clear" w:color="auto" w:fill="43C0B9"/>
          </w:tcPr>
          <w:p>
            <w:pPr>
              <w:spacing w:after="0"/>
              <w:rPr>
                <w:sz w:val="15"/>
                <w:szCs w:val="15"/>
                <w:color w:val="auto"/>
              </w:rPr>
            </w:pPr>
          </w:p>
        </w:tc>
        <w:tc>
          <w:tcPr>
            <w:tcW w:w="11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360" w:type="dxa"/>
            <w:vAlign w:val="bottom"/>
            <w:shd w:val="clear" w:color="auto" w:fill="43C0B9"/>
          </w:tcPr>
          <w:p>
            <w:pPr>
              <w:spacing w:after="0"/>
              <w:rPr>
                <w:sz w:val="15"/>
                <w:szCs w:val="15"/>
                <w:color w:val="auto"/>
              </w:rPr>
            </w:pPr>
          </w:p>
        </w:tc>
        <w:tc>
          <w:tcPr>
            <w:tcW w:w="10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0.8</w:t>
            </w:r>
          </w:p>
        </w:tc>
        <w:tc>
          <w:tcPr>
            <w:tcW w:w="200" w:type="dxa"/>
            <w:vAlign w:val="bottom"/>
            <w:shd w:val="clear" w:color="auto" w:fill="43C0B9"/>
          </w:tcPr>
          <w:p>
            <w:pPr>
              <w:spacing w:after="0"/>
              <w:rPr>
                <w:sz w:val="15"/>
                <w:szCs w:val="15"/>
                <w:color w:val="auto"/>
              </w:rPr>
            </w:pPr>
          </w:p>
        </w:tc>
        <w:tc>
          <w:tcPr>
            <w:tcW w:w="12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0.1</w:t>
            </w:r>
          </w:p>
        </w:tc>
        <w:tc>
          <w:tcPr>
            <w:tcW w:w="280" w:type="dxa"/>
            <w:vAlign w:val="bottom"/>
            <w:shd w:val="clear" w:color="auto" w:fill="43C0B9"/>
          </w:tcPr>
          <w:p>
            <w:pPr>
              <w:spacing w:after="0"/>
              <w:rPr>
                <w:sz w:val="15"/>
                <w:szCs w:val="15"/>
                <w:color w:val="auto"/>
              </w:rPr>
            </w:pPr>
          </w:p>
        </w:tc>
        <w:tc>
          <w:tcPr>
            <w:tcW w:w="11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shd w:val="clear" w:color="auto" w:fill="43C0B9"/>
          </w:tcPr>
          <w:p>
            <w:pPr>
              <w:spacing w:after="0"/>
              <w:rPr>
                <w:sz w:val="15"/>
                <w:szCs w:val="15"/>
                <w:color w:val="auto"/>
              </w:rPr>
            </w:pPr>
          </w:p>
        </w:tc>
        <w:tc>
          <w:tcPr>
            <w:tcW w:w="76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0.9</w:t>
            </w:r>
          </w:p>
        </w:tc>
      </w:tr>
      <w:tr>
        <w:trPr>
          <w:trHeight w:val="166"/>
        </w:trPr>
        <w:tc>
          <w:tcPr>
            <w:tcW w:w="3020" w:type="dxa"/>
            <w:vAlign w:val="bottom"/>
          </w:tcPr>
          <w:p>
            <w:pPr>
              <w:ind w:left="280"/>
              <w:spacing w:after="0"/>
              <w:rPr>
                <w:sz w:val="20"/>
                <w:szCs w:val="20"/>
                <w:color w:val="auto"/>
              </w:rPr>
            </w:pPr>
            <w:r>
              <w:rPr>
                <w:rFonts w:ascii="Arial" w:cs="Arial" w:eastAsia="Arial" w:hAnsi="Arial"/>
                <w:sz w:val="11"/>
                <w:szCs w:val="11"/>
                <w:color w:val="auto"/>
              </w:rPr>
              <w:t>Short-term lease cost</w:t>
            </w:r>
          </w:p>
        </w:tc>
        <w:tc>
          <w:tcPr>
            <w:tcW w:w="42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1.3</w:t>
            </w:r>
          </w:p>
        </w:tc>
        <w:tc>
          <w:tcPr>
            <w:tcW w:w="220" w:type="dxa"/>
            <w:vAlign w:val="bottom"/>
          </w:tcPr>
          <w:p>
            <w:pPr>
              <w:spacing w:after="0"/>
              <w:rPr>
                <w:sz w:val="14"/>
                <w:szCs w:val="14"/>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2.7</w:t>
            </w:r>
          </w:p>
        </w:tc>
        <w:tc>
          <w:tcPr>
            <w:tcW w:w="3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13.2</w:t>
            </w:r>
          </w:p>
        </w:tc>
        <w:tc>
          <w:tcPr>
            <w:tcW w:w="20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0.8</w:t>
            </w:r>
          </w:p>
        </w:tc>
        <w:tc>
          <w:tcPr>
            <w:tcW w:w="28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18.0</w:t>
            </w:r>
          </w:p>
        </w:tc>
      </w:tr>
      <w:tr>
        <w:trPr>
          <w:trHeight w:val="174"/>
        </w:trPr>
        <w:tc>
          <w:tcPr>
            <w:tcW w:w="302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Finance leases</w:t>
            </w:r>
          </w:p>
        </w:tc>
        <w:tc>
          <w:tcPr>
            <w:tcW w:w="42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c>
          <w:tcPr>
            <w:tcW w:w="220" w:type="dxa"/>
            <w:vAlign w:val="bottom"/>
            <w:shd w:val="clear" w:color="auto" w:fill="43C0B9"/>
          </w:tcPr>
          <w:p>
            <w:pPr>
              <w:spacing w:after="0"/>
              <w:rPr>
                <w:sz w:val="15"/>
                <w:szCs w:val="15"/>
                <w:color w:val="auto"/>
              </w:rPr>
            </w:pPr>
          </w:p>
        </w:tc>
        <w:tc>
          <w:tcPr>
            <w:tcW w:w="1180" w:type="dxa"/>
            <w:vAlign w:val="bottom"/>
            <w:shd w:val="clear" w:color="auto" w:fill="43C0B9"/>
          </w:tcPr>
          <w:p>
            <w:pPr>
              <w:spacing w:after="0"/>
              <w:rPr>
                <w:sz w:val="15"/>
                <w:szCs w:val="15"/>
                <w:color w:val="auto"/>
              </w:rPr>
            </w:pPr>
          </w:p>
        </w:tc>
        <w:tc>
          <w:tcPr>
            <w:tcW w:w="360" w:type="dxa"/>
            <w:vAlign w:val="bottom"/>
            <w:shd w:val="clear" w:color="auto" w:fill="43C0B9"/>
          </w:tcPr>
          <w:p>
            <w:pPr>
              <w:spacing w:after="0"/>
              <w:rPr>
                <w:sz w:val="15"/>
                <w:szCs w:val="15"/>
                <w:color w:val="auto"/>
              </w:rPr>
            </w:pPr>
          </w:p>
        </w:tc>
        <w:tc>
          <w:tcPr>
            <w:tcW w:w="1000" w:type="dxa"/>
            <w:vAlign w:val="bottom"/>
            <w:shd w:val="clear" w:color="auto" w:fill="43C0B9"/>
          </w:tcPr>
          <w:p>
            <w:pPr>
              <w:spacing w:after="0"/>
              <w:rPr>
                <w:sz w:val="15"/>
                <w:szCs w:val="15"/>
                <w:color w:val="auto"/>
              </w:rPr>
            </w:pPr>
          </w:p>
        </w:tc>
        <w:tc>
          <w:tcPr>
            <w:tcW w:w="200" w:type="dxa"/>
            <w:vAlign w:val="bottom"/>
            <w:shd w:val="clear" w:color="auto" w:fill="43C0B9"/>
          </w:tcPr>
          <w:p>
            <w:pPr>
              <w:spacing w:after="0"/>
              <w:rPr>
                <w:sz w:val="15"/>
                <w:szCs w:val="15"/>
                <w:color w:val="auto"/>
              </w:rPr>
            </w:pPr>
          </w:p>
        </w:tc>
        <w:tc>
          <w:tcPr>
            <w:tcW w:w="1200" w:type="dxa"/>
            <w:vAlign w:val="bottom"/>
            <w:shd w:val="clear" w:color="auto" w:fill="43C0B9"/>
          </w:tcPr>
          <w:p>
            <w:pPr>
              <w:spacing w:after="0"/>
              <w:rPr>
                <w:sz w:val="15"/>
                <w:szCs w:val="15"/>
                <w:color w:val="auto"/>
              </w:rPr>
            </w:pPr>
          </w:p>
        </w:tc>
        <w:tc>
          <w:tcPr>
            <w:tcW w:w="28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600" w:type="dxa"/>
            <w:vAlign w:val="bottom"/>
            <w:shd w:val="clear" w:color="auto" w:fill="43C0B9"/>
          </w:tcPr>
          <w:p>
            <w:pPr>
              <w:spacing w:after="0"/>
              <w:rPr>
                <w:sz w:val="15"/>
                <w:szCs w:val="15"/>
                <w:color w:val="auto"/>
              </w:rPr>
            </w:pPr>
          </w:p>
        </w:tc>
        <w:tc>
          <w:tcPr>
            <w:tcW w:w="76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r>
      <w:tr>
        <w:trPr>
          <w:trHeight w:val="166"/>
        </w:trPr>
        <w:tc>
          <w:tcPr>
            <w:tcW w:w="3020" w:type="dxa"/>
            <w:vAlign w:val="bottom"/>
          </w:tcPr>
          <w:p>
            <w:pPr>
              <w:ind w:left="280"/>
              <w:spacing w:after="0"/>
              <w:rPr>
                <w:sz w:val="20"/>
                <w:szCs w:val="20"/>
                <w:color w:val="auto"/>
              </w:rPr>
            </w:pPr>
            <w:r>
              <w:rPr>
                <w:rFonts w:ascii="Arial" w:cs="Arial" w:eastAsia="Arial" w:hAnsi="Arial"/>
                <w:sz w:val="11"/>
                <w:szCs w:val="11"/>
                <w:color w:val="auto"/>
              </w:rPr>
              <w:t>Amortization of right-of-use assets</w:t>
            </w:r>
          </w:p>
        </w:tc>
        <w:tc>
          <w:tcPr>
            <w:tcW w:w="42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1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4"/>
                <w:szCs w:val="14"/>
                <w:color w:val="auto"/>
              </w:rPr>
            </w:pPr>
          </w:p>
        </w:tc>
        <w:tc>
          <w:tcPr>
            <w:tcW w:w="1000" w:type="dxa"/>
            <w:vAlign w:val="bottom"/>
          </w:tcPr>
          <w:p>
            <w:pPr>
              <w:jc w:val="right"/>
              <w:ind w:right="23"/>
              <w:spacing w:after="0"/>
              <w:rPr>
                <w:sz w:val="20"/>
                <w:szCs w:val="20"/>
                <w:color w:val="auto"/>
              </w:rPr>
            </w:pPr>
            <w:r>
              <w:rPr>
                <w:rFonts w:ascii="Arial" w:cs="Arial" w:eastAsia="Arial" w:hAnsi="Arial"/>
                <w:sz w:val="11"/>
                <w:szCs w:val="11"/>
                <w:color w:val="auto"/>
              </w:rPr>
              <w:t>0.7</w:t>
            </w:r>
          </w:p>
        </w:tc>
        <w:tc>
          <w:tcPr>
            <w:tcW w:w="200" w:type="dxa"/>
            <w:vAlign w:val="bottom"/>
          </w:tcPr>
          <w:p>
            <w:pPr>
              <w:spacing w:after="0"/>
              <w:rPr>
                <w:sz w:val="14"/>
                <w:szCs w:val="14"/>
                <w:color w:val="auto"/>
              </w:rPr>
            </w:pP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0.4</w:t>
            </w:r>
          </w:p>
        </w:tc>
        <w:tc>
          <w:tcPr>
            <w:tcW w:w="28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1.1</w:t>
            </w:r>
          </w:p>
        </w:tc>
      </w:tr>
      <w:tr>
        <w:trPr>
          <w:trHeight w:val="170"/>
        </w:trPr>
        <w:tc>
          <w:tcPr>
            <w:tcW w:w="3020" w:type="dxa"/>
            <w:vAlign w:val="bottom"/>
            <w:tcBorders>
              <w:bottom w:val="single" w:sz="8" w:color="auto"/>
            </w:tcBorders>
            <w:shd w:val="clear" w:color="auto" w:fill="43C0B9"/>
          </w:tcPr>
          <w:p>
            <w:pPr>
              <w:ind w:left="280"/>
              <w:spacing w:after="0"/>
              <w:rPr>
                <w:sz w:val="20"/>
                <w:szCs w:val="20"/>
                <w:color w:val="auto"/>
              </w:rPr>
            </w:pPr>
            <w:r>
              <w:rPr>
                <w:rFonts w:ascii="Arial" w:cs="Arial" w:eastAsia="Arial" w:hAnsi="Arial"/>
                <w:sz w:val="11"/>
                <w:szCs w:val="11"/>
                <w:color w:val="auto"/>
              </w:rPr>
              <w:t>Interest on lease liabilities</w:t>
            </w:r>
          </w:p>
        </w:tc>
        <w:tc>
          <w:tcPr>
            <w:tcW w:w="42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43C0B9"/>
          </w:tcPr>
          <w:p>
            <w:pPr>
              <w:spacing w:after="0"/>
              <w:rPr>
                <w:sz w:val="14"/>
                <w:szCs w:val="14"/>
                <w:color w:val="auto"/>
              </w:rPr>
            </w:pPr>
          </w:p>
        </w:tc>
        <w:tc>
          <w:tcPr>
            <w:tcW w:w="11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43C0B9"/>
          </w:tcPr>
          <w:p>
            <w:pPr>
              <w:spacing w:after="0"/>
              <w:rPr>
                <w:sz w:val="14"/>
                <w:szCs w:val="14"/>
                <w:color w:val="auto"/>
              </w:rPr>
            </w:pPr>
          </w:p>
        </w:tc>
        <w:tc>
          <w:tcPr>
            <w:tcW w:w="10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43C0B9"/>
          </w:tcPr>
          <w:p>
            <w:pPr>
              <w:spacing w:after="0"/>
              <w:rPr>
                <w:sz w:val="14"/>
                <w:szCs w:val="14"/>
                <w:color w:val="auto"/>
              </w:rPr>
            </w:pPr>
          </w:p>
        </w:tc>
        <w:tc>
          <w:tcPr>
            <w:tcW w:w="12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43C0B9"/>
          </w:tcPr>
          <w:p>
            <w:pPr>
              <w:spacing w:after="0"/>
              <w:rPr>
                <w:sz w:val="14"/>
                <w:szCs w:val="14"/>
                <w:color w:val="auto"/>
              </w:rPr>
            </w:pPr>
          </w:p>
        </w:tc>
        <w:tc>
          <w:tcPr>
            <w:tcW w:w="11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0.3</w:t>
            </w:r>
          </w:p>
        </w:tc>
        <w:tc>
          <w:tcPr>
            <w:tcW w:w="600" w:type="dxa"/>
            <w:vAlign w:val="bottom"/>
            <w:tcBorders>
              <w:bottom w:val="single" w:sz="8" w:color="auto"/>
            </w:tcBorders>
            <w:shd w:val="clear" w:color="auto" w:fill="43C0B9"/>
          </w:tcPr>
          <w:p>
            <w:pPr>
              <w:spacing w:after="0"/>
              <w:rPr>
                <w:sz w:val="14"/>
                <w:szCs w:val="14"/>
                <w:color w:val="auto"/>
              </w:rPr>
            </w:pPr>
          </w:p>
        </w:tc>
        <w:tc>
          <w:tcPr>
            <w:tcW w:w="76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0.3</w:t>
            </w:r>
          </w:p>
        </w:tc>
      </w:tr>
      <w:tr>
        <w:trPr>
          <w:trHeight w:val="160"/>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lease cost</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1.3</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2.7</w:t>
            </w: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18.6</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3.9</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0.3</w:t>
            </w: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26.8</w:t>
            </w:r>
          </w:p>
        </w:tc>
      </w:tr>
    </w:tbl>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Supplemental cash flow information related to leases is set forth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00" w:type="dxa"/>
            <w:vAlign w:val="bottom"/>
            <w:shd w:val="clear" w:color="auto" w:fill="232F84"/>
          </w:tcPr>
          <w:p>
            <w:pPr>
              <w:spacing w:after="0"/>
              <w:rPr>
                <w:sz w:val="14"/>
                <w:szCs w:val="14"/>
                <w:color w:val="auto"/>
              </w:rPr>
            </w:pPr>
          </w:p>
        </w:tc>
        <w:tc>
          <w:tcPr>
            <w:tcW w:w="300" w:type="dxa"/>
            <w:vAlign w:val="bottom"/>
            <w:shd w:val="clear" w:color="auto" w:fill="232F84"/>
          </w:tcPr>
          <w:p>
            <w:pPr>
              <w:spacing w:after="0"/>
              <w:rPr>
                <w:sz w:val="14"/>
                <w:szCs w:val="14"/>
                <w:color w:val="auto"/>
              </w:rPr>
            </w:pPr>
          </w:p>
        </w:tc>
        <w:tc>
          <w:tcPr>
            <w:tcW w:w="1680" w:type="dxa"/>
            <w:vAlign w:val="bottom"/>
            <w:shd w:val="clear" w:color="auto" w:fill="232F84"/>
          </w:tcPr>
          <w:p>
            <w:pPr>
              <w:jc w:val="right"/>
              <w:ind w:right="623"/>
              <w:spacing w:after="0"/>
              <w:rPr>
                <w:sz w:val="20"/>
                <w:szCs w:val="20"/>
                <w:color w:val="auto"/>
              </w:rPr>
            </w:pPr>
            <w:r>
              <w:rPr>
                <w:rFonts w:ascii="Arial" w:cs="Arial" w:eastAsia="Arial" w:hAnsi="Arial"/>
                <w:sz w:val="11"/>
                <w:szCs w:val="11"/>
                <w:b w:val="1"/>
                <w:bCs w:val="1"/>
                <w:color w:val="FFFFFF"/>
              </w:rPr>
              <w:t>Year ended</w:t>
            </w:r>
          </w:p>
        </w:tc>
      </w:tr>
      <w:tr>
        <w:trPr>
          <w:trHeight w:val="170"/>
        </w:trPr>
        <w:tc>
          <w:tcPr>
            <w:tcW w:w="93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300" w:type="dxa"/>
            <w:vAlign w:val="bottom"/>
            <w:shd w:val="clear" w:color="auto" w:fill="232F84"/>
          </w:tcPr>
          <w:p>
            <w:pPr>
              <w:spacing w:after="0"/>
              <w:rPr>
                <w:sz w:val="14"/>
                <w:szCs w:val="14"/>
                <w:color w:val="auto"/>
              </w:rPr>
            </w:pPr>
          </w:p>
        </w:tc>
        <w:tc>
          <w:tcPr>
            <w:tcW w:w="1680" w:type="dxa"/>
            <w:vAlign w:val="bottom"/>
            <w:shd w:val="clear" w:color="auto" w:fill="232F84"/>
          </w:tcPr>
          <w:p>
            <w:pPr>
              <w:jc w:val="right"/>
              <w:ind w:right="483"/>
              <w:spacing w:after="0"/>
              <w:rPr>
                <w:sz w:val="20"/>
                <w:szCs w:val="20"/>
                <w:color w:val="auto"/>
              </w:rPr>
            </w:pPr>
            <w:r>
              <w:rPr>
                <w:rFonts w:ascii="Arial" w:cs="Arial" w:eastAsia="Arial" w:hAnsi="Arial"/>
                <w:sz w:val="11"/>
                <w:szCs w:val="11"/>
                <w:b w:val="1"/>
                <w:bCs w:val="1"/>
                <w:color w:val="FFFFFF"/>
              </w:rPr>
              <w:t>October 31, 2021</w:t>
            </w:r>
          </w:p>
        </w:tc>
      </w:tr>
      <w:tr>
        <w:trPr>
          <w:trHeight w:val="170"/>
        </w:trPr>
        <w:tc>
          <w:tcPr>
            <w:tcW w:w="9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Cash paid for amounts included in the measurement of lease liabilities for operating cash flows for operating lease liabilities</w:t>
            </w:r>
          </w:p>
        </w:tc>
        <w:tc>
          <w:tcPr>
            <w:tcW w:w="300" w:type="dxa"/>
            <w:vAlign w:val="bottom"/>
            <w:shd w:val="clear" w:color="auto" w:fill="43C0B9"/>
          </w:tcPr>
          <w:p>
            <w:pPr>
              <w:jc w:val="right"/>
              <w:ind w:right="163"/>
              <w:spacing w:after="0"/>
              <w:rPr>
                <w:sz w:val="20"/>
                <w:szCs w:val="20"/>
                <w:color w:val="auto"/>
              </w:rPr>
            </w:pPr>
            <w:r>
              <w:rPr>
                <w:rFonts w:ascii="Arial" w:cs="Arial" w:eastAsia="Arial" w:hAnsi="Arial"/>
                <w:sz w:val="11"/>
                <w:szCs w:val="11"/>
                <w:color w:val="auto"/>
                <w:w w:val="97"/>
              </w:rPr>
              <w:t>$</w:t>
            </w:r>
          </w:p>
        </w:tc>
        <w:tc>
          <w:tcPr>
            <w:tcW w:w="16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5.5</w:t>
            </w:r>
          </w:p>
        </w:tc>
      </w:tr>
      <w:tr>
        <w:trPr>
          <w:trHeight w:val="166"/>
        </w:trPr>
        <w:tc>
          <w:tcPr>
            <w:tcW w:w="9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Right-of-use assets obtained in exchange for new operating lease liabilities</w:t>
            </w: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October 31, 2021, future maturities of lease liabilities with original terms in excess of one year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shd w:val="clear" w:color="auto" w:fill="232F84"/>
          </w:tcPr>
          <w:p>
            <w:pPr>
              <w:spacing w:after="0"/>
              <w:rPr>
                <w:sz w:val="15"/>
                <w:szCs w:val="15"/>
                <w:color w:val="auto"/>
              </w:rPr>
            </w:pPr>
          </w:p>
        </w:tc>
        <w:tc>
          <w:tcPr>
            <w:tcW w:w="240" w:type="dxa"/>
            <w:vAlign w:val="bottom"/>
            <w:shd w:val="clear" w:color="auto" w:fill="232F84"/>
          </w:tcPr>
          <w:p>
            <w:pPr>
              <w:spacing w:after="0"/>
              <w:rPr>
                <w:sz w:val="15"/>
                <w:szCs w:val="15"/>
                <w:color w:val="auto"/>
              </w:rPr>
            </w:pPr>
          </w:p>
        </w:tc>
        <w:tc>
          <w:tcPr>
            <w:tcW w:w="1900" w:type="dxa"/>
            <w:vAlign w:val="bottom"/>
            <w:gridSpan w:val="2"/>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(In millions)</w:t>
            </w:r>
          </w:p>
        </w:tc>
        <w:tc>
          <w:tcPr>
            <w:tcW w:w="1360" w:type="dxa"/>
            <w:vAlign w:val="bottom"/>
            <w:shd w:val="clear" w:color="auto" w:fill="232F84"/>
          </w:tcPr>
          <w:p>
            <w:pPr>
              <w:spacing w:after="0"/>
              <w:rPr>
                <w:sz w:val="15"/>
                <w:szCs w:val="15"/>
                <w:color w:val="auto"/>
              </w:rPr>
            </w:pPr>
          </w:p>
        </w:tc>
      </w:tr>
      <w:tr>
        <w:trPr>
          <w:trHeight w:val="175"/>
        </w:trPr>
        <w:tc>
          <w:tcPr>
            <w:tcW w:w="77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Year Ending October 31,</w:t>
            </w:r>
          </w:p>
        </w:tc>
        <w:tc>
          <w:tcPr>
            <w:tcW w:w="24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323"/>
              <w:spacing w:after="0"/>
              <w:rPr>
                <w:sz w:val="20"/>
                <w:szCs w:val="20"/>
                <w:color w:val="auto"/>
              </w:rPr>
            </w:pPr>
            <w:r>
              <w:rPr>
                <w:rFonts w:ascii="Arial" w:cs="Arial" w:eastAsia="Arial" w:hAnsi="Arial"/>
                <w:sz w:val="11"/>
                <w:szCs w:val="11"/>
                <w:b w:val="1"/>
                <w:bCs w:val="1"/>
                <w:color w:val="FFFFFF"/>
              </w:rPr>
              <w:t>Operating Leases</w:t>
            </w:r>
          </w:p>
        </w:tc>
        <w:tc>
          <w:tcPr>
            <w:tcW w:w="400" w:type="dxa"/>
            <w:vAlign w:val="bottom"/>
            <w:shd w:val="clear" w:color="auto" w:fill="232F84"/>
          </w:tcPr>
          <w:p>
            <w:pPr>
              <w:spacing w:after="0"/>
              <w:rPr>
                <w:sz w:val="15"/>
                <w:szCs w:val="15"/>
                <w:color w:val="auto"/>
              </w:rPr>
            </w:pPr>
          </w:p>
        </w:tc>
        <w:tc>
          <w:tcPr>
            <w:tcW w:w="1360" w:type="dxa"/>
            <w:vAlign w:val="bottom"/>
            <w:shd w:val="clear" w:color="auto" w:fill="232F84"/>
          </w:tcPr>
          <w:p>
            <w:pPr>
              <w:jc w:val="right"/>
              <w:ind w:right="403"/>
              <w:spacing w:after="0"/>
              <w:rPr>
                <w:sz w:val="20"/>
                <w:szCs w:val="20"/>
                <w:color w:val="auto"/>
              </w:rPr>
            </w:pPr>
            <w:r>
              <w:rPr>
                <w:rFonts w:ascii="Arial" w:cs="Arial" w:eastAsia="Arial" w:hAnsi="Arial"/>
                <w:sz w:val="11"/>
                <w:szCs w:val="11"/>
                <w:b w:val="1"/>
                <w:bCs w:val="1"/>
                <w:color w:val="FFFFFF"/>
              </w:rPr>
              <w:t>Finance Leases</w:t>
            </w:r>
          </w:p>
        </w:tc>
      </w:tr>
      <w:tr>
        <w:trPr>
          <w:trHeight w:val="170"/>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2022</w:t>
            </w:r>
          </w:p>
        </w:tc>
        <w:tc>
          <w:tcPr>
            <w:tcW w:w="240" w:type="dxa"/>
            <w:vAlign w:val="bottom"/>
            <w:shd w:val="clear" w:color="auto" w:fill="43C0B9"/>
          </w:tcPr>
          <w:p>
            <w:pPr>
              <w:jc w:val="right"/>
              <w:ind w:right="103"/>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6.2</w:t>
            </w:r>
          </w:p>
        </w:tc>
        <w:tc>
          <w:tcPr>
            <w:tcW w:w="400" w:type="dxa"/>
            <w:vAlign w:val="bottom"/>
            <w:shd w:val="clear" w:color="auto" w:fill="43C0B9"/>
          </w:tcPr>
          <w:p>
            <w:pPr>
              <w:jc w:val="right"/>
              <w:ind w:right="263"/>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w:t>
            </w:r>
          </w:p>
        </w:tc>
      </w:tr>
      <w:tr>
        <w:trPr>
          <w:trHeight w:val="166"/>
        </w:trPr>
        <w:tc>
          <w:tcPr>
            <w:tcW w:w="7780" w:type="dxa"/>
            <w:vAlign w:val="bottom"/>
          </w:tcPr>
          <w:p>
            <w:pPr>
              <w:ind w:left="20"/>
              <w:spacing w:after="0"/>
              <w:rPr>
                <w:sz w:val="20"/>
                <w:szCs w:val="20"/>
                <w:color w:val="auto"/>
              </w:rPr>
            </w:pPr>
            <w:r>
              <w:rPr>
                <w:rFonts w:ascii="Arial" w:cs="Arial" w:eastAsia="Arial" w:hAnsi="Arial"/>
                <w:sz w:val="11"/>
                <w:szCs w:val="11"/>
                <w:color w:val="auto"/>
              </w:rPr>
              <w:t>2023</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5.8</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74"/>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2024</w:t>
            </w:r>
          </w:p>
        </w:tc>
        <w:tc>
          <w:tcPr>
            <w:tcW w:w="240" w:type="dxa"/>
            <w:vAlign w:val="bottom"/>
            <w:shd w:val="clear" w:color="auto" w:fill="43C0B9"/>
          </w:tcPr>
          <w:p>
            <w:pPr>
              <w:spacing w:after="0"/>
              <w:rPr>
                <w:sz w:val="15"/>
                <w:szCs w:val="15"/>
                <w:color w:val="auto"/>
              </w:rPr>
            </w:pPr>
          </w:p>
        </w:tc>
        <w:tc>
          <w:tcPr>
            <w:tcW w:w="15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5.3</w:t>
            </w:r>
          </w:p>
        </w:tc>
        <w:tc>
          <w:tcPr>
            <w:tcW w:w="400" w:type="dxa"/>
            <w:vAlign w:val="bottom"/>
            <w:shd w:val="clear" w:color="auto" w:fill="43C0B9"/>
          </w:tcPr>
          <w:p>
            <w:pPr>
              <w:spacing w:after="0"/>
              <w:rPr>
                <w:sz w:val="15"/>
                <w:szCs w:val="15"/>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w:t>
            </w:r>
          </w:p>
        </w:tc>
      </w:tr>
      <w:tr>
        <w:trPr>
          <w:trHeight w:val="166"/>
        </w:trPr>
        <w:tc>
          <w:tcPr>
            <w:tcW w:w="7780" w:type="dxa"/>
            <w:vAlign w:val="bottom"/>
          </w:tcPr>
          <w:p>
            <w:pPr>
              <w:ind w:left="20"/>
              <w:spacing w:after="0"/>
              <w:rPr>
                <w:sz w:val="20"/>
                <w:szCs w:val="20"/>
                <w:color w:val="auto"/>
              </w:rPr>
            </w:pPr>
            <w:r>
              <w:rPr>
                <w:rFonts w:ascii="Arial" w:cs="Arial" w:eastAsia="Arial" w:hAnsi="Arial"/>
                <w:sz w:val="11"/>
                <w:szCs w:val="11"/>
                <w:color w:val="auto"/>
              </w:rPr>
              <w:t>2025</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4.8</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4"/>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2026</w:t>
            </w:r>
          </w:p>
        </w:tc>
        <w:tc>
          <w:tcPr>
            <w:tcW w:w="240" w:type="dxa"/>
            <w:vAlign w:val="bottom"/>
            <w:shd w:val="clear" w:color="auto" w:fill="43C0B9"/>
          </w:tcPr>
          <w:p>
            <w:pPr>
              <w:spacing w:after="0"/>
              <w:rPr>
                <w:sz w:val="15"/>
                <w:szCs w:val="15"/>
                <w:color w:val="auto"/>
              </w:rPr>
            </w:pPr>
          </w:p>
        </w:tc>
        <w:tc>
          <w:tcPr>
            <w:tcW w:w="15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4.6</w:t>
            </w:r>
          </w:p>
        </w:tc>
        <w:tc>
          <w:tcPr>
            <w:tcW w:w="400" w:type="dxa"/>
            <w:vAlign w:val="bottom"/>
            <w:shd w:val="clear" w:color="auto" w:fill="43C0B9"/>
          </w:tcPr>
          <w:p>
            <w:pPr>
              <w:spacing w:after="0"/>
              <w:rPr>
                <w:sz w:val="15"/>
                <w:szCs w:val="15"/>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77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undiscounted future minimum lease payments</w:t>
            </w:r>
          </w:p>
        </w:tc>
        <w:tc>
          <w:tcPr>
            <w:tcW w:w="240" w:type="dxa"/>
            <w:vAlign w:val="bottom"/>
            <w:tcBorders>
              <w:bottom w:val="single" w:sz="8" w:color="auto"/>
            </w:tcBorders>
            <w:shd w:val="clear" w:color="auto" w:fill="43C0B9"/>
          </w:tcPr>
          <w:p>
            <w:pPr>
              <w:jc w:val="right"/>
              <w:ind w:right="103"/>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74.9</w:t>
            </w:r>
          </w:p>
        </w:tc>
        <w:tc>
          <w:tcPr>
            <w:tcW w:w="400" w:type="dxa"/>
            <w:vAlign w:val="bottom"/>
            <w:tcBorders>
              <w:bottom w:val="single" w:sz="8" w:color="auto"/>
            </w:tcBorders>
            <w:shd w:val="clear" w:color="auto" w:fill="43C0B9"/>
          </w:tcPr>
          <w:p>
            <w:pPr>
              <w:jc w:val="right"/>
              <w:ind w:right="26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3.9</w:t>
            </w:r>
          </w:p>
        </w:tc>
      </w:tr>
      <w:tr>
        <w:trPr>
          <w:trHeight w:val="160"/>
        </w:trPr>
        <w:tc>
          <w:tcPr>
            <w:tcW w:w="7780" w:type="dxa"/>
            <w:vAlign w:val="bottom"/>
          </w:tcPr>
          <w:p>
            <w:pPr>
              <w:ind w:left="20"/>
              <w:spacing w:after="0"/>
              <w:rPr>
                <w:sz w:val="20"/>
                <w:szCs w:val="20"/>
                <w:color w:val="auto"/>
              </w:rPr>
            </w:pPr>
            <w:r>
              <w:rPr>
                <w:rFonts w:ascii="Arial" w:cs="Arial" w:eastAsia="Arial" w:hAnsi="Arial"/>
                <w:sz w:val="11"/>
                <w:szCs w:val="11"/>
                <w:color w:val="auto"/>
              </w:rPr>
              <w:t>Less imputed interest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(28.8)</w:t>
            </w:r>
          </w:p>
        </w:tc>
        <w:tc>
          <w:tcPr>
            <w:tcW w:w="4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170"/>
        </w:trPr>
        <w:tc>
          <w:tcPr>
            <w:tcW w:w="77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discounted future minimum lease payments</w:t>
            </w:r>
          </w:p>
        </w:tc>
        <w:tc>
          <w:tcPr>
            <w:tcW w:w="240" w:type="dxa"/>
            <w:vAlign w:val="bottom"/>
            <w:tcBorders>
              <w:bottom w:val="single" w:sz="8" w:color="auto"/>
            </w:tcBorders>
            <w:shd w:val="clear" w:color="auto" w:fill="43C0B9"/>
          </w:tcPr>
          <w:p>
            <w:pPr>
              <w:jc w:val="right"/>
              <w:ind w:right="103"/>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46.1</w:t>
            </w:r>
          </w:p>
        </w:tc>
        <w:tc>
          <w:tcPr>
            <w:tcW w:w="400" w:type="dxa"/>
            <w:vAlign w:val="bottom"/>
            <w:tcBorders>
              <w:bottom w:val="single" w:sz="8" w:color="auto"/>
            </w:tcBorders>
            <w:shd w:val="clear" w:color="auto" w:fill="43C0B9"/>
          </w:tcPr>
          <w:p>
            <w:pPr>
              <w:jc w:val="right"/>
              <w:ind w:right="263"/>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3.3</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Weighted average remaining lease terms and weighted average discount rates as of October 31, 2021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shd w:val="clear" w:color="auto" w:fill="232F84"/>
          </w:tcPr>
          <w:p>
            <w:pPr>
              <w:spacing w:after="0"/>
              <w:rPr>
                <w:sz w:val="14"/>
                <w:szCs w:val="14"/>
                <w:color w:val="auto"/>
              </w:rPr>
            </w:pPr>
          </w:p>
        </w:tc>
        <w:tc>
          <w:tcPr>
            <w:tcW w:w="4440" w:type="dxa"/>
            <w:vAlign w:val="bottom"/>
            <w:shd w:val="clear" w:color="auto" w:fill="232F84"/>
          </w:tcPr>
          <w:p>
            <w:pPr>
              <w:jc w:val="right"/>
              <w:ind w:right="443"/>
              <w:spacing w:after="0"/>
              <w:rPr>
                <w:sz w:val="20"/>
                <w:szCs w:val="20"/>
                <w:color w:val="auto"/>
              </w:rPr>
            </w:pPr>
            <w:r>
              <w:rPr>
                <w:rFonts w:ascii="Arial" w:cs="Arial" w:eastAsia="Arial" w:hAnsi="Arial"/>
                <w:sz w:val="11"/>
                <w:szCs w:val="11"/>
                <w:b w:val="1"/>
                <w:bCs w:val="1"/>
                <w:color w:val="FFFFFF"/>
              </w:rPr>
              <w:t>Operating Leases</w:t>
            </w:r>
          </w:p>
        </w:tc>
        <w:tc>
          <w:tcPr>
            <w:tcW w:w="13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Finance Leases</w:t>
            </w:r>
          </w:p>
        </w:tc>
      </w:tr>
      <w:tr>
        <w:trPr>
          <w:trHeight w:val="170"/>
        </w:trPr>
        <w:tc>
          <w:tcPr>
            <w:tcW w:w="5500" w:type="dxa"/>
            <w:vAlign w:val="bottom"/>
            <w:shd w:val="clear" w:color="auto" w:fill="43C0B9"/>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4440" w:type="dxa"/>
            <w:vAlign w:val="bottom"/>
            <w:shd w:val="clear" w:color="auto" w:fill="43C0B9"/>
          </w:tcPr>
          <w:p>
            <w:pPr>
              <w:jc w:val="right"/>
              <w:ind w:right="443"/>
              <w:spacing w:after="0"/>
              <w:rPr>
                <w:sz w:val="20"/>
                <w:szCs w:val="20"/>
                <w:color w:val="auto"/>
              </w:rPr>
            </w:pPr>
            <w:r>
              <w:rPr>
                <w:rFonts w:ascii="Arial" w:cs="Arial" w:eastAsia="Arial" w:hAnsi="Arial"/>
                <w:sz w:val="11"/>
                <w:szCs w:val="11"/>
                <w:color w:val="auto"/>
              </w:rPr>
              <w:t>15.2</w:t>
            </w:r>
          </w:p>
        </w:tc>
        <w:tc>
          <w:tcPr>
            <w:tcW w:w="134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2.8</w:t>
            </w:r>
          </w:p>
        </w:tc>
      </w:tr>
      <w:tr>
        <w:trPr>
          <w:trHeight w:val="16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Weighted average discount rate</w:t>
            </w:r>
          </w:p>
        </w:tc>
        <w:tc>
          <w:tcPr>
            <w:tcW w:w="44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5.5 %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7.5 %</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October 31, 2020 (prior to the adoption of ASC 842), future minimum lease payments under noncancelable agreements in accordance with ASC 840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1940" w:type="dxa"/>
            <w:vAlign w:val="bottom"/>
            <w:gridSpan w:val="2"/>
            <w:shd w:val="clear" w:color="auto" w:fill="232F84"/>
          </w:tcPr>
          <w:p>
            <w:pPr>
              <w:jc w:val="right"/>
              <w:ind w:right="269"/>
              <w:spacing w:after="0"/>
              <w:rPr>
                <w:sz w:val="20"/>
                <w:szCs w:val="20"/>
                <w:color w:val="auto"/>
              </w:rPr>
            </w:pPr>
            <w:r>
              <w:rPr>
                <w:rFonts w:ascii="Arial" w:cs="Arial" w:eastAsia="Arial" w:hAnsi="Arial"/>
                <w:sz w:val="11"/>
                <w:szCs w:val="11"/>
                <w:b w:val="1"/>
                <w:bCs w:val="1"/>
                <w:color w:val="FFFFFF"/>
              </w:rPr>
              <w:t>(In millions)</w:t>
            </w:r>
          </w:p>
        </w:tc>
        <w:tc>
          <w:tcPr>
            <w:tcW w:w="1120" w:type="dxa"/>
            <w:vAlign w:val="bottom"/>
            <w:shd w:val="clear" w:color="auto" w:fill="232F84"/>
          </w:tcPr>
          <w:p>
            <w:pPr>
              <w:spacing w:after="0"/>
              <w:rPr>
                <w:sz w:val="15"/>
                <w:szCs w:val="15"/>
                <w:color w:val="auto"/>
              </w:rPr>
            </w:pPr>
          </w:p>
        </w:tc>
      </w:tr>
      <w:tr>
        <w:trPr>
          <w:trHeight w:val="175"/>
        </w:trPr>
        <w:tc>
          <w:tcPr>
            <w:tcW w:w="778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Year Ending October 31,</w:t>
            </w:r>
          </w:p>
        </w:tc>
        <w:tc>
          <w:tcPr>
            <w:tcW w:w="440" w:type="dxa"/>
            <w:vAlign w:val="bottom"/>
            <w:shd w:val="clear" w:color="auto" w:fill="232F84"/>
          </w:tcPr>
          <w:p>
            <w:pPr>
              <w:spacing w:after="0"/>
              <w:rPr>
                <w:sz w:val="15"/>
                <w:szCs w:val="15"/>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Operating Leases</w:t>
            </w:r>
          </w:p>
        </w:tc>
        <w:tc>
          <w:tcPr>
            <w:tcW w:w="620" w:type="dxa"/>
            <w:vAlign w:val="bottom"/>
            <w:shd w:val="clear" w:color="auto" w:fill="232F84"/>
          </w:tcPr>
          <w:p>
            <w:pPr>
              <w:spacing w:after="0"/>
              <w:rPr>
                <w:sz w:val="15"/>
                <w:szCs w:val="15"/>
                <w:color w:val="auto"/>
              </w:rPr>
            </w:pPr>
          </w:p>
        </w:tc>
        <w:tc>
          <w:tcPr>
            <w:tcW w:w="11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Capital Leases</w:t>
            </w:r>
          </w:p>
        </w:tc>
      </w:tr>
      <w:tr>
        <w:trPr>
          <w:trHeight w:val="170"/>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2021</w:t>
            </w:r>
          </w:p>
        </w:tc>
        <w:tc>
          <w:tcPr>
            <w:tcW w:w="440" w:type="dxa"/>
            <w:vAlign w:val="bottom"/>
            <w:shd w:val="clear" w:color="auto" w:fill="43C0B9"/>
          </w:tcPr>
          <w:p>
            <w:pPr>
              <w:jc w:val="right"/>
              <w:ind w:right="303"/>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5.5</w:t>
            </w:r>
          </w:p>
        </w:tc>
        <w:tc>
          <w:tcPr>
            <w:tcW w:w="620" w:type="dxa"/>
            <w:vAlign w:val="bottom"/>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1.8</w:t>
            </w:r>
          </w:p>
        </w:tc>
      </w:tr>
      <w:tr>
        <w:trPr>
          <w:trHeight w:val="166"/>
        </w:trPr>
        <w:tc>
          <w:tcPr>
            <w:tcW w:w="7780" w:type="dxa"/>
            <w:vAlign w:val="bottom"/>
          </w:tcPr>
          <w:p>
            <w:pPr>
              <w:ind w:left="20"/>
              <w:spacing w:after="0"/>
              <w:rPr>
                <w:sz w:val="20"/>
                <w:szCs w:val="20"/>
                <w:color w:val="auto"/>
              </w:rPr>
            </w:pPr>
            <w:r>
              <w:rPr>
                <w:rFonts w:ascii="Arial" w:cs="Arial" w:eastAsia="Arial" w:hAnsi="Arial"/>
                <w:sz w:val="11"/>
                <w:szCs w:val="11"/>
                <w:color w:val="auto"/>
              </w:rPr>
              <w:t>2022</w:t>
            </w:r>
          </w:p>
        </w:tc>
        <w:tc>
          <w:tcPr>
            <w:tcW w:w="440" w:type="dxa"/>
            <w:vAlign w:val="bottom"/>
          </w:tcPr>
          <w:p>
            <w:pPr>
              <w:spacing w:after="0"/>
              <w:rPr>
                <w:sz w:val="14"/>
                <w:szCs w:val="14"/>
                <w:color w:val="auto"/>
              </w:rPr>
            </w:pP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1.6</w:t>
            </w:r>
          </w:p>
        </w:tc>
      </w:tr>
      <w:tr>
        <w:trPr>
          <w:trHeight w:val="174"/>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2023</w:t>
            </w:r>
          </w:p>
        </w:tc>
        <w:tc>
          <w:tcPr>
            <w:tcW w:w="440" w:type="dxa"/>
            <w:vAlign w:val="bottom"/>
            <w:shd w:val="clear" w:color="auto" w:fill="43C0B9"/>
          </w:tcPr>
          <w:p>
            <w:pPr>
              <w:spacing w:after="0"/>
              <w:rPr>
                <w:sz w:val="15"/>
                <w:szCs w:val="15"/>
                <w:color w:val="auto"/>
              </w:rPr>
            </w:pPr>
          </w:p>
        </w:tc>
        <w:tc>
          <w:tcPr>
            <w:tcW w:w="13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4.2</w:t>
            </w:r>
          </w:p>
        </w:tc>
        <w:tc>
          <w:tcPr>
            <w:tcW w:w="620" w:type="dxa"/>
            <w:vAlign w:val="bottom"/>
            <w:shd w:val="clear" w:color="auto" w:fill="43C0B9"/>
          </w:tcPr>
          <w:p>
            <w:pPr>
              <w:spacing w:after="0"/>
              <w:rPr>
                <w:sz w:val="15"/>
                <w:szCs w:val="15"/>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w:t>
            </w:r>
          </w:p>
        </w:tc>
      </w:tr>
      <w:tr>
        <w:trPr>
          <w:trHeight w:val="166"/>
        </w:trPr>
        <w:tc>
          <w:tcPr>
            <w:tcW w:w="7780" w:type="dxa"/>
            <w:vAlign w:val="bottom"/>
          </w:tcPr>
          <w:p>
            <w:pPr>
              <w:ind w:left="20"/>
              <w:spacing w:after="0"/>
              <w:rPr>
                <w:sz w:val="20"/>
                <w:szCs w:val="20"/>
                <w:color w:val="auto"/>
              </w:rPr>
            </w:pPr>
            <w:r>
              <w:rPr>
                <w:rFonts w:ascii="Arial" w:cs="Arial" w:eastAsia="Arial" w:hAnsi="Arial"/>
                <w:sz w:val="11"/>
                <w:szCs w:val="11"/>
                <w:color w:val="auto"/>
              </w:rPr>
              <w:t>2024</w:t>
            </w:r>
          </w:p>
        </w:tc>
        <w:tc>
          <w:tcPr>
            <w:tcW w:w="440" w:type="dxa"/>
            <w:vAlign w:val="bottom"/>
          </w:tcPr>
          <w:p>
            <w:pPr>
              <w:spacing w:after="0"/>
              <w:rPr>
                <w:sz w:val="14"/>
                <w:szCs w:val="14"/>
                <w:color w:val="auto"/>
              </w:rPr>
            </w:pPr>
          </w:p>
        </w:tc>
        <w:tc>
          <w:tcPr>
            <w:tcW w:w="1320" w:type="dxa"/>
            <w:vAlign w:val="bottom"/>
          </w:tcPr>
          <w:p>
            <w:pPr>
              <w:jc w:val="right"/>
              <w:ind w:right="3"/>
              <w:spacing w:after="0"/>
              <w:rPr>
                <w:sz w:val="20"/>
                <w:szCs w:val="20"/>
                <w:color w:val="auto"/>
              </w:rPr>
            </w:pPr>
            <w:r>
              <w:rPr>
                <w:rFonts w:ascii="Arial" w:cs="Arial" w:eastAsia="Arial" w:hAnsi="Arial"/>
                <w:sz w:val="11"/>
                <w:szCs w:val="11"/>
                <w:color w:val="auto"/>
              </w:rPr>
              <w:t>3.6</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74"/>
        </w:trPr>
        <w:tc>
          <w:tcPr>
            <w:tcW w:w="7780" w:type="dxa"/>
            <w:vAlign w:val="bottom"/>
            <w:shd w:val="clear" w:color="auto" w:fill="43C0B9"/>
          </w:tcPr>
          <w:p>
            <w:pPr>
              <w:ind w:left="20"/>
              <w:spacing w:after="0"/>
              <w:rPr>
                <w:sz w:val="20"/>
                <w:szCs w:val="20"/>
                <w:color w:val="auto"/>
              </w:rPr>
            </w:pPr>
            <w:r>
              <w:rPr>
                <w:rFonts w:ascii="Arial" w:cs="Arial" w:eastAsia="Arial" w:hAnsi="Arial"/>
                <w:sz w:val="11"/>
                <w:szCs w:val="11"/>
                <w:color w:val="auto"/>
              </w:rPr>
              <w:t>2025</w:t>
            </w:r>
          </w:p>
        </w:tc>
        <w:tc>
          <w:tcPr>
            <w:tcW w:w="440" w:type="dxa"/>
            <w:vAlign w:val="bottom"/>
            <w:shd w:val="clear" w:color="auto" w:fill="43C0B9"/>
          </w:tcPr>
          <w:p>
            <w:pPr>
              <w:spacing w:after="0"/>
              <w:rPr>
                <w:sz w:val="15"/>
                <w:szCs w:val="15"/>
                <w:color w:val="auto"/>
              </w:rPr>
            </w:pPr>
          </w:p>
        </w:tc>
        <w:tc>
          <w:tcPr>
            <w:tcW w:w="13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3.2</w:t>
            </w:r>
          </w:p>
        </w:tc>
        <w:tc>
          <w:tcPr>
            <w:tcW w:w="620" w:type="dxa"/>
            <w:vAlign w:val="bottom"/>
            <w:shd w:val="clear" w:color="auto" w:fill="43C0B9"/>
          </w:tcPr>
          <w:p>
            <w:pPr>
              <w:spacing w:after="0"/>
              <w:rPr>
                <w:sz w:val="15"/>
                <w:szCs w:val="15"/>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0.2</w:t>
            </w:r>
          </w:p>
        </w:tc>
      </w:tr>
      <w:tr>
        <w:trPr>
          <w:trHeight w:val="16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Thereafter</w:t>
            </w: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32.3</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77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Minimum lease payments</w:t>
            </w:r>
          </w:p>
        </w:tc>
        <w:tc>
          <w:tcPr>
            <w:tcW w:w="440" w:type="dxa"/>
            <w:vAlign w:val="bottom"/>
            <w:tcBorders>
              <w:bottom w:val="single" w:sz="8" w:color="auto"/>
            </w:tcBorders>
            <w:shd w:val="clear" w:color="auto" w:fill="43C0B9"/>
          </w:tcPr>
          <w:p>
            <w:pPr>
              <w:jc w:val="right"/>
              <w:ind w:right="303"/>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53.5</w:t>
            </w:r>
          </w:p>
        </w:tc>
        <w:tc>
          <w:tcPr>
            <w:tcW w:w="620" w:type="dxa"/>
            <w:vAlign w:val="bottom"/>
            <w:tcBorders>
              <w:bottom w:val="single" w:sz="8" w:color="auto"/>
            </w:tcBorders>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6.2</w:t>
            </w:r>
          </w:p>
        </w:tc>
      </w:tr>
      <w:tr>
        <w:trPr>
          <w:trHeight w:val="160"/>
        </w:trPr>
        <w:tc>
          <w:tcPr>
            <w:tcW w:w="7780" w:type="dxa"/>
            <w:vAlign w:val="bottom"/>
          </w:tcPr>
          <w:p>
            <w:pPr>
              <w:ind w:left="20"/>
              <w:spacing w:after="0"/>
              <w:rPr>
                <w:sz w:val="20"/>
                <w:szCs w:val="20"/>
                <w:color w:val="auto"/>
              </w:rPr>
            </w:pPr>
            <w:r>
              <w:rPr>
                <w:rFonts w:ascii="Arial" w:cs="Arial" w:eastAsia="Arial" w:hAnsi="Arial"/>
                <w:sz w:val="11"/>
                <w:szCs w:val="11"/>
                <w:color w:val="auto"/>
              </w:rPr>
              <w:t>Less interest</w:t>
            </w: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70"/>
        </w:trPr>
        <w:tc>
          <w:tcPr>
            <w:tcW w:w="77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Present value of future lease payments</w:t>
            </w:r>
          </w:p>
        </w:tc>
        <w:tc>
          <w:tcPr>
            <w:tcW w:w="440" w:type="dxa"/>
            <w:vAlign w:val="bottom"/>
            <w:tcBorders>
              <w:bottom w:val="single" w:sz="8" w:color="auto"/>
            </w:tcBorders>
            <w:shd w:val="clear" w:color="auto" w:fill="43C0B9"/>
          </w:tcPr>
          <w:p>
            <w:pPr>
              <w:spacing w:after="0"/>
              <w:rPr>
                <w:sz w:val="14"/>
                <w:szCs w:val="14"/>
                <w:color w:val="auto"/>
              </w:rPr>
            </w:pPr>
          </w:p>
        </w:tc>
        <w:tc>
          <w:tcPr>
            <w:tcW w:w="1320" w:type="dxa"/>
            <w:vAlign w:val="bottom"/>
            <w:tcBorders>
              <w:bottom w:val="single" w:sz="8" w:color="auto"/>
            </w:tcBorders>
            <w:shd w:val="clear" w:color="auto" w:fill="43C0B9"/>
          </w:tcPr>
          <w:p>
            <w:pPr>
              <w:spacing w:after="0"/>
              <w:rPr>
                <w:sz w:val="14"/>
                <w:szCs w:val="14"/>
                <w:color w:val="auto"/>
              </w:rPr>
            </w:pPr>
          </w:p>
        </w:tc>
        <w:tc>
          <w:tcPr>
            <w:tcW w:w="620" w:type="dxa"/>
            <w:vAlign w:val="bottom"/>
            <w:tcBorders>
              <w:bottom w:val="single" w:sz="8" w:color="auto"/>
            </w:tcBorders>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4.5</w:t>
            </w:r>
          </w:p>
        </w:tc>
      </w:tr>
    </w:tbl>
    <w:p>
      <w:pPr>
        <w:spacing w:after="0" w:line="235" w:lineRule="exact"/>
        <w:rPr>
          <w:sz w:val="20"/>
          <w:szCs w:val="20"/>
          <w:color w:val="auto"/>
        </w:rPr>
      </w:pPr>
    </w:p>
    <w:p>
      <w:pPr>
        <w:ind w:right="440" w:firstLine="509"/>
        <w:spacing w:after="0" w:line="244" w:lineRule="auto"/>
        <w:rPr>
          <w:sz w:val="20"/>
          <w:szCs w:val="20"/>
          <w:color w:val="auto"/>
        </w:rPr>
      </w:pPr>
      <w:r>
        <w:rPr>
          <w:rFonts w:ascii="Arial" w:cs="Arial" w:eastAsia="Arial" w:hAnsi="Arial"/>
          <w:sz w:val="13"/>
          <w:szCs w:val="13"/>
          <w:color w:val="auto"/>
        </w:rPr>
        <w:t>As of October 31, 2020, finance leases totaled $5.7 million less accumulated depreciation of $0.6 million. Depreciation expense on finance leases was $0.3 million for both years ended October 31, 2020 and 2019.</w:t>
      </w:r>
    </w:p>
    <w:p>
      <w:pPr>
        <w:spacing w:after="0" w:line="184"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As of October 31, 2020, we did not have material leases that had not yet commenced. Rent expense was approximately $6.9 million and $6.1 million for the years ended October 31, 2020 and 2019, respectively.</w:t>
      </w:r>
    </w:p>
    <w:p>
      <w:pPr>
        <w:spacing w:after="0" w:line="141" w:lineRule="exact"/>
        <w:rPr>
          <w:sz w:val="20"/>
          <w:szCs w:val="20"/>
          <w:color w:val="auto"/>
        </w:rPr>
      </w:pPr>
    </w:p>
    <w:p>
      <w:pPr>
        <w:ind w:left="400" w:hanging="395"/>
        <w:spacing w:after="0"/>
        <w:tabs>
          <w:tab w:leader="none" w:pos="400" w:val="left"/>
        </w:tabs>
        <w:numPr>
          <w:ilvl w:val="0"/>
          <w:numId w:val="18"/>
        </w:numPr>
        <w:rPr>
          <w:rFonts w:ascii="Arial" w:cs="Arial" w:eastAsia="Arial" w:hAnsi="Arial"/>
          <w:sz w:val="16"/>
          <w:szCs w:val="16"/>
          <w:b w:val="1"/>
          <w:bCs w:val="1"/>
          <w:color w:val="232F84"/>
        </w:rPr>
      </w:pPr>
      <w:r>
        <w:rPr>
          <w:rFonts w:ascii="Arial" w:cs="Arial" w:eastAsia="Arial" w:hAnsi="Arial"/>
          <w:sz w:val="16"/>
          <w:szCs w:val="16"/>
          <w:b w:val="1"/>
          <w:bCs w:val="1"/>
          <w:color w:val="232F84"/>
        </w:rPr>
        <w:t>Commitments and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Litigation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is involved from time to time in claims, proceedings, and litigation, including the following:</w:t>
      </w:r>
    </w:p>
    <w:p>
      <w:pPr>
        <w:spacing w:after="0" w:line="158"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comprehensive income during the three months ended April 30, 2021. The parties executed a stipulation of settlement agreement on such terms in November 2021. This preliminary settlement is subject to approval by the applicable courts.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240" w:firstLine="509"/>
        <w:spacing w:after="0" w:line="284" w:lineRule="auto"/>
        <w:rPr>
          <w:sz w:val="20"/>
          <w:szCs w:val="20"/>
          <w:color w:val="auto"/>
        </w:rPr>
      </w:pPr>
      <w:r>
        <w:rPr>
          <w:rFonts w:ascii="Arial" w:cs="Arial" w:eastAsia="Arial" w:hAnsi="Arial"/>
          <w:sz w:val="12"/>
          <w:szCs w:val="12"/>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 w:type="dxa"/>
            <w:vAlign w:val="bottom"/>
          </w:tcPr>
          <w:p>
            <w:pPr>
              <w:spacing w:after="0"/>
              <w:rPr>
                <w:sz w:val="20"/>
                <w:szCs w:val="20"/>
                <w:color w:val="auto"/>
              </w:rPr>
            </w:pPr>
            <w:r>
              <w:rPr>
                <w:rFonts w:ascii="Arial" w:cs="Arial" w:eastAsia="Arial" w:hAnsi="Arial"/>
                <w:sz w:val="16"/>
                <w:szCs w:val="16"/>
                <w:b w:val="1"/>
                <w:bCs w:val="1"/>
                <w:color w:val="232F84"/>
              </w:rPr>
              <w:t>8.</w:t>
            </w:r>
          </w:p>
        </w:tc>
        <w:tc>
          <w:tcPr>
            <w:tcW w:w="6920" w:type="dxa"/>
            <w:vAlign w:val="bottom"/>
          </w:tcPr>
          <w:p>
            <w:pPr>
              <w:ind w:left="100"/>
              <w:spacing w:after="0"/>
              <w:rPr>
                <w:sz w:val="20"/>
                <w:szCs w:val="20"/>
                <w:color w:val="auto"/>
              </w:rPr>
            </w:pPr>
            <w:r>
              <w:rPr>
                <w:rFonts w:ascii="Arial" w:cs="Arial" w:eastAsia="Arial" w:hAnsi="Arial"/>
                <w:sz w:val="16"/>
                <w:szCs w:val="16"/>
                <w:b w:val="1"/>
                <w:bCs w:val="1"/>
                <w:color w:val="232F84"/>
              </w:rPr>
              <w:t>Income Taxes</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21"/>
        </w:trPr>
        <w:tc>
          <w:tcPr>
            <w:tcW w:w="26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Arial" w:cs="Arial" w:eastAsia="Arial" w:hAnsi="Arial"/>
                <w:sz w:val="13"/>
                <w:szCs w:val="13"/>
                <w:color w:val="auto"/>
              </w:rPr>
              <w:t>The components of the provision for income taxes were as follows: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3"/>
        </w:trPr>
        <w:tc>
          <w:tcPr>
            <w:tcW w:w="260" w:type="dxa"/>
            <w:vAlign w:val="bottom"/>
            <w:shd w:val="clear" w:color="auto" w:fill="232F84"/>
          </w:tcPr>
          <w:p>
            <w:pPr>
              <w:spacing w:after="0"/>
              <w:rPr>
                <w:sz w:val="15"/>
                <w:szCs w:val="15"/>
                <w:color w:val="auto"/>
              </w:rPr>
            </w:pPr>
          </w:p>
        </w:tc>
        <w:tc>
          <w:tcPr>
            <w:tcW w:w="692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r>
      <w:tr>
        <w:trPr>
          <w:trHeight w:val="177"/>
        </w:trPr>
        <w:tc>
          <w:tcPr>
            <w:tcW w:w="7180" w:type="dxa"/>
            <w:vAlign w:val="bottom"/>
            <w:gridSpan w:val="2"/>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8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7180" w:type="dxa"/>
            <w:vAlign w:val="bottom"/>
            <w:gridSpan w:val="2"/>
            <w:shd w:val="clear" w:color="auto" w:fill="43C0B9"/>
          </w:tcPr>
          <w:p>
            <w:pPr>
              <w:ind w:left="20"/>
              <w:spacing w:after="0"/>
              <w:rPr>
                <w:sz w:val="20"/>
                <w:szCs w:val="20"/>
                <w:color w:val="auto"/>
              </w:rPr>
            </w:pPr>
            <w:r>
              <w:rPr>
                <w:rFonts w:ascii="Arial" w:cs="Arial" w:eastAsia="Arial" w:hAnsi="Arial"/>
                <w:sz w:val="11"/>
                <w:szCs w:val="11"/>
                <w:color w:val="auto"/>
              </w:rPr>
              <w:t>Current</w:t>
            </w:r>
          </w:p>
        </w:tc>
        <w:tc>
          <w:tcPr>
            <w:tcW w:w="56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600" w:type="dxa"/>
            <w:vAlign w:val="bottom"/>
            <w:shd w:val="clear" w:color="auto" w:fill="43C0B9"/>
          </w:tcPr>
          <w:p>
            <w:pPr>
              <w:spacing w:after="0"/>
              <w:rPr>
                <w:sz w:val="14"/>
                <w:szCs w:val="14"/>
                <w:color w:val="auto"/>
              </w:rPr>
            </w:pPr>
          </w:p>
        </w:tc>
        <w:tc>
          <w:tcPr>
            <w:tcW w:w="800" w:type="dxa"/>
            <w:vAlign w:val="bottom"/>
            <w:shd w:val="clear" w:color="auto" w:fill="43C0B9"/>
          </w:tcPr>
          <w:p>
            <w:pPr>
              <w:spacing w:after="0"/>
              <w:rPr>
                <w:sz w:val="14"/>
                <w:szCs w:val="14"/>
                <w:color w:val="auto"/>
              </w:rPr>
            </w:pPr>
          </w:p>
        </w:tc>
        <w:tc>
          <w:tcPr>
            <w:tcW w:w="580" w:type="dxa"/>
            <w:vAlign w:val="bottom"/>
            <w:shd w:val="clear" w:color="auto" w:fill="43C0B9"/>
          </w:tcPr>
          <w:p>
            <w:pPr>
              <w:spacing w:after="0"/>
              <w:rPr>
                <w:sz w:val="14"/>
                <w:szCs w:val="14"/>
                <w:color w:val="auto"/>
              </w:rPr>
            </w:pPr>
          </w:p>
        </w:tc>
        <w:tc>
          <w:tcPr>
            <w:tcW w:w="760" w:type="dxa"/>
            <w:vAlign w:val="bottom"/>
            <w:shd w:val="clear" w:color="auto" w:fill="43C0B9"/>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6920" w:type="dxa"/>
            <w:vAlign w:val="bottom"/>
          </w:tcPr>
          <w:p>
            <w:pPr>
              <w:ind w:left="20"/>
              <w:spacing w:after="0"/>
              <w:rPr>
                <w:sz w:val="20"/>
                <w:szCs w:val="20"/>
                <w:color w:val="auto"/>
              </w:rPr>
            </w:pPr>
            <w:r>
              <w:rPr>
                <w:rFonts w:ascii="Arial" w:cs="Arial" w:eastAsia="Arial" w:hAnsi="Arial"/>
                <w:sz w:val="11"/>
                <w:szCs w:val="11"/>
                <w:color w:val="auto"/>
              </w:rPr>
              <w:t>Federal</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2.2</w:t>
            </w:r>
          </w:p>
        </w:tc>
        <w:tc>
          <w:tcPr>
            <w:tcW w:w="600" w:type="dxa"/>
            <w:vAlign w:val="bottom"/>
          </w:tcPr>
          <w:p>
            <w:pPr>
              <w:ind w:left="6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4.6</w:t>
            </w:r>
          </w:p>
        </w:tc>
        <w:tc>
          <w:tcPr>
            <w:tcW w:w="58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11.8</w:t>
            </w:r>
          </w:p>
        </w:tc>
      </w:tr>
      <w:tr>
        <w:trPr>
          <w:trHeight w:val="174"/>
        </w:trPr>
        <w:tc>
          <w:tcPr>
            <w:tcW w:w="260" w:type="dxa"/>
            <w:vAlign w:val="bottom"/>
            <w:shd w:val="clear" w:color="auto" w:fill="43C0B9"/>
          </w:tcPr>
          <w:p>
            <w:pPr>
              <w:spacing w:after="0"/>
              <w:rPr>
                <w:sz w:val="15"/>
                <w:szCs w:val="15"/>
                <w:color w:val="auto"/>
              </w:rPr>
            </w:pPr>
          </w:p>
        </w:tc>
        <w:tc>
          <w:tcPr>
            <w:tcW w:w="6920" w:type="dxa"/>
            <w:vAlign w:val="bottom"/>
            <w:shd w:val="clear" w:color="auto" w:fill="43C0B9"/>
          </w:tcPr>
          <w:p>
            <w:pPr>
              <w:ind w:left="20"/>
              <w:spacing w:after="0"/>
              <w:rPr>
                <w:sz w:val="20"/>
                <w:szCs w:val="20"/>
                <w:color w:val="auto"/>
              </w:rPr>
            </w:pPr>
            <w:r>
              <w:rPr>
                <w:rFonts w:ascii="Arial" w:cs="Arial" w:eastAsia="Arial" w:hAnsi="Arial"/>
                <w:sz w:val="11"/>
                <w:szCs w:val="11"/>
                <w:color w:val="auto"/>
              </w:rPr>
              <w:t>State</w:t>
            </w:r>
          </w:p>
        </w:tc>
        <w:tc>
          <w:tcPr>
            <w:tcW w:w="56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0.6</w:t>
            </w:r>
          </w:p>
        </w:tc>
        <w:tc>
          <w:tcPr>
            <w:tcW w:w="60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0.7</w:t>
            </w:r>
          </w:p>
        </w:tc>
        <w:tc>
          <w:tcPr>
            <w:tcW w:w="580" w:type="dxa"/>
            <w:vAlign w:val="bottom"/>
            <w:shd w:val="clear" w:color="auto" w:fill="43C0B9"/>
          </w:tcPr>
          <w:p>
            <w:pPr>
              <w:spacing w:after="0"/>
              <w:rPr>
                <w:sz w:val="15"/>
                <w:szCs w:val="15"/>
                <w:color w:val="auto"/>
              </w:rPr>
            </w:pPr>
          </w:p>
        </w:tc>
        <w:tc>
          <w:tcPr>
            <w:tcW w:w="7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2.6</w:t>
            </w:r>
          </w:p>
        </w:tc>
      </w:tr>
      <w:tr>
        <w:trPr>
          <w:trHeight w:val="166"/>
        </w:trPr>
        <w:tc>
          <w:tcPr>
            <w:tcW w:w="26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Foreign</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9.5</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10.7</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w:t>
            </w:r>
          </w:p>
        </w:tc>
      </w:tr>
      <w:tr>
        <w:trPr>
          <w:trHeight w:val="165"/>
        </w:trPr>
        <w:tc>
          <w:tcPr>
            <w:tcW w:w="7180" w:type="dxa"/>
            <w:vAlign w:val="bottom"/>
            <w:gridSpan w:val="2"/>
            <w:shd w:val="clear" w:color="auto" w:fill="43C0B9"/>
          </w:tcPr>
          <w:p>
            <w:pPr>
              <w:ind w:left="20"/>
              <w:spacing w:after="0"/>
              <w:rPr>
                <w:sz w:val="20"/>
                <w:szCs w:val="20"/>
                <w:color w:val="auto"/>
              </w:rPr>
            </w:pPr>
            <w:r>
              <w:rPr>
                <w:rFonts w:ascii="Arial" w:cs="Arial" w:eastAsia="Arial" w:hAnsi="Arial"/>
                <w:sz w:val="11"/>
                <w:szCs w:val="11"/>
                <w:color w:val="auto"/>
              </w:rPr>
              <w:t>Total current</w:t>
            </w:r>
          </w:p>
        </w:tc>
        <w:tc>
          <w:tcPr>
            <w:tcW w:w="560" w:type="dxa"/>
            <w:vAlign w:val="bottom"/>
            <w:shd w:val="clear" w:color="auto" w:fill="43C0B9"/>
          </w:tcPr>
          <w:p>
            <w:pPr>
              <w:spacing w:after="0"/>
              <w:rPr>
                <w:sz w:val="14"/>
                <w:szCs w:val="14"/>
                <w:color w:val="auto"/>
              </w:rPr>
            </w:pPr>
          </w:p>
        </w:tc>
        <w:tc>
          <w:tcPr>
            <w:tcW w:w="8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12.3</w:t>
            </w:r>
          </w:p>
        </w:tc>
        <w:tc>
          <w:tcPr>
            <w:tcW w:w="600" w:type="dxa"/>
            <w:vAlign w:val="bottom"/>
            <w:shd w:val="clear" w:color="auto" w:fill="43C0B9"/>
          </w:tcPr>
          <w:p>
            <w:pPr>
              <w:spacing w:after="0"/>
              <w:rPr>
                <w:sz w:val="14"/>
                <w:szCs w:val="14"/>
                <w:color w:val="auto"/>
              </w:rPr>
            </w:pP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16.0</w:t>
            </w:r>
          </w:p>
        </w:tc>
        <w:tc>
          <w:tcPr>
            <w:tcW w:w="580" w:type="dxa"/>
            <w:vAlign w:val="bottom"/>
            <w:shd w:val="clear" w:color="auto" w:fill="43C0B9"/>
          </w:tcPr>
          <w:p>
            <w:pPr>
              <w:spacing w:after="0"/>
              <w:rPr>
                <w:sz w:val="14"/>
                <w:szCs w:val="14"/>
                <w:color w:val="auto"/>
              </w:rPr>
            </w:pPr>
          </w:p>
        </w:tc>
        <w:tc>
          <w:tcPr>
            <w:tcW w:w="7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23.7</w:t>
            </w:r>
          </w:p>
        </w:tc>
      </w:tr>
      <w:tr>
        <w:trPr>
          <w:trHeight w:val="166"/>
        </w:trPr>
        <w:tc>
          <w:tcPr>
            <w:tcW w:w="7180" w:type="dxa"/>
            <w:vAlign w:val="bottom"/>
            <w:gridSpan w:val="2"/>
          </w:tcPr>
          <w:p>
            <w:pPr>
              <w:ind w:left="20"/>
              <w:spacing w:after="0"/>
              <w:rPr>
                <w:sz w:val="20"/>
                <w:szCs w:val="20"/>
                <w:color w:val="auto"/>
              </w:rPr>
            </w:pPr>
            <w:r>
              <w:rPr>
                <w:rFonts w:ascii="Arial" w:cs="Arial" w:eastAsia="Arial" w:hAnsi="Arial"/>
                <w:sz w:val="11"/>
                <w:szCs w:val="11"/>
                <w:color w:val="auto"/>
              </w:rPr>
              <w:t>Deferred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260" w:type="dxa"/>
            <w:vAlign w:val="bottom"/>
            <w:shd w:val="clear" w:color="auto" w:fill="43C0B9"/>
          </w:tcPr>
          <w:p>
            <w:pPr>
              <w:spacing w:after="0"/>
              <w:rPr>
                <w:sz w:val="15"/>
                <w:szCs w:val="15"/>
                <w:color w:val="auto"/>
              </w:rPr>
            </w:pPr>
          </w:p>
        </w:tc>
        <w:tc>
          <w:tcPr>
            <w:tcW w:w="6920" w:type="dxa"/>
            <w:vAlign w:val="bottom"/>
            <w:shd w:val="clear" w:color="auto" w:fill="43C0B9"/>
          </w:tcPr>
          <w:p>
            <w:pPr>
              <w:ind w:left="20"/>
              <w:spacing w:after="0"/>
              <w:rPr>
                <w:sz w:val="20"/>
                <w:szCs w:val="20"/>
                <w:color w:val="auto"/>
              </w:rPr>
            </w:pPr>
            <w:r>
              <w:rPr>
                <w:rFonts w:ascii="Arial" w:cs="Arial" w:eastAsia="Arial" w:hAnsi="Arial"/>
                <w:sz w:val="11"/>
                <w:szCs w:val="11"/>
                <w:color w:val="auto"/>
              </w:rPr>
              <w:t>Federal</w:t>
            </w:r>
          </w:p>
        </w:tc>
        <w:tc>
          <w:tcPr>
            <w:tcW w:w="56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2.6</w:t>
            </w:r>
          </w:p>
        </w:tc>
        <w:tc>
          <w:tcPr>
            <w:tcW w:w="600" w:type="dxa"/>
            <w:vAlign w:val="bottom"/>
            <w:shd w:val="clear" w:color="auto" w:fill="43C0B9"/>
          </w:tcPr>
          <w:p>
            <w:pPr>
              <w:spacing w:after="0"/>
              <w:rPr>
                <w:sz w:val="15"/>
                <w:szCs w:val="15"/>
                <w:color w:val="auto"/>
              </w:rPr>
            </w:pP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1.1</w:t>
            </w:r>
          </w:p>
        </w:tc>
        <w:tc>
          <w:tcPr>
            <w:tcW w:w="580" w:type="dxa"/>
            <w:vAlign w:val="bottom"/>
            <w:shd w:val="clear" w:color="auto" w:fill="43C0B9"/>
          </w:tcPr>
          <w:p>
            <w:pPr>
              <w:spacing w:after="0"/>
              <w:rPr>
                <w:sz w:val="15"/>
                <w:szCs w:val="15"/>
                <w:color w:val="auto"/>
              </w:rPr>
            </w:pPr>
          </w:p>
        </w:tc>
        <w:tc>
          <w:tcPr>
            <w:tcW w:w="7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(0.6)</w:t>
            </w:r>
          </w:p>
        </w:tc>
      </w:tr>
      <w:tr>
        <w:trPr>
          <w:trHeight w:val="166"/>
        </w:trPr>
        <w:tc>
          <w:tcPr>
            <w:tcW w:w="260" w:type="dxa"/>
            <w:vAlign w:val="bottom"/>
          </w:tcPr>
          <w:p>
            <w:pPr>
              <w:spacing w:after="0"/>
              <w:rPr>
                <w:sz w:val="14"/>
                <w:szCs w:val="14"/>
                <w:color w:val="auto"/>
              </w:rPr>
            </w:pPr>
          </w:p>
        </w:tc>
        <w:tc>
          <w:tcPr>
            <w:tcW w:w="6920" w:type="dxa"/>
            <w:vAlign w:val="bottom"/>
          </w:tcPr>
          <w:p>
            <w:pPr>
              <w:ind w:left="20"/>
              <w:spacing w:after="0"/>
              <w:rPr>
                <w:sz w:val="20"/>
                <w:szCs w:val="20"/>
                <w:color w:val="auto"/>
              </w:rPr>
            </w:pPr>
            <w:r>
              <w:rPr>
                <w:rFonts w:ascii="Arial" w:cs="Arial" w:eastAsia="Arial" w:hAnsi="Arial"/>
                <w:sz w:val="11"/>
                <w:szCs w:val="11"/>
                <w:color w:val="auto"/>
              </w:rPr>
              <w:t>State</w:t>
            </w:r>
          </w:p>
        </w:tc>
        <w:tc>
          <w:tcPr>
            <w:tcW w:w="560" w:type="dxa"/>
            <w:vAlign w:val="bottom"/>
          </w:tcPr>
          <w:p>
            <w:pPr>
              <w:spacing w:after="0"/>
              <w:rPr>
                <w:sz w:val="14"/>
                <w:szCs w:val="14"/>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0.3</w:t>
            </w:r>
          </w:p>
        </w:tc>
        <w:tc>
          <w:tcPr>
            <w:tcW w:w="60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5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70"/>
        </w:trPr>
        <w:tc>
          <w:tcPr>
            <w:tcW w:w="260" w:type="dxa"/>
            <w:vAlign w:val="bottom"/>
            <w:tcBorders>
              <w:bottom w:val="single" w:sz="8" w:color="auto"/>
            </w:tcBorders>
            <w:shd w:val="clear" w:color="auto" w:fill="43C0B9"/>
          </w:tcPr>
          <w:p>
            <w:pPr>
              <w:spacing w:after="0"/>
              <w:rPr>
                <w:sz w:val="14"/>
                <w:szCs w:val="14"/>
                <w:color w:val="auto"/>
              </w:rPr>
            </w:pPr>
          </w:p>
        </w:tc>
        <w:tc>
          <w:tcPr>
            <w:tcW w:w="6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Foreign</w:t>
            </w:r>
          </w:p>
        </w:tc>
        <w:tc>
          <w:tcPr>
            <w:tcW w:w="560" w:type="dxa"/>
            <w:vAlign w:val="bottom"/>
            <w:tcBorders>
              <w:bottom w:val="single" w:sz="8" w:color="auto"/>
            </w:tcBorders>
            <w:shd w:val="clear" w:color="auto" w:fill="43C0B9"/>
          </w:tcPr>
          <w:p>
            <w:pPr>
              <w:spacing w:after="0"/>
              <w:rPr>
                <w:sz w:val="14"/>
                <w:szCs w:val="14"/>
                <w:color w:val="auto"/>
              </w:rPr>
            </w:pPr>
          </w:p>
        </w:tc>
        <w:tc>
          <w:tcPr>
            <w:tcW w:w="8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5.9</w:t>
            </w:r>
          </w:p>
        </w:tc>
        <w:tc>
          <w:tcPr>
            <w:tcW w:w="600" w:type="dxa"/>
            <w:vAlign w:val="bottom"/>
            <w:tcBorders>
              <w:bottom w:val="single" w:sz="8" w:color="auto"/>
            </w:tcBorders>
            <w:shd w:val="clear" w:color="auto" w:fill="43C0B9"/>
          </w:tcPr>
          <w:p>
            <w:pPr>
              <w:spacing w:after="0"/>
              <w:rPr>
                <w:sz w:val="14"/>
                <w:szCs w:val="14"/>
                <w:color w:val="auto"/>
              </w:rPr>
            </w:pPr>
          </w:p>
        </w:tc>
        <w:tc>
          <w:tcPr>
            <w:tcW w:w="8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(1.9)</w:t>
            </w:r>
          </w:p>
        </w:tc>
        <w:tc>
          <w:tcPr>
            <w:tcW w:w="580" w:type="dxa"/>
            <w:vAlign w:val="bottom"/>
            <w:tcBorders>
              <w:bottom w:val="single" w:sz="8" w:color="auto"/>
            </w:tcBorders>
            <w:shd w:val="clear" w:color="auto" w:fill="43C0B9"/>
          </w:tcPr>
          <w:p>
            <w:pPr>
              <w:spacing w:after="0"/>
              <w:rPr>
                <w:sz w:val="14"/>
                <w:szCs w:val="14"/>
                <w:color w:val="auto"/>
              </w:rPr>
            </w:pPr>
          </w:p>
        </w:tc>
        <w:tc>
          <w:tcPr>
            <w:tcW w:w="7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1.0</w:t>
            </w:r>
          </w:p>
        </w:tc>
      </w:tr>
      <w:tr>
        <w:trPr>
          <w:trHeight w:val="160"/>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Total deferred</w:t>
            </w:r>
          </w:p>
        </w:tc>
        <w:tc>
          <w:tcPr>
            <w:tcW w:w="5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8.8</w:t>
            </w: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w:t>
            </w: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w:t>
            </w:r>
          </w:p>
        </w:tc>
      </w:tr>
      <w:tr>
        <w:trPr>
          <w:trHeight w:val="160"/>
        </w:trPr>
        <w:tc>
          <w:tcPr>
            <w:tcW w:w="718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1"/>
                <w:szCs w:val="11"/>
                <w:color w:val="auto"/>
              </w:rPr>
              <w:t>Provision for income taxes</w:t>
            </w:r>
          </w:p>
        </w:tc>
        <w:tc>
          <w:tcPr>
            <w:tcW w:w="56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21.1</w:t>
            </w:r>
          </w:p>
        </w:tc>
        <w:tc>
          <w:tcPr>
            <w:tcW w:w="600" w:type="dxa"/>
            <w:vAlign w:val="bottom"/>
            <w:tcBorders>
              <w:bottom w:val="single" w:sz="8" w:color="auto"/>
            </w:tcBorders>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15.0</w:t>
            </w:r>
          </w:p>
        </w:tc>
        <w:tc>
          <w:tcPr>
            <w:tcW w:w="58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24.3</w:t>
            </w:r>
          </w:p>
        </w:tc>
      </w:tr>
      <w:tr>
        <w:trPr>
          <w:trHeight w:val="372"/>
        </w:trPr>
        <w:tc>
          <w:tcPr>
            <w:tcW w:w="260" w:type="dxa"/>
            <w:vAlign w:val="bottom"/>
          </w:tcPr>
          <w:p>
            <w:pPr>
              <w:spacing w:after="0"/>
              <w:rPr>
                <w:sz w:val="24"/>
                <w:szCs w:val="24"/>
                <w:color w:val="auto"/>
              </w:rPr>
            </w:pPr>
          </w:p>
        </w:tc>
        <w:tc>
          <w:tcPr>
            <w:tcW w:w="6920" w:type="dxa"/>
            <w:vAlign w:val="bottom"/>
          </w:tcPr>
          <w:p>
            <w:pPr>
              <w:ind w:left="260"/>
              <w:spacing w:after="0"/>
              <w:rPr>
                <w:sz w:val="20"/>
                <w:szCs w:val="20"/>
                <w:color w:val="auto"/>
              </w:rPr>
            </w:pPr>
            <w:r>
              <w:rPr>
                <w:rFonts w:ascii="Arial" w:cs="Arial" w:eastAsia="Arial" w:hAnsi="Arial"/>
                <w:sz w:val="13"/>
                <w:szCs w:val="13"/>
                <w:color w:val="auto"/>
              </w:rPr>
              <w:t>U.S. and foreign components of income before income taxes were as follows:</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26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3"/>
        </w:trPr>
        <w:tc>
          <w:tcPr>
            <w:tcW w:w="260" w:type="dxa"/>
            <w:vAlign w:val="bottom"/>
            <w:shd w:val="clear" w:color="auto" w:fill="232F84"/>
          </w:tcPr>
          <w:p>
            <w:pPr>
              <w:spacing w:after="0"/>
              <w:rPr>
                <w:sz w:val="15"/>
                <w:szCs w:val="15"/>
                <w:color w:val="auto"/>
              </w:rPr>
            </w:pPr>
          </w:p>
        </w:tc>
        <w:tc>
          <w:tcPr>
            <w:tcW w:w="6920" w:type="dxa"/>
            <w:vAlign w:val="bottom"/>
            <w:shd w:val="clear" w:color="auto" w:fill="232F84"/>
          </w:tcPr>
          <w:p>
            <w:pPr>
              <w:spacing w:after="0"/>
              <w:rPr>
                <w:sz w:val="15"/>
                <w:szCs w:val="15"/>
                <w:color w:val="auto"/>
              </w:rPr>
            </w:pP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1400" w:type="dxa"/>
            <w:vAlign w:val="bottom"/>
            <w:gridSpan w:val="2"/>
            <w:shd w:val="clear" w:color="auto" w:fill="232F84"/>
          </w:tcPr>
          <w:p>
            <w:pPr>
              <w:ind w:left="60"/>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r>
      <w:tr>
        <w:trPr>
          <w:trHeight w:val="177"/>
        </w:trPr>
        <w:tc>
          <w:tcPr>
            <w:tcW w:w="7180" w:type="dxa"/>
            <w:vAlign w:val="bottom"/>
            <w:gridSpan w:val="2"/>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60" w:type="dxa"/>
            <w:vAlign w:val="bottom"/>
            <w:shd w:val="clear" w:color="auto" w:fill="232F84"/>
          </w:tcPr>
          <w:p>
            <w:pPr>
              <w:spacing w:after="0"/>
              <w:rPr>
                <w:sz w:val="15"/>
                <w:szCs w:val="15"/>
                <w:color w:val="auto"/>
              </w:rPr>
            </w:pPr>
          </w:p>
        </w:tc>
        <w:tc>
          <w:tcPr>
            <w:tcW w:w="8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600" w:type="dxa"/>
            <w:vAlign w:val="bottom"/>
            <w:shd w:val="clear" w:color="auto" w:fill="232F84"/>
          </w:tcPr>
          <w:p>
            <w:pPr>
              <w:spacing w:after="0"/>
              <w:rPr>
                <w:sz w:val="15"/>
                <w:szCs w:val="15"/>
                <w:color w:val="auto"/>
              </w:rPr>
            </w:pPr>
          </w:p>
        </w:tc>
        <w:tc>
          <w:tcPr>
            <w:tcW w:w="80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2020</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260" w:type="dxa"/>
            <w:vAlign w:val="bottom"/>
            <w:shd w:val="clear" w:color="auto" w:fill="43C0B9"/>
          </w:tcPr>
          <w:p>
            <w:pPr>
              <w:ind w:left="20"/>
              <w:spacing w:after="0"/>
              <w:rPr>
                <w:sz w:val="20"/>
                <w:szCs w:val="20"/>
                <w:color w:val="auto"/>
              </w:rPr>
            </w:pPr>
            <w:r>
              <w:rPr>
                <w:rFonts w:ascii="Arial" w:cs="Arial" w:eastAsia="Arial" w:hAnsi="Arial"/>
                <w:sz w:val="11"/>
                <w:szCs w:val="11"/>
                <w:color w:val="auto"/>
              </w:rPr>
              <w:t>U.S.</w:t>
            </w:r>
          </w:p>
        </w:tc>
        <w:tc>
          <w:tcPr>
            <w:tcW w:w="6920" w:type="dxa"/>
            <w:vAlign w:val="bottom"/>
            <w:shd w:val="clear" w:color="auto" w:fill="43C0B9"/>
          </w:tcPr>
          <w:p>
            <w:pPr>
              <w:spacing w:after="0"/>
              <w:rPr>
                <w:sz w:val="14"/>
                <w:szCs w:val="14"/>
                <w:color w:val="auto"/>
              </w:rPr>
            </w:pPr>
          </w:p>
        </w:tc>
        <w:tc>
          <w:tcPr>
            <w:tcW w:w="56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20.8</w:t>
            </w:r>
          </w:p>
        </w:tc>
        <w:tc>
          <w:tcPr>
            <w:tcW w:w="600" w:type="dxa"/>
            <w:vAlign w:val="bottom"/>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0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31.0</w:t>
            </w:r>
          </w:p>
        </w:tc>
        <w:tc>
          <w:tcPr>
            <w:tcW w:w="580" w:type="dxa"/>
            <w:vAlign w:val="bottom"/>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51.7</w:t>
            </w:r>
          </w:p>
        </w:tc>
      </w:tr>
      <w:tr>
        <w:trPr>
          <w:trHeight w:val="166"/>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Foreign</w:t>
            </w: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45.2</w:t>
            </w:r>
          </w:p>
        </w:tc>
        <w:tc>
          <w:tcPr>
            <w:tcW w:w="6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12.8</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w:t>
            </w:r>
          </w:p>
        </w:tc>
      </w:tr>
      <w:tr>
        <w:trPr>
          <w:trHeight w:val="160"/>
        </w:trPr>
        <w:tc>
          <w:tcPr>
            <w:tcW w:w="718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1"/>
                <w:szCs w:val="11"/>
                <w:color w:val="auto"/>
              </w:rPr>
              <w:t>Income before income taxes</w:t>
            </w:r>
          </w:p>
        </w:tc>
        <w:tc>
          <w:tcPr>
            <w:tcW w:w="56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66.0</w:t>
            </w:r>
          </w:p>
        </w:tc>
        <w:tc>
          <w:tcPr>
            <w:tcW w:w="600" w:type="dxa"/>
            <w:vAlign w:val="bottom"/>
            <w:tcBorders>
              <w:bottom w:val="single" w:sz="8" w:color="auto"/>
            </w:tcBorders>
            <w:shd w:val="clear" w:color="auto" w:fill="43C0B9"/>
          </w:tcPr>
          <w:p>
            <w:pPr>
              <w:ind w:left="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43.8</w:t>
            </w:r>
          </w:p>
        </w:tc>
        <w:tc>
          <w:tcPr>
            <w:tcW w:w="580" w:type="dxa"/>
            <w:vAlign w:val="bottom"/>
            <w:tcBorders>
              <w:bottom w:val="single" w:sz="8" w:color="auto"/>
            </w:tcBorders>
            <w:shd w:val="clear" w:color="auto" w:fill="43C0B9"/>
          </w:tcPr>
          <w:p>
            <w:pPr>
              <w:jc w:val="right"/>
              <w:ind w:right="423"/>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96.0</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reconciliation of the provision for income taxes computed at the federal statutory tax rate to income taxes as reflected in the financial statements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shd w:val="clear" w:color="auto" w:fill="232F84"/>
          </w:tcPr>
          <w:p>
            <w:pPr>
              <w:spacing w:after="0"/>
              <w:rPr>
                <w:sz w:val="15"/>
                <w:szCs w:val="15"/>
                <w:color w:val="auto"/>
              </w:rPr>
            </w:pPr>
          </w:p>
        </w:tc>
        <w:tc>
          <w:tcPr>
            <w:tcW w:w="1440" w:type="dxa"/>
            <w:vAlign w:val="bottom"/>
            <w:shd w:val="clear" w:color="auto" w:fill="232F84"/>
          </w:tcPr>
          <w:p>
            <w:pPr>
              <w:spacing w:after="0"/>
              <w:rPr>
                <w:sz w:val="15"/>
                <w:szCs w:val="15"/>
                <w:color w:val="auto"/>
              </w:rPr>
            </w:pPr>
          </w:p>
        </w:tc>
        <w:tc>
          <w:tcPr>
            <w:tcW w:w="1940" w:type="dxa"/>
            <w:vAlign w:val="bottom"/>
            <w:shd w:val="clear" w:color="auto" w:fill="232F84"/>
          </w:tcPr>
          <w:p>
            <w:pPr>
              <w:jc w:val="right"/>
              <w:ind w:right="543"/>
              <w:spacing w:after="0"/>
              <w:rPr>
                <w:sz w:val="20"/>
                <w:szCs w:val="20"/>
                <w:color w:val="auto"/>
              </w:rPr>
            </w:pPr>
            <w:r>
              <w:rPr>
                <w:rFonts w:ascii="Arial" w:cs="Arial" w:eastAsia="Arial" w:hAnsi="Arial"/>
                <w:sz w:val="11"/>
                <w:szCs w:val="11"/>
                <w:b w:val="1"/>
                <w:bCs w:val="1"/>
                <w:color w:val="FFFFFF"/>
              </w:rPr>
              <w:t>Year Ended October 31,</w:t>
            </w:r>
          </w:p>
        </w:tc>
        <w:tc>
          <w:tcPr>
            <w:tcW w:w="920" w:type="dxa"/>
            <w:vAlign w:val="bottom"/>
            <w:shd w:val="clear" w:color="auto" w:fill="232F84"/>
          </w:tcPr>
          <w:p>
            <w:pPr>
              <w:spacing w:after="0"/>
              <w:rPr>
                <w:sz w:val="15"/>
                <w:szCs w:val="15"/>
                <w:color w:val="auto"/>
              </w:rPr>
            </w:pPr>
          </w:p>
        </w:tc>
      </w:tr>
      <w:tr>
        <w:trPr>
          <w:trHeight w:val="175"/>
        </w:trPr>
        <w:tc>
          <w:tcPr>
            <w:tcW w:w="6980" w:type="dxa"/>
            <w:vAlign w:val="bottom"/>
            <w:shd w:val="clear" w:color="auto" w:fill="232F84"/>
          </w:tcPr>
          <w:p>
            <w:pPr>
              <w:spacing w:after="0"/>
              <w:rPr>
                <w:sz w:val="15"/>
                <w:szCs w:val="15"/>
                <w:color w:val="auto"/>
              </w:rPr>
            </w:pPr>
          </w:p>
        </w:tc>
        <w:tc>
          <w:tcPr>
            <w:tcW w:w="144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2021</w:t>
            </w:r>
          </w:p>
        </w:tc>
        <w:tc>
          <w:tcPr>
            <w:tcW w:w="1940" w:type="dxa"/>
            <w:vAlign w:val="bottom"/>
            <w:shd w:val="clear" w:color="auto" w:fill="232F84"/>
          </w:tcPr>
          <w:p>
            <w:pPr>
              <w:jc w:val="right"/>
              <w:ind w:right="503"/>
              <w:spacing w:after="0"/>
              <w:rPr>
                <w:sz w:val="20"/>
                <w:szCs w:val="20"/>
                <w:color w:val="auto"/>
              </w:rPr>
            </w:pPr>
            <w:r>
              <w:rPr>
                <w:rFonts w:ascii="Arial" w:cs="Arial" w:eastAsia="Arial" w:hAnsi="Arial"/>
                <w:sz w:val="11"/>
                <w:szCs w:val="11"/>
                <w:b w:val="1"/>
                <w:bCs w:val="1"/>
                <w:color w:val="FFFFFF"/>
              </w:rPr>
              <w:t>2020</w:t>
            </w:r>
          </w:p>
        </w:tc>
        <w:tc>
          <w:tcPr>
            <w:tcW w:w="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6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Federal statutory rate</w:t>
            </w:r>
          </w:p>
        </w:tc>
        <w:tc>
          <w:tcPr>
            <w:tcW w:w="14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21.0 %</w:t>
            </w:r>
          </w:p>
        </w:tc>
        <w:tc>
          <w:tcPr>
            <w:tcW w:w="19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21.0 %</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21.0 %</w:t>
            </w:r>
          </w:p>
        </w:tc>
      </w:tr>
      <w:tr>
        <w:trPr>
          <w:trHeight w:val="166"/>
        </w:trPr>
        <w:tc>
          <w:tcPr>
            <w:tcW w:w="6980" w:type="dxa"/>
            <w:vAlign w:val="bottom"/>
          </w:tcPr>
          <w:p>
            <w:pPr>
              <w:ind w:left="20"/>
              <w:spacing w:after="0"/>
              <w:rPr>
                <w:sz w:val="20"/>
                <w:szCs w:val="20"/>
                <w:color w:val="auto"/>
              </w:rPr>
            </w:pPr>
            <w:r>
              <w:rPr>
                <w:rFonts w:ascii="Arial" w:cs="Arial" w:eastAsia="Arial" w:hAnsi="Arial"/>
                <w:sz w:val="11"/>
                <w:szCs w:val="11"/>
                <w:color w:val="auto"/>
              </w:rPr>
              <w:t>State income taxes, net of federal tax benefit</w:t>
            </w:r>
          </w:p>
        </w:tc>
        <w:tc>
          <w:tcPr>
            <w:tcW w:w="1440" w:type="dxa"/>
            <w:vAlign w:val="bottom"/>
          </w:tcPr>
          <w:p>
            <w:pPr>
              <w:jc w:val="right"/>
              <w:ind w:right="23"/>
              <w:spacing w:after="0"/>
              <w:rPr>
                <w:sz w:val="20"/>
                <w:szCs w:val="20"/>
                <w:color w:val="auto"/>
              </w:rPr>
            </w:pPr>
            <w:r>
              <w:rPr>
                <w:rFonts w:ascii="Arial" w:cs="Arial" w:eastAsia="Arial" w:hAnsi="Arial"/>
                <w:sz w:val="11"/>
                <w:szCs w:val="11"/>
                <w:color w:val="auto"/>
              </w:rPr>
              <w:t>1.0 %</w:t>
            </w:r>
          </w:p>
        </w:tc>
        <w:tc>
          <w:tcPr>
            <w:tcW w:w="1940" w:type="dxa"/>
            <w:vAlign w:val="bottom"/>
          </w:tcPr>
          <w:p>
            <w:pPr>
              <w:jc w:val="right"/>
              <w:ind w:right="503"/>
              <w:spacing w:after="0"/>
              <w:rPr>
                <w:sz w:val="20"/>
                <w:szCs w:val="20"/>
                <w:color w:val="auto"/>
              </w:rPr>
            </w:pPr>
            <w:r>
              <w:rPr>
                <w:rFonts w:ascii="Arial" w:cs="Arial" w:eastAsia="Arial" w:hAnsi="Arial"/>
                <w:sz w:val="11"/>
                <w:szCs w:val="11"/>
                <w:color w:val="auto"/>
              </w:rPr>
              <w:t>2.0 %</w:t>
            </w:r>
          </w:p>
        </w:tc>
        <w:tc>
          <w:tcPr>
            <w:tcW w:w="920" w:type="dxa"/>
            <w:vAlign w:val="bottom"/>
          </w:tcPr>
          <w:p>
            <w:pPr>
              <w:jc w:val="right"/>
              <w:spacing w:after="0"/>
              <w:rPr>
                <w:sz w:val="20"/>
                <w:szCs w:val="20"/>
                <w:color w:val="auto"/>
              </w:rPr>
            </w:pPr>
            <w:r>
              <w:rPr>
                <w:rFonts w:ascii="Arial" w:cs="Arial" w:eastAsia="Arial" w:hAnsi="Arial"/>
                <w:sz w:val="11"/>
                <w:szCs w:val="11"/>
                <w:color w:val="auto"/>
              </w:rPr>
              <w:t>1.9 %</w:t>
            </w:r>
          </w:p>
        </w:tc>
      </w:tr>
      <w:tr>
        <w:trPr>
          <w:trHeight w:val="174"/>
        </w:trPr>
        <w:tc>
          <w:tcPr>
            <w:tcW w:w="6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GILTI</w:t>
            </w:r>
          </w:p>
        </w:tc>
        <w:tc>
          <w:tcPr>
            <w:tcW w:w="14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2.3 %</w:t>
            </w:r>
          </w:p>
        </w:tc>
        <w:tc>
          <w:tcPr>
            <w:tcW w:w="19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5.6 %</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3.1 %</w:t>
            </w:r>
          </w:p>
        </w:tc>
      </w:tr>
      <w:tr>
        <w:trPr>
          <w:trHeight w:val="166"/>
        </w:trPr>
        <w:tc>
          <w:tcPr>
            <w:tcW w:w="6980" w:type="dxa"/>
            <w:vAlign w:val="bottom"/>
          </w:tcPr>
          <w:p>
            <w:pPr>
              <w:ind w:left="20"/>
              <w:spacing w:after="0"/>
              <w:rPr>
                <w:sz w:val="20"/>
                <w:szCs w:val="20"/>
                <w:color w:val="auto"/>
              </w:rPr>
            </w:pPr>
            <w:r>
              <w:rPr>
                <w:rFonts w:ascii="Arial" w:cs="Arial" w:eastAsia="Arial" w:hAnsi="Arial"/>
                <w:sz w:val="11"/>
                <w:szCs w:val="11"/>
                <w:color w:val="auto"/>
              </w:rPr>
              <w:t>Non-deductible executive compensation</w:t>
            </w:r>
          </w:p>
        </w:tc>
        <w:tc>
          <w:tcPr>
            <w:tcW w:w="1440" w:type="dxa"/>
            <w:vAlign w:val="bottom"/>
          </w:tcPr>
          <w:p>
            <w:pPr>
              <w:jc w:val="right"/>
              <w:ind w:right="23"/>
              <w:spacing w:after="0"/>
              <w:rPr>
                <w:sz w:val="20"/>
                <w:szCs w:val="20"/>
                <w:color w:val="auto"/>
              </w:rPr>
            </w:pPr>
            <w:r>
              <w:rPr>
                <w:rFonts w:ascii="Arial" w:cs="Arial" w:eastAsia="Arial" w:hAnsi="Arial"/>
                <w:sz w:val="11"/>
                <w:szCs w:val="11"/>
                <w:color w:val="auto"/>
              </w:rPr>
              <w:t>0.5 %</w:t>
            </w:r>
          </w:p>
        </w:tc>
        <w:tc>
          <w:tcPr>
            <w:tcW w:w="1940" w:type="dxa"/>
            <w:vAlign w:val="bottom"/>
          </w:tcPr>
          <w:p>
            <w:pPr>
              <w:jc w:val="right"/>
              <w:ind w:right="503"/>
              <w:spacing w:after="0"/>
              <w:rPr>
                <w:sz w:val="20"/>
                <w:szCs w:val="20"/>
                <w:color w:val="auto"/>
              </w:rPr>
            </w:pPr>
            <w:r>
              <w:rPr>
                <w:rFonts w:ascii="Arial" w:cs="Arial" w:eastAsia="Arial" w:hAnsi="Arial"/>
                <w:sz w:val="11"/>
                <w:szCs w:val="11"/>
                <w:color w:val="auto"/>
              </w:rPr>
              <w:t>3.9 %</w:t>
            </w:r>
          </w:p>
        </w:tc>
        <w:tc>
          <w:tcPr>
            <w:tcW w:w="9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74"/>
        </w:trPr>
        <w:tc>
          <w:tcPr>
            <w:tcW w:w="6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Moruga impairment</w:t>
            </w:r>
          </w:p>
        </w:tc>
        <w:tc>
          <w:tcPr>
            <w:tcW w:w="14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 %</w:t>
            </w:r>
          </w:p>
        </w:tc>
        <w:tc>
          <w:tcPr>
            <w:tcW w:w="19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10.1 %</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 %</w:t>
            </w:r>
          </w:p>
        </w:tc>
      </w:tr>
      <w:tr>
        <w:trPr>
          <w:trHeight w:val="166"/>
        </w:trPr>
        <w:tc>
          <w:tcPr>
            <w:tcW w:w="6980" w:type="dxa"/>
            <w:vAlign w:val="bottom"/>
          </w:tcPr>
          <w:p>
            <w:pPr>
              <w:ind w:left="20"/>
              <w:spacing w:after="0"/>
              <w:rPr>
                <w:sz w:val="20"/>
                <w:szCs w:val="20"/>
                <w:color w:val="auto"/>
              </w:rPr>
            </w:pPr>
            <w:r>
              <w:rPr>
                <w:rFonts w:ascii="Arial" w:cs="Arial" w:eastAsia="Arial" w:hAnsi="Arial"/>
                <w:sz w:val="11"/>
                <w:szCs w:val="11"/>
                <w:color w:val="auto"/>
              </w:rPr>
              <w:t>Foreign tax credits</w:t>
            </w:r>
          </w:p>
        </w:tc>
        <w:tc>
          <w:tcPr>
            <w:tcW w:w="1440" w:type="dxa"/>
            <w:vAlign w:val="bottom"/>
          </w:tcPr>
          <w:p>
            <w:pPr>
              <w:jc w:val="right"/>
              <w:ind w:right="23"/>
              <w:spacing w:after="0"/>
              <w:rPr>
                <w:sz w:val="20"/>
                <w:szCs w:val="20"/>
                <w:color w:val="auto"/>
              </w:rPr>
            </w:pPr>
            <w:r>
              <w:rPr>
                <w:rFonts w:ascii="Arial" w:cs="Arial" w:eastAsia="Arial" w:hAnsi="Arial"/>
                <w:sz w:val="11"/>
                <w:szCs w:val="11"/>
                <w:color w:val="auto"/>
              </w:rPr>
              <w:t>(0.9)%</w:t>
            </w:r>
          </w:p>
        </w:tc>
        <w:tc>
          <w:tcPr>
            <w:tcW w:w="1940" w:type="dxa"/>
            <w:vAlign w:val="bottom"/>
          </w:tcPr>
          <w:p>
            <w:pPr>
              <w:jc w:val="right"/>
              <w:ind w:right="503"/>
              <w:spacing w:after="0"/>
              <w:rPr>
                <w:sz w:val="20"/>
                <w:szCs w:val="20"/>
                <w:color w:val="auto"/>
              </w:rPr>
            </w:pPr>
            <w:r>
              <w:rPr>
                <w:rFonts w:ascii="Arial" w:cs="Arial" w:eastAsia="Arial" w:hAnsi="Arial"/>
                <w:sz w:val="11"/>
                <w:szCs w:val="11"/>
                <w:color w:val="auto"/>
              </w:rPr>
              <w:t>(4.6)%</w:t>
            </w:r>
          </w:p>
        </w:tc>
        <w:tc>
          <w:tcPr>
            <w:tcW w:w="92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74"/>
        </w:trPr>
        <w:tc>
          <w:tcPr>
            <w:tcW w:w="6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NOL carryback – CARES Act</w:t>
            </w:r>
          </w:p>
        </w:tc>
        <w:tc>
          <w:tcPr>
            <w:tcW w:w="14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 %</w:t>
            </w:r>
          </w:p>
        </w:tc>
        <w:tc>
          <w:tcPr>
            <w:tcW w:w="19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(2.8)%</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 %</w:t>
            </w:r>
          </w:p>
        </w:tc>
      </w:tr>
      <w:tr>
        <w:trPr>
          <w:trHeight w:val="166"/>
        </w:trPr>
        <w:tc>
          <w:tcPr>
            <w:tcW w:w="6980" w:type="dxa"/>
            <w:vAlign w:val="bottom"/>
          </w:tcPr>
          <w:p>
            <w:pPr>
              <w:ind w:left="20"/>
              <w:spacing w:after="0"/>
              <w:rPr>
                <w:sz w:val="20"/>
                <w:szCs w:val="20"/>
                <w:color w:val="auto"/>
              </w:rPr>
            </w:pPr>
            <w:r>
              <w:rPr>
                <w:rFonts w:ascii="Arial" w:cs="Arial" w:eastAsia="Arial" w:hAnsi="Arial"/>
                <w:sz w:val="11"/>
                <w:szCs w:val="11"/>
                <w:color w:val="auto"/>
              </w:rPr>
              <w:t>Peru income tax rate change</w:t>
            </w:r>
          </w:p>
        </w:tc>
        <w:tc>
          <w:tcPr>
            <w:tcW w:w="1440" w:type="dxa"/>
            <w:vAlign w:val="bottom"/>
          </w:tcPr>
          <w:p>
            <w:pPr>
              <w:jc w:val="right"/>
              <w:ind w:right="23"/>
              <w:spacing w:after="0"/>
              <w:rPr>
                <w:sz w:val="20"/>
                <w:szCs w:val="20"/>
                <w:color w:val="auto"/>
              </w:rPr>
            </w:pPr>
            <w:r>
              <w:rPr>
                <w:rFonts w:ascii="Arial" w:cs="Arial" w:eastAsia="Arial" w:hAnsi="Arial"/>
                <w:sz w:val="11"/>
                <w:szCs w:val="11"/>
                <w:color w:val="auto"/>
              </w:rPr>
              <w:t>8.3 %</w:t>
            </w:r>
          </w:p>
        </w:tc>
        <w:tc>
          <w:tcPr>
            <w:tcW w:w="1940" w:type="dxa"/>
            <w:vAlign w:val="bottom"/>
          </w:tcPr>
          <w:p>
            <w:pPr>
              <w:jc w:val="right"/>
              <w:ind w:right="503"/>
              <w:spacing w:after="0"/>
              <w:rPr>
                <w:sz w:val="20"/>
                <w:szCs w:val="20"/>
                <w:color w:val="auto"/>
              </w:rPr>
            </w:pPr>
            <w:r>
              <w:rPr>
                <w:rFonts w:ascii="Arial" w:cs="Arial" w:eastAsia="Arial" w:hAnsi="Arial"/>
                <w:sz w:val="11"/>
                <w:szCs w:val="11"/>
                <w:color w:val="auto"/>
              </w:rPr>
              <w:t>— %</w:t>
            </w:r>
          </w:p>
        </w:tc>
        <w:tc>
          <w:tcPr>
            <w:tcW w:w="9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74"/>
        </w:trPr>
        <w:tc>
          <w:tcPr>
            <w:tcW w:w="6980" w:type="dxa"/>
            <w:vAlign w:val="bottom"/>
            <w:shd w:val="clear" w:color="auto" w:fill="43C0B9"/>
          </w:tcPr>
          <w:p>
            <w:pPr>
              <w:ind w:left="20"/>
              <w:spacing w:after="0"/>
              <w:rPr>
                <w:sz w:val="20"/>
                <w:szCs w:val="20"/>
                <w:color w:val="auto"/>
              </w:rPr>
            </w:pPr>
            <w:r>
              <w:rPr>
                <w:rFonts w:ascii="Arial" w:cs="Arial" w:eastAsia="Arial" w:hAnsi="Arial"/>
                <w:sz w:val="11"/>
                <w:szCs w:val="11"/>
                <w:color w:val="auto"/>
              </w:rPr>
              <w:t>Unrecognized tax benefits increase</w:t>
            </w:r>
          </w:p>
        </w:tc>
        <w:tc>
          <w:tcPr>
            <w:tcW w:w="14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0.9 %</w:t>
            </w:r>
          </w:p>
        </w:tc>
        <w:tc>
          <w:tcPr>
            <w:tcW w:w="194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0.6 %</w:t>
            </w:r>
          </w:p>
        </w:tc>
        <w:tc>
          <w:tcPr>
            <w:tcW w:w="9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1.5 %</w:t>
            </w:r>
          </w:p>
        </w:tc>
      </w:tr>
      <w:tr>
        <w:trPr>
          <w:trHeight w:val="166"/>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net</w:t>
            </w: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(1.1)%</w:t>
            </w:r>
          </w:p>
        </w:tc>
        <w:tc>
          <w:tcPr>
            <w:tcW w:w="19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rPr>
              <w:t>(1.6)%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0.2 %</w:t>
            </w:r>
          </w:p>
        </w:tc>
      </w:tr>
      <w:tr>
        <w:trPr>
          <w:trHeight w:val="160"/>
        </w:trPr>
        <w:tc>
          <w:tcPr>
            <w:tcW w:w="69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Effective tax rate</w:t>
            </w:r>
          </w:p>
        </w:tc>
        <w:tc>
          <w:tcPr>
            <w:tcW w:w="144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32.0 %</w:t>
            </w:r>
          </w:p>
        </w:tc>
        <w:tc>
          <w:tcPr>
            <w:tcW w:w="1940" w:type="dxa"/>
            <w:vAlign w:val="bottom"/>
            <w:tcBorders>
              <w:bottom w:val="single" w:sz="8" w:color="auto"/>
            </w:tcBorders>
            <w:shd w:val="clear" w:color="auto" w:fill="43C0B9"/>
          </w:tcPr>
          <w:p>
            <w:pPr>
              <w:jc w:val="right"/>
              <w:ind w:right="503"/>
              <w:spacing w:after="0"/>
              <w:rPr>
                <w:sz w:val="20"/>
                <w:szCs w:val="20"/>
                <w:color w:val="auto"/>
              </w:rPr>
            </w:pPr>
            <w:r>
              <w:rPr>
                <w:rFonts w:ascii="Arial" w:cs="Arial" w:eastAsia="Arial" w:hAnsi="Arial"/>
                <w:sz w:val="11"/>
                <w:szCs w:val="11"/>
                <w:color w:val="auto"/>
              </w:rPr>
              <w:t>34.2 %</w:t>
            </w:r>
          </w:p>
        </w:tc>
        <w:tc>
          <w:tcPr>
            <w:tcW w:w="9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25.3 %</w:t>
            </w: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Deferred taxes are recognized for temporary differences between the basis of assets and liabilities for financial statement and income tax purposes. The significant components of deferred tax assets and liabilities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shd w:val="clear" w:color="auto" w:fill="232F84"/>
          </w:tcPr>
          <w:p>
            <w:pPr>
              <w:spacing w:after="0"/>
              <w:rPr>
                <w:sz w:val="15"/>
                <w:szCs w:val="15"/>
                <w:color w:val="auto"/>
              </w:rPr>
            </w:pPr>
          </w:p>
        </w:tc>
        <w:tc>
          <w:tcPr>
            <w:tcW w:w="680" w:type="dxa"/>
            <w:vAlign w:val="bottom"/>
            <w:shd w:val="clear" w:color="auto" w:fill="232F84"/>
          </w:tcPr>
          <w:p>
            <w:pPr>
              <w:spacing w:after="0"/>
              <w:rPr>
                <w:sz w:val="15"/>
                <w:szCs w:val="15"/>
                <w:color w:val="auto"/>
              </w:rPr>
            </w:pPr>
          </w:p>
        </w:tc>
        <w:tc>
          <w:tcPr>
            <w:tcW w:w="1800" w:type="dxa"/>
            <w:vAlign w:val="bottom"/>
            <w:gridSpan w:val="2"/>
            <w:shd w:val="clear" w:color="auto" w:fill="232F84"/>
          </w:tcPr>
          <w:p>
            <w:pPr>
              <w:jc w:val="right"/>
              <w:ind w:right="463"/>
              <w:spacing w:after="0"/>
              <w:rPr>
                <w:sz w:val="20"/>
                <w:szCs w:val="20"/>
                <w:color w:val="auto"/>
              </w:rPr>
            </w:pPr>
            <w:r>
              <w:rPr>
                <w:rFonts w:ascii="Arial" w:cs="Arial" w:eastAsia="Arial" w:hAnsi="Arial"/>
                <w:sz w:val="11"/>
                <w:szCs w:val="11"/>
                <w:b w:val="1"/>
                <w:bCs w:val="1"/>
                <w:color w:val="FFFFFF"/>
              </w:rPr>
              <w:t>October 31,</w:t>
            </w:r>
          </w:p>
        </w:tc>
        <w:tc>
          <w:tcPr>
            <w:tcW w:w="820" w:type="dxa"/>
            <w:vAlign w:val="bottom"/>
            <w:shd w:val="clear" w:color="auto" w:fill="232F84"/>
          </w:tcPr>
          <w:p>
            <w:pPr>
              <w:spacing w:after="0"/>
              <w:rPr>
                <w:sz w:val="15"/>
                <w:szCs w:val="15"/>
                <w:color w:val="auto"/>
              </w:rPr>
            </w:pPr>
          </w:p>
        </w:tc>
      </w:tr>
      <w:tr>
        <w:trPr>
          <w:trHeight w:val="175"/>
        </w:trPr>
        <w:tc>
          <w:tcPr>
            <w:tcW w:w="79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8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2021</w:t>
            </w:r>
          </w:p>
        </w:tc>
        <w:tc>
          <w:tcPr>
            <w:tcW w:w="820" w:type="dxa"/>
            <w:vAlign w:val="bottom"/>
            <w:shd w:val="clear" w:color="auto" w:fill="232F84"/>
          </w:tcPr>
          <w:p>
            <w:pPr>
              <w:spacing w:after="0"/>
              <w:rPr>
                <w:sz w:val="15"/>
                <w:szCs w:val="15"/>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r>
      <w:tr>
        <w:trPr>
          <w:trHeight w:val="170"/>
        </w:trPr>
        <w:tc>
          <w:tcPr>
            <w:tcW w:w="7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Accrued expenses</w:t>
            </w:r>
          </w:p>
        </w:tc>
        <w:tc>
          <w:tcPr>
            <w:tcW w:w="680" w:type="dxa"/>
            <w:vAlign w:val="bottom"/>
            <w:shd w:val="clear" w:color="auto" w:fill="43C0B9"/>
          </w:tcPr>
          <w:p>
            <w:pPr>
              <w:jc w:val="right"/>
              <w:ind w:right="5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4.2</w:t>
            </w:r>
          </w:p>
        </w:tc>
        <w:tc>
          <w:tcPr>
            <w:tcW w:w="820" w:type="dxa"/>
            <w:vAlign w:val="bottom"/>
            <w:shd w:val="clear" w:color="auto" w:fill="43C0B9"/>
          </w:tcPr>
          <w:p>
            <w:pPr>
              <w:jc w:val="right"/>
              <w:ind w:right="663"/>
              <w:spacing w:after="0"/>
              <w:rPr>
                <w:sz w:val="20"/>
                <w:szCs w:val="20"/>
                <w:color w:val="auto"/>
              </w:rPr>
            </w:pPr>
            <w:r>
              <w:rPr>
                <w:rFonts w:ascii="Arial" w:cs="Arial" w:eastAsia="Arial" w:hAnsi="Arial"/>
                <w:sz w:val="11"/>
                <w:szCs w:val="11"/>
                <w:color w:val="auto"/>
              </w:rPr>
              <w:t>$</w:t>
            </w:r>
          </w:p>
        </w:tc>
        <w:tc>
          <w:tcPr>
            <w:tcW w:w="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4.0</w:t>
            </w:r>
          </w:p>
        </w:tc>
      </w:tr>
      <w:tr>
        <w:trPr>
          <w:trHeight w:val="166"/>
        </w:trPr>
        <w:tc>
          <w:tcPr>
            <w:tcW w:w="7960" w:type="dxa"/>
            <w:vAlign w:val="bottom"/>
          </w:tcPr>
          <w:p>
            <w:pPr>
              <w:ind w:left="20"/>
              <w:spacing w:after="0"/>
              <w:rPr>
                <w:sz w:val="20"/>
                <w:szCs w:val="20"/>
                <w:color w:val="auto"/>
              </w:rPr>
            </w:pPr>
            <w:r>
              <w:rPr>
                <w:rFonts w:ascii="Arial" w:cs="Arial" w:eastAsia="Arial" w:hAnsi="Arial"/>
                <w:sz w:val="11"/>
                <w:szCs w:val="11"/>
                <w:color w:val="auto"/>
              </w:rPr>
              <w:t>Net operating loss carryforward</w:t>
            </w:r>
          </w:p>
        </w:tc>
        <w:tc>
          <w:tcPr>
            <w:tcW w:w="68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0.8</w:t>
            </w:r>
          </w:p>
        </w:tc>
        <w:tc>
          <w:tcPr>
            <w:tcW w:w="8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1.8</w:t>
            </w:r>
          </w:p>
        </w:tc>
      </w:tr>
      <w:tr>
        <w:trPr>
          <w:trHeight w:val="174"/>
        </w:trPr>
        <w:tc>
          <w:tcPr>
            <w:tcW w:w="7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Inventory</w:t>
            </w:r>
          </w:p>
        </w:tc>
        <w:tc>
          <w:tcPr>
            <w:tcW w:w="68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0.8</w:t>
            </w:r>
          </w:p>
        </w:tc>
        <w:tc>
          <w:tcPr>
            <w:tcW w:w="820" w:type="dxa"/>
            <w:vAlign w:val="bottom"/>
            <w:shd w:val="clear" w:color="auto" w:fill="43C0B9"/>
          </w:tcPr>
          <w:p>
            <w:pPr>
              <w:spacing w:after="0"/>
              <w:rPr>
                <w:sz w:val="15"/>
                <w:szCs w:val="15"/>
                <w:color w:val="auto"/>
              </w:rPr>
            </w:pPr>
          </w:p>
        </w:tc>
        <w:tc>
          <w:tcPr>
            <w:tcW w:w="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0.8</w:t>
            </w:r>
          </w:p>
        </w:tc>
      </w:tr>
      <w:tr>
        <w:trPr>
          <w:trHeight w:val="166"/>
        </w:trPr>
        <w:tc>
          <w:tcPr>
            <w:tcW w:w="7960" w:type="dxa"/>
            <w:vAlign w:val="bottom"/>
          </w:tcPr>
          <w:p>
            <w:pPr>
              <w:ind w:left="20"/>
              <w:spacing w:after="0"/>
              <w:rPr>
                <w:sz w:val="20"/>
                <w:szCs w:val="20"/>
                <w:color w:val="auto"/>
              </w:rPr>
            </w:pPr>
            <w:r>
              <w:rPr>
                <w:rFonts w:ascii="Arial" w:cs="Arial" w:eastAsia="Arial" w:hAnsi="Arial"/>
                <w:sz w:val="11"/>
                <w:szCs w:val="11"/>
                <w:color w:val="auto"/>
              </w:rPr>
              <w:t>Interest rate swaps</w:t>
            </w:r>
          </w:p>
        </w:tc>
        <w:tc>
          <w:tcPr>
            <w:tcW w:w="680" w:type="dxa"/>
            <w:vAlign w:val="bottom"/>
          </w:tcPr>
          <w:p>
            <w:pPr>
              <w:spacing w:after="0"/>
              <w:rPr>
                <w:sz w:val="14"/>
                <w:szCs w:val="14"/>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0.8</w:t>
            </w:r>
          </w:p>
        </w:tc>
        <w:tc>
          <w:tcPr>
            <w:tcW w:w="8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1.5</w:t>
            </w:r>
          </w:p>
        </w:tc>
      </w:tr>
      <w:tr>
        <w:trPr>
          <w:trHeight w:val="174"/>
        </w:trPr>
        <w:tc>
          <w:tcPr>
            <w:tcW w:w="7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Operating lease liabilities</w:t>
            </w:r>
          </w:p>
        </w:tc>
        <w:tc>
          <w:tcPr>
            <w:tcW w:w="68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11.2</w:t>
            </w:r>
          </w:p>
        </w:tc>
        <w:tc>
          <w:tcPr>
            <w:tcW w:w="820" w:type="dxa"/>
            <w:vAlign w:val="bottom"/>
            <w:shd w:val="clear" w:color="auto" w:fill="43C0B9"/>
          </w:tcPr>
          <w:p>
            <w:pPr>
              <w:spacing w:after="0"/>
              <w:rPr>
                <w:sz w:val="15"/>
                <w:szCs w:val="15"/>
                <w:color w:val="auto"/>
              </w:rPr>
            </w:pPr>
          </w:p>
        </w:tc>
        <w:tc>
          <w:tcPr>
            <w:tcW w:w="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r>
      <w:tr>
        <w:trPr>
          <w:trHeight w:val="16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Allowances, reserves, and other</w:t>
            </w: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0.3</w:t>
            </w: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0.3</w:t>
            </w:r>
          </w:p>
        </w:tc>
      </w:tr>
      <w:tr>
        <w:trPr>
          <w:trHeight w:val="165"/>
        </w:trPr>
        <w:tc>
          <w:tcPr>
            <w:tcW w:w="7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Total deferred tax assets</w:t>
            </w:r>
          </w:p>
        </w:tc>
        <w:tc>
          <w:tcPr>
            <w:tcW w:w="680" w:type="dxa"/>
            <w:vAlign w:val="bottom"/>
            <w:shd w:val="clear" w:color="auto" w:fill="43C0B9"/>
          </w:tcPr>
          <w:p>
            <w:pPr>
              <w:spacing w:after="0"/>
              <w:rPr>
                <w:sz w:val="14"/>
                <w:szCs w:val="14"/>
                <w:color w:val="auto"/>
              </w:rPr>
            </w:pPr>
          </w:p>
        </w:tc>
        <w:tc>
          <w:tcPr>
            <w:tcW w:w="98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18.1</w:t>
            </w:r>
          </w:p>
        </w:tc>
        <w:tc>
          <w:tcPr>
            <w:tcW w:w="820" w:type="dxa"/>
            <w:vAlign w:val="bottom"/>
            <w:shd w:val="clear" w:color="auto" w:fill="43C0B9"/>
          </w:tcPr>
          <w:p>
            <w:pPr>
              <w:spacing w:after="0"/>
              <w:rPr>
                <w:sz w:val="14"/>
                <w:szCs w:val="14"/>
                <w:color w:val="auto"/>
              </w:rPr>
            </w:pPr>
          </w:p>
        </w:tc>
        <w:tc>
          <w:tcPr>
            <w:tcW w:w="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8.5</w:t>
            </w:r>
          </w:p>
        </w:tc>
      </w:tr>
      <w:tr>
        <w:trPr>
          <w:trHeight w:val="16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valuation allowance</w:t>
            </w: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(0.5)</w:t>
            </w: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r>
      <w:tr>
        <w:trPr>
          <w:trHeight w:val="160"/>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net deferred tax assets</w:t>
            </w:r>
          </w:p>
        </w:tc>
        <w:tc>
          <w:tcPr>
            <w:tcW w:w="680" w:type="dxa"/>
            <w:vAlign w:val="bottom"/>
            <w:tcBorders>
              <w:bottom w:val="single" w:sz="8" w:color="auto"/>
            </w:tcBorders>
            <w:shd w:val="clear" w:color="auto" w:fill="43C0B9"/>
          </w:tcPr>
          <w:p>
            <w:pPr>
              <w:jc w:val="right"/>
              <w:ind w:right="5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17.6</w:t>
            </w:r>
          </w:p>
        </w:tc>
        <w:tc>
          <w:tcPr>
            <w:tcW w:w="820" w:type="dxa"/>
            <w:vAlign w:val="bottom"/>
            <w:tcBorders>
              <w:bottom w:val="single" w:sz="8" w:color="auto"/>
            </w:tcBorders>
            <w:shd w:val="clear" w:color="auto" w:fill="43C0B9"/>
          </w:tcPr>
          <w:p>
            <w:pPr>
              <w:jc w:val="right"/>
              <w:ind w:right="66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7.3</w:t>
            </w:r>
          </w:p>
        </w:tc>
      </w:tr>
      <w:tr>
        <w:trPr>
          <w:trHeight w:val="160"/>
        </w:trPr>
        <w:tc>
          <w:tcPr>
            <w:tcW w:w="7960" w:type="dxa"/>
            <w:vAlign w:val="bottom"/>
          </w:tcPr>
          <w:p>
            <w:pPr>
              <w:ind w:left="20"/>
              <w:spacing w:after="0"/>
              <w:rPr>
                <w:sz w:val="20"/>
                <w:szCs w:val="20"/>
                <w:color w:val="auto"/>
              </w:rPr>
            </w:pPr>
            <w:r>
              <w:rPr>
                <w:rFonts w:ascii="Arial" w:cs="Arial" w:eastAsia="Arial" w:hAnsi="Arial"/>
                <w:sz w:val="11"/>
                <w:szCs w:val="11"/>
                <w:color w:val="auto"/>
              </w:rPr>
              <w:t>Equity interest in unconsolidated subsidiaries</w:t>
            </w: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(14.7)</w:t>
            </w:r>
          </w:p>
        </w:tc>
      </w:tr>
      <w:tr>
        <w:trPr>
          <w:trHeight w:val="174"/>
        </w:trPr>
        <w:tc>
          <w:tcPr>
            <w:tcW w:w="7960" w:type="dxa"/>
            <w:vAlign w:val="bottom"/>
            <w:shd w:val="clear" w:color="auto" w:fill="43C0B9"/>
          </w:tcPr>
          <w:p>
            <w:pPr>
              <w:ind w:left="20"/>
              <w:spacing w:after="0"/>
              <w:rPr>
                <w:sz w:val="20"/>
                <w:szCs w:val="20"/>
                <w:color w:val="auto"/>
              </w:rPr>
            </w:pPr>
            <w:r>
              <w:rPr>
                <w:rFonts w:ascii="Arial" w:cs="Arial" w:eastAsia="Arial" w:hAnsi="Arial"/>
                <w:sz w:val="11"/>
                <w:szCs w:val="11"/>
                <w:color w:val="auto"/>
              </w:rPr>
              <w:t>Property, plant and equipment</w:t>
            </w:r>
          </w:p>
        </w:tc>
        <w:tc>
          <w:tcPr>
            <w:tcW w:w="68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(21.6)</w:t>
            </w:r>
          </w:p>
        </w:tc>
        <w:tc>
          <w:tcPr>
            <w:tcW w:w="820" w:type="dxa"/>
            <w:vAlign w:val="bottom"/>
            <w:shd w:val="clear" w:color="auto" w:fill="43C0B9"/>
          </w:tcPr>
          <w:p>
            <w:pPr>
              <w:spacing w:after="0"/>
              <w:rPr>
                <w:sz w:val="15"/>
                <w:szCs w:val="15"/>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(14.4)</w:t>
            </w:r>
          </w:p>
        </w:tc>
      </w:tr>
      <w:tr>
        <w:trPr>
          <w:trHeight w:val="166"/>
        </w:trPr>
        <w:tc>
          <w:tcPr>
            <w:tcW w:w="796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680" w:type="dxa"/>
            <w:vAlign w:val="bottom"/>
          </w:tcPr>
          <w:p>
            <w:pPr>
              <w:spacing w:after="0"/>
              <w:rPr>
                <w:sz w:val="14"/>
                <w:szCs w:val="14"/>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(10.7)</w:t>
            </w:r>
          </w:p>
        </w:tc>
        <w:tc>
          <w:tcPr>
            <w:tcW w:w="820" w:type="dxa"/>
            <w:vAlign w:val="bottom"/>
          </w:tcPr>
          <w:p>
            <w:pPr>
              <w:spacing w:after="0"/>
              <w:rPr>
                <w:sz w:val="14"/>
                <w:szCs w:val="14"/>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0"/>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Repatriation of foreign earnings</w:t>
            </w:r>
          </w:p>
        </w:tc>
        <w:tc>
          <w:tcPr>
            <w:tcW w:w="680" w:type="dxa"/>
            <w:vAlign w:val="bottom"/>
            <w:tcBorders>
              <w:bottom w:val="single" w:sz="8" w:color="auto"/>
            </w:tcBorders>
            <w:shd w:val="clear" w:color="auto" w:fill="43C0B9"/>
          </w:tcPr>
          <w:p>
            <w:pPr>
              <w:spacing w:after="0"/>
              <w:rPr>
                <w:sz w:val="14"/>
                <w:szCs w:val="14"/>
                <w:color w:val="auto"/>
              </w:rPr>
            </w:pPr>
          </w:p>
        </w:tc>
        <w:tc>
          <w:tcPr>
            <w:tcW w:w="9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(1.4)</w:t>
            </w:r>
          </w:p>
        </w:tc>
        <w:tc>
          <w:tcPr>
            <w:tcW w:w="820" w:type="dxa"/>
            <w:vAlign w:val="bottom"/>
            <w:tcBorders>
              <w:bottom w:val="single" w:sz="8" w:color="auto"/>
            </w:tcBorders>
            <w:shd w:val="clear" w:color="auto" w:fill="43C0B9"/>
          </w:tcPr>
          <w:p>
            <w:pPr>
              <w:spacing w:after="0"/>
              <w:rPr>
                <w:sz w:val="14"/>
                <w:szCs w:val="14"/>
                <w:color w:val="auto"/>
              </w:rPr>
            </w:pP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(1.6)</w:t>
            </w:r>
          </w:p>
        </w:tc>
      </w:tr>
      <w:tr>
        <w:trPr>
          <w:trHeight w:val="16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deferred tax liabilities</w:t>
            </w: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(36.8)</w:t>
            </w:r>
          </w:p>
        </w:tc>
        <w:tc>
          <w:tcPr>
            <w:tcW w:w="8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(30.7)</w:t>
            </w:r>
          </w:p>
        </w:tc>
      </w:tr>
      <w:tr>
        <w:trPr>
          <w:trHeight w:val="160"/>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net deferred tax assets/(liabilities)</w:t>
            </w:r>
          </w:p>
        </w:tc>
        <w:tc>
          <w:tcPr>
            <w:tcW w:w="680" w:type="dxa"/>
            <w:vAlign w:val="bottom"/>
            <w:tcBorders>
              <w:bottom w:val="single" w:sz="8" w:color="auto"/>
            </w:tcBorders>
            <w:shd w:val="clear" w:color="auto" w:fill="43C0B9"/>
          </w:tcPr>
          <w:p>
            <w:pPr>
              <w:jc w:val="right"/>
              <w:ind w:right="5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(19.2)</w:t>
            </w:r>
          </w:p>
        </w:tc>
        <w:tc>
          <w:tcPr>
            <w:tcW w:w="820" w:type="dxa"/>
            <w:vAlign w:val="bottom"/>
            <w:tcBorders>
              <w:bottom w:val="single" w:sz="8" w:color="auto"/>
            </w:tcBorders>
            <w:shd w:val="clear" w:color="auto" w:fill="43C0B9"/>
          </w:tcPr>
          <w:p>
            <w:pPr>
              <w:jc w:val="right"/>
              <w:ind w:right="66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(23.3)</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October 31, 2021, the Company had foreign net operating loss carryforwards of $4.3 million, $3.6 million of which, carries forward indefinitely.</w:t>
      </w:r>
    </w:p>
    <w:p>
      <w:pPr>
        <w:spacing w:after="0" w:line="158"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The net change in the valuation allowance for deferred tax assets was $0.6 million and $0.3 million for the years ended October 31, 2021 and 2020, respectively. The valuation allowance as of October 31, 2021 and 2020 primarily relates to deferred tax assets in jurisdictions with current and historical losses as well as deferred tax assets which would generate capital losses and can only be realizable upon generation of future capital gains.</w:t>
      </w:r>
    </w:p>
    <w:p>
      <w:pPr>
        <w:spacing w:after="0" w:line="14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3"/>
          <w:szCs w:val="13"/>
          <w:color w:val="auto"/>
        </w:rPr>
        <w:t>At October 31, 2021 the Company recorded a deferred tax liability for the withholding tax that will be due upon future distribution of approximately $28.1 million of foreign earnings from its International Farming operations in Peru. The Company has determined all other accumulated foreign earnings of $121.6 million to be indefinitely reinvested, as it is our intent to permanently reinvest these funds outside of the United States and our current plans do not demonstrate a need to repatriate the cash to fund our U.S. operations.</w:t>
      </w:r>
    </w:p>
    <w:p>
      <w:pPr>
        <w:spacing w:after="0" w:line="154" w:lineRule="exact"/>
        <w:rPr>
          <w:sz w:val="20"/>
          <w:szCs w:val="20"/>
          <w:color w:val="auto"/>
        </w:rPr>
      </w:pPr>
    </w:p>
    <w:p>
      <w:pPr>
        <w:jc w:val="both"/>
        <w:ind w:right="40" w:firstLine="509"/>
        <w:spacing w:after="0" w:line="241" w:lineRule="auto"/>
        <w:rPr>
          <w:sz w:val="20"/>
          <w:szCs w:val="20"/>
          <w:color w:val="auto"/>
        </w:rPr>
      </w:pPr>
      <w:r>
        <w:rPr>
          <w:rFonts w:ascii="Arial" w:cs="Arial" w:eastAsia="Arial" w:hAnsi="Arial"/>
          <w:sz w:val="13"/>
          <w:szCs w:val="13"/>
          <w:color w:val="auto"/>
        </w:rPr>
        <w:t>The Company may recognize the tax benefit from an uncertain tax position claimed on a tax return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reconciliation of the total amounts of unrecognized tax benefits (exclusive of interest and penalties)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shd w:val="clear" w:color="auto" w:fill="232F84"/>
          </w:tcPr>
          <w:p>
            <w:pPr>
              <w:spacing w:after="0"/>
              <w:rPr>
                <w:sz w:val="15"/>
                <w:szCs w:val="15"/>
                <w:color w:val="auto"/>
              </w:rPr>
            </w:pPr>
          </w:p>
        </w:tc>
        <w:tc>
          <w:tcPr>
            <w:tcW w:w="680" w:type="dxa"/>
            <w:vAlign w:val="bottom"/>
            <w:shd w:val="clear" w:color="auto" w:fill="232F84"/>
          </w:tcPr>
          <w:p>
            <w:pPr>
              <w:spacing w:after="0"/>
              <w:rPr>
                <w:sz w:val="15"/>
                <w:szCs w:val="15"/>
                <w:color w:val="auto"/>
              </w:rPr>
            </w:pPr>
          </w:p>
        </w:tc>
        <w:tc>
          <w:tcPr>
            <w:tcW w:w="1740" w:type="dxa"/>
            <w:vAlign w:val="bottom"/>
            <w:gridSpan w:val="2"/>
            <w:shd w:val="clear" w:color="auto" w:fill="232F84"/>
          </w:tcPr>
          <w:p>
            <w:pPr>
              <w:jc w:val="right"/>
              <w:ind w:right="443"/>
              <w:spacing w:after="0"/>
              <w:rPr>
                <w:sz w:val="20"/>
                <w:szCs w:val="20"/>
                <w:color w:val="auto"/>
              </w:rPr>
            </w:pPr>
            <w:r>
              <w:rPr>
                <w:rFonts w:ascii="Arial" w:cs="Arial" w:eastAsia="Arial" w:hAnsi="Arial"/>
                <w:sz w:val="11"/>
                <w:szCs w:val="11"/>
                <w:b w:val="1"/>
                <w:bCs w:val="1"/>
                <w:color w:val="FFFFFF"/>
              </w:rPr>
              <w:t>October 31,</w:t>
            </w:r>
          </w:p>
        </w:tc>
        <w:tc>
          <w:tcPr>
            <w:tcW w:w="780" w:type="dxa"/>
            <w:vAlign w:val="bottom"/>
            <w:shd w:val="clear" w:color="auto" w:fill="232F84"/>
          </w:tcPr>
          <w:p>
            <w:pPr>
              <w:spacing w:after="0"/>
              <w:rPr>
                <w:sz w:val="15"/>
                <w:szCs w:val="15"/>
                <w:color w:val="auto"/>
              </w:rPr>
            </w:pPr>
          </w:p>
        </w:tc>
      </w:tr>
      <w:tr>
        <w:trPr>
          <w:trHeight w:val="175"/>
        </w:trPr>
        <w:tc>
          <w:tcPr>
            <w:tcW w:w="806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80" w:type="dxa"/>
            <w:vAlign w:val="bottom"/>
            <w:shd w:val="clear" w:color="auto" w:fill="232F84"/>
          </w:tcPr>
          <w:p>
            <w:pPr>
              <w:spacing w:after="0"/>
              <w:rPr>
                <w:sz w:val="15"/>
                <w:szCs w:val="15"/>
                <w:color w:val="auto"/>
              </w:rPr>
            </w:pPr>
          </w:p>
        </w:tc>
        <w:tc>
          <w:tcPr>
            <w:tcW w:w="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820" w:type="dxa"/>
            <w:vAlign w:val="bottom"/>
            <w:shd w:val="clear" w:color="auto" w:fill="232F84"/>
          </w:tcPr>
          <w:p>
            <w:pPr>
              <w:spacing w:after="0"/>
              <w:rPr>
                <w:sz w:val="15"/>
                <w:szCs w:val="15"/>
                <w:color w:val="auto"/>
              </w:rPr>
            </w:pPr>
          </w:p>
        </w:tc>
        <w:tc>
          <w:tcPr>
            <w:tcW w:w="7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r>
      <w:tr>
        <w:trPr>
          <w:trHeight w:val="170"/>
        </w:trPr>
        <w:tc>
          <w:tcPr>
            <w:tcW w:w="8060" w:type="dxa"/>
            <w:vAlign w:val="bottom"/>
            <w:shd w:val="clear" w:color="auto" w:fill="43C0B9"/>
          </w:tcPr>
          <w:p>
            <w:pPr>
              <w:ind w:left="20"/>
              <w:spacing w:after="0"/>
              <w:rPr>
                <w:sz w:val="20"/>
                <w:szCs w:val="20"/>
                <w:color w:val="auto"/>
              </w:rPr>
            </w:pPr>
            <w:r>
              <w:rPr>
                <w:rFonts w:ascii="Arial" w:cs="Arial" w:eastAsia="Arial" w:hAnsi="Arial"/>
                <w:sz w:val="11"/>
                <w:szCs w:val="11"/>
                <w:color w:val="auto"/>
              </w:rPr>
              <w:t>Unrecognized tax benefits beginning of year</w:t>
            </w:r>
          </w:p>
        </w:tc>
        <w:tc>
          <w:tcPr>
            <w:tcW w:w="680" w:type="dxa"/>
            <w:vAlign w:val="bottom"/>
            <w:shd w:val="clear" w:color="auto" w:fill="43C0B9"/>
          </w:tcPr>
          <w:p>
            <w:pPr>
              <w:jc w:val="right"/>
              <w:ind w:right="54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6.0</w:t>
            </w:r>
          </w:p>
        </w:tc>
        <w:tc>
          <w:tcPr>
            <w:tcW w:w="820" w:type="dxa"/>
            <w:vAlign w:val="bottom"/>
            <w:shd w:val="clear" w:color="auto" w:fill="43C0B9"/>
          </w:tcPr>
          <w:p>
            <w:pPr>
              <w:jc w:val="right"/>
              <w:ind w:right="643"/>
              <w:spacing w:after="0"/>
              <w:rPr>
                <w:sz w:val="20"/>
                <w:szCs w:val="20"/>
                <w:color w:val="auto"/>
              </w:rPr>
            </w:pPr>
            <w:r>
              <w:rPr>
                <w:rFonts w:ascii="Arial" w:cs="Arial" w:eastAsia="Arial" w:hAnsi="Arial"/>
                <w:sz w:val="11"/>
                <w:szCs w:val="11"/>
                <w:color w:val="auto"/>
              </w:rPr>
              <w:t>$</w:t>
            </w: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6.2</w:t>
            </w:r>
          </w:p>
        </w:tc>
      </w:tr>
      <w:tr>
        <w:trPr>
          <w:trHeight w:val="166"/>
        </w:trPr>
        <w:tc>
          <w:tcPr>
            <w:tcW w:w="8060" w:type="dxa"/>
            <w:vAlign w:val="bottom"/>
          </w:tcPr>
          <w:p>
            <w:pPr>
              <w:ind w:left="20"/>
              <w:spacing w:after="0"/>
              <w:rPr>
                <w:sz w:val="20"/>
                <w:szCs w:val="20"/>
                <w:color w:val="auto"/>
              </w:rPr>
            </w:pPr>
            <w:r>
              <w:rPr>
                <w:rFonts w:ascii="Arial" w:cs="Arial" w:eastAsia="Arial" w:hAnsi="Arial"/>
                <w:sz w:val="11"/>
                <w:szCs w:val="11"/>
                <w:color w:val="auto"/>
              </w:rPr>
              <w:t>Increases/(decreases) related to prior year positions</w:t>
            </w:r>
          </w:p>
        </w:tc>
        <w:tc>
          <w:tcPr>
            <w:tcW w:w="680" w:type="dxa"/>
            <w:vAlign w:val="bottom"/>
          </w:tcPr>
          <w:p>
            <w:pPr>
              <w:jc w:val="right"/>
              <w:ind w:right="5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820" w:type="dxa"/>
            <w:vAlign w:val="bottom"/>
          </w:tcPr>
          <w:p>
            <w:pPr>
              <w:jc w:val="right"/>
              <w:ind w:right="64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0"/>
        </w:trPr>
        <w:tc>
          <w:tcPr>
            <w:tcW w:w="80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Foreign currency remeasurement</w:t>
            </w:r>
          </w:p>
        </w:tc>
        <w:tc>
          <w:tcPr>
            <w:tcW w:w="680" w:type="dxa"/>
            <w:vAlign w:val="bottom"/>
            <w:tcBorders>
              <w:bottom w:val="single" w:sz="8" w:color="auto"/>
            </w:tcBorders>
            <w:shd w:val="clear" w:color="auto" w:fill="43C0B9"/>
          </w:tcPr>
          <w:p>
            <w:pPr>
              <w:spacing w:after="0"/>
              <w:rPr>
                <w:sz w:val="14"/>
                <w:szCs w:val="14"/>
                <w:color w:val="auto"/>
              </w:rPr>
            </w:pPr>
          </w:p>
        </w:tc>
        <w:tc>
          <w:tcPr>
            <w:tcW w:w="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0.3</w:t>
            </w:r>
          </w:p>
        </w:tc>
        <w:tc>
          <w:tcPr>
            <w:tcW w:w="820" w:type="dxa"/>
            <w:vAlign w:val="bottom"/>
            <w:tcBorders>
              <w:bottom w:val="single" w:sz="8" w:color="auto"/>
            </w:tcBorders>
            <w:shd w:val="clear" w:color="auto" w:fill="43C0B9"/>
          </w:tcPr>
          <w:p>
            <w:pPr>
              <w:spacing w:after="0"/>
              <w:rPr>
                <w:sz w:val="14"/>
                <w:szCs w:val="14"/>
                <w:color w:val="auto"/>
              </w:rPr>
            </w:pPr>
          </w:p>
        </w:tc>
        <w:tc>
          <w:tcPr>
            <w:tcW w:w="7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(0.2)</w:t>
            </w:r>
          </w:p>
        </w:tc>
      </w:tr>
      <w:tr>
        <w:trPr>
          <w:trHeight w:val="16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Unrecognized tax benefits end of year</w:t>
            </w:r>
          </w:p>
        </w:tc>
        <w:tc>
          <w:tcPr>
            <w:tcW w:w="68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6.1</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w:t>
            </w:r>
          </w:p>
        </w:tc>
      </w:tr>
    </w:tbl>
    <w:p>
      <w:pPr>
        <w:spacing w:after="0" w:line="224" w:lineRule="exact"/>
        <w:rPr>
          <w:sz w:val="20"/>
          <w:szCs w:val="20"/>
          <w:color w:val="auto"/>
        </w:rPr>
      </w:pPr>
    </w:p>
    <w:p>
      <w:pPr>
        <w:ind w:right="80" w:firstLine="509"/>
        <w:spacing w:after="0" w:line="244" w:lineRule="auto"/>
        <w:rPr>
          <w:sz w:val="20"/>
          <w:szCs w:val="20"/>
          <w:color w:val="auto"/>
        </w:rPr>
      </w:pPr>
      <w:r>
        <w:rPr>
          <w:rFonts w:ascii="Arial" w:cs="Arial" w:eastAsia="Arial" w:hAnsi="Arial"/>
          <w:sz w:val="13"/>
          <w:szCs w:val="13"/>
          <w:color w:val="auto"/>
        </w:rPr>
        <w:t>If recognized, the total amount of unrecognized tax benefits as of October 31, 2021and 2020 would impact the effective tax rate. There is potential for significant changes to unrecognized tax benefits by the end of fiscal year 2021 with regards to the 2013 tax assessment as discussed below.</w:t>
      </w:r>
    </w:p>
    <w:p>
      <w:pPr>
        <w:spacing w:after="0" w:line="152"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3"/>
          <w:szCs w:val="13"/>
          <w:color w:val="auto"/>
        </w:rPr>
        <w:t>The Company recognizes interest and penalties related to uncertain tax positions in income tax expense. The Company recorded $0.9 million, $(1.9) million, and $1.4 million of interest and penalties in the years ended October 31, 2021, 2020 and 2019, respectively, in the consolidated statements of comprehensive income and had $7.7 million and $6.8 million for interest and penalties accrued as of October 31, 2021 and 2020, respectively, which have been included in other long-term liabilities in the consolidated balance sheets.</w:t>
      </w:r>
    </w:p>
    <w:p>
      <w:pPr>
        <w:spacing w:after="0" w:line="144" w:lineRule="exact"/>
        <w:rPr>
          <w:sz w:val="20"/>
          <w:szCs w:val="20"/>
          <w:color w:val="auto"/>
        </w:rPr>
      </w:pPr>
    </w:p>
    <w:p>
      <w:pPr>
        <w:ind w:right="820" w:firstLine="509"/>
        <w:spacing w:after="0" w:line="244" w:lineRule="auto"/>
        <w:rPr>
          <w:sz w:val="20"/>
          <w:szCs w:val="20"/>
          <w:color w:val="auto"/>
        </w:rPr>
      </w:pPr>
      <w:r>
        <w:rPr>
          <w:rFonts w:ascii="Arial" w:cs="Arial" w:eastAsia="Arial" w:hAnsi="Arial"/>
          <w:sz w:val="13"/>
          <w:szCs w:val="13"/>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right="120"/>
        <w:spacing w:after="0" w:line="244" w:lineRule="auto"/>
        <w:rPr>
          <w:sz w:val="20"/>
          <w:szCs w:val="20"/>
          <w:color w:val="auto"/>
        </w:rPr>
      </w:pPr>
      <w:r>
        <w:rPr>
          <w:rFonts w:ascii="Arial" w:cs="Arial" w:eastAsia="Arial" w:hAnsi="Arial"/>
          <w:sz w:val="13"/>
          <w:szCs w:val="13"/>
          <w:color w:val="auto"/>
        </w:rPr>
        <w:t>authorities, primarily in the United States, Mexico and Peru. The Company is no longer subject to U.S. federal tax examinations for the fiscal years prior to and including October 31, 2016. The statute of limitations for the tax years ended October 31, 2017 and forward are still open as of October 31, 2021.</w:t>
      </w:r>
    </w:p>
    <w:p>
      <w:pPr>
        <w:spacing w:after="0" w:line="142" w:lineRule="exact"/>
        <w:rPr>
          <w:sz w:val="20"/>
          <w:szCs w:val="20"/>
          <w:color w:val="auto"/>
        </w:rPr>
      </w:pPr>
    </w:p>
    <w:p>
      <w:pPr>
        <w:ind w:right="80" w:firstLine="509"/>
        <w:spacing w:after="0" w:line="239" w:lineRule="auto"/>
        <w:rPr>
          <w:sz w:val="20"/>
          <w:szCs w:val="20"/>
          <w:color w:val="auto"/>
        </w:rPr>
      </w:pPr>
      <w:r>
        <w:rPr>
          <w:rFonts w:ascii="Arial" w:cs="Arial" w:eastAsia="Arial" w:hAnsi="Arial"/>
          <w:sz w:val="13"/>
          <w:szCs w:val="13"/>
          <w:color w:val="auto"/>
        </w:rPr>
        <w:t>The Company’s wholly owned subsidiary in Mexico is currently under audit for the fiscal year 2013 and received certain proposed adjustments during fiscal year 2018 from the Mexican taxing authorities pertaining to disallowed deductions. During June 2018, the Company filed an administrative appeal challenging the 2013 tax assessment, which in June 2019 the authorities issued a resolution revoking the tax assessment and ordering the tax auditors to appraise some evidence and re-issue a new assessment in connection with one of the intermediaries. The Mexican subsidiary filed a tax lawsuit since the tax auditors did not appraise the evidence offered in connection with a significant portion of the disallowed deductions, which the Company is currently waiting for the resolution of the trial. The Company believes that is has adequately provided taxes for this matter.</w:t>
      </w:r>
    </w:p>
    <w:p>
      <w:pPr>
        <w:spacing w:after="0" w:line="157"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On December 30, 2020, Peru enacted tax law repealing current tax law which provided benefits to agribusiness entities. The new law will subject us to higher Peruvian corporate income tax rates than our current rate of 15% as follows: 20% for calendar years 2023 to 2024, 25% for calendar years 2025 to 2027, and 29.5% thereafter. We remeasured our deferred tax balances based on the applicable tax rate in the year the deferred balances are expected to reverse. The increase to the net deferred tax liability for the change in Peruvian tax rate resulted in a $5.4 million increase to tax expense.</w:t>
      </w:r>
    </w:p>
    <w:p>
      <w:pPr>
        <w:spacing w:after="0" w:line="155"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On March 27, 2020, the Coronavirus Aid, Relief and Economic Security (“CARES Act”) was signed into law. Among other things, the CARES Act permitted NOL carryovers and carrybacks to offset 100% of taxable income for taxable years beginning before 2021. In addition, the CARES Act allowed NOLs incurred in 2018, 2019, and 2020 to be carried back to each of the five preceding taxable years to generate a refund of previously paid income taxes. For fiscal year 2020 the Company recorded a discrete benefit of $1.2 million due to the revaluation of deferred tax assets due to the utilization of NOLs at a higher tax rate in the carryback period. The CARES Act also contains modifications on the limitation of business interest for tax years beginning in 2019 and 2020. The modifications to Section 163(j) increased the allowable business interest deduction from 30% of adjusted taxable income to 50% of adjusted taxable income which did not have an impact to the company for fiscal year 2020 or 2021.</w:t>
      </w:r>
    </w:p>
    <w:p>
      <w:pPr>
        <w:spacing w:after="0" w:line="336"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6"/>
          <w:szCs w:val="16"/>
          <w:b w:val="1"/>
          <w:bCs w:val="1"/>
          <w:color w:val="232F84"/>
        </w:rPr>
      </w:pPr>
      <w:r>
        <w:rPr>
          <w:rFonts w:ascii="Arial" w:cs="Arial" w:eastAsia="Arial" w:hAnsi="Arial"/>
          <w:sz w:val="16"/>
          <w:szCs w:val="16"/>
          <w:b w:val="1"/>
          <w:bCs w:val="1"/>
          <w:color w:val="232F84"/>
        </w:rPr>
        <w:t>Shareholders’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Stock-based compensation</w:t>
      </w:r>
    </w:p>
    <w:p>
      <w:pPr>
        <w:spacing w:after="0" w:line="162" w:lineRule="exact"/>
        <w:rPr>
          <w:sz w:val="20"/>
          <w:szCs w:val="20"/>
          <w:color w:val="auto"/>
        </w:rPr>
      </w:pPr>
    </w:p>
    <w:p>
      <w:pPr>
        <w:jc w:val="both"/>
        <w:ind w:right="280" w:firstLine="509"/>
        <w:spacing w:after="0" w:line="241" w:lineRule="auto"/>
        <w:rPr>
          <w:sz w:val="20"/>
          <w:szCs w:val="20"/>
          <w:color w:val="auto"/>
        </w:rPr>
      </w:pPr>
      <w:r>
        <w:rPr>
          <w:rFonts w:ascii="Arial" w:cs="Arial" w:eastAsia="Arial" w:hAnsi="Arial"/>
          <w:sz w:val="13"/>
          <w:szCs w:val="13"/>
          <w:color w:val="auto"/>
        </w:rPr>
        <w:t>During fiscal years 2021, 2020, and 2019, we maintained stock-based incentive plans (see below for more details). Stock-based compensation expense is recorded in selling, general and administrative expenses in the consolidated statements of comprehensive income. Total stock-based compensation expense under these plans and the total related recognized tax benefit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shd w:val="clear" w:color="auto" w:fill="232F84"/>
          </w:tcPr>
          <w:p>
            <w:pPr>
              <w:spacing w:after="0"/>
              <w:rPr>
                <w:sz w:val="15"/>
                <w:szCs w:val="15"/>
                <w:color w:val="auto"/>
              </w:rPr>
            </w:pPr>
          </w:p>
        </w:tc>
        <w:tc>
          <w:tcPr>
            <w:tcW w:w="520" w:type="dxa"/>
            <w:vAlign w:val="bottom"/>
            <w:shd w:val="clear" w:color="auto" w:fill="232F84"/>
          </w:tcPr>
          <w:p>
            <w:pPr>
              <w:spacing w:after="0"/>
              <w:rPr>
                <w:sz w:val="15"/>
                <w:szCs w:val="15"/>
                <w:color w:val="auto"/>
              </w:rPr>
            </w:pPr>
          </w:p>
        </w:tc>
        <w:tc>
          <w:tcPr>
            <w:tcW w:w="760" w:type="dxa"/>
            <w:vAlign w:val="bottom"/>
            <w:shd w:val="clear" w:color="auto" w:fill="232F84"/>
          </w:tcPr>
          <w:p>
            <w:pPr>
              <w:spacing w:after="0"/>
              <w:rPr>
                <w:sz w:val="15"/>
                <w:szCs w:val="15"/>
                <w:color w:val="auto"/>
              </w:rPr>
            </w:pPr>
          </w:p>
        </w:tc>
        <w:tc>
          <w:tcPr>
            <w:tcW w:w="1340" w:type="dxa"/>
            <w:vAlign w:val="bottom"/>
            <w:gridSpan w:val="2"/>
            <w:shd w:val="clear" w:color="auto" w:fill="232F84"/>
          </w:tcPr>
          <w:p>
            <w:pPr>
              <w:ind w:left="40"/>
              <w:spacing w:after="0"/>
              <w:rPr>
                <w:sz w:val="20"/>
                <w:szCs w:val="20"/>
                <w:color w:val="auto"/>
              </w:rPr>
            </w:pPr>
            <w:r>
              <w:rPr>
                <w:rFonts w:ascii="Arial" w:cs="Arial" w:eastAsia="Arial" w:hAnsi="Arial"/>
                <w:sz w:val="11"/>
                <w:szCs w:val="11"/>
                <w:b w:val="1"/>
                <w:bCs w:val="1"/>
                <w:color w:val="FFFFFF"/>
              </w:rPr>
              <w:t>Year Ended October 31,</w:t>
            </w:r>
          </w:p>
        </w:tc>
        <w:tc>
          <w:tcPr>
            <w:tcW w:w="560" w:type="dxa"/>
            <w:vAlign w:val="bottom"/>
            <w:shd w:val="clear" w:color="auto" w:fill="232F84"/>
          </w:tcPr>
          <w:p>
            <w:pPr>
              <w:spacing w:after="0"/>
              <w:rPr>
                <w:sz w:val="15"/>
                <w:szCs w:val="15"/>
                <w:color w:val="auto"/>
              </w:rPr>
            </w:pPr>
          </w:p>
        </w:tc>
        <w:tc>
          <w:tcPr>
            <w:tcW w:w="720" w:type="dxa"/>
            <w:vAlign w:val="bottom"/>
            <w:shd w:val="clear" w:color="auto" w:fill="232F84"/>
          </w:tcPr>
          <w:p>
            <w:pPr>
              <w:spacing w:after="0"/>
              <w:rPr>
                <w:sz w:val="15"/>
                <w:szCs w:val="15"/>
                <w:color w:val="auto"/>
              </w:rPr>
            </w:pPr>
          </w:p>
        </w:tc>
      </w:tr>
      <w:tr>
        <w:trPr>
          <w:trHeight w:val="175"/>
        </w:trPr>
        <w:tc>
          <w:tcPr>
            <w:tcW w:w="732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520" w:type="dxa"/>
            <w:vAlign w:val="bottom"/>
            <w:shd w:val="clear" w:color="auto" w:fill="232F84"/>
          </w:tcPr>
          <w:p>
            <w:pPr>
              <w:spacing w:after="0"/>
              <w:rPr>
                <w:sz w:val="15"/>
                <w:szCs w:val="15"/>
                <w:color w:val="auto"/>
              </w:rPr>
            </w:pPr>
          </w:p>
        </w:tc>
        <w:tc>
          <w:tcPr>
            <w:tcW w:w="760" w:type="dxa"/>
            <w:vAlign w:val="bottom"/>
            <w:shd w:val="clear" w:color="auto" w:fill="232F84"/>
          </w:tcPr>
          <w:p>
            <w:pPr>
              <w:jc w:val="center"/>
              <w:ind w:left="363"/>
              <w:spacing w:after="0"/>
              <w:rPr>
                <w:sz w:val="20"/>
                <w:szCs w:val="20"/>
                <w:color w:val="auto"/>
              </w:rPr>
            </w:pPr>
            <w:r>
              <w:rPr>
                <w:rFonts w:ascii="Arial" w:cs="Arial" w:eastAsia="Arial" w:hAnsi="Arial"/>
                <w:sz w:val="11"/>
                <w:szCs w:val="11"/>
                <w:b w:val="1"/>
                <w:bCs w:val="1"/>
                <w:color w:val="FFFFFF"/>
              </w:rPr>
              <w:t>2021</w:t>
            </w:r>
          </w:p>
        </w:tc>
        <w:tc>
          <w:tcPr>
            <w:tcW w:w="580" w:type="dxa"/>
            <w:vAlign w:val="bottom"/>
            <w:shd w:val="clear" w:color="auto" w:fill="232F84"/>
          </w:tcPr>
          <w:p>
            <w:pPr>
              <w:spacing w:after="0"/>
              <w:rPr>
                <w:sz w:val="15"/>
                <w:szCs w:val="15"/>
                <w:color w:val="auto"/>
              </w:rPr>
            </w:pPr>
          </w:p>
        </w:tc>
        <w:tc>
          <w:tcPr>
            <w:tcW w:w="760" w:type="dxa"/>
            <w:vAlign w:val="bottom"/>
            <w:shd w:val="clear" w:color="auto" w:fill="232F84"/>
          </w:tcPr>
          <w:p>
            <w:pPr>
              <w:jc w:val="center"/>
              <w:ind w:left="323"/>
              <w:spacing w:after="0"/>
              <w:rPr>
                <w:sz w:val="20"/>
                <w:szCs w:val="20"/>
                <w:color w:val="auto"/>
              </w:rPr>
            </w:pPr>
            <w:r>
              <w:rPr>
                <w:rFonts w:ascii="Arial" w:cs="Arial" w:eastAsia="Arial" w:hAnsi="Arial"/>
                <w:sz w:val="11"/>
                <w:szCs w:val="11"/>
                <w:b w:val="1"/>
                <w:bCs w:val="1"/>
                <w:color w:val="FFFFFF"/>
              </w:rPr>
              <w:t>2020</w:t>
            </w:r>
          </w:p>
        </w:tc>
        <w:tc>
          <w:tcPr>
            <w:tcW w:w="560" w:type="dxa"/>
            <w:vAlign w:val="bottom"/>
            <w:shd w:val="clear" w:color="auto" w:fill="232F84"/>
          </w:tcPr>
          <w:p>
            <w:pPr>
              <w:spacing w:after="0"/>
              <w:rPr>
                <w:sz w:val="15"/>
                <w:szCs w:val="15"/>
                <w:color w:val="auto"/>
              </w:rPr>
            </w:pPr>
          </w:p>
        </w:tc>
        <w:tc>
          <w:tcPr>
            <w:tcW w:w="720" w:type="dxa"/>
            <w:vAlign w:val="bottom"/>
            <w:shd w:val="clear" w:color="auto" w:fill="232F84"/>
          </w:tcPr>
          <w:p>
            <w:pPr>
              <w:ind w:left="460"/>
              <w:spacing w:after="0"/>
              <w:rPr>
                <w:sz w:val="20"/>
                <w:szCs w:val="20"/>
                <w:color w:val="auto"/>
              </w:rPr>
            </w:pPr>
            <w:r>
              <w:rPr>
                <w:rFonts w:ascii="Arial" w:cs="Arial" w:eastAsia="Arial" w:hAnsi="Arial"/>
                <w:sz w:val="11"/>
                <w:szCs w:val="11"/>
                <w:b w:val="1"/>
                <w:bCs w:val="1"/>
                <w:color w:val="FFFFFF"/>
                <w:w w:val="97"/>
              </w:rPr>
              <w:t>2019</w:t>
            </w:r>
          </w:p>
        </w:tc>
      </w:tr>
      <w:tr>
        <w:trPr>
          <w:trHeight w:val="170"/>
        </w:trPr>
        <w:tc>
          <w:tcPr>
            <w:tcW w:w="7320" w:type="dxa"/>
            <w:vAlign w:val="bottom"/>
            <w:shd w:val="clear" w:color="auto" w:fill="43C0B9"/>
          </w:tcPr>
          <w:p>
            <w:pPr>
              <w:ind w:left="20"/>
              <w:spacing w:after="0"/>
              <w:rPr>
                <w:sz w:val="20"/>
                <w:szCs w:val="20"/>
                <w:color w:val="auto"/>
              </w:rPr>
            </w:pPr>
            <w:r>
              <w:rPr>
                <w:rFonts w:ascii="Arial" w:cs="Arial" w:eastAsia="Arial" w:hAnsi="Arial"/>
                <w:sz w:val="11"/>
                <w:szCs w:val="11"/>
                <w:color w:val="auto"/>
              </w:rPr>
              <w:t>Stock options</w:t>
            </w:r>
          </w:p>
        </w:tc>
        <w:tc>
          <w:tcPr>
            <w:tcW w:w="520" w:type="dxa"/>
            <w:vAlign w:val="bottom"/>
            <w:shd w:val="clear" w:color="auto" w:fill="43C0B9"/>
          </w:tcPr>
          <w:p>
            <w:pPr>
              <w:jc w:val="right"/>
              <w:ind w:right="3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43C0B9"/>
          </w:tcPr>
          <w:p>
            <w:pPr>
              <w:jc w:val="center"/>
              <w:ind w:left="383"/>
              <w:spacing w:after="0"/>
              <w:rPr>
                <w:sz w:val="20"/>
                <w:szCs w:val="20"/>
                <w:color w:val="auto"/>
              </w:rPr>
            </w:pPr>
            <w:r>
              <w:rPr>
                <w:rFonts w:ascii="Arial" w:cs="Arial" w:eastAsia="Arial" w:hAnsi="Arial"/>
                <w:sz w:val="11"/>
                <w:szCs w:val="11"/>
                <w:color w:val="auto"/>
              </w:rPr>
              <w:t>1.5</w:t>
            </w:r>
          </w:p>
        </w:tc>
        <w:tc>
          <w:tcPr>
            <w:tcW w:w="5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760" w:type="dxa"/>
            <w:vAlign w:val="bottom"/>
            <w:shd w:val="clear" w:color="auto" w:fill="43C0B9"/>
          </w:tcPr>
          <w:p>
            <w:pPr>
              <w:jc w:val="center"/>
              <w:ind w:left="343"/>
              <w:spacing w:after="0"/>
              <w:rPr>
                <w:sz w:val="20"/>
                <w:szCs w:val="20"/>
                <w:color w:val="auto"/>
              </w:rPr>
            </w:pPr>
            <w:r>
              <w:rPr>
                <w:rFonts w:ascii="Arial" w:cs="Arial" w:eastAsia="Arial" w:hAnsi="Arial"/>
                <w:sz w:val="11"/>
                <w:szCs w:val="11"/>
                <w:color w:val="auto"/>
              </w:rPr>
              <w:t>4.8</w:t>
            </w:r>
          </w:p>
        </w:tc>
        <w:tc>
          <w:tcPr>
            <w:tcW w:w="56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ind w:left="560"/>
              <w:spacing w:after="0"/>
              <w:rPr>
                <w:sz w:val="20"/>
                <w:szCs w:val="20"/>
                <w:color w:val="auto"/>
              </w:rPr>
            </w:pPr>
            <w:r>
              <w:rPr>
                <w:rFonts w:ascii="Arial" w:cs="Arial" w:eastAsia="Arial" w:hAnsi="Arial"/>
                <w:sz w:val="11"/>
                <w:szCs w:val="11"/>
                <w:color w:val="auto"/>
              </w:rPr>
              <w:t>—</w:t>
            </w:r>
          </w:p>
        </w:tc>
      </w:tr>
      <w:tr>
        <w:trPr>
          <w:trHeight w:val="16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RSUs</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color w:val="auto"/>
              </w:rPr>
              <w:t>1.1</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color w:val="auto"/>
              </w:rPr>
              <w:t>0.1</w:t>
            </w: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1"/>
                <w:szCs w:val="11"/>
                <w:color w:val="auto"/>
              </w:rPr>
              <w:t>—</w:t>
            </w:r>
          </w:p>
        </w:tc>
      </w:tr>
      <w:tr>
        <w:trPr>
          <w:trHeight w:val="165"/>
        </w:trPr>
        <w:tc>
          <w:tcPr>
            <w:tcW w:w="7320" w:type="dxa"/>
            <w:vAlign w:val="bottom"/>
            <w:shd w:val="clear" w:color="auto" w:fill="43C0B9"/>
          </w:tcPr>
          <w:p>
            <w:pPr>
              <w:ind w:left="20"/>
              <w:spacing w:after="0"/>
              <w:rPr>
                <w:sz w:val="20"/>
                <w:szCs w:val="20"/>
                <w:color w:val="auto"/>
              </w:rPr>
            </w:pPr>
            <w:r>
              <w:rPr>
                <w:rFonts w:ascii="Arial" w:cs="Arial" w:eastAsia="Arial" w:hAnsi="Arial"/>
                <w:sz w:val="11"/>
                <w:szCs w:val="11"/>
                <w:color w:val="auto"/>
              </w:rPr>
              <w:t>Total stock-based compensation expense under incentive plans, pretax</w:t>
            </w:r>
          </w:p>
        </w:tc>
        <w:tc>
          <w:tcPr>
            <w:tcW w:w="520" w:type="dxa"/>
            <w:vAlign w:val="bottom"/>
            <w:shd w:val="clear" w:color="auto" w:fill="43C0B9"/>
          </w:tcPr>
          <w:p>
            <w:pPr>
              <w:jc w:val="right"/>
              <w:ind w:right="38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43C0B9"/>
          </w:tcPr>
          <w:p>
            <w:pPr>
              <w:jc w:val="center"/>
              <w:ind w:left="383"/>
              <w:spacing w:after="0"/>
              <w:rPr>
                <w:sz w:val="20"/>
                <w:szCs w:val="20"/>
                <w:color w:val="auto"/>
              </w:rPr>
            </w:pPr>
            <w:r>
              <w:rPr>
                <w:rFonts w:ascii="Arial" w:cs="Arial" w:eastAsia="Arial" w:hAnsi="Arial"/>
                <w:sz w:val="11"/>
                <w:szCs w:val="11"/>
                <w:color w:val="auto"/>
              </w:rPr>
              <w:t>2.6</w:t>
            </w:r>
          </w:p>
        </w:tc>
        <w:tc>
          <w:tcPr>
            <w:tcW w:w="58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760" w:type="dxa"/>
            <w:vAlign w:val="bottom"/>
            <w:shd w:val="clear" w:color="auto" w:fill="43C0B9"/>
          </w:tcPr>
          <w:p>
            <w:pPr>
              <w:jc w:val="center"/>
              <w:ind w:left="343"/>
              <w:spacing w:after="0"/>
              <w:rPr>
                <w:sz w:val="20"/>
                <w:szCs w:val="20"/>
                <w:color w:val="auto"/>
              </w:rPr>
            </w:pPr>
            <w:r>
              <w:rPr>
                <w:rFonts w:ascii="Arial" w:cs="Arial" w:eastAsia="Arial" w:hAnsi="Arial"/>
                <w:sz w:val="11"/>
                <w:szCs w:val="11"/>
                <w:color w:val="auto"/>
              </w:rPr>
              <w:t>4.9</w:t>
            </w:r>
          </w:p>
        </w:tc>
        <w:tc>
          <w:tcPr>
            <w:tcW w:w="56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720" w:type="dxa"/>
            <w:vAlign w:val="bottom"/>
            <w:shd w:val="clear" w:color="auto" w:fill="43C0B9"/>
          </w:tcPr>
          <w:p>
            <w:pPr>
              <w:ind w:left="560"/>
              <w:spacing w:after="0"/>
              <w:rPr>
                <w:sz w:val="20"/>
                <w:szCs w:val="20"/>
                <w:color w:val="auto"/>
              </w:rPr>
            </w:pPr>
            <w:r>
              <w:rPr>
                <w:rFonts w:ascii="Arial" w:cs="Arial" w:eastAsia="Arial" w:hAnsi="Arial"/>
                <w:sz w:val="11"/>
                <w:szCs w:val="11"/>
                <w:color w:val="auto"/>
              </w:rPr>
              <w:t>—</w:t>
            </w:r>
          </w:p>
        </w:tc>
      </w:tr>
      <w:tr>
        <w:trPr>
          <w:trHeight w:val="16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Tax benefit</w:t>
            </w: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383"/>
              <w:spacing w:after="0"/>
              <w:rPr>
                <w:sz w:val="20"/>
                <w:szCs w:val="20"/>
                <w:color w:val="auto"/>
              </w:rPr>
            </w:pPr>
            <w:r>
              <w:rPr>
                <w:rFonts w:ascii="Arial" w:cs="Arial" w:eastAsia="Arial" w:hAnsi="Arial"/>
                <w:sz w:val="11"/>
                <w:szCs w:val="11"/>
                <w:color w:val="auto"/>
              </w:rPr>
              <w:t>0.1</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color w:val="auto"/>
              </w:rPr>
              <w:t>0.1</w:t>
            </w: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560"/>
              <w:spacing w:after="0"/>
              <w:rPr>
                <w:sz w:val="20"/>
                <w:szCs w:val="20"/>
                <w:color w:val="auto"/>
              </w:rPr>
            </w:pPr>
            <w:r>
              <w:rPr>
                <w:rFonts w:ascii="Arial" w:cs="Arial" w:eastAsia="Arial" w:hAnsi="Arial"/>
                <w:sz w:val="11"/>
                <w:szCs w:val="11"/>
                <w:color w:val="auto"/>
              </w:rPr>
              <w:t>—</w:t>
            </w:r>
          </w:p>
        </w:tc>
      </w:tr>
    </w:tbl>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Unrecognized stock-based compensation expense as of October 31, 2021 was $3.9 million and is expected to be recognized over a weighted-average period of 1.7 years.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2003 Stock Incentive Plan</w:t>
      </w:r>
    </w:p>
    <w:p>
      <w:pPr>
        <w:spacing w:after="0" w:line="162" w:lineRule="exact"/>
        <w:rPr>
          <w:sz w:val="20"/>
          <w:szCs w:val="20"/>
          <w:color w:val="auto"/>
        </w:rPr>
      </w:pPr>
    </w:p>
    <w:p>
      <w:pPr>
        <w:ind w:right="220" w:firstLine="509"/>
        <w:spacing w:after="0"/>
        <w:rPr>
          <w:sz w:val="20"/>
          <w:szCs w:val="20"/>
          <w:color w:val="auto"/>
        </w:rPr>
      </w:pPr>
      <w:r>
        <w:rPr>
          <w:rFonts w:ascii="Arial" w:cs="Arial" w:eastAsia="Arial" w:hAnsi="Arial"/>
          <w:sz w:val="13"/>
          <w:szCs w:val="13"/>
          <w:color w:val="auto"/>
        </w:rPr>
        <w:t>Our Board of Directors adopted the Mission Produce, Inc. 2003 Stock Incentive Plan in fiscal year 2004, and subsequently restated and amended the plan on July 9, 2019 (collectively, the “2003 Plan”). The 2003 Plan is a non-qualified stock option plan that allowed for the granting of a combined maximum of 10,200,000 stock option awards to key employees and directors, until the completion of our IPO in October 2020, at which time we adopted the 2020 Incentive Award Plan (“2020 Plan”), and shares of our common stock subject to awards granted under the 2003 Plan that were available for issuance were transferred to, and became available for issuance under the 2020 Plan in accordance with its terms.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2020 Incentive Award Plan</w:t>
      </w:r>
    </w:p>
    <w:p>
      <w:pPr>
        <w:spacing w:after="0" w:line="172" w:lineRule="exact"/>
        <w:rPr>
          <w:sz w:val="20"/>
          <w:szCs w:val="20"/>
          <w:color w:val="auto"/>
        </w:rPr>
      </w:pPr>
    </w:p>
    <w:p>
      <w:pPr>
        <w:ind w:firstLine="509"/>
        <w:spacing w:after="0"/>
        <w:rPr>
          <w:sz w:val="20"/>
          <w:szCs w:val="20"/>
          <w:color w:val="auto"/>
        </w:rPr>
      </w:pPr>
      <w:r>
        <w:rPr>
          <w:rFonts w:ascii="Arial" w:cs="Arial" w:eastAsia="Arial" w:hAnsi="Arial"/>
          <w:sz w:val="13"/>
          <w:szCs w:val="13"/>
          <w:color w:val="auto"/>
        </w:rPr>
        <w:t>On October 1, 2020, our Board of Directors adopted the 2020 Plan, which provides for the grant of equity awards, including stock options, RSUs, and performance share units to directors, employees, consultants, and certain of our affiliates. The terms of awards may vary based on the grantee classification, or nature of the award, such as awards contingent upon discrete events, or awards related to continuing employment. A maximum of 9,880,190 shares of common stock may be issued under the 2020 Plan. As of October 31, 2021, 9,296,260 shares were available for issuance under the 2020 Plan.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Stock options</w:t>
      </w:r>
    </w:p>
    <w:p>
      <w:pPr>
        <w:spacing w:after="0" w:line="170" w:lineRule="exact"/>
        <w:rPr>
          <w:sz w:val="20"/>
          <w:szCs w:val="20"/>
          <w:color w:val="auto"/>
        </w:rPr>
      </w:pPr>
    </w:p>
    <w:p>
      <w:pPr>
        <w:ind w:right="120" w:firstLine="509"/>
        <w:spacing w:after="0" w:line="284" w:lineRule="auto"/>
        <w:rPr>
          <w:sz w:val="20"/>
          <w:szCs w:val="20"/>
          <w:color w:val="auto"/>
        </w:rPr>
      </w:pPr>
      <w:r>
        <w:rPr>
          <w:rFonts w:ascii="Arial" w:cs="Arial" w:eastAsia="Arial" w:hAnsi="Arial"/>
          <w:sz w:val="12"/>
          <w:szCs w:val="12"/>
          <w:color w:val="auto"/>
        </w:rPr>
        <w:t>Stock options are generally granted with exercise prices no less than the fair market value at grant date and vest based on tenure of employment or other specific events and expire 10 years after the grant date. The fair value of stock options are estimated as of the date of grant using the Black-Scholes option valuation model with the following assumptions, as required by the model:</w:t>
      </w:r>
    </w:p>
    <w:p>
      <w:pPr>
        <w:spacing w:after="0" w:line="65" w:lineRule="exact"/>
        <w:rPr>
          <w:sz w:val="20"/>
          <w:szCs w:val="20"/>
          <w:color w:val="auto"/>
        </w:rPr>
      </w:pPr>
    </w:p>
    <w:p>
      <w:pPr>
        <w:ind w:left="1000" w:hanging="231"/>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Risk-free rate</w:t>
      </w:r>
      <w:r>
        <w:rPr>
          <w:rFonts w:ascii="Arial" w:cs="Arial" w:eastAsia="Arial" w:hAnsi="Arial"/>
          <w:sz w:val="13"/>
          <w:szCs w:val="13"/>
          <w:color w:val="auto"/>
        </w:rPr>
        <w:t>- the current interest rate on five to seven-year U.S. Treasury Bonds</w:t>
      </w:r>
    </w:p>
    <w:p>
      <w:pPr>
        <w:spacing w:after="0" w:line="115" w:lineRule="exact"/>
        <w:rPr>
          <w:rFonts w:ascii="Arial" w:cs="Arial" w:eastAsia="Arial" w:hAnsi="Arial"/>
          <w:sz w:val="13"/>
          <w:szCs w:val="13"/>
          <w:color w:val="auto"/>
        </w:rPr>
      </w:pPr>
    </w:p>
    <w:p>
      <w:pPr>
        <w:ind w:left="1000" w:hanging="231"/>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Volatility</w:t>
      </w:r>
      <w:r>
        <w:rPr>
          <w:rFonts w:ascii="Arial" w:cs="Arial" w:eastAsia="Arial" w:hAnsi="Arial"/>
          <w:sz w:val="13"/>
          <w:szCs w:val="13"/>
          <w:color w:val="auto"/>
        </w:rPr>
        <w:t>- the average of equity implied asset volatility of publicly-traded direct competitor companies</w:t>
      </w:r>
    </w:p>
    <w:p>
      <w:pPr>
        <w:spacing w:after="0" w:line="115" w:lineRule="exact"/>
        <w:rPr>
          <w:rFonts w:ascii="Arial" w:cs="Arial" w:eastAsia="Arial" w:hAnsi="Arial"/>
          <w:sz w:val="13"/>
          <w:szCs w:val="13"/>
          <w:color w:val="auto"/>
        </w:rPr>
      </w:pPr>
    </w:p>
    <w:p>
      <w:pPr>
        <w:ind w:left="1000" w:hanging="231"/>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i w:val="1"/>
          <w:iCs w:val="1"/>
          <w:color w:val="auto"/>
        </w:rPr>
        <w:t>Expected life</w:t>
      </w:r>
      <w:r>
        <w:rPr>
          <w:rFonts w:ascii="Arial" w:cs="Arial" w:eastAsia="Arial" w:hAnsi="Arial"/>
          <w:sz w:val="13"/>
          <w:szCs w:val="13"/>
          <w:color w:val="auto"/>
        </w:rPr>
        <w:t>- calculated as the average of the vesting term and original contractual term, known as “the simplified method”</w:t>
      </w:r>
    </w:p>
    <w:p>
      <w:pPr>
        <w:spacing w:after="0" w:line="18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3"/>
          <w:szCs w:val="13"/>
          <w:color w:val="auto"/>
        </w:rPr>
        <w:t>No stock options were granted during the year ended October 31, 2021. Assumptions used to estimate the fair value for stock options granted during the years ended October 31, 2020 and 2019 were as follows:</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75"/>
        </w:trPr>
        <w:tc>
          <w:tcPr>
            <w:tcW w:w="4600" w:type="dxa"/>
            <w:vAlign w:val="bottom"/>
            <w:shd w:val="clear" w:color="auto" w:fill="232F84"/>
          </w:tcPr>
          <w:p>
            <w:pPr>
              <w:spacing w:after="0"/>
              <w:rPr>
                <w:sz w:val="15"/>
                <w:szCs w:val="15"/>
                <w:color w:val="auto"/>
              </w:rPr>
            </w:pPr>
          </w:p>
        </w:tc>
        <w:tc>
          <w:tcPr>
            <w:tcW w:w="1380" w:type="dxa"/>
            <w:vAlign w:val="bottom"/>
            <w:shd w:val="clear" w:color="auto" w:fill="232F84"/>
          </w:tcPr>
          <w:p>
            <w:pPr>
              <w:spacing w:after="0"/>
              <w:rPr>
                <w:sz w:val="15"/>
                <w:szCs w:val="15"/>
                <w:color w:val="auto"/>
              </w:rPr>
            </w:pPr>
          </w:p>
        </w:tc>
        <w:tc>
          <w:tcPr>
            <w:tcW w:w="14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Year Ended October 31,</w:t>
            </w:r>
          </w:p>
        </w:tc>
        <w:tc>
          <w:tcPr>
            <w:tcW w:w="58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r>
      <w:tr>
        <w:trPr>
          <w:trHeight w:val="175"/>
        </w:trPr>
        <w:tc>
          <w:tcPr>
            <w:tcW w:w="4600" w:type="dxa"/>
            <w:vAlign w:val="bottom"/>
            <w:shd w:val="clear" w:color="auto" w:fill="232F84"/>
          </w:tcPr>
          <w:p>
            <w:pPr>
              <w:spacing w:after="0"/>
              <w:rPr>
                <w:sz w:val="15"/>
                <w:szCs w:val="15"/>
                <w:color w:val="auto"/>
              </w:rPr>
            </w:pPr>
          </w:p>
        </w:tc>
        <w:tc>
          <w:tcPr>
            <w:tcW w:w="138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2020</w:t>
            </w:r>
          </w:p>
        </w:tc>
        <w:tc>
          <w:tcPr>
            <w:tcW w:w="1420" w:type="dxa"/>
            <w:vAlign w:val="bottom"/>
            <w:shd w:val="clear" w:color="auto" w:fill="232F84"/>
          </w:tcPr>
          <w:p>
            <w:pPr>
              <w:spacing w:after="0"/>
              <w:rPr>
                <w:sz w:val="15"/>
                <w:szCs w:val="15"/>
                <w:color w:val="auto"/>
              </w:rPr>
            </w:pPr>
          </w:p>
        </w:tc>
        <w:tc>
          <w:tcPr>
            <w:tcW w:w="580" w:type="dxa"/>
            <w:vAlign w:val="bottom"/>
            <w:shd w:val="clear" w:color="auto" w:fill="232F84"/>
          </w:tcPr>
          <w:p>
            <w:pPr>
              <w:jc w:val="right"/>
              <w:ind w:right="123"/>
              <w:spacing w:after="0"/>
              <w:rPr>
                <w:sz w:val="20"/>
                <w:szCs w:val="20"/>
                <w:color w:val="auto"/>
              </w:rPr>
            </w:pPr>
            <w:r>
              <w:rPr>
                <w:rFonts w:ascii="Arial" w:cs="Arial" w:eastAsia="Arial" w:hAnsi="Arial"/>
                <w:sz w:val="11"/>
                <w:szCs w:val="11"/>
                <w:b w:val="1"/>
                <w:bCs w:val="1"/>
                <w:color w:val="FFFFFF"/>
              </w:rPr>
              <w:t>2019</w:t>
            </w:r>
          </w:p>
        </w:tc>
        <w:tc>
          <w:tcPr>
            <w:tcW w:w="360" w:type="dxa"/>
            <w:vAlign w:val="bottom"/>
            <w:shd w:val="clear" w:color="auto" w:fill="232F84"/>
          </w:tcPr>
          <w:p>
            <w:pPr>
              <w:spacing w:after="0"/>
              <w:rPr>
                <w:sz w:val="15"/>
                <w:szCs w:val="15"/>
                <w:color w:val="auto"/>
              </w:rPr>
            </w:pPr>
          </w:p>
        </w:tc>
      </w:tr>
      <w:tr>
        <w:trPr>
          <w:trHeight w:val="170"/>
        </w:trPr>
        <w:tc>
          <w:tcPr>
            <w:tcW w:w="4600" w:type="dxa"/>
            <w:vAlign w:val="bottom"/>
            <w:shd w:val="clear" w:color="auto" w:fill="43C0B9"/>
          </w:tcPr>
          <w:p>
            <w:pPr>
              <w:ind w:left="520"/>
              <w:spacing w:after="0"/>
              <w:rPr>
                <w:sz w:val="20"/>
                <w:szCs w:val="20"/>
                <w:color w:val="auto"/>
              </w:rPr>
            </w:pPr>
            <w:r>
              <w:rPr>
                <w:rFonts w:ascii="Arial" w:cs="Arial" w:eastAsia="Arial" w:hAnsi="Arial"/>
                <w:sz w:val="11"/>
                <w:szCs w:val="11"/>
                <w:color w:val="auto"/>
              </w:rPr>
              <w:t>Risk-free interest rate</w:t>
            </w:r>
          </w:p>
        </w:tc>
        <w:tc>
          <w:tcPr>
            <w:tcW w:w="1380" w:type="dxa"/>
            <w:vAlign w:val="bottom"/>
            <w:shd w:val="clear" w:color="auto" w:fill="43C0B9"/>
          </w:tcPr>
          <w:p>
            <w:pPr>
              <w:jc w:val="right"/>
              <w:ind w:right="163"/>
              <w:spacing w:after="0"/>
              <w:rPr>
                <w:sz w:val="20"/>
                <w:szCs w:val="20"/>
                <w:color w:val="auto"/>
              </w:rPr>
            </w:pPr>
            <w:r>
              <w:rPr>
                <w:rFonts w:ascii="Arial" w:cs="Arial" w:eastAsia="Arial" w:hAnsi="Arial"/>
                <w:sz w:val="11"/>
                <w:szCs w:val="11"/>
                <w:color w:val="auto"/>
              </w:rPr>
              <w:t>0.4</w:t>
            </w:r>
          </w:p>
        </w:tc>
        <w:tc>
          <w:tcPr>
            <w:tcW w:w="1420" w:type="dxa"/>
            <w:vAlign w:val="bottom"/>
            <w:shd w:val="clear" w:color="auto" w:fill="43C0B9"/>
          </w:tcPr>
          <w:p>
            <w:pPr>
              <w:jc w:val="right"/>
              <w:ind w:right="943"/>
              <w:spacing w:after="0"/>
              <w:rPr>
                <w:sz w:val="20"/>
                <w:szCs w:val="20"/>
                <w:color w:val="auto"/>
              </w:rPr>
            </w:pPr>
            <w:r>
              <w:rPr>
                <w:rFonts w:ascii="Arial" w:cs="Arial" w:eastAsia="Arial" w:hAnsi="Arial"/>
                <w:sz w:val="11"/>
                <w:szCs w:val="11"/>
                <w:color w:val="auto"/>
              </w:rPr>
              <w:t>%</w:t>
            </w:r>
          </w:p>
        </w:tc>
        <w:tc>
          <w:tcPr>
            <w:tcW w:w="580" w:type="dxa"/>
            <w:vAlign w:val="bottom"/>
            <w:shd w:val="clear" w:color="auto" w:fill="43C0B9"/>
          </w:tcPr>
          <w:p>
            <w:pPr>
              <w:jc w:val="right"/>
              <w:ind w:right="243"/>
              <w:spacing w:after="0"/>
              <w:rPr>
                <w:sz w:val="20"/>
                <w:szCs w:val="20"/>
                <w:color w:val="auto"/>
              </w:rPr>
            </w:pPr>
            <w:r>
              <w:rPr>
                <w:rFonts w:ascii="Arial" w:cs="Arial" w:eastAsia="Arial" w:hAnsi="Arial"/>
                <w:sz w:val="11"/>
                <w:szCs w:val="11"/>
                <w:color w:val="auto"/>
              </w:rPr>
              <w:t>1.7</w:t>
            </w:r>
          </w:p>
        </w:tc>
        <w:tc>
          <w:tcPr>
            <w:tcW w:w="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4600" w:type="dxa"/>
            <w:vAlign w:val="bottom"/>
          </w:tcPr>
          <w:p>
            <w:pPr>
              <w:ind w:left="520"/>
              <w:spacing w:after="0"/>
              <w:rPr>
                <w:sz w:val="20"/>
                <w:szCs w:val="20"/>
                <w:color w:val="auto"/>
              </w:rPr>
            </w:pPr>
            <w:r>
              <w:rPr>
                <w:rFonts w:ascii="Arial" w:cs="Arial" w:eastAsia="Arial" w:hAnsi="Arial"/>
                <w:sz w:val="11"/>
                <w:szCs w:val="11"/>
                <w:color w:val="auto"/>
              </w:rPr>
              <w:t>Volatility</w:t>
            </w:r>
          </w:p>
        </w:tc>
        <w:tc>
          <w:tcPr>
            <w:tcW w:w="1380" w:type="dxa"/>
            <w:vAlign w:val="bottom"/>
          </w:tcPr>
          <w:p>
            <w:pPr>
              <w:jc w:val="right"/>
              <w:ind w:right="163"/>
              <w:spacing w:after="0"/>
              <w:rPr>
                <w:sz w:val="20"/>
                <w:szCs w:val="20"/>
                <w:color w:val="auto"/>
              </w:rPr>
            </w:pPr>
            <w:r>
              <w:rPr>
                <w:rFonts w:ascii="Arial" w:cs="Arial" w:eastAsia="Arial" w:hAnsi="Arial"/>
                <w:sz w:val="11"/>
                <w:szCs w:val="11"/>
                <w:color w:val="auto"/>
              </w:rPr>
              <w:t>30.0</w:t>
            </w:r>
          </w:p>
        </w:tc>
        <w:tc>
          <w:tcPr>
            <w:tcW w:w="1420" w:type="dxa"/>
            <w:vAlign w:val="bottom"/>
          </w:tcPr>
          <w:p>
            <w:pPr>
              <w:jc w:val="right"/>
              <w:ind w:right="943"/>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243"/>
              <w:spacing w:after="0"/>
              <w:rPr>
                <w:sz w:val="20"/>
                <w:szCs w:val="20"/>
                <w:color w:val="auto"/>
              </w:rPr>
            </w:pPr>
            <w:r>
              <w:rPr>
                <w:rFonts w:ascii="Arial" w:cs="Arial" w:eastAsia="Arial" w:hAnsi="Arial"/>
                <w:sz w:val="11"/>
                <w:szCs w:val="11"/>
                <w:color w:val="auto"/>
              </w:rPr>
              <w:t>25.0</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4600" w:type="dxa"/>
            <w:vAlign w:val="bottom"/>
            <w:shd w:val="clear" w:color="auto" w:fill="43C0B9"/>
          </w:tcPr>
          <w:p>
            <w:pPr>
              <w:ind w:left="520"/>
              <w:spacing w:after="0"/>
              <w:rPr>
                <w:sz w:val="20"/>
                <w:szCs w:val="20"/>
                <w:color w:val="auto"/>
              </w:rPr>
            </w:pPr>
            <w:r>
              <w:rPr>
                <w:rFonts w:ascii="Arial" w:cs="Arial" w:eastAsia="Arial" w:hAnsi="Arial"/>
                <w:sz w:val="11"/>
                <w:szCs w:val="11"/>
                <w:color w:val="auto"/>
              </w:rPr>
              <w:t>Expected life (in years)</w:t>
            </w:r>
          </w:p>
        </w:tc>
        <w:tc>
          <w:tcPr>
            <w:tcW w:w="1380" w:type="dxa"/>
            <w:vAlign w:val="bottom"/>
            <w:shd w:val="clear" w:color="auto" w:fill="43C0B9"/>
          </w:tcPr>
          <w:p>
            <w:pPr>
              <w:spacing w:after="0"/>
              <w:rPr>
                <w:sz w:val="15"/>
                <w:szCs w:val="15"/>
                <w:color w:val="auto"/>
              </w:rPr>
            </w:pPr>
          </w:p>
        </w:tc>
        <w:tc>
          <w:tcPr>
            <w:tcW w:w="1420" w:type="dxa"/>
            <w:vAlign w:val="bottom"/>
            <w:shd w:val="clear" w:color="auto" w:fill="43C0B9"/>
          </w:tcPr>
          <w:p>
            <w:pPr>
              <w:jc w:val="right"/>
              <w:ind w:right="943"/>
              <w:spacing w:after="0"/>
              <w:rPr>
                <w:sz w:val="20"/>
                <w:szCs w:val="20"/>
                <w:color w:val="auto"/>
              </w:rPr>
            </w:pPr>
            <w:r>
              <w:rPr>
                <w:rFonts w:ascii="Arial" w:cs="Arial" w:eastAsia="Arial" w:hAnsi="Arial"/>
                <w:sz w:val="11"/>
                <w:szCs w:val="11"/>
                <w:color w:val="auto"/>
              </w:rPr>
              <w:t>6.3</w:t>
            </w:r>
          </w:p>
        </w:tc>
        <w:tc>
          <w:tcPr>
            <w:tcW w:w="580" w:type="dxa"/>
            <w:vAlign w:val="bottom"/>
            <w:shd w:val="clear" w:color="auto" w:fill="43C0B9"/>
          </w:tcPr>
          <w:p>
            <w:pPr>
              <w:spacing w:after="0"/>
              <w:rPr>
                <w:sz w:val="15"/>
                <w:szCs w:val="15"/>
                <w:color w:val="auto"/>
              </w:rPr>
            </w:pPr>
          </w:p>
        </w:tc>
        <w:tc>
          <w:tcPr>
            <w:tcW w:w="3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7.2</w:t>
            </w:r>
          </w:p>
        </w:tc>
      </w:tr>
      <w:tr>
        <w:trPr>
          <w:trHeight w:val="166"/>
        </w:trPr>
        <w:tc>
          <w:tcPr>
            <w:tcW w:w="460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Dividend rate</w:t>
            </w:r>
          </w:p>
        </w:tc>
        <w:tc>
          <w:tcPr>
            <w:tcW w:w="13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4"/>
                <w:szCs w:val="14"/>
                <w:color w:val="auto"/>
              </w:rPr>
            </w:pPr>
          </w:p>
        </w:tc>
      </w:tr>
    </w:tbl>
    <w:p>
      <w:pPr>
        <w:spacing w:after="0" w:line="224"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3"/>
          <w:szCs w:val="13"/>
          <w:color w:val="auto"/>
        </w:rPr>
        <w:t>The weighted-average grant-date fair value of options granted during the years ended October 31, 2020 and 2019 was $3.61 and $5.35, respectively. The total grant-date fair value of stock options vested during the years ended October 31, 2021 and 2020 was $1.3 million and $5.5 million, respectively. No stock options vested during the year ended October 31, 2019. The total intrinsic value of stock options exercised was $0.2 million in both years ended October 31, 2021 and 2020. No stock options were exercised during the year ended October 31, 2019.</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CEO Award</w:t>
      </w:r>
    </w:p>
    <w:p>
      <w:pPr>
        <w:spacing w:after="0" w:line="202" w:lineRule="exact"/>
        <w:rPr>
          <w:sz w:val="20"/>
          <w:szCs w:val="20"/>
          <w:color w:val="auto"/>
        </w:rPr>
      </w:pPr>
    </w:p>
    <w:p>
      <w:pPr>
        <w:ind w:firstLine="509"/>
        <w:spacing w:after="0" w:line="239" w:lineRule="auto"/>
        <w:rPr>
          <w:sz w:val="20"/>
          <w:szCs w:val="20"/>
          <w:color w:val="auto"/>
        </w:rPr>
      </w:pPr>
      <w:r>
        <w:rPr>
          <w:rFonts w:ascii="Arial" w:cs="Arial" w:eastAsia="Arial" w:hAnsi="Arial"/>
          <w:sz w:val="13"/>
          <w:szCs w:val="13"/>
          <w:color w:val="auto"/>
        </w:rPr>
        <w:t>On July 9, 2019 our Board of Directors approved a stock option grant to the Company’s Chief Executive Officer (“CEO”), Steve Barnard, covering 1,700,000 shares of our common stock (“CEO Award”). The CEO Award had a strike price of $9.41 per share, which the Board of Directors assumed to be the then current fair market value of the Company’s common stock on the grant date. The terms of the grant were such that the vesting of the stock option was contingent upon a successful initial public offering of the Company’s common stock. There were 471,308 shares available under the 2003 Plan as of the date the CEO Award was granted. We accounted for 471,308 shares of the CEO Award that are subject to share settlement as equity-classified awards and 1,228,692 shares as liability-classified awards. The liability-classified portion of the CEO Award represented that portion of the CEO Award that was in excess of the shareholder-approved share limit authorized under the 2003 Plan as of October 31, 2019 and thus were classified as liability awards. In the event the modified Plan was not approved by the shareholders, the liability-classified portion of the CEO Award would have been subject to cash settlement. The Company has not recognized any stock-based compensation expense prior to the modification of the CEO Award discussed below because the vesting of the award was dependent upon the occurrence of an initial public offering. At the date of grant, based on a subsequent valuation performed, the estimated fair market value of the CEO award was determined to be $9.1 million.</w:t>
      </w:r>
    </w:p>
    <w:p>
      <w:pPr>
        <w:spacing w:after="0" w:line="188" w:lineRule="exact"/>
        <w:rPr>
          <w:sz w:val="20"/>
          <w:szCs w:val="20"/>
          <w:color w:val="auto"/>
        </w:rPr>
      </w:pPr>
    </w:p>
    <w:p>
      <w:pPr>
        <w:ind w:right="60" w:firstLine="509"/>
        <w:spacing w:after="0" w:line="258" w:lineRule="auto"/>
        <w:rPr>
          <w:sz w:val="20"/>
          <w:szCs w:val="20"/>
          <w:color w:val="auto"/>
        </w:rPr>
      </w:pPr>
      <w:r>
        <w:rPr>
          <w:rFonts w:ascii="Arial" w:cs="Arial" w:eastAsia="Arial" w:hAnsi="Arial"/>
          <w:sz w:val="12"/>
          <w:szCs w:val="12"/>
          <w:color w:val="auto"/>
        </w:rPr>
        <w:t>On October 29, 2019, our Board of Directors, with the consent of Mr. Barnard, modified the CEO Award to amend the vesting schedule. As a result of this amendment, 850,000 shares subject to the CEO Award were modified to vest at the earlier of (i) the seventh year anniversary of the grant date, (ii) immediately prior to the consummation of a change in control (as defined in the Plan) or,</w:t>
      </w:r>
    </w:p>
    <w:p>
      <w:pPr>
        <w:ind w:right="120" w:firstLine="5"/>
        <w:spacing w:after="0" w:line="239" w:lineRule="auto"/>
        <w:tabs>
          <w:tab w:leader="none" w:pos="205" w:val="left"/>
        </w:tabs>
        <w:numPr>
          <w:ilvl w:val="0"/>
          <w:numId w:val="21"/>
        </w:numPr>
        <w:rPr>
          <w:rFonts w:ascii="Arial" w:cs="Arial" w:eastAsia="Arial" w:hAnsi="Arial"/>
          <w:sz w:val="13"/>
          <w:szCs w:val="13"/>
          <w:color w:val="auto"/>
        </w:rPr>
      </w:pPr>
      <w:r>
        <w:rPr>
          <w:rFonts w:ascii="Arial" w:cs="Arial" w:eastAsia="Arial" w:hAnsi="Arial"/>
          <w:sz w:val="13"/>
          <w:szCs w:val="13"/>
          <w:color w:val="auto"/>
        </w:rPr>
        <w:t>upon the closing of an IPO of our common stock, in each case, subject to Mr. Barnard’s continued service with the Company as of the applicable vesting date. Of these CEO Award shares, we accounted for 235,654 shares as equity-classified awards and 614,346 CEO Award shares (i.e., the allocable portion of those CEO Award shares that were in excess of the shareholder-approved share limit authorized under the original Plan as of October 31, 2019) as liability-classified awards. The remaining 850,000 CEO Award shares were modified to vest in five equal installments on the first five anniversaries of the grant date, subject to Mr. Barnard’s continued service with the Company as of the applicable vesting date. Of these shares, we accounted for 235,654 shares as equity-classified awards and 614,346 shares as liability-classified awards (i.e., the allocable portion of those CEO Award shares that were in excess of the shareholder-approved share limit authorized under the 2003 Plan as of October 31, 2019).</w:t>
      </w:r>
    </w:p>
    <w:p>
      <w:pPr>
        <w:spacing w:after="0" w:line="189" w:lineRule="exact"/>
        <w:rPr>
          <w:sz w:val="20"/>
          <w:szCs w:val="20"/>
          <w:color w:val="auto"/>
        </w:rPr>
      </w:pPr>
    </w:p>
    <w:p>
      <w:pPr>
        <w:ind w:right="20" w:firstLine="509"/>
        <w:spacing w:after="0" w:line="241" w:lineRule="auto"/>
        <w:rPr>
          <w:sz w:val="20"/>
          <w:szCs w:val="20"/>
          <w:color w:val="auto"/>
        </w:rPr>
      </w:pPr>
      <w:r>
        <w:rPr>
          <w:rFonts w:ascii="Arial" w:cs="Arial" w:eastAsia="Arial" w:hAnsi="Arial"/>
          <w:sz w:val="13"/>
          <w:szCs w:val="13"/>
          <w:color w:val="auto"/>
        </w:rPr>
        <w:t>Prior to the October 2019 modification, the Company determined that it was not probable that the CEO awards would vest because of the contingent nature of the CEO Award. Upon modification of the vesting terms, during October 2019, the Company determined that it was probable that the CEO Award would vest. The Company determined the fair value of the CEO Award on the date of modification to be $11.3 million, to be recognized as stock-based compensation expense as service is provided.</w:t>
      </w:r>
    </w:p>
    <w:p>
      <w:pPr>
        <w:spacing w:after="0" w:line="186" w:lineRule="exact"/>
        <w:rPr>
          <w:sz w:val="20"/>
          <w:szCs w:val="20"/>
          <w:color w:val="auto"/>
        </w:rPr>
      </w:pPr>
    </w:p>
    <w:p>
      <w:pPr>
        <w:ind w:right="200" w:firstLine="509"/>
        <w:spacing w:after="0" w:line="271" w:lineRule="auto"/>
        <w:rPr>
          <w:sz w:val="20"/>
          <w:szCs w:val="20"/>
          <w:color w:val="auto"/>
        </w:rPr>
      </w:pPr>
      <w:r>
        <w:rPr>
          <w:rFonts w:ascii="Arial" w:cs="Arial" w:eastAsia="Arial" w:hAnsi="Arial"/>
          <w:sz w:val="12"/>
          <w:szCs w:val="12"/>
          <w:color w:val="auto"/>
        </w:rPr>
        <w:t>During December 2019, management determined the fair value of our common stock with the support of a third-party valuation specialist as of the July 9, 2019 stock option grant date. As a result of this independent valuation, the Company determined the fair value of our common stock on the stock option grant date to be $13.74 per share. As a result, the Board of Directors, with the consent of Mr. Barnard, modified the CEO Awards to increase the strike price to $13.74 per share. As of the modification date, the fair value of liability-classified awards was $5.6 million.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March 19, 2020, shareholders approved an amendment to the 2003 Plan that added an additional 2,550,000 shares available to be issued. Upon the approval of the amendment, the</w:t>
      </w:r>
    </w:p>
    <w:p>
      <w:pPr>
        <w:spacing w:after="0"/>
        <w:rPr>
          <w:sz w:val="20"/>
          <w:szCs w:val="20"/>
          <w:color w:val="auto"/>
        </w:rPr>
      </w:pPr>
      <w:r>
        <w:rPr>
          <w:rFonts w:ascii="Arial" w:cs="Arial" w:eastAsia="Arial" w:hAnsi="Arial"/>
          <w:sz w:val="12"/>
          <w:szCs w:val="12"/>
          <w:color w:val="auto"/>
        </w:rPr>
        <w:t>1,228,692 awards previously accounted for as liability-classified awards were reclassified to shareholders’ equity and accounted for prospectively as equity awards because of the increase in shares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available to be issued under the 2003 Plan. On the date of reclassification, management determined the fair value of our common stock, with the assistance of a third-party valuation specialist, to be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$12.63 per share, resulting in an estimated fair value of $4.6 million for the reclassified awards. As of March 19, 2020, the Company had accrued $0.3 million in accrued expenses related to the liability-</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classified awards, which was reclassified to shareholders’ equity as of March 19, 2020.</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 option activity for the CEO Award during the year ended October 31, 2021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40" w:type="dxa"/>
            <w:vAlign w:val="bottom"/>
            <w:shd w:val="clear" w:color="auto" w:fill="232F84"/>
          </w:tcPr>
          <w:p>
            <w:pPr>
              <w:spacing w:after="0"/>
              <w:rPr>
                <w:sz w:val="12"/>
                <w:szCs w:val="12"/>
                <w:color w:val="auto"/>
              </w:rPr>
            </w:pPr>
          </w:p>
        </w:tc>
        <w:tc>
          <w:tcPr>
            <w:tcW w:w="2200" w:type="dxa"/>
            <w:vAlign w:val="bottom"/>
            <w:shd w:val="clear" w:color="auto" w:fill="232F84"/>
          </w:tcPr>
          <w:p>
            <w:pPr>
              <w:spacing w:after="0"/>
              <w:rPr>
                <w:sz w:val="12"/>
                <w:szCs w:val="12"/>
                <w:color w:val="auto"/>
              </w:rPr>
            </w:pPr>
          </w:p>
        </w:tc>
        <w:tc>
          <w:tcPr>
            <w:tcW w:w="460" w:type="dxa"/>
            <w:vAlign w:val="bottom"/>
            <w:shd w:val="clear" w:color="auto" w:fill="232F84"/>
          </w:tcPr>
          <w:p>
            <w:pPr>
              <w:spacing w:after="0"/>
              <w:rPr>
                <w:sz w:val="12"/>
                <w:szCs w:val="12"/>
                <w:color w:val="auto"/>
              </w:rPr>
            </w:pPr>
          </w:p>
        </w:tc>
        <w:tc>
          <w:tcPr>
            <w:tcW w:w="1740" w:type="dxa"/>
            <w:vAlign w:val="bottom"/>
            <w:shd w:val="clear" w:color="auto" w:fill="232F84"/>
          </w:tcPr>
          <w:p>
            <w:pPr>
              <w:spacing w:after="0"/>
              <w:rPr>
                <w:sz w:val="12"/>
                <w:szCs w:val="12"/>
                <w:color w:val="auto"/>
              </w:rPr>
            </w:pPr>
          </w:p>
        </w:tc>
        <w:tc>
          <w:tcPr>
            <w:tcW w:w="146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Weighted-average</w:t>
            </w:r>
          </w:p>
        </w:tc>
        <w:tc>
          <w:tcPr>
            <w:tcW w:w="560" w:type="dxa"/>
            <w:vAlign w:val="bottom"/>
            <w:shd w:val="clear" w:color="auto" w:fill="232F84"/>
          </w:tcPr>
          <w:p>
            <w:pPr>
              <w:spacing w:after="0"/>
              <w:rPr>
                <w:sz w:val="12"/>
                <w:szCs w:val="12"/>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Aggregate</w:t>
            </w:r>
          </w:p>
        </w:tc>
      </w:tr>
      <w:tr>
        <w:trPr>
          <w:trHeight w:val="127"/>
        </w:trPr>
        <w:tc>
          <w:tcPr>
            <w:tcW w:w="3640" w:type="dxa"/>
            <w:vAlign w:val="bottom"/>
            <w:shd w:val="clear" w:color="auto" w:fill="232F84"/>
          </w:tcPr>
          <w:p>
            <w:pPr>
              <w:spacing w:after="0"/>
              <w:rPr>
                <w:sz w:val="11"/>
                <w:szCs w:val="11"/>
                <w:color w:val="auto"/>
              </w:rPr>
            </w:pPr>
          </w:p>
        </w:tc>
        <w:tc>
          <w:tcPr>
            <w:tcW w:w="22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Number of options</w:t>
            </w:r>
          </w:p>
        </w:tc>
        <w:tc>
          <w:tcPr>
            <w:tcW w:w="460" w:type="dxa"/>
            <w:vAlign w:val="bottom"/>
            <w:shd w:val="clear" w:color="auto" w:fill="232F84"/>
          </w:tcPr>
          <w:p>
            <w:pPr>
              <w:spacing w:after="0"/>
              <w:rPr>
                <w:sz w:val="11"/>
                <w:szCs w:val="11"/>
                <w:color w:val="auto"/>
              </w:rPr>
            </w:pPr>
          </w:p>
        </w:tc>
        <w:tc>
          <w:tcPr>
            <w:tcW w:w="1740" w:type="dxa"/>
            <w:vAlign w:val="bottom"/>
            <w:shd w:val="clear" w:color="auto" w:fill="232F84"/>
          </w:tcPr>
          <w:p>
            <w:pPr>
              <w:jc w:val="right"/>
              <w:ind w:right="363"/>
              <w:spacing w:after="0"/>
              <w:rPr>
                <w:sz w:val="20"/>
                <w:szCs w:val="20"/>
                <w:color w:val="auto"/>
              </w:rPr>
            </w:pPr>
            <w:r>
              <w:rPr>
                <w:rFonts w:ascii="Arial" w:cs="Arial" w:eastAsia="Arial" w:hAnsi="Arial"/>
                <w:sz w:val="11"/>
                <w:szCs w:val="11"/>
                <w:b w:val="1"/>
                <w:bCs w:val="1"/>
                <w:color w:val="FFFFFF"/>
              </w:rPr>
              <w:t>Weighted-average</w:t>
            </w:r>
          </w:p>
        </w:tc>
        <w:tc>
          <w:tcPr>
            <w:tcW w:w="146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remaining life</w:t>
            </w:r>
          </w:p>
        </w:tc>
        <w:tc>
          <w:tcPr>
            <w:tcW w:w="560" w:type="dxa"/>
            <w:vAlign w:val="bottom"/>
            <w:shd w:val="clear" w:color="auto" w:fill="232F84"/>
          </w:tcPr>
          <w:p>
            <w:pPr>
              <w:spacing w:after="0"/>
              <w:rPr>
                <w:sz w:val="11"/>
                <w:szCs w:val="11"/>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intrinsic value</w:t>
            </w:r>
          </w:p>
        </w:tc>
      </w:tr>
      <w:tr>
        <w:trPr>
          <w:trHeight w:val="159"/>
        </w:trPr>
        <w:tc>
          <w:tcPr>
            <w:tcW w:w="3640" w:type="dxa"/>
            <w:vAlign w:val="bottom"/>
            <w:shd w:val="clear" w:color="auto" w:fill="232F84"/>
          </w:tcPr>
          <w:p>
            <w:pPr>
              <w:spacing w:after="0"/>
              <w:rPr>
                <w:sz w:val="13"/>
                <w:szCs w:val="13"/>
                <w:color w:val="auto"/>
              </w:rPr>
            </w:pPr>
          </w:p>
        </w:tc>
        <w:tc>
          <w:tcPr>
            <w:tcW w:w="22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thousands)</w:t>
            </w:r>
          </w:p>
        </w:tc>
        <w:tc>
          <w:tcPr>
            <w:tcW w:w="460" w:type="dxa"/>
            <w:vAlign w:val="bottom"/>
            <w:shd w:val="clear" w:color="auto" w:fill="232F84"/>
          </w:tcPr>
          <w:p>
            <w:pPr>
              <w:spacing w:after="0"/>
              <w:rPr>
                <w:sz w:val="13"/>
                <w:szCs w:val="13"/>
                <w:color w:val="auto"/>
              </w:rPr>
            </w:pPr>
          </w:p>
        </w:tc>
        <w:tc>
          <w:tcPr>
            <w:tcW w:w="1740" w:type="dxa"/>
            <w:vAlign w:val="bottom"/>
            <w:shd w:val="clear" w:color="auto" w:fill="232F84"/>
          </w:tcPr>
          <w:p>
            <w:pPr>
              <w:jc w:val="right"/>
              <w:ind w:right="363"/>
              <w:spacing w:after="0"/>
              <w:rPr>
                <w:sz w:val="20"/>
                <w:szCs w:val="20"/>
                <w:color w:val="auto"/>
              </w:rPr>
            </w:pPr>
            <w:r>
              <w:rPr>
                <w:rFonts w:ascii="Arial" w:cs="Arial" w:eastAsia="Arial" w:hAnsi="Arial"/>
                <w:sz w:val="11"/>
                <w:szCs w:val="11"/>
                <w:b w:val="1"/>
                <w:bCs w:val="1"/>
                <w:color w:val="FFFFFF"/>
              </w:rPr>
              <w:t>exercise price</w:t>
            </w:r>
          </w:p>
        </w:tc>
        <w:tc>
          <w:tcPr>
            <w:tcW w:w="146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(in years)</w:t>
            </w:r>
          </w:p>
        </w:tc>
        <w:tc>
          <w:tcPr>
            <w:tcW w:w="560" w:type="dxa"/>
            <w:vAlign w:val="bottom"/>
            <w:shd w:val="clear" w:color="auto" w:fill="232F84"/>
          </w:tcPr>
          <w:p>
            <w:pPr>
              <w:spacing w:after="0"/>
              <w:rPr>
                <w:sz w:val="13"/>
                <w:szCs w:val="13"/>
                <w:color w:val="auto"/>
              </w:rPr>
            </w:pPr>
          </w:p>
        </w:tc>
        <w:tc>
          <w:tcPr>
            <w:tcW w:w="12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millions)</w:t>
            </w:r>
          </w:p>
        </w:tc>
      </w:tr>
      <w:tr>
        <w:trPr>
          <w:trHeight w:val="170"/>
        </w:trPr>
        <w:tc>
          <w:tcPr>
            <w:tcW w:w="364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2020</w:t>
            </w:r>
          </w:p>
        </w:tc>
        <w:tc>
          <w:tcPr>
            <w:tcW w:w="22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1,700</w:t>
            </w:r>
          </w:p>
        </w:tc>
        <w:tc>
          <w:tcPr>
            <w:tcW w:w="460" w:type="dxa"/>
            <w:vAlign w:val="bottom"/>
            <w:shd w:val="clear" w:color="auto" w:fill="43C0B9"/>
          </w:tcPr>
          <w:p>
            <w:pPr>
              <w:jc w:val="right"/>
              <w:ind w:right="283"/>
              <w:spacing w:after="0"/>
              <w:rPr>
                <w:sz w:val="20"/>
                <w:szCs w:val="20"/>
                <w:color w:val="auto"/>
              </w:rPr>
            </w:pPr>
            <w:r>
              <w:rPr>
                <w:rFonts w:ascii="Arial" w:cs="Arial" w:eastAsia="Arial" w:hAnsi="Arial"/>
                <w:sz w:val="11"/>
                <w:szCs w:val="11"/>
                <w:color w:val="auto"/>
              </w:rPr>
              <w:t>$</w:t>
            </w:r>
          </w:p>
        </w:tc>
        <w:tc>
          <w:tcPr>
            <w:tcW w:w="174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13.74</w:t>
            </w:r>
          </w:p>
        </w:tc>
        <w:tc>
          <w:tcPr>
            <w:tcW w:w="1460" w:type="dxa"/>
            <w:vAlign w:val="bottom"/>
            <w:shd w:val="clear" w:color="auto" w:fill="43C0B9"/>
          </w:tcPr>
          <w:p>
            <w:pPr>
              <w:spacing w:after="0"/>
              <w:rPr>
                <w:sz w:val="14"/>
                <w:szCs w:val="14"/>
                <w:color w:val="auto"/>
              </w:rPr>
            </w:pPr>
          </w:p>
        </w:tc>
        <w:tc>
          <w:tcPr>
            <w:tcW w:w="560" w:type="dxa"/>
            <w:vAlign w:val="bottom"/>
            <w:shd w:val="clear" w:color="auto" w:fill="43C0B9"/>
          </w:tcPr>
          <w:p>
            <w:pPr>
              <w:spacing w:after="0"/>
              <w:rPr>
                <w:sz w:val="14"/>
                <w:szCs w:val="14"/>
                <w:color w:val="auto"/>
              </w:rPr>
            </w:pPr>
          </w:p>
        </w:tc>
        <w:tc>
          <w:tcPr>
            <w:tcW w:w="1220" w:type="dxa"/>
            <w:vAlign w:val="bottom"/>
            <w:shd w:val="clear" w:color="auto" w:fill="43C0B9"/>
          </w:tcPr>
          <w:p>
            <w:pPr>
              <w:spacing w:after="0"/>
              <w:rPr>
                <w:sz w:val="14"/>
                <w:szCs w:val="14"/>
                <w:color w:val="auto"/>
              </w:rPr>
            </w:pPr>
          </w:p>
        </w:tc>
      </w:tr>
      <w:tr>
        <w:trPr>
          <w:trHeight w:val="166"/>
        </w:trPr>
        <w:tc>
          <w:tcPr>
            <w:tcW w:w="3640" w:type="dxa"/>
            <w:vAlign w:val="bottom"/>
          </w:tcPr>
          <w:p>
            <w:pPr>
              <w:ind w:left="360"/>
              <w:spacing w:after="0"/>
              <w:rPr>
                <w:sz w:val="20"/>
                <w:szCs w:val="20"/>
                <w:color w:val="auto"/>
              </w:rPr>
            </w:pPr>
            <w:r>
              <w:rPr>
                <w:rFonts w:ascii="Arial" w:cs="Arial" w:eastAsia="Arial" w:hAnsi="Arial"/>
                <w:sz w:val="11"/>
                <w:szCs w:val="11"/>
                <w:color w:val="auto"/>
              </w:rPr>
              <w:t>Granted</w:t>
            </w:r>
          </w:p>
        </w:tc>
        <w:tc>
          <w:tcPr>
            <w:tcW w:w="22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4"/>
        </w:trPr>
        <w:tc>
          <w:tcPr>
            <w:tcW w:w="36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Exercised</w:t>
            </w:r>
            <w:r>
              <w:rPr>
                <w:rFonts w:ascii="Arial" w:cs="Arial" w:eastAsia="Arial" w:hAnsi="Arial"/>
                <w:sz w:val="14"/>
                <w:szCs w:val="14"/>
                <w:color w:val="auto"/>
                <w:vertAlign w:val="superscript"/>
              </w:rPr>
              <w:t>(1)</w:t>
            </w:r>
          </w:p>
        </w:tc>
        <w:tc>
          <w:tcPr>
            <w:tcW w:w="22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w:t>
            </w:r>
          </w:p>
        </w:tc>
        <w:tc>
          <w:tcPr>
            <w:tcW w:w="460" w:type="dxa"/>
            <w:vAlign w:val="bottom"/>
            <w:shd w:val="clear" w:color="auto" w:fill="43C0B9"/>
          </w:tcPr>
          <w:p>
            <w:pPr>
              <w:spacing w:after="0"/>
              <w:rPr>
                <w:sz w:val="15"/>
                <w:szCs w:val="15"/>
                <w:color w:val="auto"/>
              </w:rPr>
            </w:pPr>
          </w:p>
        </w:tc>
        <w:tc>
          <w:tcPr>
            <w:tcW w:w="174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13.74</w:t>
            </w:r>
          </w:p>
        </w:tc>
        <w:tc>
          <w:tcPr>
            <w:tcW w:w="1460" w:type="dxa"/>
            <w:vAlign w:val="bottom"/>
            <w:shd w:val="clear" w:color="auto" w:fill="43C0B9"/>
          </w:tcPr>
          <w:p>
            <w:pPr>
              <w:spacing w:after="0"/>
              <w:rPr>
                <w:sz w:val="15"/>
                <w:szCs w:val="15"/>
                <w:color w:val="auto"/>
              </w:rPr>
            </w:pPr>
          </w:p>
        </w:tc>
        <w:tc>
          <w:tcPr>
            <w:tcW w:w="560" w:type="dxa"/>
            <w:vAlign w:val="bottom"/>
            <w:shd w:val="clear" w:color="auto" w:fill="43C0B9"/>
          </w:tcPr>
          <w:p>
            <w:pPr>
              <w:spacing w:after="0"/>
              <w:rPr>
                <w:sz w:val="15"/>
                <w:szCs w:val="15"/>
                <w:color w:val="auto"/>
              </w:rPr>
            </w:pPr>
          </w:p>
        </w:tc>
        <w:tc>
          <w:tcPr>
            <w:tcW w:w="1220" w:type="dxa"/>
            <w:vAlign w:val="bottom"/>
            <w:shd w:val="clear" w:color="auto" w:fill="43C0B9"/>
          </w:tcPr>
          <w:p>
            <w:pPr>
              <w:spacing w:after="0"/>
              <w:rPr>
                <w:sz w:val="15"/>
                <w:szCs w:val="15"/>
                <w:color w:val="auto"/>
              </w:rPr>
            </w:pPr>
          </w:p>
        </w:tc>
      </w:tr>
      <w:tr>
        <w:trPr>
          <w:trHeight w:val="166"/>
        </w:trPr>
        <w:tc>
          <w:tcPr>
            <w:tcW w:w="36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Forfeited</w:t>
            </w:r>
          </w:p>
        </w:tc>
        <w:tc>
          <w:tcPr>
            <w:tcW w:w="22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5"/>
        </w:trPr>
        <w:tc>
          <w:tcPr>
            <w:tcW w:w="364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2021</w:t>
            </w:r>
          </w:p>
        </w:tc>
        <w:tc>
          <w:tcPr>
            <w:tcW w:w="22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1,700</w:t>
            </w:r>
          </w:p>
        </w:tc>
        <w:tc>
          <w:tcPr>
            <w:tcW w:w="460" w:type="dxa"/>
            <w:vAlign w:val="bottom"/>
            <w:shd w:val="clear" w:color="auto" w:fill="43C0B9"/>
          </w:tcPr>
          <w:p>
            <w:pPr>
              <w:jc w:val="right"/>
              <w:ind w:right="283"/>
              <w:spacing w:after="0"/>
              <w:rPr>
                <w:sz w:val="20"/>
                <w:szCs w:val="20"/>
                <w:color w:val="auto"/>
              </w:rPr>
            </w:pPr>
            <w:r>
              <w:rPr>
                <w:rFonts w:ascii="Arial" w:cs="Arial" w:eastAsia="Arial" w:hAnsi="Arial"/>
                <w:sz w:val="11"/>
                <w:szCs w:val="11"/>
                <w:color w:val="auto"/>
              </w:rPr>
              <w:t>$</w:t>
            </w:r>
          </w:p>
        </w:tc>
        <w:tc>
          <w:tcPr>
            <w:tcW w:w="174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13.74</w:t>
            </w:r>
          </w:p>
        </w:tc>
        <w:tc>
          <w:tcPr>
            <w:tcW w:w="146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7.7</w:t>
            </w:r>
          </w:p>
        </w:tc>
        <w:tc>
          <w:tcPr>
            <w:tcW w:w="560" w:type="dxa"/>
            <w:vAlign w:val="bottom"/>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12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8.9</w:t>
            </w:r>
          </w:p>
        </w:tc>
      </w:tr>
      <w:tr>
        <w:trPr>
          <w:trHeight w:val="166"/>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Vested and expected to vest at October 31, 2021</w:t>
            </w:r>
          </w:p>
        </w:tc>
        <w:tc>
          <w:tcPr>
            <w:tcW w:w="22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1,700</w:t>
            </w:r>
          </w:p>
        </w:tc>
        <w:tc>
          <w:tcPr>
            <w:tcW w:w="46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174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13.74</w:t>
            </w: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w:t>
            </w:r>
          </w:p>
        </w:tc>
        <w:tc>
          <w:tcPr>
            <w:tcW w:w="5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r>
      <w:tr>
        <w:trPr>
          <w:trHeight w:val="160"/>
        </w:trPr>
        <w:tc>
          <w:tcPr>
            <w:tcW w:w="36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Exercisable at October 31, 2021</w:t>
            </w:r>
          </w:p>
        </w:tc>
        <w:tc>
          <w:tcPr>
            <w:tcW w:w="22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1,190</w:t>
            </w:r>
          </w:p>
        </w:tc>
        <w:tc>
          <w:tcPr>
            <w:tcW w:w="460" w:type="dxa"/>
            <w:vAlign w:val="bottom"/>
            <w:tcBorders>
              <w:bottom w:val="single" w:sz="8" w:color="auto"/>
            </w:tcBorders>
            <w:shd w:val="clear" w:color="auto" w:fill="43C0B9"/>
          </w:tcPr>
          <w:p>
            <w:pPr>
              <w:jc w:val="right"/>
              <w:ind w:right="283"/>
              <w:spacing w:after="0"/>
              <w:rPr>
                <w:sz w:val="20"/>
                <w:szCs w:val="20"/>
                <w:color w:val="auto"/>
              </w:rPr>
            </w:pPr>
            <w:r>
              <w:rPr>
                <w:rFonts w:ascii="Arial" w:cs="Arial" w:eastAsia="Arial" w:hAnsi="Arial"/>
                <w:sz w:val="11"/>
                <w:szCs w:val="11"/>
                <w:color w:val="auto"/>
              </w:rPr>
              <w:t>$</w:t>
            </w:r>
          </w:p>
        </w:tc>
        <w:tc>
          <w:tcPr>
            <w:tcW w:w="1740" w:type="dxa"/>
            <w:vAlign w:val="bottom"/>
            <w:tcBorders>
              <w:bottom w:val="single" w:sz="8" w:color="auto"/>
            </w:tcBorders>
            <w:shd w:val="clear" w:color="auto" w:fill="43C0B9"/>
          </w:tcPr>
          <w:p>
            <w:pPr>
              <w:jc w:val="right"/>
              <w:ind w:right="403"/>
              <w:spacing w:after="0"/>
              <w:rPr>
                <w:sz w:val="20"/>
                <w:szCs w:val="20"/>
                <w:color w:val="auto"/>
              </w:rPr>
            </w:pPr>
            <w:r>
              <w:rPr>
                <w:rFonts w:ascii="Arial" w:cs="Arial" w:eastAsia="Arial" w:hAnsi="Arial"/>
                <w:sz w:val="11"/>
                <w:szCs w:val="11"/>
                <w:color w:val="auto"/>
              </w:rPr>
              <w:t>13.74</w:t>
            </w:r>
          </w:p>
        </w:tc>
        <w:tc>
          <w:tcPr>
            <w:tcW w:w="146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7.7</w:t>
            </w:r>
          </w:p>
        </w:tc>
        <w:tc>
          <w:tcPr>
            <w:tcW w:w="560" w:type="dxa"/>
            <w:vAlign w:val="bottom"/>
            <w:tcBorders>
              <w:bottom w:val="single" w:sz="8" w:color="auto"/>
            </w:tcBorders>
            <w:shd w:val="clear" w:color="auto" w:fill="43C0B9"/>
          </w:tcPr>
          <w:p>
            <w:pPr>
              <w:jc w:val="right"/>
              <w:ind w:right="40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6.2</w:t>
            </w:r>
          </w:p>
        </w:tc>
      </w:tr>
    </w:tbl>
    <w:p>
      <w:pPr>
        <w:spacing w:after="0" w:line="69" w:lineRule="exact"/>
        <w:rPr>
          <w:sz w:val="20"/>
          <w:szCs w:val="20"/>
          <w:color w:val="auto"/>
        </w:rPr>
      </w:pPr>
    </w:p>
    <w:p>
      <w:pPr>
        <w:ind w:left="140" w:hanging="135"/>
        <w:spacing w:after="0"/>
        <w:tabs>
          <w:tab w:leader="none" w:pos="140" w:val="left"/>
        </w:tabs>
        <w:numPr>
          <w:ilvl w:val="0"/>
          <w:numId w:val="22"/>
        </w:numPr>
        <w:rPr>
          <w:rFonts w:ascii="Arial" w:cs="Arial" w:eastAsia="Arial" w:hAnsi="Arial"/>
          <w:sz w:val="13"/>
          <w:szCs w:val="13"/>
          <w:color w:val="auto"/>
          <w:vertAlign w:val="superscript"/>
        </w:rPr>
      </w:pPr>
      <w:r>
        <w:rPr>
          <w:rFonts w:ascii="Arial" w:cs="Arial" w:eastAsia="Arial" w:hAnsi="Arial"/>
          <w:sz w:val="10"/>
          <w:szCs w:val="10"/>
          <w:color w:val="auto"/>
        </w:rPr>
        <w:t>Less than 500 shares were exercised during the year ended October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80" w:type="dxa"/>
            <w:vAlign w:val="bottom"/>
            <w:shd w:val="clear" w:color="auto" w:fill="232F84"/>
          </w:tcPr>
          <w:p>
            <w:pPr>
              <w:spacing w:after="0"/>
              <w:rPr>
                <w:sz w:val="12"/>
                <w:szCs w:val="12"/>
                <w:color w:val="auto"/>
              </w:rPr>
            </w:pPr>
          </w:p>
        </w:tc>
        <w:tc>
          <w:tcPr>
            <w:tcW w:w="2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Number of options</w:t>
            </w:r>
          </w:p>
        </w:tc>
        <w:tc>
          <w:tcPr>
            <w:tcW w:w="180" w:type="dxa"/>
            <w:vAlign w:val="bottom"/>
            <w:shd w:val="clear" w:color="auto" w:fill="232F84"/>
          </w:tcPr>
          <w:p>
            <w:pPr>
              <w:spacing w:after="0"/>
              <w:rPr>
                <w:sz w:val="12"/>
                <w:szCs w:val="12"/>
                <w:color w:val="auto"/>
              </w:rPr>
            </w:pPr>
          </w:p>
        </w:tc>
        <w:tc>
          <w:tcPr>
            <w:tcW w:w="1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Weighted average grant-date fair</w:t>
            </w:r>
          </w:p>
        </w:tc>
      </w:tr>
      <w:tr>
        <w:trPr>
          <w:trHeight w:val="159"/>
        </w:trPr>
        <w:tc>
          <w:tcPr>
            <w:tcW w:w="3380" w:type="dxa"/>
            <w:vAlign w:val="bottom"/>
            <w:shd w:val="clear" w:color="auto" w:fill="232F84"/>
          </w:tcPr>
          <w:p>
            <w:pPr>
              <w:spacing w:after="0"/>
              <w:rPr>
                <w:sz w:val="13"/>
                <w:szCs w:val="13"/>
                <w:color w:val="auto"/>
              </w:rPr>
            </w:pPr>
          </w:p>
        </w:tc>
        <w:tc>
          <w:tcPr>
            <w:tcW w:w="2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thousands)</w:t>
            </w:r>
          </w:p>
        </w:tc>
        <w:tc>
          <w:tcPr>
            <w:tcW w:w="180" w:type="dxa"/>
            <w:vAlign w:val="bottom"/>
            <w:shd w:val="clear" w:color="auto" w:fill="232F84"/>
          </w:tcPr>
          <w:p>
            <w:pPr>
              <w:spacing w:after="0"/>
              <w:rPr>
                <w:sz w:val="13"/>
                <w:szCs w:val="13"/>
                <w:color w:val="auto"/>
              </w:rPr>
            </w:pPr>
          </w:p>
        </w:tc>
        <w:tc>
          <w:tcPr>
            <w:tcW w:w="1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value</w:t>
            </w:r>
          </w:p>
        </w:tc>
      </w:tr>
      <w:tr>
        <w:trPr>
          <w:trHeight w:val="170"/>
        </w:trPr>
        <w:tc>
          <w:tcPr>
            <w:tcW w:w="3380" w:type="dxa"/>
            <w:vAlign w:val="bottom"/>
            <w:shd w:val="clear" w:color="auto" w:fill="43C0B9"/>
          </w:tcPr>
          <w:p>
            <w:pPr>
              <w:ind w:left="20"/>
              <w:spacing w:after="0"/>
              <w:rPr>
                <w:sz w:val="20"/>
                <w:szCs w:val="20"/>
                <w:color w:val="auto"/>
              </w:rPr>
            </w:pPr>
            <w:r>
              <w:rPr>
                <w:rFonts w:ascii="Arial" w:cs="Arial" w:eastAsia="Arial" w:hAnsi="Arial"/>
                <w:sz w:val="11"/>
                <w:szCs w:val="11"/>
                <w:color w:val="auto"/>
              </w:rPr>
              <w:t>Unvested at October 31, 2020</w:t>
            </w:r>
          </w:p>
        </w:tc>
        <w:tc>
          <w:tcPr>
            <w:tcW w:w="2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680</w:t>
            </w:r>
          </w:p>
        </w:tc>
        <w:tc>
          <w:tcPr>
            <w:tcW w:w="1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1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5.35</w:t>
            </w:r>
          </w:p>
        </w:tc>
      </w:tr>
      <w:tr>
        <w:trPr>
          <w:trHeight w:val="166"/>
        </w:trPr>
        <w:tc>
          <w:tcPr>
            <w:tcW w:w="3380" w:type="dxa"/>
            <w:vAlign w:val="bottom"/>
          </w:tcPr>
          <w:p>
            <w:pPr>
              <w:ind w:left="20"/>
              <w:spacing w:after="0"/>
              <w:rPr>
                <w:sz w:val="20"/>
                <w:szCs w:val="20"/>
                <w:color w:val="auto"/>
              </w:rPr>
            </w:pPr>
            <w:r>
              <w:rPr>
                <w:rFonts w:ascii="Arial" w:cs="Arial" w:eastAsia="Arial" w:hAnsi="Arial"/>
                <w:sz w:val="11"/>
                <w:szCs w:val="11"/>
                <w:color w:val="auto"/>
              </w:rPr>
              <w:t>Granted</w:t>
            </w:r>
          </w:p>
        </w:tc>
        <w:tc>
          <w:tcPr>
            <w:tcW w:w="29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182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4"/>
        </w:trPr>
        <w:tc>
          <w:tcPr>
            <w:tcW w:w="3380" w:type="dxa"/>
            <w:vAlign w:val="bottom"/>
            <w:shd w:val="clear" w:color="auto" w:fill="43C0B9"/>
          </w:tcPr>
          <w:p>
            <w:pPr>
              <w:ind w:left="20"/>
              <w:spacing w:after="0"/>
              <w:rPr>
                <w:sz w:val="20"/>
                <w:szCs w:val="20"/>
                <w:color w:val="auto"/>
              </w:rPr>
            </w:pPr>
            <w:r>
              <w:rPr>
                <w:rFonts w:ascii="Arial" w:cs="Arial" w:eastAsia="Arial" w:hAnsi="Arial"/>
                <w:sz w:val="11"/>
                <w:szCs w:val="11"/>
                <w:color w:val="auto"/>
              </w:rPr>
              <w:t>Vested</w:t>
            </w:r>
          </w:p>
        </w:tc>
        <w:tc>
          <w:tcPr>
            <w:tcW w:w="29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(170)</w:t>
            </w:r>
          </w:p>
        </w:tc>
        <w:tc>
          <w:tcPr>
            <w:tcW w:w="180" w:type="dxa"/>
            <w:vAlign w:val="bottom"/>
            <w:shd w:val="clear" w:color="auto" w:fill="43C0B9"/>
          </w:tcPr>
          <w:p>
            <w:pPr>
              <w:spacing w:after="0"/>
              <w:rPr>
                <w:sz w:val="15"/>
                <w:szCs w:val="15"/>
                <w:color w:val="auto"/>
              </w:rPr>
            </w:pPr>
          </w:p>
        </w:tc>
        <w:tc>
          <w:tcPr>
            <w:tcW w:w="1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5.35</w:t>
            </w:r>
          </w:p>
        </w:tc>
      </w:tr>
      <w:tr>
        <w:trPr>
          <w:trHeight w:val="166"/>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2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33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Unvested at October 31, 2021</w:t>
            </w:r>
          </w:p>
        </w:tc>
        <w:tc>
          <w:tcPr>
            <w:tcW w:w="2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510</w:t>
            </w:r>
          </w:p>
        </w:tc>
        <w:tc>
          <w:tcPr>
            <w:tcW w:w="1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5.35</w:t>
            </w: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Employees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Stock options granted to employees generally vest ratably over four years. Stock option activity for other employees during the year ended October 31, 2021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40" w:type="dxa"/>
            <w:vAlign w:val="bottom"/>
            <w:shd w:val="clear" w:color="auto" w:fill="232F84"/>
          </w:tcPr>
          <w:p>
            <w:pPr>
              <w:spacing w:after="0"/>
              <w:rPr>
                <w:sz w:val="12"/>
                <w:szCs w:val="12"/>
                <w:color w:val="auto"/>
              </w:rPr>
            </w:pPr>
          </w:p>
        </w:tc>
        <w:tc>
          <w:tcPr>
            <w:tcW w:w="2300" w:type="dxa"/>
            <w:vAlign w:val="bottom"/>
            <w:shd w:val="clear" w:color="auto" w:fill="232F84"/>
          </w:tcPr>
          <w:p>
            <w:pPr>
              <w:spacing w:after="0"/>
              <w:rPr>
                <w:sz w:val="12"/>
                <w:szCs w:val="12"/>
                <w:color w:val="auto"/>
              </w:rPr>
            </w:pPr>
          </w:p>
        </w:tc>
        <w:tc>
          <w:tcPr>
            <w:tcW w:w="420" w:type="dxa"/>
            <w:vAlign w:val="bottom"/>
            <w:shd w:val="clear" w:color="auto" w:fill="232F84"/>
          </w:tcPr>
          <w:p>
            <w:pPr>
              <w:spacing w:after="0"/>
              <w:rPr>
                <w:sz w:val="12"/>
                <w:szCs w:val="12"/>
                <w:color w:val="auto"/>
              </w:rPr>
            </w:pPr>
          </w:p>
        </w:tc>
        <w:tc>
          <w:tcPr>
            <w:tcW w:w="1680" w:type="dxa"/>
            <w:vAlign w:val="bottom"/>
            <w:shd w:val="clear" w:color="auto" w:fill="232F84"/>
          </w:tcPr>
          <w:p>
            <w:pPr>
              <w:spacing w:after="0"/>
              <w:rPr>
                <w:sz w:val="12"/>
                <w:szCs w:val="12"/>
                <w:color w:val="auto"/>
              </w:rPr>
            </w:pPr>
          </w:p>
        </w:tc>
        <w:tc>
          <w:tcPr>
            <w:tcW w:w="14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Weighted-average</w:t>
            </w:r>
          </w:p>
        </w:tc>
        <w:tc>
          <w:tcPr>
            <w:tcW w:w="540" w:type="dxa"/>
            <w:vAlign w:val="bottom"/>
            <w:shd w:val="clear" w:color="auto" w:fill="232F84"/>
          </w:tcPr>
          <w:p>
            <w:pPr>
              <w:spacing w:after="0"/>
              <w:rPr>
                <w:sz w:val="12"/>
                <w:szCs w:val="12"/>
                <w:color w:val="auto"/>
              </w:rPr>
            </w:pPr>
          </w:p>
        </w:tc>
        <w:tc>
          <w:tcPr>
            <w:tcW w:w="11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Aggregate</w:t>
            </w:r>
          </w:p>
        </w:tc>
      </w:tr>
      <w:tr>
        <w:trPr>
          <w:trHeight w:val="127"/>
        </w:trPr>
        <w:tc>
          <w:tcPr>
            <w:tcW w:w="3740" w:type="dxa"/>
            <w:vAlign w:val="bottom"/>
            <w:shd w:val="clear" w:color="auto" w:fill="232F84"/>
          </w:tcPr>
          <w:p>
            <w:pPr>
              <w:spacing w:after="0"/>
              <w:rPr>
                <w:sz w:val="11"/>
                <w:szCs w:val="11"/>
                <w:color w:val="auto"/>
              </w:rPr>
            </w:pPr>
          </w:p>
        </w:tc>
        <w:tc>
          <w:tcPr>
            <w:tcW w:w="23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Number of options</w:t>
            </w:r>
          </w:p>
        </w:tc>
        <w:tc>
          <w:tcPr>
            <w:tcW w:w="420" w:type="dxa"/>
            <w:vAlign w:val="bottom"/>
            <w:shd w:val="clear" w:color="auto" w:fill="232F84"/>
          </w:tcPr>
          <w:p>
            <w:pPr>
              <w:spacing w:after="0"/>
              <w:rPr>
                <w:sz w:val="11"/>
                <w:szCs w:val="11"/>
                <w:color w:val="auto"/>
              </w:rPr>
            </w:pPr>
          </w:p>
        </w:tc>
        <w:tc>
          <w:tcPr>
            <w:tcW w:w="1680" w:type="dxa"/>
            <w:vAlign w:val="bottom"/>
            <w:shd w:val="clear" w:color="auto" w:fill="232F84"/>
          </w:tcPr>
          <w:p>
            <w:pPr>
              <w:jc w:val="right"/>
              <w:ind w:right="343"/>
              <w:spacing w:after="0"/>
              <w:rPr>
                <w:sz w:val="20"/>
                <w:szCs w:val="20"/>
                <w:color w:val="auto"/>
              </w:rPr>
            </w:pPr>
            <w:r>
              <w:rPr>
                <w:rFonts w:ascii="Arial" w:cs="Arial" w:eastAsia="Arial" w:hAnsi="Arial"/>
                <w:sz w:val="11"/>
                <w:szCs w:val="11"/>
                <w:b w:val="1"/>
                <w:bCs w:val="1"/>
                <w:color w:val="FFFFFF"/>
              </w:rPr>
              <w:t>Weighted-average</w:t>
            </w:r>
          </w:p>
        </w:tc>
        <w:tc>
          <w:tcPr>
            <w:tcW w:w="14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remaining life</w:t>
            </w:r>
          </w:p>
        </w:tc>
        <w:tc>
          <w:tcPr>
            <w:tcW w:w="540" w:type="dxa"/>
            <w:vAlign w:val="bottom"/>
            <w:shd w:val="clear" w:color="auto" w:fill="232F84"/>
          </w:tcPr>
          <w:p>
            <w:pPr>
              <w:spacing w:after="0"/>
              <w:rPr>
                <w:sz w:val="11"/>
                <w:szCs w:val="11"/>
                <w:color w:val="auto"/>
              </w:rPr>
            </w:pPr>
          </w:p>
        </w:tc>
        <w:tc>
          <w:tcPr>
            <w:tcW w:w="11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intrinsic value</w:t>
            </w:r>
          </w:p>
        </w:tc>
      </w:tr>
      <w:tr>
        <w:trPr>
          <w:trHeight w:val="159"/>
        </w:trPr>
        <w:tc>
          <w:tcPr>
            <w:tcW w:w="3740" w:type="dxa"/>
            <w:vAlign w:val="bottom"/>
            <w:shd w:val="clear" w:color="auto" w:fill="232F84"/>
          </w:tcPr>
          <w:p>
            <w:pPr>
              <w:spacing w:after="0"/>
              <w:rPr>
                <w:sz w:val="13"/>
                <w:szCs w:val="13"/>
                <w:color w:val="auto"/>
              </w:rPr>
            </w:pPr>
          </w:p>
        </w:tc>
        <w:tc>
          <w:tcPr>
            <w:tcW w:w="23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thousands)</w:t>
            </w:r>
          </w:p>
        </w:tc>
        <w:tc>
          <w:tcPr>
            <w:tcW w:w="420" w:type="dxa"/>
            <w:vAlign w:val="bottom"/>
            <w:shd w:val="clear" w:color="auto" w:fill="232F84"/>
          </w:tcPr>
          <w:p>
            <w:pPr>
              <w:spacing w:after="0"/>
              <w:rPr>
                <w:sz w:val="13"/>
                <w:szCs w:val="13"/>
                <w:color w:val="auto"/>
              </w:rPr>
            </w:pPr>
          </w:p>
        </w:tc>
        <w:tc>
          <w:tcPr>
            <w:tcW w:w="1680" w:type="dxa"/>
            <w:vAlign w:val="bottom"/>
            <w:shd w:val="clear" w:color="auto" w:fill="232F84"/>
          </w:tcPr>
          <w:p>
            <w:pPr>
              <w:jc w:val="right"/>
              <w:ind w:right="343"/>
              <w:spacing w:after="0"/>
              <w:rPr>
                <w:sz w:val="20"/>
                <w:szCs w:val="20"/>
                <w:color w:val="auto"/>
              </w:rPr>
            </w:pPr>
            <w:r>
              <w:rPr>
                <w:rFonts w:ascii="Arial" w:cs="Arial" w:eastAsia="Arial" w:hAnsi="Arial"/>
                <w:sz w:val="11"/>
                <w:szCs w:val="11"/>
                <w:b w:val="1"/>
                <w:bCs w:val="1"/>
                <w:color w:val="FFFFFF"/>
              </w:rPr>
              <w:t>exercise price</w:t>
            </w:r>
          </w:p>
        </w:tc>
        <w:tc>
          <w:tcPr>
            <w:tcW w:w="14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years)</w:t>
            </w:r>
          </w:p>
        </w:tc>
        <w:tc>
          <w:tcPr>
            <w:tcW w:w="540" w:type="dxa"/>
            <w:vAlign w:val="bottom"/>
            <w:shd w:val="clear" w:color="auto" w:fill="232F84"/>
          </w:tcPr>
          <w:p>
            <w:pPr>
              <w:spacing w:after="0"/>
              <w:rPr>
                <w:sz w:val="13"/>
                <w:szCs w:val="13"/>
                <w:color w:val="auto"/>
              </w:rPr>
            </w:pPr>
          </w:p>
        </w:tc>
        <w:tc>
          <w:tcPr>
            <w:tcW w:w="11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millions)</w:t>
            </w:r>
          </w:p>
        </w:tc>
      </w:tr>
      <w:tr>
        <w:trPr>
          <w:trHeight w:val="170"/>
        </w:trPr>
        <w:tc>
          <w:tcPr>
            <w:tcW w:w="374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2020</w:t>
            </w:r>
          </w:p>
        </w:tc>
        <w:tc>
          <w:tcPr>
            <w:tcW w:w="23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698</w:t>
            </w:r>
          </w:p>
        </w:tc>
        <w:tc>
          <w:tcPr>
            <w:tcW w:w="420" w:type="dxa"/>
            <w:vAlign w:val="bottom"/>
            <w:shd w:val="clear" w:color="auto" w:fill="43C0B9"/>
          </w:tcPr>
          <w:p>
            <w:pPr>
              <w:jc w:val="right"/>
              <w:ind w:right="243"/>
              <w:spacing w:after="0"/>
              <w:rPr>
                <w:sz w:val="20"/>
                <w:szCs w:val="20"/>
                <w:color w:val="auto"/>
              </w:rPr>
            </w:pPr>
            <w:r>
              <w:rPr>
                <w:rFonts w:ascii="Arial" w:cs="Arial" w:eastAsia="Arial" w:hAnsi="Arial"/>
                <w:sz w:val="11"/>
                <w:szCs w:val="11"/>
                <w:color w:val="auto"/>
              </w:rPr>
              <w:t>$</w:t>
            </w:r>
          </w:p>
        </w:tc>
        <w:tc>
          <w:tcPr>
            <w:tcW w:w="1680" w:type="dxa"/>
            <w:vAlign w:val="bottom"/>
            <w:shd w:val="clear" w:color="auto" w:fill="43C0B9"/>
          </w:tcPr>
          <w:p>
            <w:pPr>
              <w:jc w:val="right"/>
              <w:ind w:right="383"/>
              <w:spacing w:after="0"/>
              <w:rPr>
                <w:sz w:val="20"/>
                <w:szCs w:val="20"/>
                <w:color w:val="auto"/>
              </w:rPr>
            </w:pPr>
            <w:r>
              <w:rPr>
                <w:rFonts w:ascii="Arial" w:cs="Arial" w:eastAsia="Arial" w:hAnsi="Arial"/>
                <w:sz w:val="11"/>
                <w:szCs w:val="11"/>
                <w:color w:val="auto"/>
              </w:rPr>
              <w:t>11.62</w:t>
            </w:r>
          </w:p>
        </w:tc>
        <w:tc>
          <w:tcPr>
            <w:tcW w:w="1420" w:type="dxa"/>
            <w:vAlign w:val="bottom"/>
            <w:shd w:val="clear" w:color="auto" w:fill="43C0B9"/>
          </w:tcPr>
          <w:p>
            <w:pPr>
              <w:spacing w:after="0"/>
              <w:rPr>
                <w:sz w:val="14"/>
                <w:szCs w:val="14"/>
                <w:color w:val="auto"/>
              </w:rPr>
            </w:pPr>
          </w:p>
        </w:tc>
        <w:tc>
          <w:tcPr>
            <w:tcW w:w="540" w:type="dxa"/>
            <w:vAlign w:val="bottom"/>
            <w:shd w:val="clear" w:color="auto" w:fill="43C0B9"/>
          </w:tcPr>
          <w:p>
            <w:pPr>
              <w:spacing w:after="0"/>
              <w:rPr>
                <w:sz w:val="14"/>
                <w:szCs w:val="14"/>
                <w:color w:val="auto"/>
              </w:rPr>
            </w:pPr>
          </w:p>
        </w:tc>
        <w:tc>
          <w:tcPr>
            <w:tcW w:w="1180" w:type="dxa"/>
            <w:vAlign w:val="bottom"/>
            <w:shd w:val="clear" w:color="auto" w:fill="43C0B9"/>
          </w:tcPr>
          <w:p>
            <w:pPr>
              <w:spacing w:after="0"/>
              <w:rPr>
                <w:sz w:val="14"/>
                <w:szCs w:val="14"/>
                <w:color w:val="auto"/>
              </w:rPr>
            </w:pPr>
          </w:p>
        </w:tc>
      </w:tr>
      <w:tr>
        <w:trPr>
          <w:trHeight w:val="166"/>
        </w:trPr>
        <w:tc>
          <w:tcPr>
            <w:tcW w:w="3740" w:type="dxa"/>
            <w:vAlign w:val="bottom"/>
          </w:tcPr>
          <w:p>
            <w:pPr>
              <w:ind w:left="360"/>
              <w:spacing w:after="0"/>
              <w:rPr>
                <w:sz w:val="20"/>
                <w:szCs w:val="20"/>
                <w:color w:val="auto"/>
              </w:rPr>
            </w:pPr>
            <w:r>
              <w:rPr>
                <w:rFonts w:ascii="Arial" w:cs="Arial" w:eastAsia="Arial" w:hAnsi="Arial"/>
                <w:sz w:val="11"/>
                <w:szCs w:val="11"/>
                <w:color w:val="auto"/>
              </w:rPr>
              <w:t>Granted</w:t>
            </w:r>
          </w:p>
        </w:tc>
        <w:tc>
          <w:tcPr>
            <w:tcW w:w="23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4"/>
                <w:szCs w:val="14"/>
                <w:color w:val="auto"/>
              </w:rPr>
            </w:pPr>
          </w:p>
        </w:tc>
        <w:tc>
          <w:tcPr>
            <w:tcW w:w="168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4"/>
        </w:trPr>
        <w:tc>
          <w:tcPr>
            <w:tcW w:w="3740" w:type="dxa"/>
            <w:vAlign w:val="bottom"/>
            <w:shd w:val="clear" w:color="auto" w:fill="43C0B9"/>
          </w:tcPr>
          <w:p>
            <w:pPr>
              <w:ind w:left="360"/>
              <w:spacing w:after="0"/>
              <w:rPr>
                <w:sz w:val="20"/>
                <w:szCs w:val="20"/>
                <w:color w:val="auto"/>
              </w:rPr>
            </w:pPr>
            <w:r>
              <w:rPr>
                <w:rFonts w:ascii="Arial" w:cs="Arial" w:eastAsia="Arial" w:hAnsi="Arial"/>
                <w:sz w:val="11"/>
                <w:szCs w:val="11"/>
                <w:color w:val="auto"/>
              </w:rPr>
              <w:t>Exercised</w:t>
            </w:r>
          </w:p>
        </w:tc>
        <w:tc>
          <w:tcPr>
            <w:tcW w:w="23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(22)</w:t>
            </w:r>
          </w:p>
        </w:tc>
        <w:tc>
          <w:tcPr>
            <w:tcW w:w="420" w:type="dxa"/>
            <w:vAlign w:val="bottom"/>
            <w:shd w:val="clear" w:color="auto" w:fill="43C0B9"/>
          </w:tcPr>
          <w:p>
            <w:pPr>
              <w:spacing w:after="0"/>
              <w:rPr>
                <w:sz w:val="15"/>
                <w:szCs w:val="15"/>
                <w:color w:val="auto"/>
              </w:rPr>
            </w:pPr>
          </w:p>
        </w:tc>
        <w:tc>
          <w:tcPr>
            <w:tcW w:w="1680" w:type="dxa"/>
            <w:vAlign w:val="bottom"/>
            <w:shd w:val="clear" w:color="auto" w:fill="43C0B9"/>
          </w:tcPr>
          <w:p>
            <w:pPr>
              <w:jc w:val="right"/>
              <w:ind w:right="383"/>
              <w:spacing w:after="0"/>
              <w:rPr>
                <w:sz w:val="20"/>
                <w:szCs w:val="20"/>
                <w:color w:val="auto"/>
              </w:rPr>
            </w:pPr>
            <w:r>
              <w:rPr>
                <w:rFonts w:ascii="Arial" w:cs="Arial" w:eastAsia="Arial" w:hAnsi="Arial"/>
                <w:sz w:val="11"/>
                <w:szCs w:val="11"/>
                <w:color w:val="auto"/>
              </w:rPr>
              <w:t>10.19</w:t>
            </w:r>
          </w:p>
        </w:tc>
        <w:tc>
          <w:tcPr>
            <w:tcW w:w="1420" w:type="dxa"/>
            <w:vAlign w:val="bottom"/>
            <w:shd w:val="clear" w:color="auto" w:fill="43C0B9"/>
          </w:tcPr>
          <w:p>
            <w:pPr>
              <w:spacing w:after="0"/>
              <w:rPr>
                <w:sz w:val="15"/>
                <w:szCs w:val="15"/>
                <w:color w:val="auto"/>
              </w:rPr>
            </w:pPr>
          </w:p>
        </w:tc>
        <w:tc>
          <w:tcPr>
            <w:tcW w:w="540" w:type="dxa"/>
            <w:vAlign w:val="bottom"/>
            <w:shd w:val="clear" w:color="auto" w:fill="43C0B9"/>
          </w:tcPr>
          <w:p>
            <w:pPr>
              <w:spacing w:after="0"/>
              <w:rPr>
                <w:sz w:val="15"/>
                <w:szCs w:val="15"/>
                <w:color w:val="auto"/>
              </w:rPr>
            </w:pPr>
          </w:p>
        </w:tc>
        <w:tc>
          <w:tcPr>
            <w:tcW w:w="1180" w:type="dxa"/>
            <w:vAlign w:val="bottom"/>
            <w:shd w:val="clear" w:color="auto" w:fill="43C0B9"/>
          </w:tcPr>
          <w:p>
            <w:pPr>
              <w:spacing w:after="0"/>
              <w:rPr>
                <w:sz w:val="15"/>
                <w:szCs w:val="15"/>
                <w:color w:val="auto"/>
              </w:rPr>
            </w:pPr>
          </w:p>
        </w:tc>
      </w:tr>
      <w:tr>
        <w:trPr>
          <w:trHeight w:val="166"/>
        </w:trPr>
        <w:tc>
          <w:tcPr>
            <w:tcW w:w="374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Forfeited</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(190)</w:t>
            </w: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12.00</w:t>
            </w:r>
          </w:p>
        </w:tc>
        <w:tc>
          <w:tcPr>
            <w:tcW w:w="1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5"/>
        </w:trPr>
        <w:tc>
          <w:tcPr>
            <w:tcW w:w="374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2021</w:t>
            </w:r>
          </w:p>
        </w:tc>
        <w:tc>
          <w:tcPr>
            <w:tcW w:w="23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486</w:t>
            </w:r>
          </w:p>
        </w:tc>
        <w:tc>
          <w:tcPr>
            <w:tcW w:w="420" w:type="dxa"/>
            <w:vAlign w:val="bottom"/>
            <w:shd w:val="clear" w:color="auto" w:fill="43C0B9"/>
          </w:tcPr>
          <w:p>
            <w:pPr>
              <w:jc w:val="right"/>
              <w:ind w:right="243"/>
              <w:spacing w:after="0"/>
              <w:rPr>
                <w:sz w:val="20"/>
                <w:szCs w:val="20"/>
                <w:color w:val="auto"/>
              </w:rPr>
            </w:pPr>
            <w:r>
              <w:rPr>
                <w:rFonts w:ascii="Arial" w:cs="Arial" w:eastAsia="Arial" w:hAnsi="Arial"/>
                <w:sz w:val="11"/>
                <w:szCs w:val="11"/>
                <w:color w:val="auto"/>
              </w:rPr>
              <w:t>$</w:t>
            </w:r>
          </w:p>
        </w:tc>
        <w:tc>
          <w:tcPr>
            <w:tcW w:w="1680" w:type="dxa"/>
            <w:vAlign w:val="bottom"/>
            <w:shd w:val="clear" w:color="auto" w:fill="43C0B9"/>
          </w:tcPr>
          <w:p>
            <w:pPr>
              <w:jc w:val="right"/>
              <w:ind w:right="383"/>
              <w:spacing w:after="0"/>
              <w:rPr>
                <w:sz w:val="20"/>
                <w:szCs w:val="20"/>
                <w:color w:val="auto"/>
              </w:rPr>
            </w:pPr>
            <w:r>
              <w:rPr>
                <w:rFonts w:ascii="Arial" w:cs="Arial" w:eastAsia="Arial" w:hAnsi="Arial"/>
                <w:sz w:val="11"/>
                <w:szCs w:val="11"/>
                <w:color w:val="auto"/>
              </w:rPr>
              <w:t>11.55</w:t>
            </w:r>
          </w:p>
        </w:tc>
        <w:tc>
          <w:tcPr>
            <w:tcW w:w="142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8.2</w:t>
            </w:r>
          </w:p>
        </w:tc>
        <w:tc>
          <w:tcPr>
            <w:tcW w:w="540" w:type="dxa"/>
            <w:vAlign w:val="bottom"/>
            <w:shd w:val="clear" w:color="auto" w:fill="43C0B9"/>
          </w:tcPr>
          <w:p>
            <w:pPr>
              <w:jc w:val="right"/>
              <w:ind w:right="363"/>
              <w:spacing w:after="0"/>
              <w:rPr>
                <w:sz w:val="20"/>
                <w:szCs w:val="20"/>
                <w:color w:val="auto"/>
              </w:rPr>
            </w:pPr>
            <w:r>
              <w:rPr>
                <w:rFonts w:ascii="Arial" w:cs="Arial" w:eastAsia="Arial" w:hAnsi="Arial"/>
                <w:sz w:val="11"/>
                <w:szCs w:val="11"/>
                <w:color w:val="auto"/>
              </w:rPr>
              <w:t>$</w:t>
            </w:r>
          </w:p>
        </w:tc>
        <w:tc>
          <w:tcPr>
            <w:tcW w:w="1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3.6</w:t>
            </w:r>
          </w:p>
        </w:tc>
      </w:tr>
      <w:tr>
        <w:trPr>
          <w:trHeight w:val="166"/>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Vested and expected to vest at October 31, 2021</w:t>
            </w:r>
          </w:p>
        </w:tc>
        <w:tc>
          <w:tcPr>
            <w:tcW w:w="23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486</w:t>
            </w: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11.55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5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r>
      <w:tr>
        <w:trPr>
          <w:trHeight w:val="160"/>
        </w:trPr>
        <w:tc>
          <w:tcPr>
            <w:tcW w:w="37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Exercisable at October 31, 2021</w:t>
            </w:r>
          </w:p>
        </w:tc>
        <w:tc>
          <w:tcPr>
            <w:tcW w:w="23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124</w:t>
            </w:r>
          </w:p>
        </w:tc>
        <w:tc>
          <w:tcPr>
            <w:tcW w:w="420" w:type="dxa"/>
            <w:vAlign w:val="bottom"/>
            <w:tcBorders>
              <w:bottom w:val="single" w:sz="8" w:color="auto"/>
            </w:tcBorders>
            <w:shd w:val="clear" w:color="auto" w:fill="43C0B9"/>
          </w:tcPr>
          <w:p>
            <w:pPr>
              <w:jc w:val="right"/>
              <w:ind w:right="243"/>
              <w:spacing w:after="0"/>
              <w:rPr>
                <w:sz w:val="20"/>
                <w:szCs w:val="20"/>
                <w:color w:val="auto"/>
              </w:rPr>
            </w:pPr>
            <w:r>
              <w:rPr>
                <w:rFonts w:ascii="Arial" w:cs="Arial" w:eastAsia="Arial" w:hAnsi="Arial"/>
                <w:sz w:val="11"/>
                <w:szCs w:val="11"/>
                <w:color w:val="auto"/>
              </w:rPr>
              <w:t>$</w:t>
            </w:r>
          </w:p>
        </w:tc>
        <w:tc>
          <w:tcPr>
            <w:tcW w:w="1680" w:type="dxa"/>
            <w:vAlign w:val="bottom"/>
            <w:tcBorders>
              <w:bottom w:val="single" w:sz="8" w:color="auto"/>
            </w:tcBorders>
            <w:shd w:val="clear" w:color="auto" w:fill="43C0B9"/>
          </w:tcPr>
          <w:p>
            <w:pPr>
              <w:jc w:val="right"/>
              <w:ind w:right="383"/>
              <w:spacing w:after="0"/>
              <w:rPr>
                <w:sz w:val="20"/>
                <w:szCs w:val="20"/>
                <w:color w:val="auto"/>
              </w:rPr>
            </w:pPr>
            <w:r>
              <w:rPr>
                <w:rFonts w:ascii="Arial" w:cs="Arial" w:eastAsia="Arial" w:hAnsi="Arial"/>
                <w:sz w:val="11"/>
                <w:szCs w:val="11"/>
                <w:color w:val="auto"/>
              </w:rPr>
              <w:t>10.23</w:t>
            </w:r>
          </w:p>
        </w:tc>
        <w:tc>
          <w:tcPr>
            <w:tcW w:w="14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7.6</w:t>
            </w:r>
          </w:p>
        </w:tc>
        <w:tc>
          <w:tcPr>
            <w:tcW w:w="540" w:type="dxa"/>
            <w:vAlign w:val="bottom"/>
            <w:tcBorders>
              <w:bottom w:val="single" w:sz="8" w:color="auto"/>
            </w:tcBorders>
            <w:shd w:val="clear" w:color="auto" w:fill="43C0B9"/>
          </w:tcPr>
          <w:p>
            <w:pPr>
              <w:jc w:val="right"/>
              <w:ind w:right="36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1.1</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3"/>
        </w:trPr>
        <w:tc>
          <w:tcPr>
            <w:tcW w:w="2300" w:type="dxa"/>
            <w:vAlign w:val="bottom"/>
          </w:tcPr>
          <w:p>
            <w:pPr>
              <w:spacing w:after="0"/>
              <w:rPr>
                <w:sz w:val="20"/>
                <w:szCs w:val="20"/>
                <w:color w:val="auto"/>
              </w:rPr>
            </w:pPr>
          </w:p>
        </w:tc>
        <w:tc>
          <w:tcPr>
            <w:tcW w:w="5980" w:type="dxa"/>
            <w:vAlign w:val="bottom"/>
            <w:gridSpan w:val="3"/>
          </w:tcPr>
          <w:p>
            <w:pPr>
              <w:jc w:val="right"/>
              <w:ind w:right="1383"/>
              <w:spacing w:after="0"/>
              <w:rPr>
                <w:sz w:val="20"/>
                <w:szCs w:val="20"/>
                <w:color w:val="auto"/>
              </w:rPr>
            </w:pPr>
            <w:r>
              <w:rPr>
                <w:rFonts w:ascii="Arial" w:cs="Arial" w:eastAsia="Arial" w:hAnsi="Arial"/>
                <w:sz w:val="20"/>
                <w:szCs w:val="20"/>
                <w:b w:val="1"/>
                <w:bCs w:val="1"/>
                <w:color w:val="232F84"/>
              </w:rPr>
              <w:t>MISSION PRODUCE, INC.</w:t>
            </w:r>
          </w:p>
        </w:tc>
        <w:tc>
          <w:tcPr>
            <w:tcW w:w="280" w:type="dxa"/>
            <w:vAlign w:val="bottom"/>
          </w:tcPr>
          <w:p>
            <w:pPr>
              <w:spacing w:after="0"/>
              <w:rPr>
                <w:sz w:val="20"/>
                <w:szCs w:val="20"/>
                <w:color w:val="auto"/>
              </w:rPr>
            </w:pPr>
          </w:p>
        </w:tc>
      </w:tr>
      <w:tr>
        <w:trPr>
          <w:trHeight w:val="261"/>
        </w:trPr>
        <w:tc>
          <w:tcPr>
            <w:tcW w:w="2300" w:type="dxa"/>
            <w:vAlign w:val="bottom"/>
          </w:tcPr>
          <w:p>
            <w:pPr>
              <w:spacing w:after="0"/>
              <w:rPr>
                <w:sz w:val="22"/>
                <w:szCs w:val="22"/>
                <w:color w:val="auto"/>
              </w:rPr>
            </w:pPr>
          </w:p>
        </w:tc>
        <w:tc>
          <w:tcPr>
            <w:tcW w:w="5980" w:type="dxa"/>
            <w:vAlign w:val="bottom"/>
            <w:gridSpan w:val="3"/>
          </w:tcPr>
          <w:p>
            <w:pPr>
              <w:jc w:val="right"/>
              <w:ind w:right="23"/>
              <w:spacing w:after="0"/>
              <w:rPr>
                <w:sz w:val="20"/>
                <w:szCs w:val="20"/>
                <w:color w:val="auto"/>
              </w:rPr>
            </w:pPr>
            <w:r>
              <w:rPr>
                <w:rFonts w:ascii="Arial" w:cs="Arial" w:eastAsia="Arial" w:hAnsi="Arial"/>
                <w:sz w:val="20"/>
                <w:szCs w:val="20"/>
                <w:b w:val="1"/>
                <w:bCs w:val="1"/>
                <w:color w:val="232F84"/>
              </w:rPr>
              <w:t>NOTES TO CONSOLIDATED FINANCIAL STATEMENTS</w:t>
            </w:r>
          </w:p>
        </w:tc>
        <w:tc>
          <w:tcPr>
            <w:tcW w:w="280" w:type="dxa"/>
            <w:vAlign w:val="bottom"/>
          </w:tcPr>
          <w:p>
            <w:pPr>
              <w:spacing w:after="0"/>
              <w:rPr>
                <w:sz w:val="22"/>
                <w:szCs w:val="22"/>
                <w:color w:val="auto"/>
              </w:rPr>
            </w:pPr>
          </w:p>
        </w:tc>
      </w:tr>
      <w:tr>
        <w:trPr>
          <w:trHeight w:val="504"/>
        </w:trPr>
        <w:tc>
          <w:tcPr>
            <w:tcW w:w="2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38"/>
        </w:trPr>
        <w:tc>
          <w:tcPr>
            <w:tcW w:w="2300" w:type="dxa"/>
            <w:vAlign w:val="bottom"/>
            <w:shd w:val="clear" w:color="auto" w:fill="232F84"/>
          </w:tcPr>
          <w:p>
            <w:pPr>
              <w:spacing w:after="0"/>
              <w:rPr>
                <w:sz w:val="12"/>
                <w:szCs w:val="12"/>
                <w:color w:val="auto"/>
              </w:rPr>
            </w:pPr>
          </w:p>
        </w:tc>
        <w:tc>
          <w:tcPr>
            <w:tcW w:w="40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Number of options</w:t>
            </w:r>
          </w:p>
        </w:tc>
        <w:tc>
          <w:tcPr>
            <w:tcW w:w="160" w:type="dxa"/>
            <w:vAlign w:val="bottom"/>
            <w:shd w:val="clear" w:color="auto" w:fill="232F84"/>
          </w:tcPr>
          <w:p>
            <w:pPr>
              <w:spacing w:after="0"/>
              <w:rPr>
                <w:sz w:val="12"/>
                <w:szCs w:val="12"/>
                <w:color w:val="auto"/>
              </w:rPr>
            </w:pPr>
          </w:p>
        </w:tc>
        <w:tc>
          <w:tcPr>
            <w:tcW w:w="1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Weighted average grant-date fair</w:t>
            </w:r>
          </w:p>
        </w:tc>
        <w:tc>
          <w:tcPr>
            <w:tcW w:w="280" w:type="dxa"/>
            <w:vAlign w:val="bottom"/>
            <w:shd w:val="clear" w:color="auto" w:fill="232F84"/>
          </w:tcPr>
          <w:p>
            <w:pPr>
              <w:spacing w:after="0"/>
              <w:rPr>
                <w:sz w:val="12"/>
                <w:szCs w:val="12"/>
                <w:color w:val="auto"/>
              </w:rPr>
            </w:pPr>
          </w:p>
        </w:tc>
      </w:tr>
      <w:tr>
        <w:trPr>
          <w:trHeight w:val="159"/>
        </w:trPr>
        <w:tc>
          <w:tcPr>
            <w:tcW w:w="2300" w:type="dxa"/>
            <w:vAlign w:val="bottom"/>
            <w:shd w:val="clear" w:color="auto" w:fill="232F84"/>
          </w:tcPr>
          <w:p>
            <w:pPr>
              <w:spacing w:after="0"/>
              <w:rPr>
                <w:sz w:val="13"/>
                <w:szCs w:val="13"/>
                <w:color w:val="auto"/>
              </w:rPr>
            </w:pPr>
          </w:p>
        </w:tc>
        <w:tc>
          <w:tcPr>
            <w:tcW w:w="40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thousands)</w:t>
            </w:r>
          </w:p>
        </w:tc>
        <w:tc>
          <w:tcPr>
            <w:tcW w:w="160" w:type="dxa"/>
            <w:vAlign w:val="bottom"/>
            <w:shd w:val="clear" w:color="auto" w:fill="232F84"/>
          </w:tcPr>
          <w:p>
            <w:pPr>
              <w:spacing w:after="0"/>
              <w:rPr>
                <w:sz w:val="13"/>
                <w:szCs w:val="13"/>
                <w:color w:val="auto"/>
              </w:rPr>
            </w:pPr>
          </w:p>
        </w:tc>
        <w:tc>
          <w:tcPr>
            <w:tcW w:w="18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value</w:t>
            </w:r>
          </w:p>
        </w:tc>
        <w:tc>
          <w:tcPr>
            <w:tcW w:w="280" w:type="dxa"/>
            <w:vAlign w:val="bottom"/>
            <w:shd w:val="clear" w:color="auto" w:fill="232F84"/>
          </w:tcPr>
          <w:p>
            <w:pPr>
              <w:spacing w:after="0"/>
              <w:rPr>
                <w:sz w:val="13"/>
                <w:szCs w:val="13"/>
                <w:color w:val="auto"/>
              </w:rPr>
            </w:pPr>
          </w:p>
        </w:tc>
      </w:tr>
      <w:tr>
        <w:trPr>
          <w:trHeight w:val="170"/>
        </w:trPr>
        <w:tc>
          <w:tcPr>
            <w:tcW w:w="2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Unvested at October 31, 2020</w:t>
            </w:r>
          </w:p>
        </w:tc>
        <w:tc>
          <w:tcPr>
            <w:tcW w:w="4000" w:type="dxa"/>
            <w:vAlign w:val="bottom"/>
            <w:shd w:val="clear" w:color="auto" w:fill="43C0B9"/>
          </w:tcPr>
          <w:p>
            <w:pPr>
              <w:jc w:val="right"/>
              <w:ind w:right="14"/>
              <w:spacing w:after="0"/>
              <w:rPr>
                <w:sz w:val="20"/>
                <w:szCs w:val="20"/>
                <w:color w:val="auto"/>
              </w:rPr>
            </w:pPr>
            <w:r>
              <w:rPr>
                <w:rFonts w:ascii="Arial" w:cs="Arial" w:eastAsia="Arial" w:hAnsi="Arial"/>
                <w:sz w:val="11"/>
                <w:szCs w:val="11"/>
                <w:color w:val="auto"/>
              </w:rPr>
              <w:t>664</w:t>
            </w:r>
          </w:p>
        </w:tc>
        <w:tc>
          <w:tcPr>
            <w:tcW w:w="16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3.61</w:t>
            </w:r>
          </w:p>
        </w:tc>
        <w:tc>
          <w:tcPr>
            <w:tcW w:w="280" w:type="dxa"/>
            <w:vAlign w:val="bottom"/>
            <w:shd w:val="clear" w:color="auto" w:fill="43C0B9"/>
          </w:tcPr>
          <w:p>
            <w:pPr>
              <w:spacing w:after="0"/>
              <w:rPr>
                <w:sz w:val="14"/>
                <w:szCs w:val="14"/>
                <w:color w:val="auto"/>
              </w:rPr>
            </w:pPr>
          </w:p>
        </w:tc>
      </w:tr>
      <w:tr>
        <w:trPr>
          <w:trHeight w:val="166"/>
        </w:trPr>
        <w:tc>
          <w:tcPr>
            <w:tcW w:w="2300" w:type="dxa"/>
            <w:vAlign w:val="bottom"/>
          </w:tcPr>
          <w:p>
            <w:pPr>
              <w:ind w:left="20"/>
              <w:spacing w:after="0"/>
              <w:rPr>
                <w:sz w:val="20"/>
                <w:szCs w:val="20"/>
                <w:color w:val="auto"/>
              </w:rPr>
            </w:pPr>
            <w:r>
              <w:rPr>
                <w:rFonts w:ascii="Arial" w:cs="Arial" w:eastAsia="Arial" w:hAnsi="Arial"/>
                <w:sz w:val="11"/>
                <w:szCs w:val="11"/>
                <w:color w:val="auto"/>
              </w:rPr>
              <w:t>Granted</w:t>
            </w:r>
          </w:p>
        </w:tc>
        <w:tc>
          <w:tcPr>
            <w:tcW w:w="4000" w:type="dxa"/>
            <w:vAlign w:val="bottom"/>
          </w:tcPr>
          <w:p>
            <w:pPr>
              <w:jc w:val="right"/>
              <w:ind w:right="14"/>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4"/>
                <w:szCs w:val="14"/>
                <w:color w:val="auto"/>
              </w:rPr>
            </w:pPr>
          </w:p>
        </w:tc>
        <w:tc>
          <w:tcPr>
            <w:tcW w:w="18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r>
      <w:tr>
        <w:trPr>
          <w:trHeight w:val="174"/>
        </w:trPr>
        <w:tc>
          <w:tcPr>
            <w:tcW w:w="2300" w:type="dxa"/>
            <w:vAlign w:val="bottom"/>
            <w:shd w:val="clear" w:color="auto" w:fill="43C0B9"/>
          </w:tcPr>
          <w:p>
            <w:pPr>
              <w:ind w:left="20"/>
              <w:spacing w:after="0"/>
              <w:rPr>
                <w:sz w:val="20"/>
                <w:szCs w:val="20"/>
                <w:color w:val="auto"/>
              </w:rPr>
            </w:pPr>
            <w:r>
              <w:rPr>
                <w:rFonts w:ascii="Arial" w:cs="Arial" w:eastAsia="Arial" w:hAnsi="Arial"/>
                <w:sz w:val="11"/>
                <w:szCs w:val="11"/>
                <w:color w:val="auto"/>
              </w:rPr>
              <w:t>Vested</w:t>
            </w:r>
          </w:p>
        </w:tc>
        <w:tc>
          <w:tcPr>
            <w:tcW w:w="40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(112)</w:t>
            </w:r>
          </w:p>
        </w:tc>
        <w:tc>
          <w:tcPr>
            <w:tcW w:w="160" w:type="dxa"/>
            <w:vAlign w:val="bottom"/>
            <w:shd w:val="clear" w:color="auto" w:fill="43C0B9"/>
          </w:tcPr>
          <w:p>
            <w:pPr>
              <w:spacing w:after="0"/>
              <w:rPr>
                <w:sz w:val="15"/>
                <w:szCs w:val="15"/>
                <w:color w:val="auto"/>
              </w:rPr>
            </w:pPr>
          </w:p>
        </w:tc>
        <w:tc>
          <w:tcPr>
            <w:tcW w:w="182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3.61</w:t>
            </w:r>
          </w:p>
        </w:tc>
        <w:tc>
          <w:tcPr>
            <w:tcW w:w="280" w:type="dxa"/>
            <w:vAlign w:val="bottom"/>
            <w:shd w:val="clear" w:color="auto" w:fill="43C0B9"/>
          </w:tcPr>
          <w:p>
            <w:pPr>
              <w:spacing w:after="0"/>
              <w:rPr>
                <w:sz w:val="15"/>
                <w:szCs w:val="15"/>
                <w:color w:val="auto"/>
              </w:rPr>
            </w:pPr>
          </w:p>
        </w:tc>
      </w:tr>
      <w:tr>
        <w:trPr>
          <w:trHeight w:val="16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3.61</w:t>
            </w:r>
          </w:p>
        </w:tc>
        <w:tc>
          <w:tcPr>
            <w:tcW w:w="280" w:type="dxa"/>
            <w:vAlign w:val="bottom"/>
            <w:tcBorders>
              <w:bottom w:val="single" w:sz="8" w:color="43C0B9"/>
            </w:tcBorders>
          </w:tcPr>
          <w:p>
            <w:pPr>
              <w:spacing w:after="0"/>
              <w:rPr>
                <w:sz w:val="14"/>
                <w:szCs w:val="14"/>
                <w:color w:val="auto"/>
              </w:rPr>
            </w:pPr>
          </w:p>
        </w:tc>
      </w:tr>
      <w:tr>
        <w:trPr>
          <w:trHeight w:val="160"/>
        </w:trPr>
        <w:tc>
          <w:tcPr>
            <w:tcW w:w="23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Unvested at October 31, 2021</w:t>
            </w:r>
          </w:p>
        </w:tc>
        <w:tc>
          <w:tcPr>
            <w:tcW w:w="4000" w:type="dxa"/>
            <w:vAlign w:val="bottom"/>
            <w:tcBorders>
              <w:bottom w:val="single" w:sz="8" w:color="auto"/>
            </w:tcBorders>
            <w:shd w:val="clear" w:color="auto" w:fill="43C0B9"/>
          </w:tcPr>
          <w:p>
            <w:pPr>
              <w:jc w:val="right"/>
              <w:ind w:right="14"/>
              <w:spacing w:after="0"/>
              <w:rPr>
                <w:sz w:val="20"/>
                <w:szCs w:val="20"/>
                <w:color w:val="auto"/>
              </w:rPr>
            </w:pPr>
            <w:r>
              <w:rPr>
                <w:rFonts w:ascii="Arial" w:cs="Arial" w:eastAsia="Arial" w:hAnsi="Arial"/>
                <w:sz w:val="11"/>
                <w:szCs w:val="11"/>
                <w:color w:val="auto"/>
              </w:rPr>
              <w:t>362</w:t>
            </w:r>
          </w:p>
        </w:tc>
        <w:tc>
          <w:tcPr>
            <w:tcW w:w="1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82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3.99</w:t>
            </w:r>
          </w:p>
        </w:tc>
        <w:tc>
          <w:tcPr>
            <w:tcW w:w="280" w:type="dxa"/>
            <w:vAlign w:val="bottom"/>
            <w:shd w:val="clear" w:color="auto" w:fill="43C0B9"/>
          </w:tcPr>
          <w:p>
            <w:pPr>
              <w:jc w:val="right"/>
              <w:ind w:right="143"/>
              <w:spacing w:after="0"/>
              <w:rPr>
                <w:sz w:val="20"/>
                <w:szCs w:val="20"/>
                <w:color w:val="auto"/>
              </w:rPr>
            </w:pPr>
            <w:r>
              <w:rPr>
                <w:rFonts w:ascii="Arial" w:cs="Arial" w:eastAsia="Arial" w:hAnsi="Arial"/>
                <w:sz w:val="7"/>
                <w:szCs w:val="7"/>
                <w:color w:val="auto"/>
                <w:w w:val="92"/>
              </w:rPr>
              <w:t>(1)</w:t>
            </w:r>
          </w:p>
        </w:tc>
      </w:tr>
    </w:tbl>
    <w:p>
      <w:pPr>
        <w:spacing w:after="0" w:line="80" w:lineRule="exact"/>
        <w:rPr>
          <w:sz w:val="20"/>
          <w:szCs w:val="20"/>
          <w:color w:val="auto"/>
        </w:rPr>
      </w:pPr>
    </w:p>
    <w:p>
      <w:pPr>
        <w:ind w:left="120" w:hanging="115"/>
        <w:spacing w:after="0"/>
        <w:tabs>
          <w:tab w:leader="none" w:pos="120" w:val="left"/>
        </w:tabs>
        <w:numPr>
          <w:ilvl w:val="0"/>
          <w:numId w:val="23"/>
        </w:numPr>
        <w:rPr>
          <w:rFonts w:ascii="Arial" w:cs="Arial" w:eastAsia="Arial" w:hAnsi="Arial"/>
          <w:sz w:val="13"/>
          <w:szCs w:val="13"/>
          <w:color w:val="auto"/>
          <w:vertAlign w:val="superscript"/>
        </w:rPr>
      </w:pPr>
      <w:r>
        <w:rPr>
          <w:rFonts w:ascii="Arial" w:cs="Arial" w:eastAsia="Arial" w:hAnsi="Arial"/>
          <w:sz w:val="10"/>
          <w:szCs w:val="10"/>
          <w:color w:val="auto"/>
        </w:rPr>
        <w:t>Approximately 26,000 unvested shares outstanding were modified during the year ended October 31, 2021 in connection with the retirement of a long-tenured employee, which affected the computation of the weighted average grant-date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232F84"/>
        </w:rPr>
        <w:t>RSUs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RSUs are service-based awards granted under the 2020 Plan to eligible employees and non-employees. RSUs are expected to be settled with shares of the Company’s common stock.</w:t>
      </w:r>
    </w:p>
    <w:p>
      <w:pPr>
        <w:spacing w:after="0"/>
        <w:rPr>
          <w:sz w:val="20"/>
          <w:szCs w:val="20"/>
          <w:color w:val="auto"/>
        </w:rPr>
      </w:pPr>
      <w:r>
        <w:rPr>
          <w:rFonts w:ascii="Arial" w:cs="Arial" w:eastAsia="Arial" w:hAnsi="Arial"/>
          <w:sz w:val="12"/>
          <w:szCs w:val="12"/>
          <w:color w:val="auto"/>
        </w:rPr>
        <w:t>Vesting and forfeiture conditions are specific to each grant as determined by the plan administrator. The fair of RSUs is determined based on the market price of our common stock on the date of grant.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Employees</w:t>
      </w:r>
    </w:p>
    <w:p>
      <w:pPr>
        <w:spacing w:after="0" w:line="202" w:lineRule="exact"/>
        <w:rPr>
          <w:sz w:val="20"/>
          <w:szCs w:val="20"/>
          <w:color w:val="auto"/>
        </w:rPr>
      </w:pPr>
    </w:p>
    <w:p>
      <w:pPr>
        <w:ind w:firstLine="509"/>
        <w:spacing w:after="0" w:line="244" w:lineRule="auto"/>
        <w:rPr>
          <w:sz w:val="20"/>
          <w:szCs w:val="20"/>
          <w:color w:val="auto"/>
        </w:rPr>
      </w:pPr>
      <w:r>
        <w:rPr>
          <w:rFonts w:ascii="Arial" w:cs="Arial" w:eastAsia="Arial" w:hAnsi="Arial"/>
          <w:sz w:val="13"/>
          <w:szCs w:val="13"/>
          <w:color w:val="auto"/>
        </w:rPr>
        <w:t>RSUs are granted to employees as well as new-hires and generally vest ratably over three to four years. Activity for awards during the year ended October 31, 2021 was as follows. No awards were granted during the years ended October 31, 2020 and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80" w:type="dxa"/>
            <w:vAlign w:val="bottom"/>
            <w:shd w:val="clear" w:color="auto" w:fill="232F84"/>
          </w:tcPr>
          <w:p>
            <w:pPr>
              <w:spacing w:after="0"/>
              <w:rPr>
                <w:sz w:val="12"/>
                <w:szCs w:val="12"/>
                <w:color w:val="auto"/>
              </w:rPr>
            </w:pPr>
          </w:p>
        </w:tc>
        <w:tc>
          <w:tcPr>
            <w:tcW w:w="27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Units</w:t>
            </w:r>
          </w:p>
        </w:tc>
        <w:tc>
          <w:tcPr>
            <w:tcW w:w="140" w:type="dxa"/>
            <w:vAlign w:val="bottom"/>
            <w:shd w:val="clear" w:color="auto" w:fill="232F84"/>
          </w:tcPr>
          <w:p>
            <w:pPr>
              <w:spacing w:after="0"/>
              <w:rPr>
                <w:sz w:val="12"/>
                <w:szCs w:val="12"/>
                <w:color w:val="auto"/>
              </w:rPr>
            </w:pPr>
          </w:p>
        </w:tc>
        <w:tc>
          <w:tcPr>
            <w:tcW w:w="2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Weighted average grant-date fair value</w:t>
            </w:r>
          </w:p>
        </w:tc>
      </w:tr>
      <w:tr>
        <w:trPr>
          <w:trHeight w:val="159"/>
        </w:trPr>
        <w:tc>
          <w:tcPr>
            <w:tcW w:w="3580" w:type="dxa"/>
            <w:vAlign w:val="bottom"/>
            <w:shd w:val="clear" w:color="auto" w:fill="232F84"/>
          </w:tcPr>
          <w:p>
            <w:pPr>
              <w:spacing w:after="0"/>
              <w:rPr>
                <w:sz w:val="13"/>
                <w:szCs w:val="13"/>
                <w:color w:val="auto"/>
              </w:rPr>
            </w:pPr>
          </w:p>
        </w:tc>
        <w:tc>
          <w:tcPr>
            <w:tcW w:w="27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(in thousands)</w:t>
            </w:r>
          </w:p>
        </w:tc>
        <w:tc>
          <w:tcPr>
            <w:tcW w:w="140" w:type="dxa"/>
            <w:vAlign w:val="bottom"/>
            <w:shd w:val="clear" w:color="auto" w:fill="232F84"/>
          </w:tcPr>
          <w:p>
            <w:pPr>
              <w:spacing w:after="0"/>
              <w:rPr>
                <w:sz w:val="13"/>
                <w:szCs w:val="13"/>
                <w:color w:val="auto"/>
              </w:rPr>
            </w:pPr>
          </w:p>
        </w:tc>
        <w:tc>
          <w:tcPr>
            <w:tcW w:w="2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per unit</w:t>
            </w:r>
          </w:p>
        </w:tc>
      </w:tr>
      <w:tr>
        <w:trPr>
          <w:trHeight w:val="170"/>
        </w:trPr>
        <w:tc>
          <w:tcPr>
            <w:tcW w:w="358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2020</w:t>
            </w:r>
          </w:p>
        </w:tc>
        <w:tc>
          <w:tcPr>
            <w:tcW w:w="27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21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580" w:type="dxa"/>
            <w:vAlign w:val="bottom"/>
          </w:tcPr>
          <w:p>
            <w:pPr>
              <w:ind w:left="20"/>
              <w:spacing w:after="0"/>
              <w:rPr>
                <w:sz w:val="20"/>
                <w:szCs w:val="20"/>
                <w:color w:val="auto"/>
              </w:rPr>
            </w:pPr>
            <w:r>
              <w:rPr>
                <w:rFonts w:ascii="Arial" w:cs="Arial" w:eastAsia="Arial" w:hAnsi="Arial"/>
                <w:sz w:val="11"/>
                <w:szCs w:val="11"/>
                <w:color w:val="auto"/>
              </w:rPr>
              <w:t>Granted</w:t>
            </w:r>
          </w:p>
        </w:tc>
        <w:tc>
          <w:tcPr>
            <w:tcW w:w="2740" w:type="dxa"/>
            <w:vAlign w:val="bottom"/>
          </w:tcPr>
          <w:p>
            <w:pPr>
              <w:jc w:val="right"/>
              <w:ind w:right="43"/>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1"/>
                <w:szCs w:val="11"/>
                <w:color w:val="auto"/>
              </w:rPr>
              <w:t>20.87</w:t>
            </w:r>
          </w:p>
        </w:tc>
      </w:tr>
      <w:tr>
        <w:trPr>
          <w:trHeight w:val="174"/>
        </w:trPr>
        <w:tc>
          <w:tcPr>
            <w:tcW w:w="3580" w:type="dxa"/>
            <w:vAlign w:val="bottom"/>
            <w:shd w:val="clear" w:color="auto" w:fill="43C0B9"/>
          </w:tcPr>
          <w:p>
            <w:pPr>
              <w:ind w:left="20"/>
              <w:spacing w:after="0"/>
              <w:rPr>
                <w:sz w:val="20"/>
                <w:szCs w:val="20"/>
                <w:color w:val="auto"/>
              </w:rPr>
            </w:pPr>
            <w:r>
              <w:rPr>
                <w:rFonts w:ascii="Arial" w:cs="Arial" w:eastAsia="Arial" w:hAnsi="Arial"/>
                <w:sz w:val="11"/>
                <w:szCs w:val="11"/>
                <w:color w:val="auto"/>
              </w:rPr>
              <w:t>Vested</w:t>
            </w:r>
          </w:p>
        </w:tc>
        <w:tc>
          <w:tcPr>
            <w:tcW w:w="27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43C0B9"/>
          </w:tcPr>
          <w:p>
            <w:pPr>
              <w:spacing w:after="0"/>
              <w:rPr>
                <w:sz w:val="15"/>
                <w:szCs w:val="15"/>
                <w:color w:val="auto"/>
              </w:rPr>
            </w:pPr>
          </w:p>
        </w:tc>
        <w:tc>
          <w:tcPr>
            <w:tcW w:w="21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2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35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Outstanding at October 31, 2021</w:t>
            </w:r>
          </w:p>
        </w:tc>
        <w:tc>
          <w:tcPr>
            <w:tcW w:w="274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8</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2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20.87</w:t>
            </w: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Board of Directors</w:t>
      </w:r>
    </w:p>
    <w:p>
      <w:pPr>
        <w:spacing w:after="0" w:line="17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3"/>
          <w:szCs w:val="13"/>
          <w:color w:val="auto"/>
        </w:rPr>
        <w:t>On October 1, 2020, RSUs were granted to directors in connection with our IPO, with a vesting date in March 2021. Under our Director Compensation Plan, directors were henceforth approved for the automatic grant on the date of each Annual Shareholders’ Meeting, set to cliff-vest at the earlier of one year following, or at the subsequent Annual Shareholders’ Meeting. Activity for these awards during the years ended October 31, 2021 and 2020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80" w:type="dxa"/>
            <w:vAlign w:val="bottom"/>
            <w:shd w:val="clear" w:color="auto" w:fill="232F84"/>
          </w:tcPr>
          <w:p>
            <w:pPr>
              <w:spacing w:after="0"/>
              <w:rPr>
                <w:sz w:val="12"/>
                <w:szCs w:val="12"/>
                <w:color w:val="auto"/>
              </w:rPr>
            </w:pPr>
          </w:p>
        </w:tc>
        <w:tc>
          <w:tcPr>
            <w:tcW w:w="27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Units</w:t>
            </w:r>
          </w:p>
        </w:tc>
        <w:tc>
          <w:tcPr>
            <w:tcW w:w="140" w:type="dxa"/>
            <w:vAlign w:val="bottom"/>
            <w:shd w:val="clear" w:color="auto" w:fill="232F84"/>
          </w:tcPr>
          <w:p>
            <w:pPr>
              <w:spacing w:after="0"/>
              <w:rPr>
                <w:sz w:val="12"/>
                <w:szCs w:val="12"/>
                <w:color w:val="auto"/>
              </w:rPr>
            </w:pPr>
          </w:p>
        </w:tc>
        <w:tc>
          <w:tcPr>
            <w:tcW w:w="2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Weighted average grant-date fair value</w:t>
            </w:r>
          </w:p>
        </w:tc>
      </w:tr>
      <w:tr>
        <w:trPr>
          <w:trHeight w:val="159"/>
        </w:trPr>
        <w:tc>
          <w:tcPr>
            <w:tcW w:w="3580" w:type="dxa"/>
            <w:vAlign w:val="bottom"/>
            <w:shd w:val="clear" w:color="auto" w:fill="232F84"/>
          </w:tcPr>
          <w:p>
            <w:pPr>
              <w:spacing w:after="0"/>
              <w:rPr>
                <w:sz w:val="13"/>
                <w:szCs w:val="13"/>
                <w:color w:val="auto"/>
              </w:rPr>
            </w:pPr>
          </w:p>
        </w:tc>
        <w:tc>
          <w:tcPr>
            <w:tcW w:w="2740" w:type="dxa"/>
            <w:vAlign w:val="bottom"/>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(in thousands)</w:t>
            </w:r>
          </w:p>
        </w:tc>
        <w:tc>
          <w:tcPr>
            <w:tcW w:w="140" w:type="dxa"/>
            <w:vAlign w:val="bottom"/>
            <w:shd w:val="clear" w:color="auto" w:fill="232F84"/>
          </w:tcPr>
          <w:p>
            <w:pPr>
              <w:spacing w:after="0"/>
              <w:rPr>
                <w:sz w:val="13"/>
                <w:szCs w:val="13"/>
                <w:color w:val="auto"/>
              </w:rPr>
            </w:pPr>
          </w:p>
        </w:tc>
        <w:tc>
          <w:tcPr>
            <w:tcW w:w="21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per unit</w:t>
            </w:r>
          </w:p>
        </w:tc>
      </w:tr>
      <w:tr>
        <w:trPr>
          <w:trHeight w:val="170"/>
        </w:trPr>
        <w:tc>
          <w:tcPr>
            <w:tcW w:w="3580" w:type="dxa"/>
            <w:vAlign w:val="bottom"/>
            <w:shd w:val="clear" w:color="auto" w:fill="43C0B9"/>
          </w:tcPr>
          <w:p>
            <w:pPr>
              <w:ind w:left="20"/>
              <w:spacing w:after="0"/>
              <w:rPr>
                <w:sz w:val="20"/>
                <w:szCs w:val="20"/>
                <w:color w:val="auto"/>
              </w:rPr>
            </w:pPr>
            <w:r>
              <w:rPr>
                <w:rFonts w:ascii="Arial" w:cs="Arial" w:eastAsia="Arial" w:hAnsi="Arial"/>
                <w:sz w:val="11"/>
                <w:szCs w:val="11"/>
                <w:color w:val="auto"/>
              </w:rPr>
              <w:t>Outstanding at October 31, 2020</w:t>
            </w:r>
          </w:p>
        </w:tc>
        <w:tc>
          <w:tcPr>
            <w:tcW w:w="2740" w:type="dxa"/>
            <w:vAlign w:val="bottom"/>
            <w:shd w:val="clear" w:color="auto" w:fill="43C0B9"/>
          </w:tcPr>
          <w:p>
            <w:pPr>
              <w:jc w:val="right"/>
              <w:ind w:right="43"/>
              <w:spacing w:after="0"/>
              <w:rPr>
                <w:sz w:val="20"/>
                <w:szCs w:val="20"/>
                <w:color w:val="auto"/>
              </w:rPr>
            </w:pPr>
            <w:r>
              <w:rPr>
                <w:rFonts w:ascii="Arial" w:cs="Arial" w:eastAsia="Arial" w:hAnsi="Arial"/>
                <w:sz w:val="11"/>
                <w:szCs w:val="11"/>
                <w:color w:val="auto"/>
              </w:rPr>
              <w:t>58</w:t>
            </w:r>
          </w:p>
        </w:tc>
        <w:tc>
          <w:tcPr>
            <w:tcW w:w="14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21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12.00</w:t>
            </w:r>
          </w:p>
        </w:tc>
      </w:tr>
      <w:tr>
        <w:trPr>
          <w:trHeight w:val="166"/>
        </w:trPr>
        <w:tc>
          <w:tcPr>
            <w:tcW w:w="3580" w:type="dxa"/>
            <w:vAlign w:val="bottom"/>
          </w:tcPr>
          <w:p>
            <w:pPr>
              <w:ind w:left="20"/>
              <w:spacing w:after="0"/>
              <w:rPr>
                <w:sz w:val="20"/>
                <w:szCs w:val="20"/>
                <w:color w:val="auto"/>
              </w:rPr>
            </w:pPr>
            <w:r>
              <w:rPr>
                <w:rFonts w:ascii="Arial" w:cs="Arial" w:eastAsia="Arial" w:hAnsi="Arial"/>
                <w:sz w:val="11"/>
                <w:szCs w:val="11"/>
                <w:color w:val="auto"/>
              </w:rPr>
              <w:t>Granted</w:t>
            </w:r>
          </w:p>
        </w:tc>
        <w:tc>
          <w:tcPr>
            <w:tcW w:w="2740" w:type="dxa"/>
            <w:vAlign w:val="bottom"/>
          </w:tcPr>
          <w:p>
            <w:pPr>
              <w:jc w:val="right"/>
              <w:ind w:right="43"/>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1"/>
                <w:szCs w:val="11"/>
                <w:color w:val="auto"/>
              </w:rPr>
              <w:t>19.89</w:t>
            </w:r>
          </w:p>
        </w:tc>
      </w:tr>
      <w:tr>
        <w:trPr>
          <w:trHeight w:val="174"/>
        </w:trPr>
        <w:tc>
          <w:tcPr>
            <w:tcW w:w="3580" w:type="dxa"/>
            <w:vAlign w:val="bottom"/>
            <w:shd w:val="clear" w:color="auto" w:fill="43C0B9"/>
          </w:tcPr>
          <w:p>
            <w:pPr>
              <w:ind w:left="20"/>
              <w:spacing w:after="0"/>
              <w:rPr>
                <w:sz w:val="20"/>
                <w:szCs w:val="20"/>
                <w:color w:val="auto"/>
              </w:rPr>
            </w:pPr>
            <w:r>
              <w:rPr>
                <w:rFonts w:ascii="Arial" w:cs="Arial" w:eastAsia="Arial" w:hAnsi="Arial"/>
                <w:sz w:val="11"/>
                <w:szCs w:val="11"/>
                <w:color w:val="auto"/>
              </w:rPr>
              <w:t>Vested</w:t>
            </w:r>
          </w:p>
        </w:tc>
        <w:tc>
          <w:tcPr>
            <w:tcW w:w="274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(58)</w:t>
            </w:r>
          </w:p>
        </w:tc>
        <w:tc>
          <w:tcPr>
            <w:tcW w:w="140" w:type="dxa"/>
            <w:vAlign w:val="bottom"/>
            <w:shd w:val="clear" w:color="auto" w:fill="43C0B9"/>
          </w:tcPr>
          <w:p>
            <w:pPr>
              <w:spacing w:after="0"/>
              <w:rPr>
                <w:sz w:val="15"/>
                <w:szCs w:val="15"/>
                <w:color w:val="auto"/>
              </w:rPr>
            </w:pPr>
          </w:p>
        </w:tc>
        <w:tc>
          <w:tcPr>
            <w:tcW w:w="21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12.00</w:t>
            </w:r>
          </w:p>
        </w:tc>
      </w:tr>
      <w:tr>
        <w:trPr>
          <w:trHeight w:val="16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27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35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Outstanding at October 31, 2021</w:t>
            </w:r>
          </w:p>
        </w:tc>
        <w:tc>
          <w:tcPr>
            <w:tcW w:w="2740" w:type="dxa"/>
            <w:vAlign w:val="bottom"/>
            <w:tcBorders>
              <w:bottom w:val="single" w:sz="8" w:color="auto"/>
            </w:tcBorders>
            <w:shd w:val="clear" w:color="auto" w:fill="43C0B9"/>
          </w:tcPr>
          <w:p>
            <w:pPr>
              <w:jc w:val="right"/>
              <w:ind w:right="43"/>
              <w:spacing w:after="0"/>
              <w:rPr>
                <w:sz w:val="20"/>
                <w:szCs w:val="20"/>
                <w:color w:val="auto"/>
              </w:rPr>
            </w:pPr>
            <w:r>
              <w:rPr>
                <w:rFonts w:ascii="Arial" w:cs="Arial" w:eastAsia="Arial" w:hAnsi="Arial"/>
                <w:sz w:val="11"/>
                <w:szCs w:val="11"/>
                <w:color w:val="auto"/>
              </w:rPr>
              <w:t>35</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2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19.89</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2F84"/>
        </w:rPr>
        <w:t>Dividends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we do not comply with certain covenants under our credit facility, our ability to pay dividends in the future could be limited.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440" w:hanging="435"/>
        <w:spacing w:after="0"/>
        <w:tabs>
          <w:tab w:leader="none" w:pos="440" w:val="left"/>
        </w:tabs>
        <w:numPr>
          <w:ilvl w:val="0"/>
          <w:numId w:val="24"/>
        </w:numPr>
        <w:rPr>
          <w:rFonts w:ascii="Arial" w:cs="Arial" w:eastAsia="Arial" w:hAnsi="Arial"/>
          <w:sz w:val="16"/>
          <w:szCs w:val="16"/>
          <w:b w:val="1"/>
          <w:bCs w:val="1"/>
          <w:color w:val="232F84"/>
        </w:rPr>
      </w:pPr>
      <w:r>
        <w:rPr>
          <w:rFonts w:ascii="Arial" w:cs="Arial" w:eastAsia="Arial" w:hAnsi="Arial"/>
          <w:sz w:val="16"/>
          <w:szCs w:val="16"/>
          <w:b w:val="1"/>
          <w:bCs w:val="1"/>
          <w:color w:val="232F84"/>
        </w:rPr>
        <w:t>Fair Value Measurements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Financial assets and liabilities measured and recorded at fair value on a recurring basis included in the consolidated balance sheets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shd w:val="clear" w:color="auto" w:fill="232F84"/>
          </w:tcPr>
          <w:p>
            <w:pPr>
              <w:spacing w:after="0"/>
              <w:rPr>
                <w:sz w:val="15"/>
                <w:szCs w:val="15"/>
                <w:color w:val="auto"/>
              </w:rPr>
            </w:pPr>
          </w:p>
        </w:tc>
        <w:tc>
          <w:tcPr>
            <w:tcW w:w="38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2380" w:type="dxa"/>
            <w:vAlign w:val="bottom"/>
            <w:gridSpan w:val="3"/>
            <w:shd w:val="clear" w:color="auto" w:fill="232F84"/>
          </w:tcPr>
          <w:p>
            <w:pPr>
              <w:jc w:val="center"/>
              <w:ind w:right="263"/>
              <w:spacing w:after="0"/>
              <w:rPr>
                <w:sz w:val="20"/>
                <w:szCs w:val="20"/>
                <w:color w:val="auto"/>
              </w:rPr>
            </w:pPr>
            <w:r>
              <w:rPr>
                <w:rFonts w:ascii="Arial" w:cs="Arial" w:eastAsia="Arial" w:hAnsi="Arial"/>
                <w:sz w:val="11"/>
                <w:szCs w:val="11"/>
                <w:b w:val="1"/>
                <w:bCs w:val="1"/>
                <w:color w:val="FFFFFF"/>
              </w:rPr>
              <w:t>October 31, 2021</w:t>
            </w:r>
          </w:p>
        </w:tc>
        <w:tc>
          <w:tcPr>
            <w:tcW w:w="1380" w:type="dxa"/>
            <w:vAlign w:val="bottom"/>
            <w:shd w:val="clear" w:color="auto" w:fill="232F84"/>
          </w:tcPr>
          <w:p>
            <w:pPr>
              <w:spacing w:after="0"/>
              <w:rPr>
                <w:sz w:val="15"/>
                <w:szCs w:val="15"/>
                <w:color w:val="auto"/>
              </w:rPr>
            </w:pPr>
          </w:p>
        </w:tc>
        <w:tc>
          <w:tcPr>
            <w:tcW w:w="620" w:type="dxa"/>
            <w:vAlign w:val="bottom"/>
            <w:shd w:val="clear" w:color="auto" w:fill="232F84"/>
          </w:tcPr>
          <w:p>
            <w:pPr>
              <w:spacing w:after="0"/>
              <w:rPr>
                <w:sz w:val="15"/>
                <w:szCs w:val="15"/>
                <w:color w:val="auto"/>
              </w:rPr>
            </w:pPr>
          </w:p>
        </w:tc>
        <w:tc>
          <w:tcPr>
            <w:tcW w:w="240" w:type="dxa"/>
            <w:vAlign w:val="bottom"/>
            <w:shd w:val="clear" w:color="auto" w:fill="232F84"/>
          </w:tcPr>
          <w:p>
            <w:pPr>
              <w:spacing w:after="0"/>
              <w:rPr>
                <w:sz w:val="15"/>
                <w:szCs w:val="15"/>
                <w:color w:val="auto"/>
              </w:rPr>
            </w:pPr>
          </w:p>
        </w:tc>
        <w:tc>
          <w:tcPr>
            <w:tcW w:w="1460" w:type="dxa"/>
            <w:vAlign w:val="bottom"/>
            <w:gridSpan w:val="2"/>
            <w:shd w:val="clear" w:color="auto" w:fill="232F84"/>
          </w:tcPr>
          <w:p>
            <w:pPr>
              <w:jc w:val="right"/>
              <w:spacing w:after="0"/>
              <w:rPr>
                <w:sz w:val="20"/>
                <w:szCs w:val="20"/>
                <w:color w:val="auto"/>
              </w:rPr>
            </w:pPr>
            <w:r>
              <w:rPr>
                <w:rFonts w:ascii="Arial" w:cs="Arial" w:eastAsia="Arial" w:hAnsi="Arial"/>
                <w:sz w:val="11"/>
                <w:szCs w:val="11"/>
                <w:b w:val="1"/>
                <w:bCs w:val="1"/>
                <w:color w:val="FFFFFF"/>
              </w:rPr>
              <w:t>October 31, 2020</w:t>
            </w:r>
          </w:p>
        </w:tc>
        <w:tc>
          <w:tcPr>
            <w:tcW w:w="92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44"/>
        </w:trPr>
        <w:tc>
          <w:tcPr>
            <w:tcW w:w="2140" w:type="dxa"/>
            <w:vAlign w:val="bottom"/>
            <w:shd w:val="clear" w:color="auto" w:fill="232F84"/>
          </w:tcPr>
          <w:p>
            <w:pPr>
              <w:spacing w:after="0"/>
              <w:rPr>
                <w:sz w:val="12"/>
                <w:szCs w:val="12"/>
                <w:color w:val="auto"/>
              </w:rPr>
            </w:pPr>
          </w:p>
        </w:tc>
        <w:tc>
          <w:tcPr>
            <w:tcW w:w="380" w:type="dxa"/>
            <w:vAlign w:val="bottom"/>
            <w:shd w:val="clear" w:color="auto" w:fill="232F84"/>
          </w:tcPr>
          <w:p>
            <w:pPr>
              <w:spacing w:after="0"/>
              <w:rPr>
                <w:sz w:val="12"/>
                <w:szCs w:val="12"/>
                <w:color w:val="auto"/>
              </w:rPr>
            </w:pPr>
          </w:p>
        </w:tc>
        <w:tc>
          <w:tcPr>
            <w:tcW w:w="640" w:type="dxa"/>
            <w:vAlign w:val="bottom"/>
            <w:shd w:val="clear" w:color="auto" w:fill="232F84"/>
          </w:tcPr>
          <w:p>
            <w:pPr>
              <w:spacing w:after="0"/>
              <w:rPr>
                <w:sz w:val="12"/>
                <w:szCs w:val="12"/>
                <w:color w:val="auto"/>
              </w:rPr>
            </w:pPr>
          </w:p>
        </w:tc>
        <w:tc>
          <w:tcPr>
            <w:tcW w:w="220" w:type="dxa"/>
            <w:vAlign w:val="bottom"/>
            <w:shd w:val="clear" w:color="auto" w:fill="232F84"/>
          </w:tcPr>
          <w:p>
            <w:pPr>
              <w:spacing w:after="0"/>
              <w:rPr>
                <w:sz w:val="12"/>
                <w:szCs w:val="12"/>
                <w:color w:val="auto"/>
              </w:rPr>
            </w:pPr>
          </w:p>
        </w:tc>
        <w:tc>
          <w:tcPr>
            <w:tcW w:w="940" w:type="dxa"/>
            <w:vAlign w:val="bottom"/>
            <w:shd w:val="clear" w:color="auto" w:fill="232F84"/>
          </w:tcPr>
          <w:p>
            <w:pPr>
              <w:spacing w:after="0"/>
              <w:rPr>
                <w:sz w:val="12"/>
                <w:szCs w:val="12"/>
                <w:color w:val="auto"/>
              </w:rPr>
            </w:pPr>
          </w:p>
        </w:tc>
        <w:tc>
          <w:tcPr>
            <w:tcW w:w="320" w:type="dxa"/>
            <w:vAlign w:val="bottom"/>
            <w:shd w:val="clear" w:color="auto" w:fill="232F84"/>
          </w:tcPr>
          <w:p>
            <w:pPr>
              <w:spacing w:after="0"/>
              <w:rPr>
                <w:sz w:val="12"/>
                <w:szCs w:val="12"/>
                <w:color w:val="auto"/>
              </w:rPr>
            </w:pPr>
          </w:p>
        </w:tc>
        <w:tc>
          <w:tcPr>
            <w:tcW w:w="11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Significant</w:t>
            </w:r>
          </w:p>
        </w:tc>
        <w:tc>
          <w:tcPr>
            <w:tcW w:w="1380" w:type="dxa"/>
            <w:vAlign w:val="bottom"/>
            <w:shd w:val="clear" w:color="auto" w:fill="232F84"/>
          </w:tcPr>
          <w:p>
            <w:pPr>
              <w:spacing w:after="0"/>
              <w:rPr>
                <w:sz w:val="12"/>
                <w:szCs w:val="12"/>
                <w:color w:val="auto"/>
              </w:rPr>
            </w:pPr>
          </w:p>
        </w:tc>
        <w:tc>
          <w:tcPr>
            <w:tcW w:w="620" w:type="dxa"/>
            <w:vAlign w:val="bottom"/>
            <w:shd w:val="clear" w:color="auto" w:fill="232F84"/>
          </w:tcPr>
          <w:p>
            <w:pPr>
              <w:spacing w:after="0"/>
              <w:rPr>
                <w:sz w:val="12"/>
                <w:szCs w:val="12"/>
                <w:color w:val="auto"/>
              </w:rPr>
            </w:pPr>
          </w:p>
        </w:tc>
        <w:tc>
          <w:tcPr>
            <w:tcW w:w="240" w:type="dxa"/>
            <w:vAlign w:val="bottom"/>
            <w:shd w:val="clear" w:color="auto" w:fill="232F84"/>
          </w:tcPr>
          <w:p>
            <w:pPr>
              <w:spacing w:after="0"/>
              <w:rPr>
                <w:sz w:val="12"/>
                <w:szCs w:val="12"/>
                <w:color w:val="auto"/>
              </w:rPr>
            </w:pPr>
          </w:p>
        </w:tc>
        <w:tc>
          <w:tcPr>
            <w:tcW w:w="940" w:type="dxa"/>
            <w:vAlign w:val="bottom"/>
            <w:shd w:val="clear" w:color="auto" w:fill="232F84"/>
          </w:tcPr>
          <w:p>
            <w:pPr>
              <w:spacing w:after="0"/>
              <w:rPr>
                <w:sz w:val="12"/>
                <w:szCs w:val="12"/>
                <w:color w:val="auto"/>
              </w:rPr>
            </w:pPr>
          </w:p>
        </w:tc>
        <w:tc>
          <w:tcPr>
            <w:tcW w:w="520" w:type="dxa"/>
            <w:vAlign w:val="bottom"/>
            <w:shd w:val="clear" w:color="auto" w:fill="232F84"/>
          </w:tcPr>
          <w:p>
            <w:pPr>
              <w:spacing w:after="0"/>
              <w:rPr>
                <w:sz w:val="12"/>
                <w:szCs w:val="12"/>
                <w:color w:val="auto"/>
              </w:rPr>
            </w:pPr>
          </w:p>
        </w:tc>
        <w:tc>
          <w:tcPr>
            <w:tcW w:w="9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Significant</w:t>
            </w:r>
          </w:p>
        </w:tc>
        <w:tc>
          <w:tcPr>
            <w:tcW w:w="900" w:type="dxa"/>
            <w:vAlign w:val="bottom"/>
            <w:shd w:val="clear" w:color="auto" w:fill="232F84"/>
          </w:tcPr>
          <w:p>
            <w:pPr>
              <w:spacing w:after="0"/>
              <w:rPr>
                <w:sz w:val="12"/>
                <w:szCs w:val="12"/>
                <w:color w:val="auto"/>
              </w:rPr>
            </w:pPr>
          </w:p>
        </w:tc>
      </w:tr>
      <w:tr>
        <w:trPr>
          <w:trHeight w:val="127"/>
        </w:trPr>
        <w:tc>
          <w:tcPr>
            <w:tcW w:w="2140" w:type="dxa"/>
            <w:vAlign w:val="bottom"/>
            <w:shd w:val="clear" w:color="auto" w:fill="232F84"/>
          </w:tcPr>
          <w:p>
            <w:pPr>
              <w:spacing w:after="0"/>
              <w:rPr>
                <w:sz w:val="11"/>
                <w:szCs w:val="11"/>
                <w:color w:val="auto"/>
              </w:rPr>
            </w:pPr>
          </w:p>
        </w:tc>
        <w:tc>
          <w:tcPr>
            <w:tcW w:w="380" w:type="dxa"/>
            <w:vAlign w:val="bottom"/>
            <w:shd w:val="clear" w:color="auto" w:fill="232F84"/>
          </w:tcPr>
          <w:p>
            <w:pPr>
              <w:spacing w:after="0"/>
              <w:rPr>
                <w:sz w:val="11"/>
                <w:szCs w:val="11"/>
                <w:color w:val="auto"/>
              </w:rPr>
            </w:pPr>
          </w:p>
        </w:tc>
        <w:tc>
          <w:tcPr>
            <w:tcW w:w="640" w:type="dxa"/>
            <w:vAlign w:val="bottom"/>
            <w:shd w:val="clear" w:color="auto" w:fill="232F84"/>
          </w:tcPr>
          <w:p>
            <w:pPr>
              <w:spacing w:after="0"/>
              <w:rPr>
                <w:sz w:val="11"/>
                <w:szCs w:val="11"/>
                <w:color w:val="auto"/>
              </w:rPr>
            </w:pPr>
          </w:p>
        </w:tc>
        <w:tc>
          <w:tcPr>
            <w:tcW w:w="220" w:type="dxa"/>
            <w:vAlign w:val="bottom"/>
            <w:shd w:val="clear" w:color="auto" w:fill="232F84"/>
          </w:tcPr>
          <w:p>
            <w:pPr>
              <w:spacing w:after="0"/>
              <w:rPr>
                <w:sz w:val="11"/>
                <w:szCs w:val="11"/>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Quoted Prices</w:t>
            </w:r>
          </w:p>
        </w:tc>
        <w:tc>
          <w:tcPr>
            <w:tcW w:w="320" w:type="dxa"/>
            <w:vAlign w:val="bottom"/>
            <w:shd w:val="clear" w:color="auto" w:fill="232F84"/>
          </w:tcPr>
          <w:p>
            <w:pPr>
              <w:spacing w:after="0"/>
              <w:rPr>
                <w:sz w:val="11"/>
                <w:szCs w:val="11"/>
                <w:color w:val="auto"/>
              </w:rPr>
            </w:pPr>
          </w:p>
        </w:tc>
        <w:tc>
          <w:tcPr>
            <w:tcW w:w="11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Other</w:t>
            </w:r>
          </w:p>
        </w:tc>
        <w:tc>
          <w:tcPr>
            <w:tcW w:w="1380" w:type="dxa"/>
            <w:vAlign w:val="bottom"/>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Significant</w:t>
            </w:r>
          </w:p>
        </w:tc>
        <w:tc>
          <w:tcPr>
            <w:tcW w:w="620" w:type="dxa"/>
            <w:vAlign w:val="bottom"/>
            <w:shd w:val="clear" w:color="auto" w:fill="232F84"/>
          </w:tcPr>
          <w:p>
            <w:pPr>
              <w:spacing w:after="0"/>
              <w:rPr>
                <w:sz w:val="11"/>
                <w:szCs w:val="11"/>
                <w:color w:val="auto"/>
              </w:rPr>
            </w:pPr>
          </w:p>
        </w:tc>
        <w:tc>
          <w:tcPr>
            <w:tcW w:w="240" w:type="dxa"/>
            <w:vAlign w:val="bottom"/>
            <w:shd w:val="clear" w:color="auto" w:fill="232F84"/>
          </w:tcPr>
          <w:p>
            <w:pPr>
              <w:spacing w:after="0"/>
              <w:rPr>
                <w:sz w:val="11"/>
                <w:szCs w:val="11"/>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Quoted Prices</w:t>
            </w:r>
          </w:p>
        </w:tc>
        <w:tc>
          <w:tcPr>
            <w:tcW w:w="520" w:type="dxa"/>
            <w:vAlign w:val="bottom"/>
            <w:shd w:val="clear" w:color="auto" w:fill="232F84"/>
          </w:tcPr>
          <w:p>
            <w:pPr>
              <w:spacing w:after="0"/>
              <w:rPr>
                <w:sz w:val="11"/>
                <w:szCs w:val="11"/>
                <w:color w:val="auto"/>
              </w:rPr>
            </w:pPr>
          </w:p>
        </w:tc>
        <w:tc>
          <w:tcPr>
            <w:tcW w:w="9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Other</w:t>
            </w: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Significant</w:t>
            </w:r>
          </w:p>
        </w:tc>
      </w:tr>
      <w:tr>
        <w:trPr>
          <w:trHeight w:val="127"/>
        </w:trPr>
        <w:tc>
          <w:tcPr>
            <w:tcW w:w="2140" w:type="dxa"/>
            <w:vAlign w:val="bottom"/>
            <w:shd w:val="clear" w:color="auto" w:fill="232F84"/>
          </w:tcPr>
          <w:p>
            <w:pPr>
              <w:spacing w:after="0"/>
              <w:rPr>
                <w:sz w:val="11"/>
                <w:szCs w:val="11"/>
                <w:color w:val="auto"/>
              </w:rPr>
            </w:pPr>
          </w:p>
        </w:tc>
        <w:tc>
          <w:tcPr>
            <w:tcW w:w="380" w:type="dxa"/>
            <w:vAlign w:val="bottom"/>
            <w:shd w:val="clear" w:color="auto" w:fill="232F84"/>
          </w:tcPr>
          <w:p>
            <w:pPr>
              <w:spacing w:after="0"/>
              <w:rPr>
                <w:sz w:val="11"/>
                <w:szCs w:val="11"/>
                <w:color w:val="auto"/>
              </w:rPr>
            </w:pPr>
          </w:p>
        </w:tc>
        <w:tc>
          <w:tcPr>
            <w:tcW w:w="640" w:type="dxa"/>
            <w:vAlign w:val="bottom"/>
            <w:shd w:val="clear" w:color="auto" w:fill="232F84"/>
          </w:tcPr>
          <w:p>
            <w:pPr>
              <w:spacing w:after="0"/>
              <w:rPr>
                <w:sz w:val="11"/>
                <w:szCs w:val="11"/>
                <w:color w:val="auto"/>
              </w:rPr>
            </w:pPr>
          </w:p>
        </w:tc>
        <w:tc>
          <w:tcPr>
            <w:tcW w:w="220" w:type="dxa"/>
            <w:vAlign w:val="bottom"/>
            <w:shd w:val="clear" w:color="auto" w:fill="232F84"/>
          </w:tcPr>
          <w:p>
            <w:pPr>
              <w:spacing w:after="0"/>
              <w:rPr>
                <w:sz w:val="11"/>
                <w:szCs w:val="11"/>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Active</w:t>
            </w:r>
          </w:p>
        </w:tc>
        <w:tc>
          <w:tcPr>
            <w:tcW w:w="320" w:type="dxa"/>
            <w:vAlign w:val="bottom"/>
            <w:shd w:val="clear" w:color="auto" w:fill="232F84"/>
          </w:tcPr>
          <w:p>
            <w:pPr>
              <w:spacing w:after="0"/>
              <w:rPr>
                <w:sz w:val="11"/>
                <w:szCs w:val="11"/>
                <w:color w:val="auto"/>
              </w:rPr>
            </w:pPr>
          </w:p>
        </w:tc>
        <w:tc>
          <w:tcPr>
            <w:tcW w:w="11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Observable</w:t>
            </w:r>
          </w:p>
        </w:tc>
        <w:tc>
          <w:tcPr>
            <w:tcW w:w="1380" w:type="dxa"/>
            <w:vAlign w:val="bottom"/>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Unobservable</w:t>
            </w:r>
          </w:p>
        </w:tc>
        <w:tc>
          <w:tcPr>
            <w:tcW w:w="620" w:type="dxa"/>
            <w:vAlign w:val="bottom"/>
            <w:shd w:val="clear" w:color="auto" w:fill="232F84"/>
          </w:tcPr>
          <w:p>
            <w:pPr>
              <w:spacing w:after="0"/>
              <w:rPr>
                <w:sz w:val="11"/>
                <w:szCs w:val="11"/>
                <w:color w:val="auto"/>
              </w:rPr>
            </w:pPr>
          </w:p>
        </w:tc>
        <w:tc>
          <w:tcPr>
            <w:tcW w:w="240" w:type="dxa"/>
            <w:vAlign w:val="bottom"/>
            <w:shd w:val="clear" w:color="auto" w:fill="232F84"/>
          </w:tcPr>
          <w:p>
            <w:pPr>
              <w:spacing w:after="0"/>
              <w:rPr>
                <w:sz w:val="11"/>
                <w:szCs w:val="11"/>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 Active</w:t>
            </w:r>
          </w:p>
        </w:tc>
        <w:tc>
          <w:tcPr>
            <w:tcW w:w="520" w:type="dxa"/>
            <w:vAlign w:val="bottom"/>
            <w:shd w:val="clear" w:color="auto" w:fill="232F84"/>
          </w:tcPr>
          <w:p>
            <w:pPr>
              <w:spacing w:after="0"/>
              <w:rPr>
                <w:sz w:val="11"/>
                <w:szCs w:val="11"/>
                <w:color w:val="auto"/>
              </w:rPr>
            </w:pPr>
          </w:p>
        </w:tc>
        <w:tc>
          <w:tcPr>
            <w:tcW w:w="9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Observable</w:t>
            </w: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Unobservable</w:t>
            </w:r>
          </w:p>
        </w:tc>
      </w:tr>
      <w:tr>
        <w:trPr>
          <w:trHeight w:val="127"/>
        </w:trPr>
        <w:tc>
          <w:tcPr>
            <w:tcW w:w="2140" w:type="dxa"/>
            <w:vAlign w:val="bottom"/>
            <w:shd w:val="clear" w:color="auto" w:fill="232F84"/>
          </w:tcPr>
          <w:p>
            <w:pPr>
              <w:spacing w:after="0"/>
              <w:rPr>
                <w:sz w:val="11"/>
                <w:szCs w:val="11"/>
                <w:color w:val="auto"/>
              </w:rPr>
            </w:pPr>
          </w:p>
        </w:tc>
        <w:tc>
          <w:tcPr>
            <w:tcW w:w="380" w:type="dxa"/>
            <w:vAlign w:val="bottom"/>
            <w:shd w:val="clear" w:color="auto" w:fill="232F84"/>
          </w:tcPr>
          <w:p>
            <w:pPr>
              <w:spacing w:after="0"/>
              <w:rPr>
                <w:sz w:val="11"/>
                <w:szCs w:val="11"/>
                <w:color w:val="auto"/>
              </w:rPr>
            </w:pPr>
          </w:p>
        </w:tc>
        <w:tc>
          <w:tcPr>
            <w:tcW w:w="640" w:type="dxa"/>
            <w:vAlign w:val="bottom"/>
            <w:shd w:val="clear" w:color="auto" w:fill="232F84"/>
          </w:tcPr>
          <w:p>
            <w:pPr>
              <w:spacing w:after="0"/>
              <w:rPr>
                <w:sz w:val="11"/>
                <w:szCs w:val="11"/>
                <w:color w:val="auto"/>
              </w:rPr>
            </w:pPr>
          </w:p>
        </w:tc>
        <w:tc>
          <w:tcPr>
            <w:tcW w:w="220" w:type="dxa"/>
            <w:vAlign w:val="bottom"/>
            <w:shd w:val="clear" w:color="auto" w:fill="232F84"/>
          </w:tcPr>
          <w:p>
            <w:pPr>
              <w:spacing w:after="0"/>
              <w:rPr>
                <w:sz w:val="11"/>
                <w:szCs w:val="11"/>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Markets</w:t>
            </w:r>
          </w:p>
        </w:tc>
        <w:tc>
          <w:tcPr>
            <w:tcW w:w="320" w:type="dxa"/>
            <w:vAlign w:val="bottom"/>
            <w:shd w:val="clear" w:color="auto" w:fill="232F84"/>
          </w:tcPr>
          <w:p>
            <w:pPr>
              <w:spacing w:after="0"/>
              <w:rPr>
                <w:sz w:val="11"/>
                <w:szCs w:val="11"/>
                <w:color w:val="auto"/>
              </w:rPr>
            </w:pPr>
          </w:p>
        </w:tc>
        <w:tc>
          <w:tcPr>
            <w:tcW w:w="11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Inputs</w:t>
            </w:r>
          </w:p>
        </w:tc>
        <w:tc>
          <w:tcPr>
            <w:tcW w:w="1380" w:type="dxa"/>
            <w:vAlign w:val="bottom"/>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Inputs</w:t>
            </w:r>
          </w:p>
        </w:tc>
        <w:tc>
          <w:tcPr>
            <w:tcW w:w="620" w:type="dxa"/>
            <w:vAlign w:val="bottom"/>
            <w:shd w:val="clear" w:color="auto" w:fill="232F84"/>
          </w:tcPr>
          <w:p>
            <w:pPr>
              <w:spacing w:after="0"/>
              <w:rPr>
                <w:sz w:val="11"/>
                <w:szCs w:val="11"/>
                <w:color w:val="auto"/>
              </w:rPr>
            </w:pPr>
          </w:p>
        </w:tc>
        <w:tc>
          <w:tcPr>
            <w:tcW w:w="240" w:type="dxa"/>
            <w:vAlign w:val="bottom"/>
            <w:shd w:val="clear" w:color="auto" w:fill="232F84"/>
          </w:tcPr>
          <w:p>
            <w:pPr>
              <w:spacing w:after="0"/>
              <w:rPr>
                <w:sz w:val="11"/>
                <w:szCs w:val="11"/>
                <w:color w:val="auto"/>
              </w:rPr>
            </w:pPr>
          </w:p>
        </w:tc>
        <w:tc>
          <w:tcPr>
            <w:tcW w:w="940" w:type="dxa"/>
            <w:vAlign w:val="bottom"/>
            <w:shd w:val="clear" w:color="auto" w:fill="232F84"/>
          </w:tcPr>
          <w:p>
            <w:pPr>
              <w:jc w:val="right"/>
              <w:ind w:right="23"/>
              <w:spacing w:after="0"/>
              <w:rPr>
                <w:sz w:val="20"/>
                <w:szCs w:val="20"/>
                <w:color w:val="auto"/>
              </w:rPr>
            </w:pPr>
            <w:r>
              <w:rPr>
                <w:rFonts w:ascii="Arial" w:cs="Arial" w:eastAsia="Arial" w:hAnsi="Arial"/>
                <w:sz w:val="11"/>
                <w:szCs w:val="11"/>
                <w:b w:val="1"/>
                <w:bCs w:val="1"/>
                <w:color w:val="FFFFFF"/>
              </w:rPr>
              <w:t>Markets</w:t>
            </w:r>
          </w:p>
        </w:tc>
        <w:tc>
          <w:tcPr>
            <w:tcW w:w="520" w:type="dxa"/>
            <w:vAlign w:val="bottom"/>
            <w:shd w:val="clear" w:color="auto" w:fill="232F84"/>
          </w:tcPr>
          <w:p>
            <w:pPr>
              <w:spacing w:after="0"/>
              <w:rPr>
                <w:sz w:val="11"/>
                <w:szCs w:val="11"/>
                <w:color w:val="auto"/>
              </w:rPr>
            </w:pPr>
          </w:p>
        </w:tc>
        <w:tc>
          <w:tcPr>
            <w:tcW w:w="9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Inputs</w:t>
            </w: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Inputs</w:t>
            </w:r>
          </w:p>
        </w:tc>
      </w:tr>
      <w:tr>
        <w:trPr>
          <w:trHeight w:val="159"/>
        </w:trPr>
        <w:tc>
          <w:tcPr>
            <w:tcW w:w="214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380" w:type="dxa"/>
            <w:vAlign w:val="bottom"/>
            <w:shd w:val="clear" w:color="auto" w:fill="232F84"/>
          </w:tcPr>
          <w:p>
            <w:pPr>
              <w:spacing w:after="0"/>
              <w:rPr>
                <w:sz w:val="13"/>
                <w:szCs w:val="13"/>
                <w:color w:val="auto"/>
              </w:rPr>
            </w:pPr>
          </w:p>
        </w:tc>
        <w:tc>
          <w:tcPr>
            <w:tcW w:w="640" w:type="dxa"/>
            <w:vAlign w:val="bottom"/>
            <w:shd w:val="clear" w:color="auto" w:fill="232F84"/>
          </w:tcPr>
          <w:p>
            <w:pPr>
              <w:jc w:val="center"/>
              <w:ind w:left="203"/>
              <w:spacing w:after="0"/>
              <w:rPr>
                <w:sz w:val="20"/>
                <w:szCs w:val="20"/>
                <w:color w:val="auto"/>
              </w:rPr>
            </w:pPr>
            <w:r>
              <w:rPr>
                <w:rFonts w:ascii="Arial" w:cs="Arial" w:eastAsia="Arial" w:hAnsi="Arial"/>
                <w:sz w:val="11"/>
                <w:szCs w:val="11"/>
                <w:b w:val="1"/>
                <w:bCs w:val="1"/>
                <w:color w:val="FFFFFF"/>
                <w:w w:val="98"/>
              </w:rPr>
              <w:t>Total</w:t>
            </w:r>
          </w:p>
        </w:tc>
        <w:tc>
          <w:tcPr>
            <w:tcW w:w="220" w:type="dxa"/>
            <w:vAlign w:val="bottom"/>
            <w:shd w:val="clear" w:color="auto" w:fill="232F84"/>
          </w:tcPr>
          <w:p>
            <w:pPr>
              <w:spacing w:after="0"/>
              <w:rPr>
                <w:sz w:val="13"/>
                <w:szCs w:val="13"/>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(Level 1)</w:t>
            </w:r>
          </w:p>
        </w:tc>
        <w:tc>
          <w:tcPr>
            <w:tcW w:w="320" w:type="dxa"/>
            <w:vAlign w:val="bottom"/>
            <w:shd w:val="clear" w:color="auto" w:fill="232F84"/>
          </w:tcPr>
          <w:p>
            <w:pPr>
              <w:spacing w:after="0"/>
              <w:rPr>
                <w:sz w:val="13"/>
                <w:szCs w:val="13"/>
                <w:color w:val="auto"/>
              </w:rPr>
            </w:pPr>
          </w:p>
        </w:tc>
        <w:tc>
          <w:tcPr>
            <w:tcW w:w="11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(Level 2)</w:t>
            </w:r>
          </w:p>
        </w:tc>
        <w:tc>
          <w:tcPr>
            <w:tcW w:w="1380" w:type="dxa"/>
            <w:vAlign w:val="bottom"/>
            <w:shd w:val="clear" w:color="auto" w:fill="232F84"/>
          </w:tcPr>
          <w:p>
            <w:pPr>
              <w:jc w:val="right"/>
              <w:ind w:right="423"/>
              <w:spacing w:after="0"/>
              <w:rPr>
                <w:sz w:val="20"/>
                <w:szCs w:val="20"/>
                <w:color w:val="auto"/>
              </w:rPr>
            </w:pPr>
            <w:r>
              <w:rPr>
                <w:rFonts w:ascii="Arial" w:cs="Arial" w:eastAsia="Arial" w:hAnsi="Arial"/>
                <w:sz w:val="11"/>
                <w:szCs w:val="11"/>
                <w:b w:val="1"/>
                <w:bCs w:val="1"/>
                <w:color w:val="FFFFFF"/>
              </w:rPr>
              <w:t>(Level 3)</w:t>
            </w:r>
          </w:p>
        </w:tc>
        <w:tc>
          <w:tcPr>
            <w:tcW w:w="620" w:type="dxa"/>
            <w:vAlign w:val="bottom"/>
            <w:shd w:val="clear" w:color="auto" w:fill="232F84"/>
          </w:tcPr>
          <w:p>
            <w:pPr>
              <w:jc w:val="center"/>
              <w:ind w:left="183"/>
              <w:spacing w:after="0"/>
              <w:rPr>
                <w:sz w:val="20"/>
                <w:szCs w:val="20"/>
                <w:color w:val="auto"/>
              </w:rPr>
            </w:pPr>
            <w:r>
              <w:rPr>
                <w:rFonts w:ascii="Arial" w:cs="Arial" w:eastAsia="Arial" w:hAnsi="Arial"/>
                <w:sz w:val="11"/>
                <w:szCs w:val="11"/>
                <w:b w:val="1"/>
                <w:bCs w:val="1"/>
                <w:color w:val="FFFFFF"/>
                <w:w w:val="98"/>
              </w:rPr>
              <w:t>Total</w:t>
            </w:r>
          </w:p>
        </w:tc>
        <w:tc>
          <w:tcPr>
            <w:tcW w:w="240" w:type="dxa"/>
            <w:vAlign w:val="bottom"/>
            <w:shd w:val="clear" w:color="auto" w:fill="232F84"/>
          </w:tcPr>
          <w:p>
            <w:pPr>
              <w:spacing w:after="0"/>
              <w:rPr>
                <w:sz w:val="13"/>
                <w:szCs w:val="13"/>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(Level 1)</w:t>
            </w:r>
          </w:p>
        </w:tc>
        <w:tc>
          <w:tcPr>
            <w:tcW w:w="520" w:type="dxa"/>
            <w:vAlign w:val="bottom"/>
            <w:shd w:val="clear" w:color="auto" w:fill="232F84"/>
          </w:tcPr>
          <w:p>
            <w:pPr>
              <w:spacing w:after="0"/>
              <w:rPr>
                <w:sz w:val="13"/>
                <w:szCs w:val="13"/>
                <w:color w:val="auto"/>
              </w:rPr>
            </w:pPr>
          </w:p>
        </w:tc>
        <w:tc>
          <w:tcPr>
            <w:tcW w:w="920" w:type="dxa"/>
            <w:vAlign w:val="bottom"/>
            <w:shd w:val="clear" w:color="auto" w:fill="232F84"/>
          </w:tcPr>
          <w:p>
            <w:pPr>
              <w:jc w:val="right"/>
              <w:ind w:right="243"/>
              <w:spacing w:after="0"/>
              <w:rPr>
                <w:sz w:val="20"/>
                <w:szCs w:val="20"/>
                <w:color w:val="auto"/>
              </w:rPr>
            </w:pPr>
            <w:r>
              <w:rPr>
                <w:rFonts w:ascii="Arial" w:cs="Arial" w:eastAsia="Arial" w:hAnsi="Arial"/>
                <w:sz w:val="11"/>
                <w:szCs w:val="11"/>
                <w:b w:val="1"/>
                <w:bCs w:val="1"/>
                <w:color w:val="FFFFFF"/>
              </w:rPr>
              <w:t>(Level 2)</w:t>
            </w: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(Level 3)</w:t>
            </w:r>
          </w:p>
        </w:tc>
      </w:tr>
      <w:tr>
        <w:trPr>
          <w:trHeight w:val="170"/>
        </w:trPr>
        <w:tc>
          <w:tcPr>
            <w:tcW w:w="214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Assets</w:t>
            </w:r>
          </w:p>
        </w:tc>
        <w:tc>
          <w:tcPr>
            <w:tcW w:w="380" w:type="dxa"/>
            <w:vAlign w:val="bottom"/>
            <w:shd w:val="clear" w:color="auto" w:fill="43C0B9"/>
          </w:tcPr>
          <w:p>
            <w:pPr>
              <w:spacing w:after="0"/>
              <w:rPr>
                <w:sz w:val="14"/>
                <w:szCs w:val="14"/>
                <w:color w:val="auto"/>
              </w:rPr>
            </w:pPr>
          </w:p>
        </w:tc>
        <w:tc>
          <w:tcPr>
            <w:tcW w:w="640" w:type="dxa"/>
            <w:vAlign w:val="bottom"/>
            <w:shd w:val="clear" w:color="auto" w:fill="43C0B9"/>
          </w:tcPr>
          <w:p>
            <w:pPr>
              <w:spacing w:after="0"/>
              <w:rPr>
                <w:sz w:val="14"/>
                <w:szCs w:val="14"/>
                <w:color w:val="auto"/>
              </w:rPr>
            </w:pPr>
          </w:p>
        </w:tc>
        <w:tc>
          <w:tcPr>
            <w:tcW w:w="220" w:type="dxa"/>
            <w:vAlign w:val="bottom"/>
            <w:shd w:val="clear" w:color="auto" w:fill="43C0B9"/>
          </w:tcPr>
          <w:p>
            <w:pPr>
              <w:spacing w:after="0"/>
              <w:rPr>
                <w:sz w:val="14"/>
                <w:szCs w:val="14"/>
                <w:color w:val="auto"/>
              </w:rPr>
            </w:pPr>
          </w:p>
        </w:tc>
        <w:tc>
          <w:tcPr>
            <w:tcW w:w="940" w:type="dxa"/>
            <w:vAlign w:val="bottom"/>
            <w:shd w:val="clear" w:color="auto" w:fill="43C0B9"/>
          </w:tcPr>
          <w:p>
            <w:pPr>
              <w:spacing w:after="0"/>
              <w:rPr>
                <w:sz w:val="14"/>
                <w:szCs w:val="14"/>
                <w:color w:val="auto"/>
              </w:rPr>
            </w:pPr>
          </w:p>
        </w:tc>
        <w:tc>
          <w:tcPr>
            <w:tcW w:w="320" w:type="dxa"/>
            <w:vAlign w:val="bottom"/>
            <w:shd w:val="clear" w:color="auto" w:fill="43C0B9"/>
          </w:tcPr>
          <w:p>
            <w:pPr>
              <w:spacing w:after="0"/>
              <w:rPr>
                <w:sz w:val="14"/>
                <w:szCs w:val="14"/>
                <w:color w:val="auto"/>
              </w:rPr>
            </w:pPr>
          </w:p>
        </w:tc>
        <w:tc>
          <w:tcPr>
            <w:tcW w:w="1120" w:type="dxa"/>
            <w:vAlign w:val="bottom"/>
            <w:shd w:val="clear" w:color="auto" w:fill="43C0B9"/>
          </w:tcPr>
          <w:p>
            <w:pPr>
              <w:spacing w:after="0"/>
              <w:rPr>
                <w:sz w:val="14"/>
                <w:szCs w:val="14"/>
                <w:color w:val="auto"/>
              </w:rPr>
            </w:pPr>
          </w:p>
        </w:tc>
        <w:tc>
          <w:tcPr>
            <w:tcW w:w="1380" w:type="dxa"/>
            <w:vAlign w:val="bottom"/>
            <w:shd w:val="clear" w:color="auto" w:fill="43C0B9"/>
          </w:tcPr>
          <w:p>
            <w:pPr>
              <w:spacing w:after="0"/>
              <w:rPr>
                <w:sz w:val="14"/>
                <w:szCs w:val="14"/>
                <w:color w:val="auto"/>
              </w:rPr>
            </w:pPr>
          </w:p>
        </w:tc>
        <w:tc>
          <w:tcPr>
            <w:tcW w:w="620" w:type="dxa"/>
            <w:vAlign w:val="bottom"/>
            <w:shd w:val="clear" w:color="auto" w:fill="43C0B9"/>
          </w:tcPr>
          <w:p>
            <w:pPr>
              <w:spacing w:after="0"/>
              <w:rPr>
                <w:sz w:val="14"/>
                <w:szCs w:val="14"/>
                <w:color w:val="auto"/>
              </w:rPr>
            </w:pPr>
          </w:p>
        </w:tc>
        <w:tc>
          <w:tcPr>
            <w:tcW w:w="240" w:type="dxa"/>
            <w:vAlign w:val="bottom"/>
            <w:shd w:val="clear" w:color="auto" w:fill="43C0B9"/>
          </w:tcPr>
          <w:p>
            <w:pPr>
              <w:spacing w:after="0"/>
              <w:rPr>
                <w:sz w:val="14"/>
                <w:szCs w:val="14"/>
                <w:color w:val="auto"/>
              </w:rPr>
            </w:pPr>
          </w:p>
        </w:tc>
        <w:tc>
          <w:tcPr>
            <w:tcW w:w="940" w:type="dxa"/>
            <w:vAlign w:val="bottom"/>
            <w:shd w:val="clear" w:color="auto" w:fill="43C0B9"/>
          </w:tcPr>
          <w:p>
            <w:pPr>
              <w:spacing w:after="0"/>
              <w:rPr>
                <w:sz w:val="14"/>
                <w:szCs w:val="14"/>
                <w:color w:val="auto"/>
              </w:rPr>
            </w:pPr>
          </w:p>
        </w:tc>
        <w:tc>
          <w:tcPr>
            <w:tcW w:w="52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r>
      <w:tr>
        <w:trPr>
          <w:trHeight w:val="166"/>
        </w:trPr>
        <w:tc>
          <w:tcPr>
            <w:tcW w:w="2140" w:type="dxa"/>
            <w:vAlign w:val="bottom"/>
          </w:tcPr>
          <w:p>
            <w:pPr>
              <w:ind w:left="100"/>
              <w:spacing w:after="0"/>
              <w:rPr>
                <w:sz w:val="20"/>
                <w:szCs w:val="20"/>
                <w:color w:val="auto"/>
              </w:rPr>
            </w:pPr>
            <w:r>
              <w:rPr>
                <w:rFonts w:ascii="Arial" w:cs="Arial" w:eastAsia="Arial" w:hAnsi="Arial"/>
                <w:sz w:val="11"/>
                <w:szCs w:val="11"/>
                <w:color w:val="auto"/>
              </w:rPr>
              <w:t>Mutual funds</w:t>
            </w: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640" w:type="dxa"/>
            <w:vAlign w:val="bottom"/>
          </w:tcPr>
          <w:p>
            <w:pPr>
              <w:jc w:val="center"/>
              <w:ind w:left="223"/>
              <w:spacing w:after="0"/>
              <w:rPr>
                <w:sz w:val="20"/>
                <w:szCs w:val="20"/>
                <w:color w:val="auto"/>
              </w:rPr>
            </w:pPr>
            <w:r>
              <w:rPr>
                <w:rFonts w:ascii="Arial" w:cs="Arial" w:eastAsia="Arial" w:hAnsi="Arial"/>
                <w:sz w:val="11"/>
                <w:szCs w:val="11"/>
                <w:color w:val="auto"/>
              </w:rPr>
              <w:t>1.2</w:t>
            </w:r>
          </w:p>
        </w:tc>
        <w:tc>
          <w:tcPr>
            <w:tcW w:w="22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1.2</w:t>
            </w:r>
          </w:p>
        </w:tc>
        <w:tc>
          <w:tcPr>
            <w:tcW w:w="32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3"/>
              <w:spacing w:after="0"/>
              <w:rPr>
                <w:sz w:val="20"/>
                <w:szCs w:val="20"/>
                <w:color w:val="auto"/>
              </w:rPr>
            </w:pPr>
            <w:r>
              <w:rPr>
                <w:rFonts w:ascii="Arial" w:cs="Arial" w:eastAsia="Arial" w:hAnsi="Arial"/>
                <w:sz w:val="11"/>
                <w:szCs w:val="11"/>
                <w:color w:val="auto"/>
              </w:rPr>
              <w:t>—   $</w:t>
            </w:r>
          </w:p>
        </w:tc>
        <w:tc>
          <w:tcPr>
            <w:tcW w:w="1380" w:type="dxa"/>
            <w:vAlign w:val="bottom"/>
          </w:tcPr>
          <w:p>
            <w:pPr>
              <w:ind w:left="740"/>
              <w:spacing w:after="0"/>
              <w:rPr>
                <w:sz w:val="20"/>
                <w:szCs w:val="20"/>
                <w:color w:val="auto"/>
              </w:rPr>
            </w:pPr>
            <w:r>
              <w:rPr>
                <w:rFonts w:ascii="Arial" w:cs="Arial" w:eastAsia="Arial" w:hAnsi="Arial"/>
                <w:sz w:val="11"/>
                <w:szCs w:val="11"/>
                <w:color w:val="auto"/>
              </w:rPr>
              <w:t>—   $</w:t>
            </w:r>
          </w:p>
        </w:tc>
        <w:tc>
          <w:tcPr>
            <w:tcW w:w="620" w:type="dxa"/>
            <w:vAlign w:val="bottom"/>
          </w:tcPr>
          <w:p>
            <w:pPr>
              <w:jc w:val="center"/>
              <w:ind w:left="203"/>
              <w:spacing w:after="0"/>
              <w:rPr>
                <w:sz w:val="20"/>
                <w:szCs w:val="20"/>
                <w:color w:val="auto"/>
              </w:rPr>
            </w:pPr>
            <w:r>
              <w:rPr>
                <w:rFonts w:ascii="Arial" w:cs="Arial" w:eastAsia="Arial" w:hAnsi="Arial"/>
                <w:sz w:val="11"/>
                <w:szCs w:val="11"/>
                <w:color w:val="auto"/>
              </w:rPr>
              <w:t>1.0</w:t>
            </w:r>
          </w:p>
        </w:tc>
        <w:tc>
          <w:tcPr>
            <w:tcW w:w="2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1.0</w:t>
            </w:r>
          </w:p>
        </w:tc>
        <w:tc>
          <w:tcPr>
            <w:tcW w:w="520" w:type="dxa"/>
            <w:vAlign w:val="bottom"/>
          </w:tcPr>
          <w:p>
            <w:pPr>
              <w:jc w:val="right"/>
              <w:ind w:right="343"/>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   $</w:t>
            </w: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2140" w:type="dxa"/>
            <w:vAlign w:val="bottom"/>
            <w:shd w:val="clear" w:color="auto" w:fill="43C0B9"/>
          </w:tcPr>
          <w:p>
            <w:pPr>
              <w:ind w:left="20"/>
              <w:spacing w:after="0"/>
              <w:rPr>
                <w:sz w:val="20"/>
                <w:szCs w:val="20"/>
                <w:color w:val="auto"/>
              </w:rPr>
            </w:pPr>
            <w:r>
              <w:rPr>
                <w:rFonts w:ascii="Arial" w:cs="Arial" w:eastAsia="Arial" w:hAnsi="Arial"/>
                <w:sz w:val="11"/>
                <w:szCs w:val="11"/>
                <w:b w:val="1"/>
                <w:bCs w:val="1"/>
                <w:color w:val="auto"/>
              </w:rPr>
              <w:t>Liabilities</w:t>
            </w:r>
          </w:p>
        </w:tc>
        <w:tc>
          <w:tcPr>
            <w:tcW w:w="380" w:type="dxa"/>
            <w:vAlign w:val="bottom"/>
            <w:shd w:val="clear" w:color="auto" w:fill="43C0B9"/>
          </w:tcPr>
          <w:p>
            <w:pPr>
              <w:spacing w:after="0"/>
              <w:rPr>
                <w:sz w:val="15"/>
                <w:szCs w:val="15"/>
                <w:color w:val="auto"/>
              </w:rPr>
            </w:pPr>
          </w:p>
        </w:tc>
        <w:tc>
          <w:tcPr>
            <w:tcW w:w="640" w:type="dxa"/>
            <w:vAlign w:val="bottom"/>
            <w:shd w:val="clear" w:color="auto" w:fill="43C0B9"/>
          </w:tcPr>
          <w:p>
            <w:pPr>
              <w:spacing w:after="0"/>
              <w:rPr>
                <w:sz w:val="15"/>
                <w:szCs w:val="15"/>
                <w:color w:val="auto"/>
              </w:rPr>
            </w:pPr>
          </w:p>
        </w:tc>
        <w:tc>
          <w:tcPr>
            <w:tcW w:w="22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32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1380" w:type="dxa"/>
            <w:vAlign w:val="bottom"/>
            <w:shd w:val="clear" w:color="auto" w:fill="43C0B9"/>
          </w:tcPr>
          <w:p>
            <w:pPr>
              <w:spacing w:after="0"/>
              <w:rPr>
                <w:sz w:val="15"/>
                <w:szCs w:val="15"/>
                <w:color w:val="auto"/>
              </w:rPr>
            </w:pPr>
          </w:p>
        </w:tc>
        <w:tc>
          <w:tcPr>
            <w:tcW w:w="620" w:type="dxa"/>
            <w:vAlign w:val="bottom"/>
            <w:shd w:val="clear" w:color="auto" w:fill="43C0B9"/>
          </w:tcPr>
          <w:p>
            <w:pPr>
              <w:spacing w:after="0"/>
              <w:rPr>
                <w:sz w:val="15"/>
                <w:szCs w:val="15"/>
                <w:color w:val="auto"/>
              </w:rPr>
            </w:pPr>
          </w:p>
        </w:tc>
        <w:tc>
          <w:tcPr>
            <w:tcW w:w="24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520" w:type="dxa"/>
            <w:vAlign w:val="bottom"/>
            <w:shd w:val="clear" w:color="auto" w:fill="43C0B9"/>
          </w:tcPr>
          <w:p>
            <w:pPr>
              <w:spacing w:after="0"/>
              <w:rPr>
                <w:sz w:val="15"/>
                <w:szCs w:val="15"/>
                <w:color w:val="auto"/>
              </w:rPr>
            </w:pPr>
          </w:p>
        </w:tc>
        <w:tc>
          <w:tcPr>
            <w:tcW w:w="920" w:type="dxa"/>
            <w:vAlign w:val="bottom"/>
            <w:shd w:val="clear" w:color="auto" w:fill="43C0B9"/>
          </w:tcPr>
          <w:p>
            <w:pPr>
              <w:spacing w:after="0"/>
              <w:rPr>
                <w:sz w:val="15"/>
                <w:szCs w:val="15"/>
                <w:color w:val="auto"/>
              </w:rPr>
            </w:pPr>
          </w:p>
        </w:tc>
        <w:tc>
          <w:tcPr>
            <w:tcW w:w="900" w:type="dxa"/>
            <w:vAlign w:val="bottom"/>
            <w:shd w:val="clear" w:color="auto" w:fill="43C0B9"/>
          </w:tcPr>
          <w:p>
            <w:pPr>
              <w:spacing w:after="0"/>
              <w:rPr>
                <w:sz w:val="15"/>
                <w:szCs w:val="15"/>
                <w:color w:val="auto"/>
              </w:rPr>
            </w:pPr>
          </w:p>
        </w:tc>
      </w:tr>
      <w:tr>
        <w:trPr>
          <w:trHeight w:val="166"/>
        </w:trPr>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Interest rate swap liability</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223"/>
              <w:spacing w:after="0"/>
              <w:rPr>
                <w:sz w:val="20"/>
                <w:szCs w:val="20"/>
                <w:color w:val="auto"/>
              </w:rPr>
            </w:pPr>
            <w:r>
              <w:rPr>
                <w:rFonts w:ascii="Arial" w:cs="Arial" w:eastAsia="Arial" w:hAnsi="Arial"/>
                <w:sz w:val="11"/>
                <w:szCs w:val="11"/>
                <w:color w:val="auto"/>
              </w:rPr>
              <w:t>3.5</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3.5</w:t>
            </w:r>
          </w:p>
        </w:tc>
        <w:tc>
          <w:tcPr>
            <w:tcW w:w="1380" w:type="dxa"/>
            <w:vAlign w:val="bottom"/>
            <w:tcBorders>
              <w:bottom w:val="single" w:sz="8" w:color="auto"/>
            </w:tcBorders>
          </w:tcPr>
          <w:p>
            <w:pPr>
              <w:ind w:left="7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center"/>
              <w:ind w:left="203"/>
              <w:spacing w:after="0"/>
              <w:rPr>
                <w:sz w:val="20"/>
                <w:szCs w:val="20"/>
                <w:color w:val="auto"/>
              </w:rPr>
            </w:pPr>
            <w:r>
              <w:rPr>
                <w:rFonts w:ascii="Arial" w:cs="Arial" w:eastAsia="Arial" w:hAnsi="Arial"/>
                <w:sz w:val="11"/>
                <w:szCs w:val="11"/>
                <w:color w:val="auto"/>
              </w:rPr>
              <w:t>6.5</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bl>
    <w:p>
      <w:pPr>
        <w:spacing w:after="0" w:line="2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mutual fund investments relate to our deferred compensation plan and held in a Rabbi trust. The funds are measured at quoted prices in active markets, which is equivalent to their fair</w:t>
      </w:r>
    </w:p>
    <w:p>
      <w:pPr>
        <w:spacing w:after="0"/>
        <w:rPr>
          <w:sz w:val="20"/>
          <w:szCs w:val="20"/>
          <w:color w:val="auto"/>
        </w:rPr>
      </w:pPr>
      <w:r>
        <w:rPr>
          <w:rFonts w:ascii="Arial" w:cs="Arial" w:eastAsia="Arial" w:hAnsi="Arial"/>
          <w:sz w:val="13"/>
          <w:szCs w:val="13"/>
          <w:color w:val="auto"/>
        </w:rPr>
        <w:t>value.</w:t>
      </w:r>
    </w:p>
    <w:p>
      <w:pPr>
        <w:spacing w:after="0" w:line="158"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October 31, 2021 and October 31, 2020,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consolidated balance sheets and gains and losses for the interest rate swaps have been included in other income (expense), net in the consolidated statements of comprehensive income.</w:t>
      </w:r>
    </w:p>
    <w:p>
      <w:pPr>
        <w:spacing w:after="0" w:line="14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b w:val="1"/>
          <w:bCs w:val="1"/>
          <w:color w:val="232F84"/>
        </w:rPr>
        <w:t>11.</w:t>
      </w:r>
      <w:r>
        <w:rPr>
          <w:sz w:val="20"/>
          <w:szCs w:val="20"/>
          <w:color w:val="auto"/>
        </w:rPr>
        <w:tab/>
      </w:r>
      <w:r>
        <w:rPr>
          <w:rFonts w:ascii="Arial" w:cs="Arial" w:eastAsia="Arial" w:hAnsi="Arial"/>
          <w:sz w:val="14"/>
          <w:szCs w:val="14"/>
          <w:b w:val="1"/>
          <w:bCs w:val="1"/>
          <w:color w:val="232F84"/>
        </w:rPr>
        <w:t>Earnings Per Share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30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920" w:type="dxa"/>
            <w:vAlign w:val="bottom"/>
            <w:shd w:val="clear" w:color="auto" w:fill="232F84"/>
          </w:tcPr>
          <w:p>
            <w:pPr>
              <w:spacing w:after="0"/>
              <w:rPr>
                <w:sz w:val="15"/>
                <w:szCs w:val="15"/>
                <w:color w:val="auto"/>
              </w:rPr>
            </w:pPr>
          </w:p>
        </w:tc>
        <w:tc>
          <w:tcPr>
            <w:tcW w:w="1380" w:type="dxa"/>
            <w:vAlign w:val="bottom"/>
            <w:gridSpan w:val="2"/>
            <w:shd w:val="clear" w:color="auto" w:fill="232F84"/>
          </w:tcPr>
          <w:p>
            <w:pPr>
              <w:jc w:val="right"/>
              <w:ind w:right="3"/>
              <w:spacing w:after="0"/>
              <w:rPr>
                <w:sz w:val="20"/>
                <w:szCs w:val="20"/>
                <w:color w:val="auto"/>
              </w:rPr>
            </w:pPr>
            <w:r>
              <w:rPr>
                <w:rFonts w:ascii="Arial" w:cs="Arial" w:eastAsia="Arial" w:hAnsi="Arial"/>
                <w:sz w:val="11"/>
                <w:szCs w:val="11"/>
                <w:b w:val="1"/>
                <w:bCs w:val="1"/>
                <w:color w:val="FFFFFF"/>
              </w:rPr>
              <w:t>Year Ended October 31,</w:t>
            </w:r>
          </w:p>
        </w:tc>
        <w:tc>
          <w:tcPr>
            <w:tcW w:w="40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75"/>
        </w:trPr>
        <w:tc>
          <w:tcPr>
            <w:tcW w:w="730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92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440" w:type="dxa"/>
            <w:vAlign w:val="bottom"/>
            <w:shd w:val="clear" w:color="auto" w:fill="232F84"/>
          </w:tcPr>
          <w:p>
            <w:pPr>
              <w:spacing w:after="0"/>
              <w:rPr>
                <w:sz w:val="15"/>
                <w:szCs w:val="15"/>
                <w:color w:val="auto"/>
              </w:rPr>
            </w:pPr>
          </w:p>
        </w:tc>
        <w:tc>
          <w:tcPr>
            <w:tcW w:w="94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2020</w:t>
            </w:r>
          </w:p>
        </w:tc>
        <w:tc>
          <w:tcPr>
            <w:tcW w:w="400" w:type="dxa"/>
            <w:vAlign w:val="bottom"/>
            <w:shd w:val="clear" w:color="auto" w:fill="232F84"/>
          </w:tcPr>
          <w:p>
            <w:pPr>
              <w:spacing w:after="0"/>
              <w:rPr>
                <w:sz w:val="15"/>
                <w:szCs w:val="15"/>
                <w:color w:val="auto"/>
              </w:rPr>
            </w:pPr>
          </w:p>
        </w:tc>
        <w:tc>
          <w:tcPr>
            <w:tcW w:w="90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7300" w:type="dxa"/>
            <w:vAlign w:val="bottom"/>
            <w:shd w:val="clear" w:color="auto" w:fill="43C0B9"/>
          </w:tcPr>
          <w:p>
            <w:pPr>
              <w:spacing w:after="0"/>
              <w:rPr>
                <w:sz w:val="20"/>
                <w:szCs w:val="20"/>
                <w:color w:val="auto"/>
              </w:rPr>
            </w:pPr>
            <w:r>
              <w:rPr>
                <w:rFonts w:ascii="Arial" w:cs="Arial" w:eastAsia="Arial" w:hAnsi="Arial"/>
                <w:sz w:val="11"/>
                <w:szCs w:val="11"/>
                <w:b w:val="1"/>
                <w:bCs w:val="1"/>
                <w:color w:val="auto"/>
              </w:rPr>
              <w:t>Numerator:</w:t>
            </w:r>
          </w:p>
        </w:tc>
        <w:tc>
          <w:tcPr>
            <w:tcW w:w="36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c>
          <w:tcPr>
            <w:tcW w:w="440" w:type="dxa"/>
            <w:vAlign w:val="bottom"/>
            <w:shd w:val="clear" w:color="auto" w:fill="43C0B9"/>
          </w:tcPr>
          <w:p>
            <w:pPr>
              <w:spacing w:after="0"/>
              <w:rPr>
                <w:sz w:val="14"/>
                <w:szCs w:val="14"/>
                <w:color w:val="auto"/>
              </w:rPr>
            </w:pPr>
          </w:p>
        </w:tc>
        <w:tc>
          <w:tcPr>
            <w:tcW w:w="940" w:type="dxa"/>
            <w:vAlign w:val="bottom"/>
            <w:shd w:val="clear" w:color="auto" w:fill="43C0B9"/>
          </w:tcPr>
          <w:p>
            <w:pPr>
              <w:spacing w:after="0"/>
              <w:rPr>
                <w:sz w:val="14"/>
                <w:szCs w:val="14"/>
                <w:color w:val="auto"/>
              </w:rPr>
            </w:pPr>
          </w:p>
        </w:tc>
        <w:tc>
          <w:tcPr>
            <w:tcW w:w="40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r>
      <w:tr>
        <w:trPr>
          <w:trHeight w:val="166"/>
        </w:trPr>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Net income available to shareholders (in millions)</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44.9</w:t>
            </w:r>
          </w:p>
        </w:tc>
        <w:tc>
          <w:tcPr>
            <w:tcW w:w="4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28.8</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71.7</w:t>
            </w:r>
          </w:p>
        </w:tc>
      </w:tr>
      <w:tr>
        <w:trPr>
          <w:trHeight w:val="165"/>
        </w:trPr>
        <w:tc>
          <w:tcPr>
            <w:tcW w:w="7300" w:type="dxa"/>
            <w:vAlign w:val="bottom"/>
            <w:shd w:val="clear" w:color="auto" w:fill="43C0B9"/>
          </w:tcPr>
          <w:p>
            <w:pPr>
              <w:spacing w:after="0"/>
              <w:rPr>
                <w:sz w:val="20"/>
                <w:szCs w:val="20"/>
                <w:color w:val="auto"/>
              </w:rPr>
            </w:pPr>
            <w:r>
              <w:rPr>
                <w:rFonts w:ascii="Arial" w:cs="Arial" w:eastAsia="Arial" w:hAnsi="Arial"/>
                <w:sz w:val="11"/>
                <w:szCs w:val="11"/>
                <w:b w:val="1"/>
                <w:bCs w:val="1"/>
                <w:color w:val="auto"/>
              </w:rPr>
              <w:t>Denominator:</w:t>
            </w:r>
          </w:p>
        </w:tc>
        <w:tc>
          <w:tcPr>
            <w:tcW w:w="360" w:type="dxa"/>
            <w:vAlign w:val="bottom"/>
            <w:shd w:val="clear" w:color="auto" w:fill="43C0B9"/>
          </w:tcPr>
          <w:p>
            <w:pPr>
              <w:spacing w:after="0"/>
              <w:rPr>
                <w:sz w:val="14"/>
                <w:szCs w:val="14"/>
                <w:color w:val="auto"/>
              </w:rPr>
            </w:pPr>
          </w:p>
        </w:tc>
        <w:tc>
          <w:tcPr>
            <w:tcW w:w="920" w:type="dxa"/>
            <w:vAlign w:val="bottom"/>
            <w:shd w:val="clear" w:color="auto" w:fill="43C0B9"/>
          </w:tcPr>
          <w:p>
            <w:pPr>
              <w:spacing w:after="0"/>
              <w:rPr>
                <w:sz w:val="14"/>
                <w:szCs w:val="14"/>
                <w:color w:val="auto"/>
              </w:rPr>
            </w:pPr>
          </w:p>
        </w:tc>
        <w:tc>
          <w:tcPr>
            <w:tcW w:w="440" w:type="dxa"/>
            <w:vAlign w:val="bottom"/>
            <w:shd w:val="clear" w:color="auto" w:fill="43C0B9"/>
          </w:tcPr>
          <w:p>
            <w:pPr>
              <w:spacing w:after="0"/>
              <w:rPr>
                <w:sz w:val="14"/>
                <w:szCs w:val="14"/>
                <w:color w:val="auto"/>
              </w:rPr>
            </w:pPr>
          </w:p>
        </w:tc>
        <w:tc>
          <w:tcPr>
            <w:tcW w:w="940" w:type="dxa"/>
            <w:vAlign w:val="bottom"/>
            <w:shd w:val="clear" w:color="auto" w:fill="43C0B9"/>
          </w:tcPr>
          <w:p>
            <w:pPr>
              <w:spacing w:after="0"/>
              <w:rPr>
                <w:sz w:val="14"/>
                <w:szCs w:val="14"/>
                <w:color w:val="auto"/>
              </w:rPr>
            </w:pPr>
          </w:p>
        </w:tc>
        <w:tc>
          <w:tcPr>
            <w:tcW w:w="400" w:type="dxa"/>
            <w:vAlign w:val="bottom"/>
            <w:shd w:val="clear" w:color="auto" w:fill="43C0B9"/>
          </w:tcPr>
          <w:p>
            <w:pPr>
              <w:spacing w:after="0"/>
              <w:rPr>
                <w:sz w:val="14"/>
                <w:szCs w:val="14"/>
                <w:color w:val="auto"/>
              </w:rPr>
            </w:pPr>
          </w:p>
        </w:tc>
        <w:tc>
          <w:tcPr>
            <w:tcW w:w="900" w:type="dxa"/>
            <w:vAlign w:val="bottom"/>
            <w:shd w:val="clear" w:color="auto" w:fill="43C0B9"/>
          </w:tcPr>
          <w:p>
            <w:pPr>
              <w:spacing w:after="0"/>
              <w:rPr>
                <w:sz w:val="14"/>
                <w:szCs w:val="14"/>
                <w:color w:val="auto"/>
              </w:rPr>
            </w:pPr>
          </w:p>
        </w:tc>
      </w:tr>
      <w:tr>
        <w:trPr>
          <w:trHeight w:val="166"/>
        </w:trPr>
        <w:tc>
          <w:tcPr>
            <w:tcW w:w="7300" w:type="dxa"/>
            <w:vAlign w:val="bottom"/>
          </w:tcPr>
          <w:p>
            <w:pPr>
              <w:ind w:left="260"/>
              <w:spacing w:after="0"/>
              <w:rPr>
                <w:sz w:val="20"/>
                <w:szCs w:val="20"/>
                <w:color w:val="auto"/>
              </w:rPr>
            </w:pPr>
            <w:r>
              <w:rPr>
                <w:rFonts w:ascii="Arial" w:cs="Arial" w:eastAsia="Arial" w:hAnsi="Arial"/>
                <w:sz w:val="11"/>
                <w:szCs w:val="11"/>
                <w:color w:val="auto"/>
              </w:rPr>
              <w:t>Weighted average shares of common stock outstanding, used in computing basic earnings per share</w:t>
            </w:r>
          </w:p>
        </w:tc>
        <w:tc>
          <w:tcPr>
            <w:tcW w:w="360" w:type="dxa"/>
            <w:vAlign w:val="bottom"/>
          </w:tcPr>
          <w:p>
            <w:pPr>
              <w:spacing w:after="0"/>
              <w:rPr>
                <w:sz w:val="14"/>
                <w:szCs w:val="14"/>
                <w:color w:val="auto"/>
              </w:rPr>
            </w:pPr>
          </w:p>
        </w:tc>
        <w:tc>
          <w:tcPr>
            <w:tcW w:w="920" w:type="dxa"/>
            <w:vAlign w:val="bottom"/>
          </w:tcPr>
          <w:p>
            <w:pPr>
              <w:jc w:val="right"/>
              <w:ind w:right="23"/>
              <w:spacing w:after="0"/>
              <w:rPr>
                <w:sz w:val="20"/>
                <w:szCs w:val="20"/>
                <w:color w:val="auto"/>
              </w:rPr>
            </w:pPr>
            <w:r>
              <w:rPr>
                <w:rFonts w:ascii="Arial" w:cs="Arial" w:eastAsia="Arial" w:hAnsi="Arial"/>
                <w:sz w:val="11"/>
                <w:szCs w:val="11"/>
                <w:color w:val="auto"/>
              </w:rPr>
              <w:t>70,583,424</w:t>
            </w:r>
          </w:p>
        </w:tc>
        <w:tc>
          <w:tcPr>
            <w:tcW w:w="440" w:type="dxa"/>
            <w:vAlign w:val="bottom"/>
          </w:tcPr>
          <w:p>
            <w:pPr>
              <w:spacing w:after="0"/>
              <w:rPr>
                <w:sz w:val="14"/>
                <w:szCs w:val="14"/>
                <w:color w:val="auto"/>
              </w:rPr>
            </w:pPr>
          </w:p>
        </w:tc>
        <w:tc>
          <w:tcPr>
            <w:tcW w:w="940" w:type="dxa"/>
            <w:vAlign w:val="bottom"/>
          </w:tcPr>
          <w:p>
            <w:pPr>
              <w:jc w:val="right"/>
              <w:ind w:right="23"/>
              <w:spacing w:after="0"/>
              <w:rPr>
                <w:sz w:val="20"/>
                <w:szCs w:val="20"/>
                <w:color w:val="auto"/>
              </w:rPr>
            </w:pPr>
            <w:r>
              <w:rPr>
                <w:rFonts w:ascii="Arial" w:cs="Arial" w:eastAsia="Arial" w:hAnsi="Arial"/>
                <w:sz w:val="11"/>
                <w:szCs w:val="11"/>
                <w:color w:val="auto"/>
              </w:rPr>
              <w:t>63,634,863</w:t>
            </w:r>
          </w:p>
        </w:tc>
        <w:tc>
          <w:tcPr>
            <w:tcW w:w="400" w:type="dxa"/>
            <w:vAlign w:val="bottom"/>
          </w:tcPr>
          <w:p>
            <w:pPr>
              <w:spacing w:after="0"/>
              <w:rPr>
                <w:sz w:val="14"/>
                <w:szCs w:val="14"/>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63,442,776</w:t>
            </w:r>
          </w:p>
        </w:tc>
      </w:tr>
      <w:tr>
        <w:trPr>
          <w:trHeight w:val="174"/>
        </w:trPr>
        <w:tc>
          <w:tcPr>
            <w:tcW w:w="7300" w:type="dxa"/>
            <w:vAlign w:val="bottom"/>
            <w:shd w:val="clear" w:color="auto" w:fill="43C0B9"/>
          </w:tcPr>
          <w:p>
            <w:pPr>
              <w:ind w:left="260"/>
              <w:spacing w:after="0"/>
              <w:rPr>
                <w:sz w:val="20"/>
                <w:szCs w:val="20"/>
                <w:color w:val="auto"/>
              </w:rPr>
            </w:pPr>
            <w:r>
              <w:rPr>
                <w:rFonts w:ascii="Arial" w:cs="Arial" w:eastAsia="Arial" w:hAnsi="Arial"/>
                <w:sz w:val="11"/>
                <w:szCs w:val="11"/>
                <w:color w:val="auto"/>
              </w:rPr>
              <w:t>Effect of dilutive stock options</w:t>
            </w:r>
          </w:p>
        </w:tc>
        <w:tc>
          <w:tcPr>
            <w:tcW w:w="360" w:type="dxa"/>
            <w:vAlign w:val="bottom"/>
            <w:shd w:val="clear" w:color="auto" w:fill="43C0B9"/>
          </w:tcPr>
          <w:p>
            <w:pPr>
              <w:spacing w:after="0"/>
              <w:rPr>
                <w:sz w:val="15"/>
                <w:szCs w:val="15"/>
                <w:color w:val="auto"/>
              </w:rPr>
            </w:pP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466,227</w:t>
            </w:r>
          </w:p>
        </w:tc>
        <w:tc>
          <w:tcPr>
            <w:tcW w:w="440" w:type="dxa"/>
            <w:vAlign w:val="bottom"/>
            <w:shd w:val="clear" w:color="auto" w:fill="43C0B9"/>
          </w:tcPr>
          <w:p>
            <w:pPr>
              <w:spacing w:after="0"/>
              <w:rPr>
                <w:sz w:val="15"/>
                <w:szCs w:val="15"/>
                <w:color w:val="auto"/>
              </w:rPr>
            </w:pPr>
          </w:p>
        </w:tc>
        <w:tc>
          <w:tcPr>
            <w:tcW w:w="9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22,038</w:t>
            </w:r>
          </w:p>
        </w:tc>
        <w:tc>
          <w:tcPr>
            <w:tcW w:w="400" w:type="dxa"/>
            <w:vAlign w:val="bottom"/>
            <w:shd w:val="clear" w:color="auto" w:fill="43C0B9"/>
          </w:tcPr>
          <w:p>
            <w:pPr>
              <w:spacing w:after="0"/>
              <w:rPr>
                <w:sz w:val="15"/>
                <w:szCs w:val="15"/>
                <w:color w:val="auto"/>
              </w:rPr>
            </w:pPr>
          </w:p>
        </w:tc>
        <w:tc>
          <w:tcPr>
            <w:tcW w:w="9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35,173</w:t>
            </w:r>
          </w:p>
        </w:tc>
      </w:tr>
      <w:tr>
        <w:trPr>
          <w:trHeight w:val="166"/>
        </w:trPr>
        <w:tc>
          <w:tcPr>
            <w:tcW w:w="730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Effect of dilutive RSUs</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18,830</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3,117</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7300" w:type="dxa"/>
            <w:vAlign w:val="bottom"/>
            <w:tcBorders>
              <w:bottom w:val="single" w:sz="8" w:color="auto"/>
            </w:tcBorders>
            <w:shd w:val="clear" w:color="auto" w:fill="43C0B9"/>
          </w:tcPr>
          <w:p>
            <w:pPr>
              <w:ind w:left="100"/>
              <w:spacing w:after="0"/>
              <w:rPr>
                <w:sz w:val="20"/>
                <w:szCs w:val="20"/>
                <w:color w:val="auto"/>
              </w:rPr>
            </w:pPr>
            <w:r>
              <w:rPr>
                <w:rFonts w:ascii="Arial" w:cs="Arial" w:eastAsia="Arial" w:hAnsi="Arial"/>
                <w:sz w:val="11"/>
                <w:szCs w:val="11"/>
                <w:color w:val="auto"/>
              </w:rPr>
              <w:t>Weighted average shares of common stock outstanding, used in computing diluted earnings per share</w:t>
            </w:r>
          </w:p>
        </w:tc>
        <w:tc>
          <w:tcPr>
            <w:tcW w:w="360" w:type="dxa"/>
            <w:vAlign w:val="bottom"/>
            <w:tcBorders>
              <w:bottom w:val="single" w:sz="8" w:color="auto"/>
            </w:tcBorders>
            <w:shd w:val="clear" w:color="auto" w:fill="43C0B9"/>
          </w:tcPr>
          <w:p>
            <w:pPr>
              <w:spacing w:after="0"/>
              <w:rPr>
                <w:sz w:val="13"/>
                <w:szCs w:val="13"/>
                <w:color w:val="auto"/>
              </w:rPr>
            </w:pPr>
          </w:p>
        </w:tc>
        <w:tc>
          <w:tcPr>
            <w:tcW w:w="92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71,068,481</w:t>
            </w:r>
          </w:p>
        </w:tc>
        <w:tc>
          <w:tcPr>
            <w:tcW w:w="440" w:type="dxa"/>
            <w:vAlign w:val="bottom"/>
            <w:tcBorders>
              <w:bottom w:val="single" w:sz="8" w:color="auto"/>
            </w:tcBorders>
            <w:shd w:val="clear" w:color="auto" w:fill="43C0B9"/>
          </w:tcPr>
          <w:p>
            <w:pPr>
              <w:spacing w:after="0"/>
              <w:rPr>
                <w:sz w:val="13"/>
                <w:szCs w:val="13"/>
                <w:color w:val="auto"/>
              </w:rPr>
            </w:pPr>
          </w:p>
        </w:tc>
        <w:tc>
          <w:tcPr>
            <w:tcW w:w="94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63,660,018</w:t>
            </w:r>
          </w:p>
        </w:tc>
        <w:tc>
          <w:tcPr>
            <w:tcW w:w="400" w:type="dxa"/>
            <w:vAlign w:val="bottom"/>
            <w:tcBorders>
              <w:bottom w:val="single" w:sz="8" w:color="auto"/>
            </w:tcBorders>
            <w:shd w:val="clear" w:color="auto" w:fill="43C0B9"/>
          </w:tcPr>
          <w:p>
            <w:pPr>
              <w:spacing w:after="0"/>
              <w:rPr>
                <w:sz w:val="13"/>
                <w:szCs w:val="13"/>
                <w:color w:val="auto"/>
              </w:rPr>
            </w:pPr>
          </w:p>
        </w:tc>
        <w:tc>
          <w:tcPr>
            <w:tcW w:w="90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63,477,949</w:t>
            </w:r>
          </w:p>
        </w:tc>
      </w:tr>
      <w:tr>
        <w:trPr>
          <w:trHeight w:val="160"/>
        </w:trPr>
        <w:tc>
          <w:tcPr>
            <w:tcW w:w="7300" w:type="dxa"/>
            <w:vAlign w:val="bottom"/>
          </w:tcPr>
          <w:p>
            <w:pPr>
              <w:spacing w:after="0"/>
              <w:rPr>
                <w:sz w:val="20"/>
                <w:szCs w:val="20"/>
                <w:color w:val="auto"/>
              </w:rPr>
            </w:pPr>
            <w:r>
              <w:rPr>
                <w:rFonts w:ascii="Arial" w:cs="Arial" w:eastAsia="Arial" w:hAnsi="Arial"/>
                <w:sz w:val="11"/>
                <w:szCs w:val="11"/>
                <w:color w:val="auto"/>
              </w:rPr>
              <w:t>Earnings per share</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4"/>
        </w:trPr>
        <w:tc>
          <w:tcPr>
            <w:tcW w:w="7300" w:type="dxa"/>
            <w:vAlign w:val="bottom"/>
            <w:shd w:val="clear" w:color="auto" w:fill="43C0B9"/>
          </w:tcPr>
          <w:p>
            <w:pPr>
              <w:ind w:left="260"/>
              <w:spacing w:after="0"/>
              <w:rPr>
                <w:sz w:val="20"/>
                <w:szCs w:val="20"/>
                <w:color w:val="auto"/>
              </w:rPr>
            </w:pPr>
            <w:r>
              <w:rPr>
                <w:rFonts w:ascii="Arial" w:cs="Arial" w:eastAsia="Arial" w:hAnsi="Arial"/>
                <w:sz w:val="11"/>
                <w:szCs w:val="11"/>
                <w:color w:val="auto"/>
              </w:rPr>
              <w:t>Basic</w:t>
            </w:r>
          </w:p>
        </w:tc>
        <w:tc>
          <w:tcPr>
            <w:tcW w:w="360" w:type="dxa"/>
            <w:vAlign w:val="bottom"/>
            <w:shd w:val="clear" w:color="auto" w:fill="43C0B9"/>
          </w:tcPr>
          <w:p>
            <w:pPr>
              <w:jc w:val="right"/>
              <w:ind w:right="22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0.64</w:t>
            </w:r>
          </w:p>
        </w:tc>
        <w:tc>
          <w:tcPr>
            <w:tcW w:w="440" w:type="dxa"/>
            <w:vAlign w:val="bottom"/>
            <w:shd w:val="clear" w:color="auto" w:fill="43C0B9"/>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0.45</w:t>
            </w:r>
          </w:p>
        </w:tc>
        <w:tc>
          <w:tcPr>
            <w:tcW w:w="400" w:type="dxa"/>
            <w:vAlign w:val="bottom"/>
            <w:shd w:val="clear" w:color="auto" w:fill="43C0B9"/>
          </w:tcPr>
          <w:p>
            <w:pPr>
              <w:jc w:val="right"/>
              <w:ind w:right="22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1.13</w:t>
            </w:r>
          </w:p>
        </w:tc>
      </w:tr>
      <w:tr>
        <w:trPr>
          <w:trHeight w:val="166"/>
        </w:trPr>
        <w:tc>
          <w:tcPr>
            <w:tcW w:w="730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Diluted</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0.63</w:t>
            </w:r>
          </w:p>
        </w:tc>
        <w:tc>
          <w:tcPr>
            <w:tcW w:w="4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0.45</w:t>
            </w: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1.13</w:t>
            </w:r>
          </w:p>
        </w:tc>
      </w:tr>
    </w:tbl>
    <w:p>
      <w:pPr>
        <w:spacing w:after="0" w:line="224" w:lineRule="exact"/>
        <w:rPr>
          <w:sz w:val="20"/>
          <w:szCs w:val="20"/>
          <w:color w:val="auto"/>
        </w:rPr>
      </w:pPr>
    </w:p>
    <w:p>
      <w:pPr>
        <w:ind w:right="500" w:firstLine="509"/>
        <w:spacing w:after="0" w:line="244" w:lineRule="auto"/>
        <w:rPr>
          <w:sz w:val="20"/>
          <w:szCs w:val="20"/>
          <w:color w:val="auto"/>
        </w:rPr>
      </w:pPr>
      <w:r>
        <w:rPr>
          <w:rFonts w:ascii="Arial" w:cs="Arial" w:eastAsia="Arial" w:hAnsi="Arial"/>
          <w:sz w:val="13"/>
          <w:szCs w:val="13"/>
          <w:color w:val="auto"/>
        </w:rPr>
        <w:t>Equity awards representing shares of common stock outstanding that were excluded in the computation of diluted EPS because their effect would have been anti-dilutive as a result of applying the treasury stock method, were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300" w:type="dxa"/>
            <w:vAlign w:val="bottom"/>
            <w:shd w:val="clear" w:color="auto" w:fill="232F84"/>
          </w:tcPr>
          <w:p>
            <w:pPr>
              <w:spacing w:after="0"/>
              <w:rPr>
                <w:sz w:val="15"/>
                <w:szCs w:val="15"/>
                <w:color w:val="auto"/>
              </w:rPr>
            </w:pPr>
          </w:p>
        </w:tc>
        <w:tc>
          <w:tcPr>
            <w:tcW w:w="1280" w:type="dxa"/>
            <w:vAlign w:val="bottom"/>
            <w:shd w:val="clear" w:color="auto" w:fill="232F84"/>
          </w:tcPr>
          <w:p>
            <w:pPr>
              <w:spacing w:after="0"/>
              <w:rPr>
                <w:sz w:val="15"/>
                <w:szCs w:val="15"/>
                <w:color w:val="auto"/>
              </w:rPr>
            </w:pPr>
          </w:p>
        </w:tc>
        <w:tc>
          <w:tcPr>
            <w:tcW w:w="1720" w:type="dxa"/>
            <w:vAlign w:val="bottom"/>
            <w:shd w:val="clear" w:color="auto" w:fill="232F84"/>
          </w:tcPr>
          <w:p>
            <w:pPr>
              <w:jc w:val="right"/>
              <w:ind w:right="343"/>
              <w:spacing w:after="0"/>
              <w:rPr>
                <w:sz w:val="20"/>
                <w:szCs w:val="20"/>
                <w:color w:val="auto"/>
              </w:rPr>
            </w:pPr>
            <w:r>
              <w:rPr>
                <w:rFonts w:ascii="Arial" w:cs="Arial" w:eastAsia="Arial" w:hAnsi="Arial"/>
                <w:sz w:val="11"/>
                <w:szCs w:val="11"/>
                <w:b w:val="1"/>
                <w:bCs w:val="1"/>
                <w:color w:val="FFFFFF"/>
              </w:rPr>
              <w:t>Year Ended October 31,</w:t>
            </w:r>
          </w:p>
        </w:tc>
        <w:tc>
          <w:tcPr>
            <w:tcW w:w="960" w:type="dxa"/>
            <w:vAlign w:val="bottom"/>
            <w:shd w:val="clear" w:color="auto" w:fill="232F84"/>
          </w:tcPr>
          <w:p>
            <w:pPr>
              <w:spacing w:after="0"/>
              <w:rPr>
                <w:sz w:val="15"/>
                <w:szCs w:val="15"/>
                <w:color w:val="auto"/>
              </w:rPr>
            </w:pPr>
          </w:p>
        </w:tc>
      </w:tr>
      <w:tr>
        <w:trPr>
          <w:trHeight w:val="175"/>
        </w:trPr>
        <w:tc>
          <w:tcPr>
            <w:tcW w:w="7300" w:type="dxa"/>
            <w:vAlign w:val="bottom"/>
            <w:shd w:val="clear" w:color="auto" w:fill="232F84"/>
          </w:tcPr>
          <w:p>
            <w:pPr>
              <w:spacing w:after="0"/>
              <w:rPr>
                <w:sz w:val="15"/>
                <w:szCs w:val="15"/>
                <w:color w:val="auto"/>
              </w:rPr>
            </w:pPr>
          </w:p>
        </w:tc>
        <w:tc>
          <w:tcPr>
            <w:tcW w:w="128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2021</w:t>
            </w:r>
          </w:p>
        </w:tc>
        <w:tc>
          <w:tcPr>
            <w:tcW w:w="1720" w:type="dxa"/>
            <w:vAlign w:val="bottom"/>
            <w:shd w:val="clear" w:color="auto" w:fill="232F84"/>
          </w:tcPr>
          <w:p>
            <w:pPr>
              <w:jc w:val="right"/>
              <w:ind w:right="323"/>
              <w:spacing w:after="0"/>
              <w:rPr>
                <w:sz w:val="20"/>
                <w:szCs w:val="20"/>
                <w:color w:val="auto"/>
              </w:rPr>
            </w:pPr>
            <w:r>
              <w:rPr>
                <w:rFonts w:ascii="Arial" w:cs="Arial" w:eastAsia="Arial" w:hAnsi="Arial"/>
                <w:sz w:val="11"/>
                <w:szCs w:val="11"/>
                <w:b w:val="1"/>
                <w:bCs w:val="1"/>
                <w:color w:val="FFFFFF"/>
              </w:rPr>
              <w:t>2020</w:t>
            </w:r>
          </w:p>
        </w:tc>
        <w:tc>
          <w:tcPr>
            <w:tcW w:w="960" w:type="dxa"/>
            <w:vAlign w:val="bottom"/>
            <w:shd w:val="clear" w:color="auto" w:fill="232F84"/>
          </w:tcPr>
          <w:p>
            <w:pPr>
              <w:jc w:val="right"/>
              <w:spacing w:after="0"/>
              <w:rPr>
                <w:sz w:val="20"/>
                <w:szCs w:val="20"/>
                <w:color w:val="auto"/>
              </w:rPr>
            </w:pPr>
            <w:r>
              <w:rPr>
                <w:rFonts w:ascii="Arial" w:cs="Arial" w:eastAsia="Arial" w:hAnsi="Arial"/>
                <w:sz w:val="11"/>
                <w:szCs w:val="11"/>
                <w:b w:val="1"/>
                <w:bCs w:val="1"/>
                <w:color w:val="FFFFFF"/>
              </w:rPr>
              <w:t>2019</w:t>
            </w:r>
          </w:p>
        </w:tc>
      </w:tr>
      <w:tr>
        <w:trPr>
          <w:trHeight w:val="170"/>
        </w:trPr>
        <w:tc>
          <w:tcPr>
            <w:tcW w:w="7300" w:type="dxa"/>
            <w:vAlign w:val="bottom"/>
            <w:shd w:val="clear" w:color="auto" w:fill="43C0B9"/>
          </w:tcPr>
          <w:p>
            <w:pPr>
              <w:spacing w:after="0"/>
              <w:rPr>
                <w:sz w:val="20"/>
                <w:szCs w:val="20"/>
                <w:color w:val="auto"/>
              </w:rPr>
            </w:pPr>
            <w:r>
              <w:rPr>
                <w:rFonts w:ascii="Arial" w:cs="Arial" w:eastAsia="Arial" w:hAnsi="Arial"/>
                <w:sz w:val="11"/>
                <w:szCs w:val="11"/>
                <w:color w:val="auto"/>
              </w:rPr>
              <w:t>Anti-dilutive stock options</w:t>
            </w:r>
          </w:p>
        </w:tc>
        <w:tc>
          <w:tcPr>
            <w:tcW w:w="12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145,735</w:t>
            </w:r>
          </w:p>
        </w:tc>
        <w:tc>
          <w:tcPr>
            <w:tcW w:w="1720" w:type="dxa"/>
            <w:vAlign w:val="bottom"/>
            <w:shd w:val="clear" w:color="auto" w:fill="43C0B9"/>
          </w:tcPr>
          <w:p>
            <w:pPr>
              <w:jc w:val="right"/>
              <w:ind w:right="363"/>
              <w:spacing w:after="0"/>
              <w:rPr>
                <w:sz w:val="20"/>
                <w:szCs w:val="20"/>
                <w:color w:val="auto"/>
              </w:rPr>
            </w:pPr>
            <w:r>
              <w:rPr>
                <w:rFonts w:ascii="Arial" w:cs="Arial" w:eastAsia="Arial" w:hAnsi="Arial"/>
                <w:sz w:val="11"/>
                <w:szCs w:val="11"/>
                <w:color w:val="auto"/>
              </w:rPr>
              <w:t>1,289,589</w:t>
            </w:r>
          </w:p>
        </w:tc>
        <w:tc>
          <w:tcPr>
            <w:tcW w:w="96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1,700,000</w:t>
            </w:r>
          </w:p>
        </w:tc>
      </w:tr>
      <w:tr>
        <w:trPr>
          <w:trHeight w:val="166"/>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Anti-dilutive RSUs</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24,540</w:t>
            </w:r>
          </w:p>
        </w:tc>
        <w:tc>
          <w:tcPr>
            <w:tcW w:w="17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48" w:lineRule="exact"/>
        <w:rPr>
          <w:sz w:val="20"/>
          <w:szCs w:val="20"/>
          <w:color w:val="auto"/>
        </w:rPr>
      </w:pPr>
    </w:p>
    <w:p>
      <w:pPr>
        <w:ind w:left="440" w:hanging="435"/>
        <w:spacing w:after="0"/>
        <w:tabs>
          <w:tab w:leader="none" w:pos="440" w:val="left"/>
        </w:tabs>
        <w:numPr>
          <w:ilvl w:val="0"/>
          <w:numId w:val="25"/>
        </w:numPr>
        <w:rPr>
          <w:rFonts w:ascii="Arial" w:cs="Arial" w:eastAsia="Arial" w:hAnsi="Arial"/>
          <w:sz w:val="16"/>
          <w:szCs w:val="16"/>
          <w:b w:val="1"/>
          <w:bCs w:val="1"/>
          <w:color w:val="232F84"/>
        </w:rPr>
      </w:pPr>
      <w:r>
        <w:rPr>
          <w:rFonts w:ascii="Arial" w:cs="Arial" w:eastAsia="Arial" w:hAnsi="Arial"/>
          <w:sz w:val="16"/>
          <w:szCs w:val="16"/>
          <w:b w:val="1"/>
          <w:bCs w:val="1"/>
          <w:color w:val="232F84"/>
        </w:rPr>
        <w:t>Related Party Transactions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Transactions with related parties included in the consolidated financial statements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040" w:type="dxa"/>
            <w:vAlign w:val="bottom"/>
            <w:shd w:val="clear" w:color="auto" w:fill="232F84"/>
          </w:tcPr>
          <w:p>
            <w:pPr>
              <w:spacing w:after="0"/>
              <w:rPr>
                <w:sz w:val="14"/>
                <w:szCs w:val="14"/>
                <w:color w:val="auto"/>
              </w:rPr>
            </w:pPr>
          </w:p>
        </w:tc>
        <w:tc>
          <w:tcPr>
            <w:tcW w:w="1500" w:type="dxa"/>
            <w:vAlign w:val="bottom"/>
            <w:gridSpan w:val="3"/>
            <w:shd w:val="clear" w:color="auto" w:fill="232F84"/>
          </w:tcPr>
          <w:p>
            <w:pPr>
              <w:jc w:val="right"/>
              <w:ind w:right="71"/>
              <w:spacing w:after="0"/>
              <w:rPr>
                <w:sz w:val="20"/>
                <w:szCs w:val="20"/>
                <w:color w:val="auto"/>
              </w:rPr>
            </w:pPr>
            <w:r>
              <w:rPr>
                <w:rFonts w:ascii="Arial" w:cs="Arial" w:eastAsia="Arial" w:hAnsi="Arial"/>
                <w:sz w:val="10"/>
                <w:szCs w:val="10"/>
                <w:b w:val="1"/>
                <w:bCs w:val="1"/>
                <w:color w:val="FFFFFF"/>
                <w:w w:val="97"/>
              </w:rPr>
              <w:t>Consolidated Balance Sheets</w:t>
            </w:r>
          </w:p>
        </w:tc>
        <w:tc>
          <w:tcPr>
            <w:tcW w:w="106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420" w:type="dxa"/>
            <w:vAlign w:val="bottom"/>
            <w:shd w:val="clear" w:color="auto" w:fill="232F84"/>
          </w:tcPr>
          <w:p>
            <w:pPr>
              <w:spacing w:after="0"/>
              <w:rPr>
                <w:sz w:val="14"/>
                <w:szCs w:val="14"/>
                <w:color w:val="auto"/>
              </w:rPr>
            </w:pPr>
          </w:p>
        </w:tc>
        <w:tc>
          <w:tcPr>
            <w:tcW w:w="820" w:type="dxa"/>
            <w:vAlign w:val="bottom"/>
            <w:shd w:val="clear" w:color="auto" w:fill="232F84"/>
          </w:tcPr>
          <w:p>
            <w:pPr>
              <w:spacing w:after="0"/>
              <w:rPr>
                <w:sz w:val="14"/>
                <w:szCs w:val="14"/>
                <w:color w:val="auto"/>
              </w:rPr>
            </w:pPr>
          </w:p>
        </w:tc>
        <w:tc>
          <w:tcPr>
            <w:tcW w:w="2600" w:type="dxa"/>
            <w:vAlign w:val="bottom"/>
            <w:gridSpan w:val="4"/>
            <w:shd w:val="clear" w:color="auto" w:fill="232F84"/>
          </w:tcPr>
          <w:p>
            <w:pPr>
              <w:jc w:val="right"/>
              <w:ind w:right="31"/>
              <w:spacing w:after="0"/>
              <w:rPr>
                <w:sz w:val="20"/>
                <w:szCs w:val="20"/>
                <w:color w:val="auto"/>
              </w:rPr>
            </w:pPr>
            <w:r>
              <w:rPr>
                <w:rFonts w:ascii="Arial" w:cs="Arial" w:eastAsia="Arial" w:hAnsi="Arial"/>
                <w:sz w:val="10"/>
                <w:szCs w:val="10"/>
                <w:b w:val="1"/>
                <w:bCs w:val="1"/>
                <w:color w:val="FFFFFF"/>
              </w:rPr>
              <w:t>Consolidated Statements of Comprehensive Income</w:t>
            </w:r>
          </w:p>
        </w:tc>
        <w:tc>
          <w:tcPr>
            <w:tcW w:w="580" w:type="dxa"/>
            <w:vAlign w:val="bottom"/>
            <w:shd w:val="clear" w:color="auto" w:fill="232F84"/>
          </w:tcPr>
          <w:p>
            <w:pPr>
              <w:spacing w:after="0"/>
              <w:rPr>
                <w:sz w:val="14"/>
                <w:szCs w:val="14"/>
                <w:color w:val="auto"/>
              </w:rPr>
            </w:pPr>
          </w:p>
        </w:tc>
        <w:tc>
          <w:tcPr>
            <w:tcW w:w="660" w:type="dxa"/>
            <w:vAlign w:val="bottom"/>
            <w:shd w:val="clear" w:color="auto" w:fill="232F84"/>
          </w:tcPr>
          <w:p>
            <w:pPr>
              <w:spacing w:after="0"/>
              <w:rPr>
                <w:sz w:val="14"/>
                <w:szCs w:val="14"/>
                <w:color w:val="auto"/>
              </w:rPr>
            </w:pPr>
          </w:p>
        </w:tc>
      </w:tr>
      <w:tr>
        <w:trPr>
          <w:trHeight w:val="129"/>
        </w:trPr>
        <w:tc>
          <w:tcPr>
            <w:tcW w:w="2340" w:type="dxa"/>
            <w:vAlign w:val="bottom"/>
            <w:shd w:val="clear" w:color="auto" w:fill="232F84"/>
          </w:tcPr>
          <w:p>
            <w:pPr>
              <w:spacing w:after="0"/>
              <w:rPr>
                <w:sz w:val="11"/>
                <w:szCs w:val="11"/>
                <w:color w:val="auto"/>
              </w:rPr>
            </w:pPr>
          </w:p>
        </w:tc>
        <w:tc>
          <w:tcPr>
            <w:tcW w:w="140" w:type="dxa"/>
            <w:vAlign w:val="bottom"/>
            <w:shd w:val="clear" w:color="auto" w:fill="232F84"/>
          </w:tcPr>
          <w:p>
            <w:pPr>
              <w:spacing w:after="0"/>
              <w:rPr>
                <w:sz w:val="11"/>
                <w:szCs w:val="11"/>
                <w:color w:val="auto"/>
              </w:rPr>
            </w:pPr>
          </w:p>
        </w:tc>
        <w:tc>
          <w:tcPr>
            <w:tcW w:w="1040" w:type="dxa"/>
            <w:vAlign w:val="bottom"/>
            <w:shd w:val="clear" w:color="auto" w:fill="232F84"/>
          </w:tcPr>
          <w:p>
            <w:pPr>
              <w:spacing w:after="0"/>
              <w:rPr>
                <w:sz w:val="11"/>
                <w:szCs w:val="11"/>
                <w:color w:val="auto"/>
              </w:rPr>
            </w:pPr>
          </w:p>
        </w:tc>
        <w:tc>
          <w:tcPr>
            <w:tcW w:w="160" w:type="dxa"/>
            <w:vAlign w:val="bottom"/>
            <w:shd w:val="clear" w:color="auto" w:fill="232F84"/>
          </w:tcPr>
          <w:p>
            <w:pPr>
              <w:spacing w:after="0"/>
              <w:rPr>
                <w:sz w:val="11"/>
                <w:szCs w:val="11"/>
                <w:color w:val="auto"/>
              </w:rPr>
            </w:pPr>
          </w:p>
        </w:tc>
        <w:tc>
          <w:tcPr>
            <w:tcW w:w="1160" w:type="dxa"/>
            <w:vAlign w:val="bottom"/>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w w:val="95"/>
              </w:rPr>
              <w:t>Loans to equity method</w:t>
            </w:r>
          </w:p>
        </w:tc>
        <w:tc>
          <w:tcPr>
            <w:tcW w:w="180" w:type="dxa"/>
            <w:vAlign w:val="bottom"/>
            <w:shd w:val="clear" w:color="auto" w:fill="232F84"/>
          </w:tcPr>
          <w:p>
            <w:pPr>
              <w:spacing w:after="0"/>
              <w:rPr>
                <w:sz w:val="11"/>
                <w:szCs w:val="11"/>
                <w:color w:val="auto"/>
              </w:rPr>
            </w:pPr>
          </w:p>
        </w:tc>
        <w:tc>
          <w:tcPr>
            <w:tcW w:w="1180" w:type="dxa"/>
            <w:vAlign w:val="bottom"/>
            <w:gridSpan w:val="2"/>
            <w:shd w:val="clear" w:color="auto" w:fill="232F84"/>
          </w:tcPr>
          <w:p>
            <w:pPr>
              <w:jc w:val="right"/>
              <w:ind w:right="140"/>
              <w:spacing w:after="0"/>
              <w:rPr>
                <w:sz w:val="20"/>
                <w:szCs w:val="20"/>
                <w:color w:val="auto"/>
              </w:rPr>
            </w:pPr>
            <w:r>
              <w:rPr>
                <w:rFonts w:ascii="Arial" w:cs="Arial" w:eastAsia="Arial" w:hAnsi="Arial"/>
                <w:sz w:val="10"/>
                <w:szCs w:val="10"/>
                <w:b w:val="1"/>
                <w:bCs w:val="1"/>
                <w:color w:val="FFFFFF"/>
              </w:rPr>
              <w:t>Accounts payable &amp;</w:t>
            </w:r>
          </w:p>
        </w:tc>
        <w:tc>
          <w:tcPr>
            <w:tcW w:w="420" w:type="dxa"/>
            <w:vAlign w:val="bottom"/>
            <w:shd w:val="clear" w:color="auto" w:fill="232F84"/>
          </w:tcPr>
          <w:p>
            <w:pPr>
              <w:spacing w:after="0"/>
              <w:rPr>
                <w:sz w:val="11"/>
                <w:szCs w:val="11"/>
                <w:color w:val="auto"/>
              </w:rPr>
            </w:pPr>
          </w:p>
        </w:tc>
        <w:tc>
          <w:tcPr>
            <w:tcW w:w="820" w:type="dxa"/>
            <w:vAlign w:val="bottom"/>
            <w:shd w:val="clear" w:color="auto" w:fill="232F84"/>
          </w:tcPr>
          <w:p>
            <w:pPr>
              <w:spacing w:after="0"/>
              <w:rPr>
                <w:sz w:val="11"/>
                <w:szCs w:val="11"/>
                <w:color w:val="auto"/>
              </w:rPr>
            </w:pPr>
          </w:p>
        </w:tc>
        <w:tc>
          <w:tcPr>
            <w:tcW w:w="360" w:type="dxa"/>
            <w:vAlign w:val="bottom"/>
            <w:shd w:val="clear" w:color="auto" w:fill="232F84"/>
          </w:tcPr>
          <w:p>
            <w:pPr>
              <w:spacing w:after="0"/>
              <w:rPr>
                <w:sz w:val="11"/>
                <w:szCs w:val="11"/>
                <w:color w:val="auto"/>
              </w:rPr>
            </w:pPr>
          </w:p>
        </w:tc>
        <w:tc>
          <w:tcPr>
            <w:tcW w:w="920" w:type="dxa"/>
            <w:vAlign w:val="bottom"/>
            <w:shd w:val="clear" w:color="auto" w:fill="232F84"/>
          </w:tcPr>
          <w:p>
            <w:pPr>
              <w:spacing w:after="0"/>
              <w:rPr>
                <w:sz w:val="11"/>
                <w:szCs w:val="11"/>
                <w:color w:val="auto"/>
              </w:rPr>
            </w:pPr>
          </w:p>
        </w:tc>
        <w:tc>
          <w:tcPr>
            <w:tcW w:w="100" w:type="dxa"/>
            <w:vAlign w:val="bottom"/>
            <w:shd w:val="clear" w:color="auto" w:fill="232F84"/>
          </w:tcPr>
          <w:p>
            <w:pPr>
              <w:spacing w:after="0"/>
              <w:rPr>
                <w:sz w:val="11"/>
                <w:szCs w:val="11"/>
                <w:color w:val="auto"/>
              </w:rPr>
            </w:pPr>
          </w:p>
        </w:tc>
        <w:tc>
          <w:tcPr>
            <w:tcW w:w="1220" w:type="dxa"/>
            <w:vAlign w:val="bottom"/>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Selling, general and</w:t>
            </w:r>
          </w:p>
        </w:tc>
        <w:tc>
          <w:tcPr>
            <w:tcW w:w="1240" w:type="dxa"/>
            <w:vAlign w:val="bottom"/>
            <w:gridSpan w:val="2"/>
            <w:shd w:val="clear" w:color="auto" w:fill="232F84"/>
          </w:tcPr>
          <w:p>
            <w:pPr>
              <w:jc w:val="right"/>
              <w:spacing w:after="0"/>
              <w:rPr>
                <w:sz w:val="20"/>
                <w:szCs w:val="20"/>
                <w:color w:val="auto"/>
              </w:rPr>
            </w:pPr>
            <w:r>
              <w:rPr>
                <w:rFonts w:ascii="Arial" w:cs="Arial" w:eastAsia="Arial" w:hAnsi="Arial"/>
                <w:sz w:val="10"/>
                <w:szCs w:val="10"/>
                <w:b w:val="1"/>
                <w:bCs w:val="1"/>
                <w:color w:val="FFFFFF"/>
              </w:rPr>
              <w:t>Other income (expense),</w:t>
            </w:r>
          </w:p>
        </w:tc>
      </w:tr>
      <w:tr>
        <w:trPr>
          <w:trHeight w:val="135"/>
        </w:trPr>
        <w:tc>
          <w:tcPr>
            <w:tcW w:w="234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0"/>
                <w:szCs w:val="10"/>
                <w:b w:val="1"/>
                <w:bCs w:val="1"/>
                <w:color w:val="FFFFFF"/>
              </w:rPr>
              <w:t>(In millions)</w:t>
            </w:r>
          </w:p>
        </w:tc>
        <w:tc>
          <w:tcPr>
            <w:tcW w:w="140" w:type="dxa"/>
            <w:vAlign w:val="bottom"/>
            <w:tcBorders>
              <w:bottom w:val="single" w:sz="8" w:color="232F84"/>
            </w:tcBorders>
            <w:shd w:val="clear" w:color="auto" w:fill="232F84"/>
          </w:tcPr>
          <w:p>
            <w:pPr>
              <w:spacing w:after="0"/>
              <w:rPr>
                <w:sz w:val="11"/>
                <w:szCs w:val="11"/>
                <w:color w:val="auto"/>
              </w:rPr>
            </w:pPr>
          </w:p>
        </w:tc>
        <w:tc>
          <w:tcPr>
            <w:tcW w:w="10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Accounts receivable</w:t>
            </w:r>
          </w:p>
        </w:tc>
        <w:tc>
          <w:tcPr>
            <w:tcW w:w="160" w:type="dxa"/>
            <w:vAlign w:val="bottom"/>
            <w:tcBorders>
              <w:bottom w:val="single" w:sz="8" w:color="232F84"/>
            </w:tcBorders>
            <w:shd w:val="clear" w:color="auto" w:fill="232F84"/>
          </w:tcPr>
          <w:p>
            <w:pPr>
              <w:spacing w:after="0"/>
              <w:rPr>
                <w:sz w:val="11"/>
                <w:szCs w:val="11"/>
                <w:color w:val="auto"/>
              </w:rPr>
            </w:pPr>
          </w:p>
        </w:tc>
        <w:tc>
          <w:tcPr>
            <w:tcW w:w="116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investees</w:t>
            </w:r>
          </w:p>
        </w:tc>
        <w:tc>
          <w:tcPr>
            <w:tcW w:w="180" w:type="dxa"/>
            <w:vAlign w:val="bottom"/>
            <w:tcBorders>
              <w:bottom w:val="single" w:sz="8" w:color="232F84"/>
            </w:tcBorders>
            <w:shd w:val="clear" w:color="auto" w:fill="232F84"/>
          </w:tcPr>
          <w:p>
            <w:pPr>
              <w:spacing w:after="0"/>
              <w:rPr>
                <w:sz w:val="11"/>
                <w:szCs w:val="11"/>
                <w:color w:val="auto"/>
              </w:rPr>
            </w:pPr>
          </w:p>
        </w:tc>
        <w:tc>
          <w:tcPr>
            <w:tcW w:w="1180" w:type="dxa"/>
            <w:vAlign w:val="bottom"/>
            <w:tcBorders>
              <w:bottom w:val="single" w:sz="8" w:color="232F84"/>
            </w:tcBorders>
            <w:gridSpan w:val="2"/>
            <w:shd w:val="clear" w:color="auto" w:fill="232F84"/>
          </w:tcPr>
          <w:p>
            <w:pPr>
              <w:jc w:val="right"/>
              <w:ind w:right="140"/>
              <w:spacing w:after="0"/>
              <w:rPr>
                <w:sz w:val="20"/>
                <w:szCs w:val="20"/>
                <w:color w:val="auto"/>
              </w:rPr>
            </w:pPr>
            <w:r>
              <w:rPr>
                <w:rFonts w:ascii="Arial" w:cs="Arial" w:eastAsia="Arial" w:hAnsi="Arial"/>
                <w:sz w:val="10"/>
                <w:szCs w:val="10"/>
                <w:b w:val="1"/>
                <w:bCs w:val="1"/>
                <w:color w:val="FFFFFF"/>
              </w:rPr>
              <w:t>accrued expenses</w:t>
            </w:r>
          </w:p>
        </w:tc>
        <w:tc>
          <w:tcPr>
            <w:tcW w:w="42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Net sales</w:t>
            </w:r>
          </w:p>
        </w:tc>
        <w:tc>
          <w:tcPr>
            <w:tcW w:w="360" w:type="dxa"/>
            <w:vAlign w:val="bottom"/>
            <w:tcBorders>
              <w:bottom w:val="single" w:sz="8" w:color="232F84"/>
            </w:tcBorders>
            <w:shd w:val="clear" w:color="auto" w:fill="232F84"/>
          </w:tcPr>
          <w:p>
            <w:pPr>
              <w:spacing w:after="0"/>
              <w:rPr>
                <w:sz w:val="11"/>
                <w:szCs w:val="11"/>
                <w:color w:val="auto"/>
              </w:rPr>
            </w:pPr>
          </w:p>
        </w:tc>
        <w:tc>
          <w:tcPr>
            <w:tcW w:w="92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Cost of sales</w:t>
            </w:r>
          </w:p>
        </w:tc>
        <w:tc>
          <w:tcPr>
            <w:tcW w:w="100" w:type="dxa"/>
            <w:vAlign w:val="bottom"/>
            <w:tcBorders>
              <w:bottom w:val="single" w:sz="8" w:color="232F84"/>
            </w:tcBorders>
            <w:shd w:val="clear" w:color="auto" w:fill="232F84"/>
          </w:tcPr>
          <w:p>
            <w:pPr>
              <w:spacing w:after="0"/>
              <w:rPr>
                <w:sz w:val="11"/>
                <w:szCs w:val="11"/>
                <w:color w:val="auto"/>
              </w:rPr>
            </w:pPr>
          </w:p>
        </w:tc>
        <w:tc>
          <w:tcPr>
            <w:tcW w:w="122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w w:val="98"/>
              </w:rPr>
              <w:t>administrative expenses</w:t>
            </w:r>
          </w:p>
        </w:tc>
        <w:tc>
          <w:tcPr>
            <w:tcW w:w="580" w:type="dxa"/>
            <w:vAlign w:val="bottom"/>
            <w:tcBorders>
              <w:bottom w:val="single" w:sz="8" w:color="232F84"/>
            </w:tcBorders>
            <w:shd w:val="clear" w:color="auto" w:fill="232F84"/>
          </w:tcPr>
          <w:p>
            <w:pPr>
              <w:spacing w:after="0"/>
              <w:rPr>
                <w:sz w:val="11"/>
                <w:szCs w:val="11"/>
                <w:color w:val="auto"/>
              </w:rPr>
            </w:pPr>
          </w:p>
        </w:tc>
        <w:tc>
          <w:tcPr>
            <w:tcW w:w="66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net</w:t>
            </w:r>
          </w:p>
        </w:tc>
      </w:tr>
      <w:tr>
        <w:trPr>
          <w:trHeight w:val="159"/>
        </w:trPr>
        <w:tc>
          <w:tcPr>
            <w:tcW w:w="2340" w:type="dxa"/>
            <w:vAlign w:val="bottom"/>
            <w:tcBorders>
              <w:bottom w:val="single" w:sz="8" w:color="43C0B9"/>
            </w:tcBorders>
            <w:shd w:val="clear" w:color="auto" w:fill="43C0B9"/>
          </w:tcPr>
          <w:p>
            <w:pPr>
              <w:spacing w:after="0"/>
              <w:rPr>
                <w:sz w:val="13"/>
                <w:szCs w:val="13"/>
                <w:color w:val="auto"/>
              </w:rPr>
            </w:pPr>
          </w:p>
        </w:tc>
        <w:tc>
          <w:tcPr>
            <w:tcW w:w="14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spacing w:after="0"/>
              <w:rPr>
                <w:sz w:val="13"/>
                <w:szCs w:val="13"/>
                <w:color w:val="auto"/>
              </w:rPr>
            </w:pPr>
          </w:p>
        </w:tc>
        <w:tc>
          <w:tcPr>
            <w:tcW w:w="160" w:type="dxa"/>
            <w:vAlign w:val="bottom"/>
            <w:tcBorders>
              <w:bottom w:val="single" w:sz="8" w:color="43C0B9"/>
            </w:tcBorders>
            <w:shd w:val="clear" w:color="auto" w:fill="43C0B9"/>
          </w:tcPr>
          <w:p>
            <w:pPr>
              <w:spacing w:after="0"/>
              <w:rPr>
                <w:sz w:val="13"/>
                <w:szCs w:val="13"/>
                <w:color w:val="auto"/>
              </w:rPr>
            </w:pPr>
          </w:p>
        </w:tc>
        <w:tc>
          <w:tcPr>
            <w:tcW w:w="1160" w:type="dxa"/>
            <w:vAlign w:val="bottom"/>
            <w:tcBorders>
              <w:bottom w:val="single" w:sz="8" w:color="43C0B9"/>
            </w:tcBorders>
            <w:shd w:val="clear" w:color="auto" w:fill="43C0B9"/>
          </w:tcPr>
          <w:p>
            <w:pPr>
              <w:jc w:val="right"/>
              <w:ind w:right="191"/>
              <w:spacing w:after="0"/>
              <w:rPr>
                <w:sz w:val="20"/>
                <w:szCs w:val="20"/>
                <w:color w:val="auto"/>
              </w:rPr>
            </w:pPr>
            <w:r>
              <w:rPr>
                <w:rFonts w:ascii="Arial" w:cs="Arial" w:eastAsia="Arial" w:hAnsi="Arial"/>
                <w:sz w:val="10"/>
                <w:szCs w:val="10"/>
                <w:b w:val="1"/>
                <w:bCs w:val="1"/>
                <w:color w:val="auto"/>
              </w:rPr>
              <w:t>October 31, 2021</w:t>
            </w:r>
          </w:p>
        </w:tc>
        <w:tc>
          <w:tcPr>
            <w:tcW w:w="180" w:type="dxa"/>
            <w:vAlign w:val="bottom"/>
            <w:tcBorders>
              <w:bottom w:val="single" w:sz="8" w:color="43C0B9"/>
            </w:tcBorders>
            <w:shd w:val="clear" w:color="auto" w:fill="43C0B9"/>
          </w:tcPr>
          <w:p>
            <w:pPr>
              <w:spacing w:after="0"/>
              <w:rPr>
                <w:sz w:val="13"/>
                <w:szCs w:val="13"/>
                <w:color w:val="auto"/>
              </w:rPr>
            </w:pPr>
          </w:p>
        </w:tc>
        <w:tc>
          <w:tcPr>
            <w:tcW w:w="1060" w:type="dxa"/>
            <w:vAlign w:val="bottom"/>
            <w:tcBorders>
              <w:bottom w:val="single" w:sz="8" w:color="43C0B9"/>
            </w:tcBorders>
            <w:shd w:val="clear" w:color="auto" w:fill="43C0B9"/>
          </w:tcPr>
          <w:p>
            <w:pPr>
              <w:spacing w:after="0"/>
              <w:rPr>
                <w:sz w:val="13"/>
                <w:szCs w:val="13"/>
                <w:color w:val="auto"/>
              </w:rPr>
            </w:pPr>
          </w:p>
        </w:tc>
        <w:tc>
          <w:tcPr>
            <w:tcW w:w="120" w:type="dxa"/>
            <w:vAlign w:val="bottom"/>
            <w:tcBorders>
              <w:bottom w:val="single" w:sz="8" w:color="43C0B9"/>
            </w:tcBorders>
            <w:shd w:val="clear" w:color="auto" w:fill="43C0B9"/>
          </w:tcPr>
          <w:p>
            <w:pPr>
              <w:spacing w:after="0"/>
              <w:rPr>
                <w:sz w:val="13"/>
                <w:szCs w:val="13"/>
                <w:color w:val="auto"/>
              </w:rPr>
            </w:pPr>
          </w:p>
        </w:tc>
        <w:tc>
          <w:tcPr>
            <w:tcW w:w="420" w:type="dxa"/>
            <w:vAlign w:val="bottom"/>
            <w:tcBorders>
              <w:bottom w:val="single" w:sz="8" w:color="43C0B9"/>
            </w:tcBorders>
            <w:shd w:val="clear" w:color="auto" w:fill="43C0B9"/>
          </w:tcPr>
          <w:p>
            <w:pPr>
              <w:spacing w:after="0"/>
              <w:rPr>
                <w:sz w:val="13"/>
                <w:szCs w:val="13"/>
                <w:color w:val="auto"/>
              </w:rPr>
            </w:pPr>
          </w:p>
        </w:tc>
        <w:tc>
          <w:tcPr>
            <w:tcW w:w="820" w:type="dxa"/>
            <w:vAlign w:val="bottom"/>
            <w:tcBorders>
              <w:bottom w:val="single" w:sz="8" w:color="43C0B9"/>
            </w:tcBorders>
            <w:shd w:val="clear" w:color="auto" w:fill="43C0B9"/>
          </w:tcPr>
          <w:p>
            <w:pPr>
              <w:spacing w:after="0"/>
              <w:rPr>
                <w:sz w:val="13"/>
                <w:szCs w:val="13"/>
                <w:color w:val="auto"/>
              </w:rPr>
            </w:pPr>
          </w:p>
        </w:tc>
        <w:tc>
          <w:tcPr>
            <w:tcW w:w="360" w:type="dxa"/>
            <w:vAlign w:val="bottom"/>
            <w:tcBorders>
              <w:bottom w:val="single" w:sz="8" w:color="43C0B9"/>
            </w:tcBorders>
            <w:shd w:val="clear" w:color="auto" w:fill="43C0B9"/>
          </w:tcPr>
          <w:p>
            <w:pPr>
              <w:spacing w:after="0"/>
              <w:rPr>
                <w:sz w:val="13"/>
                <w:szCs w:val="13"/>
                <w:color w:val="auto"/>
              </w:rPr>
            </w:pPr>
          </w:p>
        </w:tc>
        <w:tc>
          <w:tcPr>
            <w:tcW w:w="2240" w:type="dxa"/>
            <w:vAlign w:val="bottom"/>
            <w:tcBorders>
              <w:bottom w:val="single" w:sz="8" w:color="43C0B9"/>
            </w:tcBorders>
            <w:gridSpan w:val="3"/>
            <w:shd w:val="clear" w:color="auto" w:fill="43C0B9"/>
          </w:tcPr>
          <w:p>
            <w:pPr>
              <w:jc w:val="right"/>
              <w:ind w:right="571"/>
              <w:spacing w:after="0"/>
              <w:rPr>
                <w:sz w:val="20"/>
                <w:szCs w:val="20"/>
                <w:color w:val="auto"/>
              </w:rPr>
            </w:pPr>
            <w:r>
              <w:rPr>
                <w:rFonts w:ascii="Arial" w:cs="Arial" w:eastAsia="Arial" w:hAnsi="Arial"/>
                <w:sz w:val="10"/>
                <w:szCs w:val="10"/>
                <w:b w:val="1"/>
                <w:bCs w:val="1"/>
                <w:color w:val="auto"/>
              </w:rPr>
              <w:t>Year Ended October 31, 2021</w:t>
            </w:r>
          </w:p>
        </w:tc>
        <w:tc>
          <w:tcPr>
            <w:tcW w:w="580" w:type="dxa"/>
            <w:vAlign w:val="bottom"/>
            <w:tcBorders>
              <w:bottom w:val="single" w:sz="8" w:color="43C0B9"/>
            </w:tcBorders>
            <w:shd w:val="clear" w:color="auto" w:fill="43C0B9"/>
          </w:tcPr>
          <w:p>
            <w:pPr>
              <w:spacing w:after="0"/>
              <w:rPr>
                <w:sz w:val="13"/>
                <w:szCs w:val="13"/>
                <w:color w:val="auto"/>
              </w:rPr>
            </w:pPr>
          </w:p>
        </w:tc>
        <w:tc>
          <w:tcPr>
            <w:tcW w:w="660" w:type="dxa"/>
            <w:vAlign w:val="bottom"/>
            <w:tcBorders>
              <w:bottom w:val="single" w:sz="8" w:color="43C0B9"/>
            </w:tcBorders>
            <w:shd w:val="clear" w:color="auto" w:fill="43C0B9"/>
          </w:tcPr>
          <w:p>
            <w:pPr>
              <w:spacing w:after="0"/>
              <w:rPr>
                <w:sz w:val="13"/>
                <w:szCs w:val="13"/>
                <w:color w:val="auto"/>
              </w:rPr>
            </w:pPr>
          </w:p>
        </w:tc>
      </w:tr>
      <w:tr>
        <w:trPr>
          <w:trHeight w:val="114"/>
        </w:trPr>
        <w:tc>
          <w:tcPr>
            <w:tcW w:w="2340" w:type="dxa"/>
            <w:vAlign w:val="bottom"/>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1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9"/>
        </w:trPr>
        <w:tc>
          <w:tcPr>
            <w:tcW w:w="2340" w:type="dxa"/>
            <w:vAlign w:val="bottom"/>
            <w:tcBorders>
              <w:bottom w:val="single" w:sz="8" w:color="43C0B9"/>
            </w:tcBorders>
            <w:shd w:val="clear" w:color="auto" w:fill="43C0B9"/>
          </w:tcPr>
          <w:p>
            <w:pPr>
              <w:ind w:left="100"/>
              <w:spacing w:after="0"/>
              <w:rPr>
                <w:sz w:val="20"/>
                <w:szCs w:val="20"/>
                <w:color w:val="auto"/>
              </w:rPr>
            </w:pPr>
            <w:r>
              <w:rPr>
                <w:rFonts w:ascii="Arial" w:cs="Arial" w:eastAsia="Arial" w:hAnsi="Arial"/>
                <w:sz w:val="10"/>
                <w:szCs w:val="10"/>
                <w:color w:val="auto"/>
              </w:rPr>
              <w:t>Henry Avocado</w:t>
            </w:r>
          </w:p>
        </w:tc>
        <w:tc>
          <w:tcPr>
            <w:tcW w:w="14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43C0B9"/>
            </w:tcBorders>
            <w:gridSpan w:val="2"/>
            <w:shd w:val="clear" w:color="auto" w:fill="43C0B9"/>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4.4</w:t>
            </w:r>
          </w:p>
        </w:tc>
        <w:tc>
          <w:tcPr>
            <w:tcW w:w="360" w:type="dxa"/>
            <w:vAlign w:val="bottom"/>
            <w:tcBorders>
              <w:bottom w:val="single" w:sz="8" w:color="43C0B9"/>
            </w:tcBorders>
            <w:shd w:val="clear" w:color="auto" w:fill="43C0B9"/>
          </w:tcPr>
          <w:p>
            <w:pPr>
              <w:jc w:val="right"/>
              <w:ind w:right="211"/>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43C0B9"/>
            </w:tcBorders>
            <w:shd w:val="clear" w:color="auto" w:fill="43C0B9"/>
          </w:tcPr>
          <w:p>
            <w:pPr>
              <w:jc w:val="right"/>
              <w:ind w:right="43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2340" w:type="dxa"/>
            <w:vAlign w:val="bottom"/>
          </w:tcPr>
          <w:p>
            <w:pPr>
              <w:ind w:left="100"/>
              <w:spacing w:after="0"/>
              <w:rPr>
                <w:sz w:val="20"/>
                <w:szCs w:val="20"/>
                <w:color w:val="auto"/>
              </w:rPr>
            </w:pPr>
            <w:r>
              <w:rPr>
                <w:rFonts w:ascii="Arial" w:cs="Arial" w:eastAsia="Arial" w:hAnsi="Arial"/>
                <w:sz w:val="10"/>
                <w:szCs w:val="10"/>
                <w:color w:val="auto"/>
              </w:rPr>
              <w:t>Mr. Avocado</w:t>
            </w:r>
          </w:p>
        </w:tc>
        <w:tc>
          <w:tcPr>
            <w:tcW w:w="1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w:t>
            </w:r>
          </w:p>
        </w:tc>
        <w:tc>
          <w:tcPr>
            <w:tcW w:w="160" w:type="dxa"/>
            <w:vAlign w:val="bottom"/>
          </w:tcPr>
          <w:p>
            <w:pPr>
              <w:spacing w:after="0"/>
              <w:rPr>
                <w:sz w:val="11"/>
                <w:szCs w:val="11"/>
                <w:color w:val="auto"/>
              </w:rPr>
            </w:pP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4.3</w:t>
            </w:r>
          </w:p>
        </w:tc>
        <w:tc>
          <w:tcPr>
            <w:tcW w:w="360" w:type="dxa"/>
            <w:vAlign w:val="bottom"/>
          </w:tcPr>
          <w:p>
            <w:pPr>
              <w:spacing w:after="0"/>
              <w:rPr>
                <w:sz w:val="11"/>
                <w:szCs w:val="11"/>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340" w:type="dxa"/>
            <w:vAlign w:val="bottom"/>
            <w:shd w:val="clear" w:color="auto" w:fill="43C0B9"/>
          </w:tcPr>
          <w:p>
            <w:pPr>
              <w:ind w:left="100"/>
              <w:spacing w:after="0"/>
              <w:rPr>
                <w:sz w:val="20"/>
                <w:szCs w:val="20"/>
                <w:color w:val="auto"/>
              </w:rPr>
            </w:pPr>
            <w:r>
              <w:rPr>
                <w:rFonts w:ascii="Arial" w:cs="Arial" w:eastAsia="Arial" w:hAnsi="Arial"/>
                <w:sz w:val="10"/>
                <w:szCs w:val="10"/>
                <w:color w:val="auto"/>
              </w:rPr>
              <w:t>Moruga</w:t>
            </w:r>
            <w:r>
              <w:rPr>
                <w:rFonts w:ascii="Arial" w:cs="Arial" w:eastAsia="Arial" w:hAnsi="Arial"/>
                <w:sz w:val="12"/>
                <w:szCs w:val="12"/>
                <w:color w:val="auto"/>
                <w:vertAlign w:val="superscript"/>
              </w:rPr>
              <w:t>(1)</w:t>
            </w:r>
          </w:p>
        </w:tc>
        <w:tc>
          <w:tcPr>
            <w:tcW w:w="140" w:type="dxa"/>
            <w:vAlign w:val="bottom"/>
            <w:shd w:val="clear" w:color="auto" w:fill="43C0B9"/>
          </w:tcPr>
          <w:p>
            <w:pPr>
              <w:spacing w:after="0"/>
              <w:rPr>
                <w:sz w:val="13"/>
                <w:szCs w:val="13"/>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0"/>
                <w:szCs w:val="10"/>
                <w:color w:val="auto"/>
              </w:rPr>
              <w:t>3.9</w:t>
            </w:r>
          </w:p>
        </w:tc>
        <w:tc>
          <w:tcPr>
            <w:tcW w:w="160" w:type="dxa"/>
            <w:vAlign w:val="bottom"/>
            <w:shd w:val="clear" w:color="auto" w:fill="43C0B9"/>
          </w:tcPr>
          <w:p>
            <w:pPr>
              <w:spacing w:after="0"/>
              <w:rPr>
                <w:sz w:val="13"/>
                <w:szCs w:val="13"/>
                <w:color w:val="auto"/>
              </w:rPr>
            </w:pPr>
          </w:p>
        </w:tc>
        <w:tc>
          <w:tcPr>
            <w:tcW w:w="116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3.0</w:t>
            </w:r>
          </w:p>
        </w:tc>
        <w:tc>
          <w:tcPr>
            <w:tcW w:w="180" w:type="dxa"/>
            <w:vAlign w:val="bottom"/>
            <w:shd w:val="clear" w:color="auto" w:fill="43C0B9"/>
          </w:tcPr>
          <w:p>
            <w:pPr>
              <w:spacing w:after="0"/>
              <w:rPr>
                <w:sz w:val="13"/>
                <w:szCs w:val="13"/>
                <w:color w:val="auto"/>
              </w:rPr>
            </w:pPr>
          </w:p>
        </w:tc>
        <w:tc>
          <w:tcPr>
            <w:tcW w:w="1180" w:type="dxa"/>
            <w:vAlign w:val="bottom"/>
            <w:gridSpan w:val="2"/>
            <w:shd w:val="clear" w:color="auto" w:fill="43C0B9"/>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shd w:val="clear" w:color="auto" w:fill="43C0B9"/>
          </w:tcPr>
          <w:p>
            <w:pPr>
              <w:spacing w:after="0"/>
              <w:rPr>
                <w:sz w:val="13"/>
                <w:szCs w:val="13"/>
                <w:color w:val="auto"/>
              </w:rPr>
            </w:pPr>
          </w:p>
        </w:tc>
        <w:tc>
          <w:tcPr>
            <w:tcW w:w="82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6.1</w:t>
            </w:r>
          </w:p>
        </w:tc>
        <w:tc>
          <w:tcPr>
            <w:tcW w:w="360" w:type="dxa"/>
            <w:vAlign w:val="bottom"/>
            <w:shd w:val="clear" w:color="auto" w:fill="43C0B9"/>
          </w:tcPr>
          <w:p>
            <w:pPr>
              <w:spacing w:after="0"/>
              <w:rPr>
                <w:sz w:val="13"/>
                <w:szCs w:val="13"/>
                <w:color w:val="auto"/>
              </w:rPr>
            </w:pPr>
          </w:p>
        </w:tc>
        <w:tc>
          <w:tcPr>
            <w:tcW w:w="920" w:type="dxa"/>
            <w:vAlign w:val="bottom"/>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shd w:val="clear" w:color="auto" w:fill="43C0B9"/>
          </w:tcPr>
          <w:p>
            <w:pPr>
              <w:spacing w:after="0"/>
              <w:rPr>
                <w:sz w:val="13"/>
                <w:szCs w:val="13"/>
                <w:color w:val="auto"/>
              </w:rPr>
            </w:pP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43C0B9"/>
          </w:tcPr>
          <w:p>
            <w:pPr>
              <w:spacing w:after="0"/>
              <w:rPr>
                <w:sz w:val="13"/>
                <w:szCs w:val="13"/>
                <w:color w:val="auto"/>
              </w:rPr>
            </w:pPr>
          </w:p>
        </w:tc>
        <w:tc>
          <w:tcPr>
            <w:tcW w:w="660" w:type="dxa"/>
            <w:vAlign w:val="bottom"/>
            <w:shd w:val="clear" w:color="auto" w:fill="43C0B9"/>
          </w:tcPr>
          <w:p>
            <w:pPr>
              <w:jc w:val="right"/>
              <w:spacing w:after="0"/>
              <w:rPr>
                <w:sz w:val="20"/>
                <w:szCs w:val="20"/>
                <w:color w:val="auto"/>
              </w:rPr>
            </w:pPr>
            <w:r>
              <w:rPr>
                <w:rFonts w:ascii="Arial" w:cs="Arial" w:eastAsia="Arial" w:hAnsi="Arial"/>
                <w:sz w:val="10"/>
                <w:szCs w:val="10"/>
                <w:color w:val="auto"/>
              </w:rPr>
              <w:t>0.4</w:t>
            </w:r>
          </w:p>
        </w:tc>
      </w:tr>
      <w:tr>
        <w:trPr>
          <w:trHeight w:val="159"/>
        </w:trPr>
        <w:tc>
          <w:tcPr>
            <w:tcW w:w="2340" w:type="dxa"/>
            <w:vAlign w:val="bottom"/>
          </w:tcPr>
          <w:p>
            <w:pPr>
              <w:ind w:left="100"/>
              <w:spacing w:after="0"/>
              <w:rPr>
                <w:sz w:val="20"/>
                <w:szCs w:val="20"/>
                <w:color w:val="auto"/>
              </w:rPr>
            </w:pPr>
            <w:r>
              <w:rPr>
                <w:rFonts w:ascii="Arial" w:cs="Arial" w:eastAsia="Arial" w:hAnsi="Arial"/>
                <w:sz w:val="10"/>
                <w:szCs w:val="10"/>
                <w:color w:val="auto"/>
              </w:rPr>
              <w:t>Copaltas</w:t>
            </w:r>
            <w:r>
              <w:rPr>
                <w:rFonts w:ascii="Arial" w:cs="Arial" w:eastAsia="Arial" w:hAnsi="Arial"/>
                <w:sz w:val="12"/>
                <w:szCs w:val="12"/>
                <w:color w:val="auto"/>
                <w:vertAlign w:val="superscript"/>
              </w:rPr>
              <w:t>(4)</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2.1</w:t>
            </w: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3"/>
                <w:szCs w:val="13"/>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39"/>
        </w:trPr>
        <w:tc>
          <w:tcPr>
            <w:tcW w:w="23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b w:val="1"/>
                <w:bCs w:val="1"/>
                <w:color w:val="auto"/>
              </w:rPr>
              <w:t>Other:</w:t>
            </w:r>
          </w:p>
        </w:tc>
        <w:tc>
          <w:tcPr>
            <w:tcW w:w="14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spacing w:after="0"/>
              <w:rPr>
                <w:sz w:val="12"/>
                <w:szCs w:val="12"/>
                <w:color w:val="auto"/>
              </w:rPr>
            </w:pPr>
          </w:p>
        </w:tc>
        <w:tc>
          <w:tcPr>
            <w:tcW w:w="160" w:type="dxa"/>
            <w:vAlign w:val="bottom"/>
            <w:tcBorders>
              <w:bottom w:val="single" w:sz="8" w:color="43C0B9"/>
            </w:tcBorders>
            <w:shd w:val="clear" w:color="auto" w:fill="43C0B9"/>
          </w:tcPr>
          <w:p>
            <w:pPr>
              <w:spacing w:after="0"/>
              <w:rPr>
                <w:sz w:val="12"/>
                <w:szCs w:val="12"/>
                <w:color w:val="auto"/>
              </w:rPr>
            </w:pPr>
          </w:p>
        </w:tc>
        <w:tc>
          <w:tcPr>
            <w:tcW w:w="1160" w:type="dxa"/>
            <w:vAlign w:val="bottom"/>
            <w:tcBorders>
              <w:bottom w:val="single" w:sz="8" w:color="43C0B9"/>
            </w:tcBorders>
            <w:shd w:val="clear" w:color="auto" w:fill="43C0B9"/>
          </w:tcPr>
          <w:p>
            <w:pPr>
              <w:spacing w:after="0"/>
              <w:rPr>
                <w:sz w:val="12"/>
                <w:szCs w:val="12"/>
                <w:color w:val="auto"/>
              </w:rPr>
            </w:pPr>
          </w:p>
        </w:tc>
        <w:tc>
          <w:tcPr>
            <w:tcW w:w="180" w:type="dxa"/>
            <w:vAlign w:val="bottom"/>
            <w:tcBorders>
              <w:bottom w:val="single" w:sz="8" w:color="43C0B9"/>
            </w:tcBorders>
            <w:shd w:val="clear" w:color="auto" w:fill="43C0B9"/>
          </w:tcPr>
          <w:p>
            <w:pPr>
              <w:spacing w:after="0"/>
              <w:rPr>
                <w:sz w:val="12"/>
                <w:szCs w:val="12"/>
                <w:color w:val="auto"/>
              </w:rPr>
            </w:pPr>
          </w:p>
        </w:tc>
        <w:tc>
          <w:tcPr>
            <w:tcW w:w="1060" w:type="dxa"/>
            <w:vAlign w:val="bottom"/>
            <w:tcBorders>
              <w:bottom w:val="single" w:sz="8" w:color="43C0B9"/>
            </w:tcBorders>
            <w:shd w:val="clear" w:color="auto" w:fill="43C0B9"/>
          </w:tcPr>
          <w:p>
            <w:pPr>
              <w:spacing w:after="0"/>
              <w:rPr>
                <w:sz w:val="12"/>
                <w:szCs w:val="12"/>
                <w:color w:val="auto"/>
              </w:rPr>
            </w:pPr>
          </w:p>
        </w:tc>
        <w:tc>
          <w:tcPr>
            <w:tcW w:w="120" w:type="dxa"/>
            <w:vAlign w:val="bottom"/>
            <w:tcBorders>
              <w:bottom w:val="single" w:sz="8" w:color="43C0B9"/>
            </w:tcBorders>
            <w:shd w:val="clear" w:color="auto" w:fill="43C0B9"/>
          </w:tcPr>
          <w:p>
            <w:pPr>
              <w:spacing w:after="0"/>
              <w:rPr>
                <w:sz w:val="12"/>
                <w:szCs w:val="12"/>
                <w:color w:val="auto"/>
              </w:rPr>
            </w:pPr>
          </w:p>
        </w:tc>
        <w:tc>
          <w:tcPr>
            <w:tcW w:w="420" w:type="dxa"/>
            <w:vAlign w:val="bottom"/>
            <w:tcBorders>
              <w:bottom w:val="single" w:sz="8" w:color="43C0B9"/>
            </w:tcBorders>
            <w:shd w:val="clear" w:color="auto" w:fill="43C0B9"/>
          </w:tcPr>
          <w:p>
            <w:pPr>
              <w:spacing w:after="0"/>
              <w:rPr>
                <w:sz w:val="12"/>
                <w:szCs w:val="12"/>
                <w:color w:val="auto"/>
              </w:rPr>
            </w:pPr>
          </w:p>
        </w:tc>
        <w:tc>
          <w:tcPr>
            <w:tcW w:w="820" w:type="dxa"/>
            <w:vAlign w:val="bottom"/>
            <w:tcBorders>
              <w:bottom w:val="single" w:sz="8" w:color="43C0B9"/>
            </w:tcBorders>
            <w:shd w:val="clear" w:color="auto" w:fill="43C0B9"/>
          </w:tcPr>
          <w:p>
            <w:pPr>
              <w:spacing w:after="0"/>
              <w:rPr>
                <w:sz w:val="12"/>
                <w:szCs w:val="12"/>
                <w:color w:val="auto"/>
              </w:rPr>
            </w:pPr>
          </w:p>
        </w:tc>
        <w:tc>
          <w:tcPr>
            <w:tcW w:w="360" w:type="dxa"/>
            <w:vAlign w:val="bottom"/>
            <w:tcBorders>
              <w:bottom w:val="single" w:sz="8" w:color="43C0B9"/>
            </w:tcBorders>
            <w:shd w:val="clear" w:color="auto" w:fill="43C0B9"/>
          </w:tcPr>
          <w:p>
            <w:pPr>
              <w:spacing w:after="0"/>
              <w:rPr>
                <w:sz w:val="12"/>
                <w:szCs w:val="12"/>
                <w:color w:val="auto"/>
              </w:rPr>
            </w:pPr>
          </w:p>
        </w:tc>
        <w:tc>
          <w:tcPr>
            <w:tcW w:w="920" w:type="dxa"/>
            <w:vAlign w:val="bottom"/>
            <w:tcBorders>
              <w:bottom w:val="single" w:sz="8" w:color="43C0B9"/>
            </w:tcBorders>
            <w:shd w:val="clear" w:color="auto" w:fill="43C0B9"/>
          </w:tcPr>
          <w:p>
            <w:pPr>
              <w:spacing w:after="0"/>
              <w:rPr>
                <w:sz w:val="12"/>
                <w:szCs w:val="12"/>
                <w:color w:val="auto"/>
              </w:rPr>
            </w:pPr>
          </w:p>
        </w:tc>
        <w:tc>
          <w:tcPr>
            <w:tcW w:w="100" w:type="dxa"/>
            <w:vAlign w:val="bottom"/>
            <w:tcBorders>
              <w:bottom w:val="single" w:sz="8" w:color="43C0B9"/>
            </w:tcBorders>
            <w:shd w:val="clear" w:color="auto" w:fill="43C0B9"/>
          </w:tcPr>
          <w:p>
            <w:pPr>
              <w:spacing w:after="0"/>
              <w:rPr>
                <w:sz w:val="12"/>
                <w:szCs w:val="12"/>
                <w:color w:val="auto"/>
              </w:rPr>
            </w:pPr>
          </w:p>
        </w:tc>
        <w:tc>
          <w:tcPr>
            <w:tcW w:w="122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spacing w:after="0"/>
              <w:rPr>
                <w:sz w:val="12"/>
                <w:szCs w:val="12"/>
                <w:color w:val="auto"/>
              </w:rPr>
            </w:pPr>
          </w:p>
        </w:tc>
        <w:tc>
          <w:tcPr>
            <w:tcW w:w="660" w:type="dxa"/>
            <w:vAlign w:val="bottom"/>
            <w:tcBorders>
              <w:bottom w:val="single" w:sz="8" w:color="43C0B9"/>
            </w:tcBorders>
            <w:shd w:val="clear" w:color="auto" w:fill="43C0B9"/>
          </w:tcPr>
          <w:p>
            <w:pPr>
              <w:spacing w:after="0"/>
              <w:rPr>
                <w:sz w:val="12"/>
                <w:szCs w:val="12"/>
                <w:color w:val="auto"/>
              </w:rPr>
            </w:pPr>
          </w:p>
        </w:tc>
      </w:tr>
      <w:tr>
        <w:trPr>
          <w:trHeight w:val="159"/>
        </w:trPr>
        <w:tc>
          <w:tcPr>
            <w:tcW w:w="2340" w:type="dxa"/>
            <w:vAlign w:val="bottom"/>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(2)</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0.1</w:t>
            </w:r>
          </w:p>
        </w:tc>
        <w:tc>
          <w:tcPr>
            <w:tcW w:w="160" w:type="dxa"/>
            <w:vAlign w:val="bottom"/>
          </w:tcPr>
          <w:p>
            <w:pPr>
              <w:spacing w:after="0"/>
              <w:rPr>
                <w:sz w:val="13"/>
                <w:szCs w:val="13"/>
                <w:color w:val="auto"/>
              </w:rPr>
            </w:pP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2.5</w:t>
            </w:r>
          </w:p>
        </w:tc>
        <w:tc>
          <w:tcPr>
            <w:tcW w:w="360" w:type="dxa"/>
            <w:vAlign w:val="bottom"/>
          </w:tcPr>
          <w:p>
            <w:pPr>
              <w:spacing w:after="0"/>
              <w:rPr>
                <w:sz w:val="13"/>
                <w:szCs w:val="13"/>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3.5</w:t>
            </w:r>
          </w:p>
        </w:tc>
        <w:tc>
          <w:tcPr>
            <w:tcW w:w="10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0.1</w:t>
            </w:r>
          </w:p>
        </w:tc>
        <w:tc>
          <w:tcPr>
            <w:tcW w:w="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2340" w:type="dxa"/>
            <w:vAlign w:val="bottom"/>
            <w:shd w:val="clear" w:color="auto" w:fill="43C0B9"/>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(3)</w:t>
            </w:r>
          </w:p>
        </w:tc>
        <w:tc>
          <w:tcPr>
            <w:tcW w:w="140" w:type="dxa"/>
            <w:vAlign w:val="bottom"/>
            <w:shd w:val="clear" w:color="auto" w:fill="43C0B9"/>
          </w:tcPr>
          <w:p>
            <w:pPr>
              <w:spacing w:after="0"/>
              <w:rPr>
                <w:sz w:val="13"/>
                <w:szCs w:val="13"/>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60" w:type="dxa"/>
            <w:vAlign w:val="bottom"/>
            <w:shd w:val="clear" w:color="auto" w:fill="43C0B9"/>
          </w:tcPr>
          <w:p>
            <w:pPr>
              <w:spacing w:after="0"/>
              <w:rPr>
                <w:sz w:val="13"/>
                <w:szCs w:val="13"/>
                <w:color w:val="auto"/>
              </w:rPr>
            </w:pPr>
          </w:p>
        </w:tc>
        <w:tc>
          <w:tcPr>
            <w:tcW w:w="116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shd w:val="clear" w:color="auto" w:fill="43C0B9"/>
          </w:tcPr>
          <w:p>
            <w:pPr>
              <w:spacing w:after="0"/>
              <w:rPr>
                <w:sz w:val="13"/>
                <w:szCs w:val="13"/>
                <w:color w:val="auto"/>
              </w:rPr>
            </w:pPr>
          </w:p>
        </w:tc>
        <w:tc>
          <w:tcPr>
            <w:tcW w:w="1060" w:type="dxa"/>
            <w:vAlign w:val="bottom"/>
            <w:shd w:val="clear" w:color="auto" w:fill="43C0B9"/>
          </w:tcPr>
          <w:p>
            <w:pPr>
              <w:jc w:val="right"/>
              <w:ind w:right="11"/>
              <w:spacing w:after="0"/>
              <w:rPr>
                <w:sz w:val="20"/>
                <w:szCs w:val="20"/>
                <w:color w:val="auto"/>
              </w:rPr>
            </w:pPr>
            <w:r>
              <w:rPr>
                <w:rFonts w:ascii="Arial" w:cs="Arial" w:eastAsia="Arial" w:hAnsi="Arial"/>
                <w:sz w:val="10"/>
                <w:szCs w:val="10"/>
                <w:color w:val="auto"/>
              </w:rPr>
              <w:t>0.2</w:t>
            </w:r>
          </w:p>
        </w:tc>
        <w:tc>
          <w:tcPr>
            <w:tcW w:w="120" w:type="dxa"/>
            <w:vAlign w:val="bottom"/>
            <w:shd w:val="clear" w:color="auto" w:fill="43C0B9"/>
          </w:tcPr>
          <w:p>
            <w:pPr>
              <w:spacing w:after="0"/>
              <w:rPr>
                <w:sz w:val="13"/>
                <w:szCs w:val="13"/>
                <w:color w:val="auto"/>
              </w:rPr>
            </w:pPr>
          </w:p>
        </w:tc>
        <w:tc>
          <w:tcPr>
            <w:tcW w:w="420" w:type="dxa"/>
            <w:vAlign w:val="bottom"/>
            <w:shd w:val="clear" w:color="auto" w:fill="43C0B9"/>
          </w:tcPr>
          <w:p>
            <w:pPr>
              <w:spacing w:after="0"/>
              <w:rPr>
                <w:sz w:val="13"/>
                <w:szCs w:val="13"/>
                <w:color w:val="auto"/>
              </w:rPr>
            </w:pPr>
          </w:p>
        </w:tc>
        <w:tc>
          <w:tcPr>
            <w:tcW w:w="82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360" w:type="dxa"/>
            <w:vAlign w:val="bottom"/>
            <w:shd w:val="clear" w:color="auto" w:fill="43C0B9"/>
          </w:tcPr>
          <w:p>
            <w:pPr>
              <w:spacing w:after="0"/>
              <w:rPr>
                <w:sz w:val="13"/>
                <w:szCs w:val="13"/>
                <w:color w:val="auto"/>
              </w:rPr>
            </w:pPr>
          </w:p>
        </w:tc>
        <w:tc>
          <w:tcPr>
            <w:tcW w:w="920" w:type="dxa"/>
            <w:vAlign w:val="bottom"/>
            <w:shd w:val="clear" w:color="auto" w:fill="43C0B9"/>
          </w:tcPr>
          <w:p>
            <w:pPr>
              <w:jc w:val="right"/>
              <w:ind w:right="51"/>
              <w:spacing w:after="0"/>
              <w:rPr>
                <w:sz w:val="20"/>
                <w:szCs w:val="20"/>
                <w:color w:val="auto"/>
              </w:rPr>
            </w:pPr>
            <w:r>
              <w:rPr>
                <w:rFonts w:ascii="Arial" w:cs="Arial" w:eastAsia="Arial" w:hAnsi="Arial"/>
                <w:sz w:val="10"/>
                <w:szCs w:val="10"/>
                <w:color w:val="auto"/>
              </w:rPr>
              <w:t>9.6</w:t>
            </w:r>
          </w:p>
        </w:tc>
        <w:tc>
          <w:tcPr>
            <w:tcW w:w="100" w:type="dxa"/>
            <w:vAlign w:val="bottom"/>
            <w:shd w:val="clear" w:color="auto" w:fill="43C0B9"/>
          </w:tcPr>
          <w:p>
            <w:pPr>
              <w:spacing w:after="0"/>
              <w:rPr>
                <w:sz w:val="13"/>
                <w:szCs w:val="13"/>
                <w:color w:val="auto"/>
              </w:rPr>
            </w:pPr>
          </w:p>
        </w:tc>
        <w:tc>
          <w:tcPr>
            <w:tcW w:w="1220" w:type="dxa"/>
            <w:vAlign w:val="bottom"/>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43C0B9"/>
          </w:tcPr>
          <w:p>
            <w:pPr>
              <w:spacing w:after="0"/>
              <w:rPr>
                <w:sz w:val="13"/>
                <w:szCs w:val="13"/>
                <w:color w:val="auto"/>
              </w:rPr>
            </w:pPr>
          </w:p>
        </w:tc>
        <w:tc>
          <w:tcPr>
            <w:tcW w:w="660" w:type="dxa"/>
            <w:vAlign w:val="bottom"/>
            <w:shd w:val="clear" w:color="auto" w:fill="43C0B9"/>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91"/>
              <w:spacing w:after="0"/>
              <w:rPr>
                <w:sz w:val="20"/>
                <w:szCs w:val="20"/>
                <w:color w:val="auto"/>
              </w:rPr>
            </w:pPr>
            <w:r>
              <w:rPr>
                <w:rFonts w:ascii="Arial" w:cs="Arial" w:eastAsia="Arial" w:hAnsi="Arial"/>
                <w:sz w:val="10"/>
                <w:szCs w:val="10"/>
                <w:b w:val="1"/>
                <w:bCs w:val="1"/>
                <w:color w:val="auto"/>
              </w:rPr>
              <w:t>October 31, 2020</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40" w:type="dxa"/>
            <w:vAlign w:val="bottom"/>
            <w:gridSpan w:val="3"/>
          </w:tcPr>
          <w:p>
            <w:pPr>
              <w:jc w:val="right"/>
              <w:ind w:right="571"/>
              <w:spacing w:after="0"/>
              <w:rPr>
                <w:sz w:val="20"/>
                <w:szCs w:val="20"/>
                <w:color w:val="auto"/>
              </w:rPr>
            </w:pPr>
            <w:r>
              <w:rPr>
                <w:rFonts w:ascii="Arial" w:cs="Arial" w:eastAsia="Arial" w:hAnsi="Arial"/>
                <w:sz w:val="10"/>
                <w:szCs w:val="10"/>
                <w:b w:val="1"/>
                <w:bCs w:val="1"/>
                <w:color w:val="auto"/>
              </w:rPr>
              <w:t>Year Ended October 31, 2020</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5"/>
        </w:trPr>
        <w:tc>
          <w:tcPr>
            <w:tcW w:w="2340" w:type="dxa"/>
            <w:vAlign w:val="bottom"/>
            <w:tcBorders>
              <w:bottom w:val="single" w:sz="8" w:color="43C0B9"/>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43C0B9"/>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19"/>
        </w:trPr>
        <w:tc>
          <w:tcPr>
            <w:tcW w:w="23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140" w:type="dxa"/>
            <w:vAlign w:val="bottom"/>
            <w:tcBorders>
              <w:bottom w:val="single" w:sz="8" w:color="43C0B9"/>
            </w:tcBorders>
            <w:shd w:val="clear" w:color="auto" w:fill="43C0B9"/>
          </w:tcPr>
          <w:p>
            <w:pPr>
              <w:spacing w:after="0"/>
              <w:rPr>
                <w:sz w:val="10"/>
                <w:szCs w:val="10"/>
                <w:color w:val="auto"/>
              </w:rPr>
            </w:pPr>
          </w:p>
        </w:tc>
        <w:tc>
          <w:tcPr>
            <w:tcW w:w="1040" w:type="dxa"/>
            <w:vAlign w:val="bottom"/>
            <w:tcBorders>
              <w:bottom w:val="single" w:sz="8" w:color="43C0B9"/>
            </w:tcBorders>
            <w:shd w:val="clear" w:color="auto" w:fill="43C0B9"/>
          </w:tcPr>
          <w:p>
            <w:pPr>
              <w:spacing w:after="0"/>
              <w:rPr>
                <w:sz w:val="10"/>
                <w:szCs w:val="10"/>
                <w:color w:val="auto"/>
              </w:rPr>
            </w:pPr>
          </w:p>
        </w:tc>
        <w:tc>
          <w:tcPr>
            <w:tcW w:w="160" w:type="dxa"/>
            <w:vAlign w:val="bottom"/>
            <w:tcBorders>
              <w:bottom w:val="single" w:sz="8" w:color="43C0B9"/>
            </w:tcBorders>
            <w:shd w:val="clear" w:color="auto" w:fill="43C0B9"/>
          </w:tcPr>
          <w:p>
            <w:pPr>
              <w:spacing w:after="0"/>
              <w:rPr>
                <w:sz w:val="10"/>
                <w:szCs w:val="10"/>
                <w:color w:val="auto"/>
              </w:rPr>
            </w:pPr>
          </w:p>
        </w:tc>
        <w:tc>
          <w:tcPr>
            <w:tcW w:w="1160" w:type="dxa"/>
            <w:vAlign w:val="bottom"/>
            <w:tcBorders>
              <w:bottom w:val="single" w:sz="8" w:color="43C0B9"/>
            </w:tcBorders>
            <w:shd w:val="clear" w:color="auto" w:fill="43C0B9"/>
          </w:tcPr>
          <w:p>
            <w:pPr>
              <w:spacing w:after="0"/>
              <w:rPr>
                <w:sz w:val="10"/>
                <w:szCs w:val="10"/>
                <w:color w:val="auto"/>
              </w:rPr>
            </w:pPr>
          </w:p>
        </w:tc>
        <w:tc>
          <w:tcPr>
            <w:tcW w:w="180" w:type="dxa"/>
            <w:vAlign w:val="bottom"/>
            <w:tcBorders>
              <w:bottom w:val="single" w:sz="8" w:color="43C0B9"/>
            </w:tcBorders>
            <w:shd w:val="clear" w:color="auto" w:fill="43C0B9"/>
          </w:tcPr>
          <w:p>
            <w:pPr>
              <w:spacing w:after="0"/>
              <w:rPr>
                <w:sz w:val="10"/>
                <w:szCs w:val="10"/>
                <w:color w:val="auto"/>
              </w:rPr>
            </w:pPr>
          </w:p>
        </w:tc>
        <w:tc>
          <w:tcPr>
            <w:tcW w:w="1060" w:type="dxa"/>
            <w:vAlign w:val="bottom"/>
            <w:tcBorders>
              <w:bottom w:val="single" w:sz="8" w:color="43C0B9"/>
            </w:tcBorders>
            <w:shd w:val="clear" w:color="auto" w:fill="43C0B9"/>
          </w:tcPr>
          <w:p>
            <w:pPr>
              <w:spacing w:after="0"/>
              <w:rPr>
                <w:sz w:val="10"/>
                <w:szCs w:val="10"/>
                <w:color w:val="auto"/>
              </w:rPr>
            </w:pPr>
          </w:p>
        </w:tc>
        <w:tc>
          <w:tcPr>
            <w:tcW w:w="120" w:type="dxa"/>
            <w:vAlign w:val="bottom"/>
            <w:tcBorders>
              <w:bottom w:val="single" w:sz="8" w:color="43C0B9"/>
            </w:tcBorders>
            <w:shd w:val="clear" w:color="auto" w:fill="43C0B9"/>
          </w:tcPr>
          <w:p>
            <w:pPr>
              <w:spacing w:after="0"/>
              <w:rPr>
                <w:sz w:val="10"/>
                <w:szCs w:val="10"/>
                <w:color w:val="auto"/>
              </w:rPr>
            </w:pPr>
          </w:p>
        </w:tc>
        <w:tc>
          <w:tcPr>
            <w:tcW w:w="420" w:type="dxa"/>
            <w:vAlign w:val="bottom"/>
            <w:tcBorders>
              <w:bottom w:val="single" w:sz="8" w:color="43C0B9"/>
            </w:tcBorders>
            <w:shd w:val="clear" w:color="auto" w:fill="43C0B9"/>
          </w:tcPr>
          <w:p>
            <w:pPr>
              <w:spacing w:after="0"/>
              <w:rPr>
                <w:sz w:val="10"/>
                <w:szCs w:val="10"/>
                <w:color w:val="auto"/>
              </w:rPr>
            </w:pPr>
          </w:p>
        </w:tc>
        <w:tc>
          <w:tcPr>
            <w:tcW w:w="820" w:type="dxa"/>
            <w:vAlign w:val="bottom"/>
            <w:tcBorders>
              <w:bottom w:val="single" w:sz="8" w:color="43C0B9"/>
            </w:tcBorders>
            <w:shd w:val="clear" w:color="auto" w:fill="43C0B9"/>
          </w:tcPr>
          <w:p>
            <w:pPr>
              <w:spacing w:after="0"/>
              <w:rPr>
                <w:sz w:val="10"/>
                <w:szCs w:val="10"/>
                <w:color w:val="auto"/>
              </w:rPr>
            </w:pPr>
          </w:p>
        </w:tc>
        <w:tc>
          <w:tcPr>
            <w:tcW w:w="360" w:type="dxa"/>
            <w:vAlign w:val="bottom"/>
            <w:tcBorders>
              <w:bottom w:val="single" w:sz="8" w:color="43C0B9"/>
            </w:tcBorders>
            <w:shd w:val="clear" w:color="auto" w:fill="43C0B9"/>
          </w:tcPr>
          <w:p>
            <w:pPr>
              <w:spacing w:after="0"/>
              <w:rPr>
                <w:sz w:val="10"/>
                <w:szCs w:val="10"/>
                <w:color w:val="auto"/>
              </w:rPr>
            </w:pPr>
          </w:p>
        </w:tc>
        <w:tc>
          <w:tcPr>
            <w:tcW w:w="920" w:type="dxa"/>
            <w:vAlign w:val="bottom"/>
            <w:tcBorders>
              <w:bottom w:val="single" w:sz="8" w:color="43C0B9"/>
            </w:tcBorders>
            <w:shd w:val="clear" w:color="auto" w:fill="43C0B9"/>
          </w:tcPr>
          <w:p>
            <w:pPr>
              <w:spacing w:after="0"/>
              <w:rPr>
                <w:sz w:val="10"/>
                <w:szCs w:val="10"/>
                <w:color w:val="auto"/>
              </w:rPr>
            </w:pPr>
          </w:p>
        </w:tc>
        <w:tc>
          <w:tcPr>
            <w:tcW w:w="100" w:type="dxa"/>
            <w:vAlign w:val="bottom"/>
            <w:tcBorders>
              <w:bottom w:val="single" w:sz="8" w:color="43C0B9"/>
            </w:tcBorders>
            <w:shd w:val="clear" w:color="auto" w:fill="43C0B9"/>
          </w:tcPr>
          <w:p>
            <w:pPr>
              <w:spacing w:after="0"/>
              <w:rPr>
                <w:sz w:val="10"/>
                <w:szCs w:val="10"/>
                <w:color w:val="auto"/>
              </w:rPr>
            </w:pPr>
          </w:p>
        </w:tc>
        <w:tc>
          <w:tcPr>
            <w:tcW w:w="1220" w:type="dxa"/>
            <w:vAlign w:val="bottom"/>
            <w:tcBorders>
              <w:bottom w:val="single" w:sz="8" w:color="43C0B9"/>
            </w:tcBorders>
            <w:shd w:val="clear" w:color="auto" w:fill="43C0B9"/>
          </w:tcPr>
          <w:p>
            <w:pPr>
              <w:spacing w:after="0"/>
              <w:rPr>
                <w:sz w:val="10"/>
                <w:szCs w:val="10"/>
                <w:color w:val="auto"/>
              </w:rPr>
            </w:pPr>
          </w:p>
        </w:tc>
        <w:tc>
          <w:tcPr>
            <w:tcW w:w="580" w:type="dxa"/>
            <w:vAlign w:val="bottom"/>
            <w:tcBorders>
              <w:bottom w:val="single" w:sz="8" w:color="43C0B9"/>
            </w:tcBorders>
            <w:shd w:val="clear" w:color="auto" w:fill="43C0B9"/>
          </w:tcPr>
          <w:p>
            <w:pPr>
              <w:spacing w:after="0"/>
              <w:rPr>
                <w:sz w:val="10"/>
                <w:szCs w:val="10"/>
                <w:color w:val="auto"/>
              </w:rPr>
            </w:pPr>
          </w:p>
        </w:tc>
        <w:tc>
          <w:tcPr>
            <w:tcW w:w="660" w:type="dxa"/>
            <w:vAlign w:val="bottom"/>
            <w:tcBorders>
              <w:bottom w:val="single" w:sz="8" w:color="43C0B9"/>
            </w:tcBorders>
            <w:shd w:val="clear" w:color="auto" w:fill="43C0B9"/>
          </w:tcPr>
          <w:p>
            <w:pPr>
              <w:spacing w:after="0"/>
              <w:rPr>
                <w:sz w:val="10"/>
                <w:szCs w:val="10"/>
                <w:color w:val="auto"/>
              </w:rPr>
            </w:pPr>
          </w:p>
        </w:tc>
      </w:tr>
      <w:tr>
        <w:trPr>
          <w:trHeight w:val="134"/>
        </w:trPr>
        <w:tc>
          <w:tcPr>
            <w:tcW w:w="2340" w:type="dxa"/>
            <w:vAlign w:val="bottom"/>
          </w:tcPr>
          <w:p>
            <w:pPr>
              <w:ind w:left="100"/>
              <w:spacing w:after="0"/>
              <w:rPr>
                <w:sz w:val="20"/>
                <w:szCs w:val="20"/>
                <w:color w:val="auto"/>
              </w:rPr>
            </w:pPr>
            <w:r>
              <w:rPr>
                <w:rFonts w:ascii="Arial" w:cs="Arial" w:eastAsia="Arial" w:hAnsi="Arial"/>
                <w:sz w:val="10"/>
                <w:szCs w:val="10"/>
                <w:color w:val="auto"/>
              </w:rPr>
              <w:t>Henry Avocado</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Pr>
          <w:p>
            <w:pPr>
              <w:jc w:val="right"/>
              <w:ind w:right="291"/>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1.3</w:t>
            </w:r>
          </w:p>
        </w:tc>
        <w:tc>
          <w:tcPr>
            <w:tcW w:w="36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43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9"/>
        </w:trPr>
        <w:tc>
          <w:tcPr>
            <w:tcW w:w="2340" w:type="dxa"/>
            <w:vAlign w:val="bottom"/>
            <w:tcBorders>
              <w:bottom w:val="single" w:sz="8" w:color="43C0B9"/>
            </w:tcBorders>
            <w:shd w:val="clear" w:color="auto" w:fill="43C0B9"/>
          </w:tcPr>
          <w:p>
            <w:pPr>
              <w:ind w:left="100"/>
              <w:spacing w:after="0"/>
              <w:rPr>
                <w:sz w:val="20"/>
                <w:szCs w:val="20"/>
                <w:color w:val="auto"/>
              </w:rPr>
            </w:pPr>
            <w:r>
              <w:rPr>
                <w:rFonts w:ascii="Arial" w:cs="Arial" w:eastAsia="Arial" w:hAnsi="Arial"/>
                <w:sz w:val="10"/>
                <w:szCs w:val="10"/>
                <w:color w:val="auto"/>
              </w:rPr>
              <w:t>Mr. Avocado</w:t>
            </w:r>
          </w:p>
        </w:tc>
        <w:tc>
          <w:tcPr>
            <w:tcW w:w="14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0.6</w:t>
            </w:r>
          </w:p>
        </w:tc>
        <w:tc>
          <w:tcPr>
            <w:tcW w:w="160" w:type="dxa"/>
            <w:vAlign w:val="bottom"/>
            <w:tcBorders>
              <w:bottom w:val="single" w:sz="8" w:color="43C0B9"/>
            </w:tcBorders>
            <w:shd w:val="clear" w:color="auto" w:fill="43C0B9"/>
          </w:tcPr>
          <w:p>
            <w:pPr>
              <w:spacing w:after="0"/>
              <w:rPr>
                <w:sz w:val="12"/>
                <w:szCs w:val="12"/>
                <w:color w:val="auto"/>
              </w:rPr>
            </w:pPr>
          </w:p>
        </w:tc>
        <w:tc>
          <w:tcPr>
            <w:tcW w:w="116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43C0B9"/>
            </w:tcBorders>
            <w:shd w:val="clear" w:color="auto" w:fill="43C0B9"/>
          </w:tcPr>
          <w:p>
            <w:pPr>
              <w:spacing w:after="0"/>
              <w:rPr>
                <w:sz w:val="12"/>
                <w:szCs w:val="12"/>
                <w:color w:val="auto"/>
              </w:rPr>
            </w:pPr>
          </w:p>
        </w:tc>
        <w:tc>
          <w:tcPr>
            <w:tcW w:w="1180" w:type="dxa"/>
            <w:vAlign w:val="bottom"/>
            <w:tcBorders>
              <w:bottom w:val="single" w:sz="8" w:color="43C0B9"/>
            </w:tcBorders>
            <w:gridSpan w:val="2"/>
            <w:shd w:val="clear" w:color="auto" w:fill="43C0B9"/>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43C0B9"/>
            </w:tcBorders>
            <w:shd w:val="clear" w:color="auto" w:fill="43C0B9"/>
          </w:tcPr>
          <w:p>
            <w:pPr>
              <w:spacing w:after="0"/>
              <w:rPr>
                <w:sz w:val="12"/>
                <w:szCs w:val="12"/>
                <w:color w:val="auto"/>
              </w:rPr>
            </w:pP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1.9</w:t>
            </w:r>
          </w:p>
        </w:tc>
        <w:tc>
          <w:tcPr>
            <w:tcW w:w="360" w:type="dxa"/>
            <w:vAlign w:val="bottom"/>
            <w:tcBorders>
              <w:bottom w:val="single" w:sz="8" w:color="43C0B9"/>
            </w:tcBorders>
            <w:shd w:val="clear" w:color="auto" w:fill="43C0B9"/>
          </w:tcPr>
          <w:p>
            <w:pPr>
              <w:spacing w:after="0"/>
              <w:rPr>
                <w:sz w:val="12"/>
                <w:szCs w:val="12"/>
                <w:color w:val="auto"/>
              </w:rPr>
            </w:pPr>
          </w:p>
        </w:tc>
        <w:tc>
          <w:tcPr>
            <w:tcW w:w="9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43C0B9"/>
            </w:tcBorders>
            <w:shd w:val="clear" w:color="auto" w:fill="43C0B9"/>
          </w:tcPr>
          <w:p>
            <w:pPr>
              <w:spacing w:after="0"/>
              <w:rPr>
                <w:sz w:val="12"/>
                <w:szCs w:val="12"/>
                <w:color w:val="auto"/>
              </w:rPr>
            </w:pPr>
          </w:p>
        </w:tc>
        <w:tc>
          <w:tcPr>
            <w:tcW w:w="12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43C0B9"/>
            </w:tcBorders>
            <w:shd w:val="clear" w:color="auto" w:fill="43C0B9"/>
          </w:tcPr>
          <w:p>
            <w:pPr>
              <w:spacing w:after="0"/>
              <w:rPr>
                <w:sz w:val="12"/>
                <w:szCs w:val="12"/>
                <w:color w:val="auto"/>
              </w:rPr>
            </w:pPr>
          </w:p>
        </w:tc>
        <w:tc>
          <w:tcPr>
            <w:tcW w:w="6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2340" w:type="dxa"/>
            <w:vAlign w:val="bottom"/>
          </w:tcPr>
          <w:p>
            <w:pPr>
              <w:ind w:left="100"/>
              <w:spacing w:after="0"/>
              <w:rPr>
                <w:sz w:val="20"/>
                <w:szCs w:val="20"/>
                <w:color w:val="auto"/>
              </w:rPr>
            </w:pPr>
            <w:r>
              <w:rPr>
                <w:rFonts w:ascii="Arial" w:cs="Arial" w:eastAsia="Arial" w:hAnsi="Arial"/>
                <w:sz w:val="10"/>
                <w:szCs w:val="10"/>
                <w:color w:val="auto"/>
              </w:rPr>
              <w:t>Moruga</w:t>
            </w:r>
            <w:r>
              <w:rPr>
                <w:rFonts w:ascii="Arial" w:cs="Arial" w:eastAsia="Arial" w:hAnsi="Arial"/>
                <w:sz w:val="12"/>
                <w:szCs w:val="12"/>
                <w:color w:val="auto"/>
                <w:vertAlign w:val="superscript"/>
              </w:rPr>
              <w:t>(1)</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2.0</w:t>
            </w:r>
          </w:p>
        </w:tc>
        <w:tc>
          <w:tcPr>
            <w:tcW w:w="160" w:type="dxa"/>
            <w:vAlign w:val="bottom"/>
          </w:tcPr>
          <w:p>
            <w:pPr>
              <w:spacing w:after="0"/>
              <w:rPr>
                <w:sz w:val="13"/>
                <w:szCs w:val="13"/>
                <w:color w:val="auto"/>
              </w:rPr>
            </w:pP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4.5</w:t>
            </w: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3"/>
                <w:szCs w:val="13"/>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4.9</w:t>
            </w:r>
          </w:p>
        </w:tc>
        <w:tc>
          <w:tcPr>
            <w:tcW w:w="360" w:type="dxa"/>
            <w:vAlign w:val="bottom"/>
          </w:tcPr>
          <w:p>
            <w:pPr>
              <w:spacing w:after="0"/>
              <w:rPr>
                <w:sz w:val="13"/>
                <w:szCs w:val="13"/>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0.6</w:t>
            </w:r>
          </w:p>
        </w:tc>
      </w:tr>
      <w:tr>
        <w:trPr>
          <w:trHeight w:val="139"/>
        </w:trPr>
        <w:tc>
          <w:tcPr>
            <w:tcW w:w="23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b w:val="1"/>
                <w:bCs w:val="1"/>
                <w:color w:val="auto"/>
              </w:rPr>
              <w:t>Other:</w:t>
            </w:r>
          </w:p>
        </w:tc>
        <w:tc>
          <w:tcPr>
            <w:tcW w:w="14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spacing w:after="0"/>
              <w:rPr>
                <w:sz w:val="12"/>
                <w:szCs w:val="12"/>
                <w:color w:val="auto"/>
              </w:rPr>
            </w:pPr>
          </w:p>
        </w:tc>
        <w:tc>
          <w:tcPr>
            <w:tcW w:w="160" w:type="dxa"/>
            <w:vAlign w:val="bottom"/>
            <w:tcBorders>
              <w:bottom w:val="single" w:sz="8" w:color="43C0B9"/>
            </w:tcBorders>
            <w:shd w:val="clear" w:color="auto" w:fill="43C0B9"/>
          </w:tcPr>
          <w:p>
            <w:pPr>
              <w:spacing w:after="0"/>
              <w:rPr>
                <w:sz w:val="12"/>
                <w:szCs w:val="12"/>
                <w:color w:val="auto"/>
              </w:rPr>
            </w:pPr>
          </w:p>
        </w:tc>
        <w:tc>
          <w:tcPr>
            <w:tcW w:w="1160" w:type="dxa"/>
            <w:vAlign w:val="bottom"/>
            <w:tcBorders>
              <w:bottom w:val="single" w:sz="8" w:color="43C0B9"/>
            </w:tcBorders>
            <w:shd w:val="clear" w:color="auto" w:fill="43C0B9"/>
          </w:tcPr>
          <w:p>
            <w:pPr>
              <w:spacing w:after="0"/>
              <w:rPr>
                <w:sz w:val="12"/>
                <w:szCs w:val="12"/>
                <w:color w:val="auto"/>
              </w:rPr>
            </w:pPr>
          </w:p>
        </w:tc>
        <w:tc>
          <w:tcPr>
            <w:tcW w:w="180" w:type="dxa"/>
            <w:vAlign w:val="bottom"/>
            <w:tcBorders>
              <w:bottom w:val="single" w:sz="8" w:color="43C0B9"/>
            </w:tcBorders>
            <w:shd w:val="clear" w:color="auto" w:fill="43C0B9"/>
          </w:tcPr>
          <w:p>
            <w:pPr>
              <w:spacing w:after="0"/>
              <w:rPr>
                <w:sz w:val="12"/>
                <w:szCs w:val="12"/>
                <w:color w:val="auto"/>
              </w:rPr>
            </w:pPr>
          </w:p>
        </w:tc>
        <w:tc>
          <w:tcPr>
            <w:tcW w:w="1060" w:type="dxa"/>
            <w:vAlign w:val="bottom"/>
            <w:tcBorders>
              <w:bottom w:val="single" w:sz="8" w:color="43C0B9"/>
            </w:tcBorders>
            <w:shd w:val="clear" w:color="auto" w:fill="43C0B9"/>
          </w:tcPr>
          <w:p>
            <w:pPr>
              <w:spacing w:after="0"/>
              <w:rPr>
                <w:sz w:val="12"/>
                <w:szCs w:val="12"/>
                <w:color w:val="auto"/>
              </w:rPr>
            </w:pPr>
          </w:p>
        </w:tc>
        <w:tc>
          <w:tcPr>
            <w:tcW w:w="120" w:type="dxa"/>
            <w:vAlign w:val="bottom"/>
            <w:tcBorders>
              <w:bottom w:val="single" w:sz="8" w:color="43C0B9"/>
            </w:tcBorders>
            <w:shd w:val="clear" w:color="auto" w:fill="43C0B9"/>
          </w:tcPr>
          <w:p>
            <w:pPr>
              <w:spacing w:after="0"/>
              <w:rPr>
                <w:sz w:val="12"/>
                <w:szCs w:val="12"/>
                <w:color w:val="auto"/>
              </w:rPr>
            </w:pPr>
          </w:p>
        </w:tc>
        <w:tc>
          <w:tcPr>
            <w:tcW w:w="420" w:type="dxa"/>
            <w:vAlign w:val="bottom"/>
            <w:tcBorders>
              <w:bottom w:val="single" w:sz="8" w:color="43C0B9"/>
            </w:tcBorders>
            <w:shd w:val="clear" w:color="auto" w:fill="43C0B9"/>
          </w:tcPr>
          <w:p>
            <w:pPr>
              <w:spacing w:after="0"/>
              <w:rPr>
                <w:sz w:val="12"/>
                <w:szCs w:val="12"/>
                <w:color w:val="auto"/>
              </w:rPr>
            </w:pPr>
          </w:p>
        </w:tc>
        <w:tc>
          <w:tcPr>
            <w:tcW w:w="820" w:type="dxa"/>
            <w:vAlign w:val="bottom"/>
            <w:tcBorders>
              <w:bottom w:val="single" w:sz="8" w:color="43C0B9"/>
            </w:tcBorders>
            <w:shd w:val="clear" w:color="auto" w:fill="43C0B9"/>
          </w:tcPr>
          <w:p>
            <w:pPr>
              <w:spacing w:after="0"/>
              <w:rPr>
                <w:sz w:val="12"/>
                <w:szCs w:val="12"/>
                <w:color w:val="auto"/>
              </w:rPr>
            </w:pPr>
          </w:p>
        </w:tc>
        <w:tc>
          <w:tcPr>
            <w:tcW w:w="360" w:type="dxa"/>
            <w:vAlign w:val="bottom"/>
            <w:tcBorders>
              <w:bottom w:val="single" w:sz="8" w:color="43C0B9"/>
            </w:tcBorders>
            <w:shd w:val="clear" w:color="auto" w:fill="43C0B9"/>
          </w:tcPr>
          <w:p>
            <w:pPr>
              <w:spacing w:after="0"/>
              <w:rPr>
                <w:sz w:val="12"/>
                <w:szCs w:val="12"/>
                <w:color w:val="auto"/>
              </w:rPr>
            </w:pPr>
          </w:p>
        </w:tc>
        <w:tc>
          <w:tcPr>
            <w:tcW w:w="920" w:type="dxa"/>
            <w:vAlign w:val="bottom"/>
            <w:tcBorders>
              <w:bottom w:val="single" w:sz="8" w:color="43C0B9"/>
            </w:tcBorders>
            <w:shd w:val="clear" w:color="auto" w:fill="43C0B9"/>
          </w:tcPr>
          <w:p>
            <w:pPr>
              <w:spacing w:after="0"/>
              <w:rPr>
                <w:sz w:val="12"/>
                <w:szCs w:val="12"/>
                <w:color w:val="auto"/>
              </w:rPr>
            </w:pPr>
          </w:p>
        </w:tc>
        <w:tc>
          <w:tcPr>
            <w:tcW w:w="100" w:type="dxa"/>
            <w:vAlign w:val="bottom"/>
            <w:tcBorders>
              <w:bottom w:val="single" w:sz="8" w:color="43C0B9"/>
            </w:tcBorders>
            <w:shd w:val="clear" w:color="auto" w:fill="43C0B9"/>
          </w:tcPr>
          <w:p>
            <w:pPr>
              <w:spacing w:after="0"/>
              <w:rPr>
                <w:sz w:val="12"/>
                <w:szCs w:val="12"/>
                <w:color w:val="auto"/>
              </w:rPr>
            </w:pPr>
          </w:p>
        </w:tc>
        <w:tc>
          <w:tcPr>
            <w:tcW w:w="1220" w:type="dxa"/>
            <w:vAlign w:val="bottom"/>
            <w:tcBorders>
              <w:bottom w:val="single" w:sz="8" w:color="43C0B9"/>
            </w:tcBorders>
            <w:shd w:val="clear" w:color="auto" w:fill="43C0B9"/>
          </w:tcPr>
          <w:p>
            <w:pPr>
              <w:spacing w:after="0"/>
              <w:rPr>
                <w:sz w:val="12"/>
                <w:szCs w:val="12"/>
                <w:color w:val="auto"/>
              </w:rPr>
            </w:pPr>
          </w:p>
        </w:tc>
        <w:tc>
          <w:tcPr>
            <w:tcW w:w="580" w:type="dxa"/>
            <w:vAlign w:val="bottom"/>
            <w:tcBorders>
              <w:bottom w:val="single" w:sz="8" w:color="43C0B9"/>
            </w:tcBorders>
            <w:shd w:val="clear" w:color="auto" w:fill="43C0B9"/>
          </w:tcPr>
          <w:p>
            <w:pPr>
              <w:spacing w:after="0"/>
              <w:rPr>
                <w:sz w:val="12"/>
                <w:szCs w:val="12"/>
                <w:color w:val="auto"/>
              </w:rPr>
            </w:pPr>
          </w:p>
        </w:tc>
        <w:tc>
          <w:tcPr>
            <w:tcW w:w="660" w:type="dxa"/>
            <w:vAlign w:val="bottom"/>
            <w:tcBorders>
              <w:bottom w:val="single" w:sz="8" w:color="43C0B9"/>
            </w:tcBorders>
            <w:shd w:val="clear" w:color="auto" w:fill="43C0B9"/>
          </w:tcPr>
          <w:p>
            <w:pPr>
              <w:spacing w:after="0"/>
              <w:rPr>
                <w:sz w:val="12"/>
                <w:szCs w:val="12"/>
                <w:color w:val="auto"/>
              </w:rPr>
            </w:pPr>
          </w:p>
        </w:tc>
      </w:tr>
      <w:tr>
        <w:trPr>
          <w:trHeight w:val="159"/>
        </w:trPr>
        <w:tc>
          <w:tcPr>
            <w:tcW w:w="2340" w:type="dxa"/>
            <w:vAlign w:val="bottom"/>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(2)</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0.3</w:t>
            </w:r>
          </w:p>
        </w:tc>
        <w:tc>
          <w:tcPr>
            <w:tcW w:w="160" w:type="dxa"/>
            <w:vAlign w:val="bottom"/>
          </w:tcPr>
          <w:p>
            <w:pPr>
              <w:spacing w:after="0"/>
              <w:rPr>
                <w:sz w:val="13"/>
                <w:szCs w:val="13"/>
                <w:color w:val="auto"/>
              </w:rPr>
            </w:pPr>
          </w:p>
        </w:tc>
        <w:tc>
          <w:tcPr>
            <w:tcW w:w="1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3"/>
                <w:szCs w:val="13"/>
                <w:color w:val="auto"/>
              </w:rPr>
            </w:pPr>
          </w:p>
        </w:tc>
        <w:tc>
          <w:tcPr>
            <w:tcW w:w="1060" w:type="dxa"/>
            <w:vAlign w:val="bottom"/>
          </w:tcPr>
          <w:p>
            <w:pPr>
              <w:jc w:val="right"/>
              <w:ind w:right="11"/>
              <w:spacing w:after="0"/>
              <w:rPr>
                <w:sz w:val="20"/>
                <w:szCs w:val="20"/>
                <w:color w:val="auto"/>
              </w:rPr>
            </w:pPr>
            <w:r>
              <w:rPr>
                <w:rFonts w:ascii="Arial" w:cs="Arial" w:eastAsia="Arial" w:hAnsi="Arial"/>
                <w:sz w:val="10"/>
                <w:szCs w:val="10"/>
                <w:color w:val="auto"/>
              </w:rPr>
              <w:t>0.2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2.3</w:t>
            </w:r>
          </w:p>
        </w:tc>
        <w:tc>
          <w:tcPr>
            <w:tcW w:w="360" w:type="dxa"/>
            <w:vAlign w:val="bottom"/>
          </w:tcPr>
          <w:p>
            <w:pPr>
              <w:spacing w:after="0"/>
              <w:rPr>
                <w:sz w:val="13"/>
                <w:szCs w:val="13"/>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5.1</w:t>
            </w:r>
          </w:p>
        </w:tc>
        <w:tc>
          <w:tcPr>
            <w:tcW w:w="100" w:type="dxa"/>
            <w:vAlign w:val="bottom"/>
          </w:tcPr>
          <w:p>
            <w:pPr>
              <w:spacing w:after="0"/>
              <w:rPr>
                <w:sz w:val="13"/>
                <w:szCs w:val="13"/>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0.2</w:t>
            </w:r>
          </w:p>
        </w:tc>
        <w:tc>
          <w:tcPr>
            <w:tcW w:w="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2340" w:type="dxa"/>
            <w:vAlign w:val="bottom"/>
            <w:tcBorders>
              <w:bottom w:val="single" w:sz="8" w:color="43C0B9"/>
            </w:tcBorders>
            <w:shd w:val="clear" w:color="auto" w:fill="43C0B9"/>
          </w:tcPr>
          <w:p>
            <w:pPr>
              <w:spacing w:after="0"/>
              <w:rPr>
                <w:sz w:val="13"/>
                <w:szCs w:val="13"/>
                <w:color w:val="auto"/>
              </w:rPr>
            </w:pPr>
          </w:p>
        </w:tc>
        <w:tc>
          <w:tcPr>
            <w:tcW w:w="140" w:type="dxa"/>
            <w:vAlign w:val="bottom"/>
            <w:tcBorders>
              <w:bottom w:val="single" w:sz="8" w:color="43C0B9"/>
            </w:tcBorders>
            <w:shd w:val="clear" w:color="auto" w:fill="43C0B9"/>
          </w:tcPr>
          <w:p>
            <w:pPr>
              <w:spacing w:after="0"/>
              <w:rPr>
                <w:sz w:val="13"/>
                <w:szCs w:val="13"/>
                <w:color w:val="auto"/>
              </w:rPr>
            </w:pPr>
          </w:p>
        </w:tc>
        <w:tc>
          <w:tcPr>
            <w:tcW w:w="1040" w:type="dxa"/>
            <w:vAlign w:val="bottom"/>
            <w:tcBorders>
              <w:bottom w:val="single" w:sz="8" w:color="43C0B9"/>
            </w:tcBorders>
            <w:shd w:val="clear" w:color="auto" w:fill="43C0B9"/>
          </w:tcPr>
          <w:p>
            <w:pPr>
              <w:spacing w:after="0"/>
              <w:rPr>
                <w:sz w:val="13"/>
                <w:szCs w:val="13"/>
                <w:color w:val="auto"/>
              </w:rPr>
            </w:pPr>
          </w:p>
        </w:tc>
        <w:tc>
          <w:tcPr>
            <w:tcW w:w="160" w:type="dxa"/>
            <w:vAlign w:val="bottom"/>
            <w:tcBorders>
              <w:bottom w:val="single" w:sz="8" w:color="43C0B9"/>
            </w:tcBorders>
            <w:shd w:val="clear" w:color="auto" w:fill="43C0B9"/>
          </w:tcPr>
          <w:p>
            <w:pPr>
              <w:spacing w:after="0"/>
              <w:rPr>
                <w:sz w:val="13"/>
                <w:szCs w:val="13"/>
                <w:color w:val="auto"/>
              </w:rPr>
            </w:pPr>
          </w:p>
        </w:tc>
        <w:tc>
          <w:tcPr>
            <w:tcW w:w="1160" w:type="dxa"/>
            <w:vAlign w:val="bottom"/>
            <w:tcBorders>
              <w:bottom w:val="single" w:sz="8" w:color="43C0B9"/>
            </w:tcBorders>
            <w:shd w:val="clear" w:color="auto" w:fill="43C0B9"/>
          </w:tcPr>
          <w:p>
            <w:pPr>
              <w:spacing w:after="0"/>
              <w:rPr>
                <w:sz w:val="13"/>
                <w:szCs w:val="13"/>
                <w:color w:val="auto"/>
              </w:rPr>
            </w:pPr>
          </w:p>
        </w:tc>
        <w:tc>
          <w:tcPr>
            <w:tcW w:w="180" w:type="dxa"/>
            <w:vAlign w:val="bottom"/>
            <w:tcBorders>
              <w:bottom w:val="single" w:sz="8" w:color="43C0B9"/>
            </w:tcBorders>
            <w:shd w:val="clear" w:color="auto" w:fill="43C0B9"/>
          </w:tcPr>
          <w:p>
            <w:pPr>
              <w:spacing w:after="0"/>
              <w:rPr>
                <w:sz w:val="13"/>
                <w:szCs w:val="13"/>
                <w:color w:val="auto"/>
              </w:rPr>
            </w:pPr>
          </w:p>
        </w:tc>
        <w:tc>
          <w:tcPr>
            <w:tcW w:w="1060" w:type="dxa"/>
            <w:vAlign w:val="bottom"/>
            <w:tcBorders>
              <w:bottom w:val="single" w:sz="8" w:color="43C0B9"/>
            </w:tcBorders>
            <w:shd w:val="clear" w:color="auto" w:fill="43C0B9"/>
          </w:tcPr>
          <w:p>
            <w:pPr>
              <w:spacing w:after="0"/>
              <w:rPr>
                <w:sz w:val="13"/>
                <w:szCs w:val="13"/>
                <w:color w:val="auto"/>
              </w:rPr>
            </w:pPr>
          </w:p>
        </w:tc>
        <w:tc>
          <w:tcPr>
            <w:tcW w:w="120" w:type="dxa"/>
            <w:vAlign w:val="bottom"/>
            <w:tcBorders>
              <w:bottom w:val="single" w:sz="8" w:color="43C0B9"/>
            </w:tcBorders>
            <w:shd w:val="clear" w:color="auto" w:fill="43C0B9"/>
          </w:tcPr>
          <w:p>
            <w:pPr>
              <w:spacing w:after="0"/>
              <w:rPr>
                <w:sz w:val="13"/>
                <w:szCs w:val="13"/>
                <w:color w:val="auto"/>
              </w:rPr>
            </w:pPr>
          </w:p>
        </w:tc>
        <w:tc>
          <w:tcPr>
            <w:tcW w:w="420" w:type="dxa"/>
            <w:vAlign w:val="bottom"/>
            <w:tcBorders>
              <w:bottom w:val="single" w:sz="8" w:color="43C0B9"/>
            </w:tcBorders>
            <w:shd w:val="clear" w:color="auto" w:fill="43C0B9"/>
          </w:tcPr>
          <w:p>
            <w:pPr>
              <w:spacing w:after="0"/>
              <w:rPr>
                <w:sz w:val="13"/>
                <w:szCs w:val="13"/>
                <w:color w:val="auto"/>
              </w:rPr>
            </w:pPr>
          </w:p>
        </w:tc>
        <w:tc>
          <w:tcPr>
            <w:tcW w:w="820" w:type="dxa"/>
            <w:vAlign w:val="bottom"/>
            <w:tcBorders>
              <w:bottom w:val="single" w:sz="8" w:color="43C0B9"/>
            </w:tcBorders>
            <w:shd w:val="clear" w:color="auto" w:fill="43C0B9"/>
          </w:tcPr>
          <w:p>
            <w:pPr>
              <w:spacing w:after="0"/>
              <w:rPr>
                <w:sz w:val="13"/>
                <w:szCs w:val="13"/>
                <w:color w:val="auto"/>
              </w:rPr>
            </w:pPr>
          </w:p>
        </w:tc>
        <w:tc>
          <w:tcPr>
            <w:tcW w:w="360" w:type="dxa"/>
            <w:vAlign w:val="bottom"/>
            <w:tcBorders>
              <w:bottom w:val="single" w:sz="8" w:color="43C0B9"/>
            </w:tcBorders>
            <w:shd w:val="clear" w:color="auto" w:fill="43C0B9"/>
          </w:tcPr>
          <w:p>
            <w:pPr>
              <w:spacing w:after="0"/>
              <w:rPr>
                <w:sz w:val="13"/>
                <w:szCs w:val="13"/>
                <w:color w:val="auto"/>
              </w:rPr>
            </w:pPr>
          </w:p>
        </w:tc>
        <w:tc>
          <w:tcPr>
            <w:tcW w:w="2240" w:type="dxa"/>
            <w:vAlign w:val="bottom"/>
            <w:tcBorders>
              <w:bottom w:val="single" w:sz="8" w:color="43C0B9"/>
            </w:tcBorders>
            <w:gridSpan w:val="3"/>
            <w:shd w:val="clear" w:color="auto" w:fill="43C0B9"/>
          </w:tcPr>
          <w:p>
            <w:pPr>
              <w:jc w:val="right"/>
              <w:ind w:right="571"/>
              <w:spacing w:after="0"/>
              <w:rPr>
                <w:sz w:val="20"/>
                <w:szCs w:val="20"/>
                <w:color w:val="auto"/>
              </w:rPr>
            </w:pPr>
            <w:r>
              <w:rPr>
                <w:rFonts w:ascii="Arial" w:cs="Arial" w:eastAsia="Arial" w:hAnsi="Arial"/>
                <w:sz w:val="10"/>
                <w:szCs w:val="10"/>
                <w:b w:val="1"/>
                <w:bCs w:val="1"/>
                <w:color w:val="auto"/>
              </w:rPr>
              <w:t>Year Ended October 31, 2019</w:t>
            </w:r>
          </w:p>
        </w:tc>
        <w:tc>
          <w:tcPr>
            <w:tcW w:w="580" w:type="dxa"/>
            <w:vAlign w:val="bottom"/>
            <w:tcBorders>
              <w:bottom w:val="single" w:sz="8" w:color="43C0B9"/>
            </w:tcBorders>
            <w:shd w:val="clear" w:color="auto" w:fill="43C0B9"/>
          </w:tcPr>
          <w:p>
            <w:pPr>
              <w:spacing w:after="0"/>
              <w:rPr>
                <w:sz w:val="13"/>
                <w:szCs w:val="13"/>
                <w:color w:val="auto"/>
              </w:rPr>
            </w:pPr>
          </w:p>
        </w:tc>
        <w:tc>
          <w:tcPr>
            <w:tcW w:w="660" w:type="dxa"/>
            <w:vAlign w:val="bottom"/>
            <w:tcBorders>
              <w:bottom w:val="single" w:sz="8" w:color="43C0B9"/>
            </w:tcBorders>
            <w:shd w:val="clear" w:color="auto" w:fill="43C0B9"/>
          </w:tcPr>
          <w:p>
            <w:pPr>
              <w:spacing w:after="0"/>
              <w:rPr>
                <w:sz w:val="13"/>
                <w:szCs w:val="13"/>
                <w:color w:val="auto"/>
              </w:rPr>
            </w:pPr>
          </w:p>
        </w:tc>
      </w:tr>
      <w:tr>
        <w:trPr>
          <w:trHeight w:val="114"/>
        </w:trPr>
        <w:tc>
          <w:tcPr>
            <w:tcW w:w="2340" w:type="dxa"/>
            <w:vAlign w:val="bottom"/>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9"/>
        </w:trPr>
        <w:tc>
          <w:tcPr>
            <w:tcW w:w="2340" w:type="dxa"/>
            <w:vAlign w:val="bottom"/>
            <w:tcBorders>
              <w:bottom w:val="single" w:sz="8" w:color="43C0B9"/>
            </w:tcBorders>
            <w:shd w:val="clear" w:color="auto" w:fill="43C0B9"/>
          </w:tcPr>
          <w:p>
            <w:pPr>
              <w:ind w:left="100"/>
              <w:spacing w:after="0"/>
              <w:rPr>
                <w:sz w:val="20"/>
                <w:szCs w:val="20"/>
                <w:color w:val="auto"/>
              </w:rPr>
            </w:pPr>
            <w:r>
              <w:rPr>
                <w:rFonts w:ascii="Arial" w:cs="Arial" w:eastAsia="Arial" w:hAnsi="Arial"/>
                <w:sz w:val="10"/>
                <w:szCs w:val="10"/>
                <w:color w:val="auto"/>
              </w:rPr>
              <w:t>Henry Avocado</w:t>
            </w:r>
          </w:p>
        </w:tc>
        <w:tc>
          <w:tcPr>
            <w:tcW w:w="14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spacing w:after="0"/>
              <w:rPr>
                <w:sz w:val="12"/>
                <w:szCs w:val="12"/>
                <w:color w:val="auto"/>
              </w:rPr>
            </w:pPr>
          </w:p>
        </w:tc>
        <w:tc>
          <w:tcPr>
            <w:tcW w:w="160" w:type="dxa"/>
            <w:vAlign w:val="bottom"/>
            <w:tcBorders>
              <w:bottom w:val="single" w:sz="8" w:color="43C0B9"/>
            </w:tcBorders>
            <w:shd w:val="clear" w:color="auto" w:fill="43C0B9"/>
          </w:tcPr>
          <w:p>
            <w:pPr>
              <w:spacing w:after="0"/>
              <w:rPr>
                <w:sz w:val="12"/>
                <w:szCs w:val="12"/>
                <w:color w:val="auto"/>
              </w:rPr>
            </w:pPr>
          </w:p>
        </w:tc>
        <w:tc>
          <w:tcPr>
            <w:tcW w:w="1160" w:type="dxa"/>
            <w:vAlign w:val="bottom"/>
            <w:tcBorders>
              <w:bottom w:val="single" w:sz="8" w:color="43C0B9"/>
            </w:tcBorders>
            <w:shd w:val="clear" w:color="auto" w:fill="43C0B9"/>
          </w:tcPr>
          <w:p>
            <w:pPr>
              <w:spacing w:after="0"/>
              <w:rPr>
                <w:sz w:val="12"/>
                <w:szCs w:val="12"/>
                <w:color w:val="auto"/>
              </w:rPr>
            </w:pPr>
          </w:p>
        </w:tc>
        <w:tc>
          <w:tcPr>
            <w:tcW w:w="180" w:type="dxa"/>
            <w:vAlign w:val="bottom"/>
            <w:tcBorders>
              <w:bottom w:val="single" w:sz="8" w:color="43C0B9"/>
            </w:tcBorders>
            <w:shd w:val="clear" w:color="auto" w:fill="43C0B9"/>
          </w:tcPr>
          <w:p>
            <w:pPr>
              <w:spacing w:after="0"/>
              <w:rPr>
                <w:sz w:val="12"/>
                <w:szCs w:val="12"/>
                <w:color w:val="auto"/>
              </w:rPr>
            </w:pPr>
          </w:p>
        </w:tc>
        <w:tc>
          <w:tcPr>
            <w:tcW w:w="1060" w:type="dxa"/>
            <w:vAlign w:val="bottom"/>
            <w:tcBorders>
              <w:bottom w:val="single" w:sz="8" w:color="43C0B9"/>
            </w:tcBorders>
            <w:shd w:val="clear" w:color="auto" w:fill="43C0B9"/>
          </w:tcPr>
          <w:p>
            <w:pPr>
              <w:spacing w:after="0"/>
              <w:rPr>
                <w:sz w:val="12"/>
                <w:szCs w:val="12"/>
                <w:color w:val="auto"/>
              </w:rPr>
            </w:pPr>
          </w:p>
        </w:tc>
        <w:tc>
          <w:tcPr>
            <w:tcW w:w="120" w:type="dxa"/>
            <w:vAlign w:val="bottom"/>
            <w:tcBorders>
              <w:bottom w:val="single" w:sz="8" w:color="43C0B9"/>
            </w:tcBorders>
            <w:shd w:val="clear" w:color="auto" w:fill="43C0B9"/>
          </w:tcPr>
          <w:p>
            <w:pPr>
              <w:spacing w:after="0"/>
              <w:rPr>
                <w:sz w:val="12"/>
                <w:szCs w:val="12"/>
                <w:color w:val="auto"/>
              </w:rPr>
            </w:pPr>
          </w:p>
        </w:tc>
        <w:tc>
          <w:tcPr>
            <w:tcW w:w="42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0.5</w:t>
            </w:r>
          </w:p>
        </w:tc>
        <w:tc>
          <w:tcPr>
            <w:tcW w:w="360" w:type="dxa"/>
            <w:vAlign w:val="bottom"/>
            <w:tcBorders>
              <w:bottom w:val="single" w:sz="8" w:color="43C0B9"/>
            </w:tcBorders>
            <w:shd w:val="clear" w:color="auto" w:fill="43C0B9"/>
          </w:tcPr>
          <w:p>
            <w:pPr>
              <w:jc w:val="right"/>
              <w:ind w:right="211"/>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3.3</w:t>
            </w: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43C0B9"/>
            </w:tcBorders>
            <w:shd w:val="clear" w:color="auto" w:fill="43C0B9"/>
          </w:tcPr>
          <w:p>
            <w:pPr>
              <w:jc w:val="right"/>
              <w:ind w:right="43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2340" w:type="dxa"/>
            <w:vAlign w:val="bottom"/>
          </w:tcPr>
          <w:p>
            <w:pPr>
              <w:ind w:left="100"/>
              <w:spacing w:after="0"/>
              <w:rPr>
                <w:sz w:val="20"/>
                <w:szCs w:val="20"/>
                <w:color w:val="auto"/>
              </w:rPr>
            </w:pPr>
            <w:r>
              <w:rPr>
                <w:rFonts w:ascii="Arial" w:cs="Arial" w:eastAsia="Arial" w:hAnsi="Arial"/>
                <w:sz w:val="10"/>
                <w:szCs w:val="10"/>
                <w:color w:val="auto"/>
              </w:rPr>
              <w:t>Mr. Avocado</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4.5</w:t>
            </w:r>
          </w:p>
        </w:tc>
        <w:tc>
          <w:tcPr>
            <w:tcW w:w="360" w:type="dxa"/>
            <w:vAlign w:val="bottom"/>
          </w:tcPr>
          <w:p>
            <w:pPr>
              <w:spacing w:after="0"/>
              <w:rPr>
                <w:sz w:val="11"/>
                <w:szCs w:val="11"/>
                <w:color w:val="auto"/>
              </w:rPr>
            </w:pPr>
          </w:p>
        </w:tc>
        <w:tc>
          <w:tcPr>
            <w:tcW w:w="9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2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39"/>
        </w:trPr>
        <w:tc>
          <w:tcPr>
            <w:tcW w:w="2340" w:type="dxa"/>
            <w:vAlign w:val="bottom"/>
            <w:tcBorders>
              <w:bottom w:val="single" w:sz="8" w:color="43C0B9"/>
            </w:tcBorders>
            <w:shd w:val="clear" w:color="auto" w:fill="43C0B9"/>
          </w:tcPr>
          <w:p>
            <w:pPr>
              <w:ind w:left="100"/>
              <w:spacing w:after="0"/>
              <w:rPr>
                <w:sz w:val="20"/>
                <w:szCs w:val="20"/>
                <w:color w:val="auto"/>
              </w:rPr>
            </w:pPr>
            <w:r>
              <w:rPr>
                <w:rFonts w:ascii="Arial" w:cs="Arial" w:eastAsia="Arial" w:hAnsi="Arial"/>
                <w:sz w:val="10"/>
                <w:szCs w:val="10"/>
                <w:color w:val="auto"/>
              </w:rPr>
              <w:t>Moruga</w:t>
            </w:r>
          </w:p>
        </w:tc>
        <w:tc>
          <w:tcPr>
            <w:tcW w:w="140" w:type="dxa"/>
            <w:vAlign w:val="bottom"/>
            <w:tcBorders>
              <w:bottom w:val="single" w:sz="8" w:color="43C0B9"/>
            </w:tcBorders>
            <w:shd w:val="clear" w:color="auto" w:fill="43C0B9"/>
          </w:tcPr>
          <w:p>
            <w:pPr>
              <w:spacing w:after="0"/>
              <w:rPr>
                <w:sz w:val="12"/>
                <w:szCs w:val="12"/>
                <w:color w:val="auto"/>
              </w:rPr>
            </w:pPr>
          </w:p>
        </w:tc>
        <w:tc>
          <w:tcPr>
            <w:tcW w:w="1040" w:type="dxa"/>
            <w:vAlign w:val="bottom"/>
            <w:tcBorders>
              <w:bottom w:val="single" w:sz="8" w:color="43C0B9"/>
            </w:tcBorders>
            <w:shd w:val="clear" w:color="auto" w:fill="43C0B9"/>
          </w:tcPr>
          <w:p>
            <w:pPr>
              <w:spacing w:after="0"/>
              <w:rPr>
                <w:sz w:val="12"/>
                <w:szCs w:val="12"/>
                <w:color w:val="auto"/>
              </w:rPr>
            </w:pPr>
          </w:p>
        </w:tc>
        <w:tc>
          <w:tcPr>
            <w:tcW w:w="160" w:type="dxa"/>
            <w:vAlign w:val="bottom"/>
            <w:tcBorders>
              <w:bottom w:val="single" w:sz="8" w:color="43C0B9"/>
            </w:tcBorders>
            <w:shd w:val="clear" w:color="auto" w:fill="43C0B9"/>
          </w:tcPr>
          <w:p>
            <w:pPr>
              <w:spacing w:after="0"/>
              <w:rPr>
                <w:sz w:val="12"/>
                <w:szCs w:val="12"/>
                <w:color w:val="auto"/>
              </w:rPr>
            </w:pPr>
          </w:p>
        </w:tc>
        <w:tc>
          <w:tcPr>
            <w:tcW w:w="1160" w:type="dxa"/>
            <w:vAlign w:val="bottom"/>
            <w:tcBorders>
              <w:bottom w:val="single" w:sz="8" w:color="43C0B9"/>
            </w:tcBorders>
            <w:shd w:val="clear" w:color="auto" w:fill="43C0B9"/>
          </w:tcPr>
          <w:p>
            <w:pPr>
              <w:spacing w:after="0"/>
              <w:rPr>
                <w:sz w:val="12"/>
                <w:szCs w:val="12"/>
                <w:color w:val="auto"/>
              </w:rPr>
            </w:pPr>
          </w:p>
        </w:tc>
        <w:tc>
          <w:tcPr>
            <w:tcW w:w="180" w:type="dxa"/>
            <w:vAlign w:val="bottom"/>
            <w:tcBorders>
              <w:bottom w:val="single" w:sz="8" w:color="43C0B9"/>
            </w:tcBorders>
            <w:shd w:val="clear" w:color="auto" w:fill="43C0B9"/>
          </w:tcPr>
          <w:p>
            <w:pPr>
              <w:spacing w:after="0"/>
              <w:rPr>
                <w:sz w:val="12"/>
                <w:szCs w:val="12"/>
                <w:color w:val="auto"/>
              </w:rPr>
            </w:pPr>
          </w:p>
        </w:tc>
        <w:tc>
          <w:tcPr>
            <w:tcW w:w="1060" w:type="dxa"/>
            <w:vAlign w:val="bottom"/>
            <w:tcBorders>
              <w:bottom w:val="single" w:sz="8" w:color="43C0B9"/>
            </w:tcBorders>
            <w:shd w:val="clear" w:color="auto" w:fill="43C0B9"/>
          </w:tcPr>
          <w:p>
            <w:pPr>
              <w:spacing w:after="0"/>
              <w:rPr>
                <w:sz w:val="12"/>
                <w:szCs w:val="12"/>
                <w:color w:val="auto"/>
              </w:rPr>
            </w:pPr>
          </w:p>
        </w:tc>
        <w:tc>
          <w:tcPr>
            <w:tcW w:w="120" w:type="dxa"/>
            <w:vAlign w:val="bottom"/>
            <w:tcBorders>
              <w:bottom w:val="single" w:sz="8" w:color="43C0B9"/>
            </w:tcBorders>
            <w:shd w:val="clear" w:color="auto" w:fill="43C0B9"/>
          </w:tcPr>
          <w:p>
            <w:pPr>
              <w:spacing w:after="0"/>
              <w:rPr>
                <w:sz w:val="12"/>
                <w:szCs w:val="12"/>
                <w:color w:val="auto"/>
              </w:rPr>
            </w:pPr>
          </w:p>
        </w:tc>
        <w:tc>
          <w:tcPr>
            <w:tcW w:w="420" w:type="dxa"/>
            <w:vAlign w:val="bottom"/>
            <w:tcBorders>
              <w:bottom w:val="single" w:sz="8" w:color="43C0B9"/>
            </w:tcBorders>
            <w:shd w:val="clear" w:color="auto" w:fill="43C0B9"/>
          </w:tcPr>
          <w:p>
            <w:pPr>
              <w:spacing w:after="0"/>
              <w:rPr>
                <w:sz w:val="12"/>
                <w:szCs w:val="12"/>
                <w:color w:val="auto"/>
              </w:rPr>
            </w:pP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3.4</w:t>
            </w:r>
          </w:p>
        </w:tc>
        <w:tc>
          <w:tcPr>
            <w:tcW w:w="360" w:type="dxa"/>
            <w:vAlign w:val="bottom"/>
            <w:tcBorders>
              <w:bottom w:val="single" w:sz="8" w:color="43C0B9"/>
            </w:tcBorders>
            <w:shd w:val="clear" w:color="auto" w:fill="43C0B9"/>
          </w:tcPr>
          <w:p>
            <w:pPr>
              <w:spacing w:after="0"/>
              <w:rPr>
                <w:sz w:val="12"/>
                <w:szCs w:val="12"/>
                <w:color w:val="auto"/>
              </w:rPr>
            </w:pPr>
          </w:p>
        </w:tc>
        <w:tc>
          <w:tcPr>
            <w:tcW w:w="9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43C0B9"/>
            </w:tcBorders>
            <w:shd w:val="clear" w:color="auto" w:fill="43C0B9"/>
          </w:tcPr>
          <w:p>
            <w:pPr>
              <w:spacing w:after="0"/>
              <w:rPr>
                <w:sz w:val="12"/>
                <w:szCs w:val="12"/>
                <w:color w:val="auto"/>
              </w:rPr>
            </w:pPr>
          </w:p>
        </w:tc>
        <w:tc>
          <w:tcPr>
            <w:tcW w:w="12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43C0B9"/>
            </w:tcBorders>
            <w:shd w:val="clear" w:color="auto" w:fill="43C0B9"/>
          </w:tcPr>
          <w:p>
            <w:pPr>
              <w:spacing w:after="0"/>
              <w:rPr>
                <w:sz w:val="12"/>
                <w:szCs w:val="12"/>
                <w:color w:val="auto"/>
              </w:rPr>
            </w:pPr>
          </w:p>
        </w:tc>
        <w:tc>
          <w:tcPr>
            <w:tcW w:w="6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0"/>
                <w:szCs w:val="10"/>
                <w:color w:val="auto"/>
              </w:rPr>
              <w:t>—</w:t>
            </w:r>
          </w:p>
        </w:tc>
      </w:tr>
      <w:tr>
        <w:trPr>
          <w:trHeight w:val="134"/>
        </w:trPr>
        <w:tc>
          <w:tcPr>
            <w:tcW w:w="2340" w:type="dxa"/>
            <w:vAlign w:val="bottom"/>
          </w:tcPr>
          <w:p>
            <w:pPr>
              <w:ind w:left="20"/>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5"/>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9"/>
        </w:trPr>
        <w:tc>
          <w:tcPr>
            <w:tcW w:w="2340" w:type="dxa"/>
            <w:vAlign w:val="bottom"/>
            <w:tcBorders>
              <w:bottom w:val="single" w:sz="8" w:color="auto"/>
            </w:tcBorders>
            <w:shd w:val="clear" w:color="auto" w:fill="43C0B9"/>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(2)</w:t>
            </w:r>
          </w:p>
        </w:tc>
        <w:tc>
          <w:tcPr>
            <w:tcW w:w="140" w:type="dxa"/>
            <w:vAlign w:val="bottom"/>
            <w:tcBorders>
              <w:bottom w:val="single" w:sz="8" w:color="auto"/>
            </w:tcBorders>
            <w:shd w:val="clear" w:color="auto" w:fill="43C0B9"/>
          </w:tcPr>
          <w:p>
            <w:pPr>
              <w:spacing w:after="0"/>
              <w:rPr>
                <w:sz w:val="13"/>
                <w:szCs w:val="13"/>
                <w:color w:val="auto"/>
              </w:rPr>
            </w:pPr>
          </w:p>
        </w:tc>
        <w:tc>
          <w:tcPr>
            <w:tcW w:w="1040" w:type="dxa"/>
            <w:vAlign w:val="bottom"/>
            <w:tcBorders>
              <w:bottom w:val="single" w:sz="8" w:color="auto"/>
            </w:tcBorders>
            <w:shd w:val="clear" w:color="auto" w:fill="43C0B9"/>
          </w:tcPr>
          <w:p>
            <w:pPr>
              <w:spacing w:after="0"/>
              <w:rPr>
                <w:sz w:val="13"/>
                <w:szCs w:val="13"/>
                <w:color w:val="auto"/>
              </w:rPr>
            </w:pPr>
          </w:p>
        </w:tc>
        <w:tc>
          <w:tcPr>
            <w:tcW w:w="160" w:type="dxa"/>
            <w:vAlign w:val="bottom"/>
            <w:tcBorders>
              <w:bottom w:val="single" w:sz="8" w:color="auto"/>
            </w:tcBorders>
            <w:shd w:val="clear" w:color="auto" w:fill="43C0B9"/>
          </w:tcPr>
          <w:p>
            <w:pPr>
              <w:spacing w:after="0"/>
              <w:rPr>
                <w:sz w:val="13"/>
                <w:szCs w:val="13"/>
                <w:color w:val="auto"/>
              </w:rPr>
            </w:pPr>
          </w:p>
        </w:tc>
        <w:tc>
          <w:tcPr>
            <w:tcW w:w="1160" w:type="dxa"/>
            <w:vAlign w:val="bottom"/>
            <w:tcBorders>
              <w:bottom w:val="single" w:sz="8" w:color="auto"/>
            </w:tcBorders>
            <w:shd w:val="clear" w:color="auto" w:fill="43C0B9"/>
          </w:tcPr>
          <w:p>
            <w:pPr>
              <w:spacing w:after="0"/>
              <w:rPr>
                <w:sz w:val="13"/>
                <w:szCs w:val="13"/>
                <w:color w:val="auto"/>
              </w:rPr>
            </w:pPr>
          </w:p>
        </w:tc>
        <w:tc>
          <w:tcPr>
            <w:tcW w:w="180" w:type="dxa"/>
            <w:vAlign w:val="bottom"/>
            <w:tcBorders>
              <w:bottom w:val="single" w:sz="8" w:color="auto"/>
            </w:tcBorders>
            <w:shd w:val="clear" w:color="auto" w:fill="43C0B9"/>
          </w:tcPr>
          <w:p>
            <w:pPr>
              <w:spacing w:after="0"/>
              <w:rPr>
                <w:sz w:val="13"/>
                <w:szCs w:val="13"/>
                <w:color w:val="auto"/>
              </w:rPr>
            </w:pPr>
          </w:p>
        </w:tc>
        <w:tc>
          <w:tcPr>
            <w:tcW w:w="1060" w:type="dxa"/>
            <w:vAlign w:val="bottom"/>
            <w:tcBorders>
              <w:bottom w:val="single" w:sz="8" w:color="auto"/>
            </w:tcBorders>
            <w:shd w:val="clear" w:color="auto" w:fill="43C0B9"/>
          </w:tcPr>
          <w:p>
            <w:pPr>
              <w:spacing w:after="0"/>
              <w:rPr>
                <w:sz w:val="13"/>
                <w:szCs w:val="13"/>
                <w:color w:val="auto"/>
              </w:rPr>
            </w:pPr>
          </w:p>
        </w:tc>
        <w:tc>
          <w:tcPr>
            <w:tcW w:w="120" w:type="dxa"/>
            <w:vAlign w:val="bottom"/>
            <w:tcBorders>
              <w:bottom w:val="single" w:sz="8" w:color="auto"/>
            </w:tcBorders>
            <w:shd w:val="clear" w:color="auto" w:fill="43C0B9"/>
          </w:tcPr>
          <w:p>
            <w:pPr>
              <w:spacing w:after="0"/>
              <w:rPr>
                <w:sz w:val="13"/>
                <w:szCs w:val="13"/>
                <w:color w:val="auto"/>
              </w:rPr>
            </w:pPr>
          </w:p>
        </w:tc>
        <w:tc>
          <w:tcPr>
            <w:tcW w:w="420" w:type="dxa"/>
            <w:vAlign w:val="bottom"/>
            <w:tcBorders>
              <w:bottom w:val="single" w:sz="8" w:color="auto"/>
            </w:tcBorders>
            <w:shd w:val="clear" w:color="auto" w:fill="43C0B9"/>
          </w:tcPr>
          <w:p>
            <w:pPr>
              <w:spacing w:after="0"/>
              <w:rPr>
                <w:sz w:val="13"/>
                <w:szCs w:val="13"/>
                <w:color w:val="auto"/>
              </w:rPr>
            </w:pPr>
          </w:p>
        </w:tc>
        <w:tc>
          <w:tcPr>
            <w:tcW w:w="82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0"/>
                <w:szCs w:val="10"/>
                <w:color w:val="auto"/>
              </w:rPr>
              <w:t>0.9</w:t>
            </w:r>
          </w:p>
        </w:tc>
        <w:tc>
          <w:tcPr>
            <w:tcW w:w="360" w:type="dxa"/>
            <w:vAlign w:val="bottom"/>
            <w:tcBorders>
              <w:bottom w:val="single" w:sz="8" w:color="auto"/>
            </w:tcBorders>
            <w:shd w:val="clear" w:color="auto" w:fill="43C0B9"/>
          </w:tcPr>
          <w:p>
            <w:pPr>
              <w:spacing w:after="0"/>
              <w:rPr>
                <w:sz w:val="13"/>
                <w:szCs w:val="13"/>
                <w:color w:val="auto"/>
              </w:rPr>
            </w:pPr>
          </w:p>
        </w:tc>
        <w:tc>
          <w:tcPr>
            <w:tcW w:w="920" w:type="dxa"/>
            <w:vAlign w:val="bottom"/>
            <w:tcBorders>
              <w:bottom w:val="single" w:sz="8" w:color="auto"/>
            </w:tcBorders>
            <w:shd w:val="clear" w:color="auto" w:fill="43C0B9"/>
          </w:tcPr>
          <w:p>
            <w:pPr>
              <w:jc w:val="right"/>
              <w:ind w:right="51"/>
              <w:spacing w:after="0"/>
              <w:rPr>
                <w:sz w:val="20"/>
                <w:szCs w:val="20"/>
                <w:color w:val="auto"/>
              </w:rPr>
            </w:pPr>
            <w:r>
              <w:rPr>
                <w:rFonts w:ascii="Arial" w:cs="Arial" w:eastAsia="Arial" w:hAnsi="Arial"/>
                <w:sz w:val="10"/>
                <w:szCs w:val="10"/>
                <w:color w:val="auto"/>
              </w:rPr>
              <w:t>1.8</w:t>
            </w:r>
          </w:p>
        </w:tc>
        <w:tc>
          <w:tcPr>
            <w:tcW w:w="100" w:type="dxa"/>
            <w:vAlign w:val="bottom"/>
            <w:tcBorders>
              <w:bottom w:val="single" w:sz="8" w:color="auto"/>
            </w:tcBorders>
            <w:shd w:val="clear" w:color="auto" w:fill="43C0B9"/>
          </w:tcPr>
          <w:p>
            <w:pPr>
              <w:spacing w:after="0"/>
              <w:rPr>
                <w:sz w:val="13"/>
                <w:szCs w:val="13"/>
                <w:color w:val="auto"/>
              </w:rPr>
            </w:pPr>
          </w:p>
        </w:tc>
        <w:tc>
          <w:tcPr>
            <w:tcW w:w="1220" w:type="dxa"/>
            <w:vAlign w:val="bottom"/>
            <w:tcBorders>
              <w:bottom w:val="single" w:sz="8" w:color="auto"/>
            </w:tcBorders>
            <w:shd w:val="clear" w:color="auto" w:fill="43C0B9"/>
          </w:tcPr>
          <w:p>
            <w:pPr>
              <w:jc w:val="right"/>
              <w:ind w:right="31"/>
              <w:spacing w:after="0"/>
              <w:rPr>
                <w:sz w:val="20"/>
                <w:szCs w:val="20"/>
                <w:color w:val="auto"/>
              </w:rPr>
            </w:pPr>
            <w:r>
              <w:rPr>
                <w:rFonts w:ascii="Arial" w:cs="Arial" w:eastAsia="Arial" w:hAnsi="Arial"/>
                <w:sz w:val="10"/>
                <w:szCs w:val="10"/>
                <w:color w:val="auto"/>
              </w:rPr>
              <w:t>0.3</w:t>
            </w:r>
          </w:p>
        </w:tc>
        <w:tc>
          <w:tcPr>
            <w:tcW w:w="580" w:type="dxa"/>
            <w:vAlign w:val="bottom"/>
            <w:tcBorders>
              <w:bottom w:val="single" w:sz="8" w:color="auto"/>
            </w:tcBorders>
            <w:shd w:val="clear" w:color="auto" w:fill="43C0B9"/>
          </w:tcPr>
          <w:p>
            <w:pPr>
              <w:spacing w:after="0"/>
              <w:rPr>
                <w:sz w:val="13"/>
                <w:szCs w:val="13"/>
                <w:color w:val="auto"/>
              </w:rPr>
            </w:pPr>
          </w:p>
        </w:tc>
        <w:tc>
          <w:tcPr>
            <w:tcW w:w="6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0"/>
                <w:szCs w:val="10"/>
                <w:color w:val="auto"/>
              </w:rPr>
              <w:t>—</w:t>
            </w:r>
          </w:p>
        </w:tc>
      </w:tr>
    </w:tbl>
    <w:p>
      <w:pPr>
        <w:spacing w:after="0" w:line="80" w:lineRule="exact"/>
        <w:rPr>
          <w:sz w:val="20"/>
          <w:szCs w:val="20"/>
          <w:color w:val="auto"/>
        </w:rPr>
      </w:pPr>
    </w:p>
    <w:p>
      <w:pPr>
        <w:ind w:left="140" w:hanging="135"/>
        <w:spacing w:after="0"/>
        <w:tabs>
          <w:tab w:leader="none" w:pos="140"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The Company has provided loans to Moruga Inc. S.A.C. to support growth and expansion projects, bearing interest at 6.5%, due December 31, 2022. We also lease owned land to Moruga.</w:t>
      </w:r>
    </w:p>
    <w:p>
      <w:pPr>
        <w:spacing w:after="0" w:line="41" w:lineRule="exact"/>
        <w:rPr>
          <w:rFonts w:ascii="Arial" w:cs="Arial" w:eastAsia="Arial" w:hAnsi="Arial"/>
          <w:sz w:val="13"/>
          <w:szCs w:val="13"/>
          <w:color w:val="auto"/>
          <w:vertAlign w:val="superscript"/>
        </w:rPr>
      </w:pPr>
    </w:p>
    <w:p>
      <w:pPr>
        <w:ind w:left="140" w:right="20" w:hanging="135"/>
        <w:spacing w:after="0" w:line="221" w:lineRule="auto"/>
        <w:tabs>
          <w:tab w:leader="none" w:pos="144"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The Company purchases from and sells avocados to a small number of entities having full or partial ownership by some of our directors/officers. These transactions are made under substantially similar terms as with other growers and customers. The Company entered into a consulting agreement with a director in 2018 to provide consulting and advice on current business operations, as well as to analyze opportunities for fresh avocado farming and packing facilities in South and Central America, which was terminated in June 2021.</w:t>
      </w:r>
    </w:p>
    <w:p>
      <w:pPr>
        <w:spacing w:after="0" w:line="43" w:lineRule="exact"/>
        <w:rPr>
          <w:rFonts w:ascii="Arial" w:cs="Arial" w:eastAsia="Arial" w:hAnsi="Arial"/>
          <w:sz w:val="13"/>
          <w:szCs w:val="13"/>
          <w:color w:val="auto"/>
          <w:vertAlign w:val="superscript"/>
        </w:rPr>
      </w:pPr>
    </w:p>
    <w:p>
      <w:pPr>
        <w:ind w:left="140" w:right="200" w:hanging="135"/>
        <w:spacing w:after="0" w:line="212" w:lineRule="auto"/>
        <w:tabs>
          <w:tab w:leader="none" w:pos="144"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The Company utilizes a transportation vendor in Mexico owned by key management employees under similar terms as other transportation vendors. The Company purchases avocados from a small number of entities having full or partial ownership by some employees. These transactions are made under substantially similar terms as with other growers.</w:t>
      </w:r>
    </w:p>
    <w:p>
      <w:pPr>
        <w:spacing w:after="0" w:line="10" w:lineRule="exact"/>
        <w:rPr>
          <w:rFonts w:ascii="Arial" w:cs="Arial" w:eastAsia="Arial" w:hAnsi="Arial"/>
          <w:sz w:val="13"/>
          <w:szCs w:val="13"/>
          <w:color w:val="auto"/>
          <w:vertAlign w:val="superscript"/>
        </w:rPr>
      </w:pPr>
    </w:p>
    <w:p>
      <w:pPr>
        <w:ind w:left="140" w:hanging="135"/>
        <w:spacing w:after="0"/>
        <w:tabs>
          <w:tab w:leader="none" w:pos="140"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The Company has provided loans to Copaltas to support growth and expansion projects, bearing interest at 6.66%, due December 31, 2021.</w:t>
      </w:r>
    </w:p>
    <w:p>
      <w:pPr>
        <w:spacing w:after="0" w:line="386" w:lineRule="exact"/>
        <w:rPr>
          <w:sz w:val="20"/>
          <w:szCs w:val="20"/>
          <w:color w:val="auto"/>
        </w:rPr>
      </w:pPr>
    </w:p>
    <w:p>
      <w:pPr>
        <w:ind w:left="440" w:hanging="435"/>
        <w:spacing w:after="0"/>
        <w:tabs>
          <w:tab w:leader="none" w:pos="440" w:val="left"/>
        </w:tabs>
        <w:numPr>
          <w:ilvl w:val="0"/>
          <w:numId w:val="27"/>
        </w:numPr>
        <w:rPr>
          <w:rFonts w:ascii="Arial" w:cs="Arial" w:eastAsia="Arial" w:hAnsi="Arial"/>
          <w:sz w:val="16"/>
          <w:szCs w:val="16"/>
          <w:b w:val="1"/>
          <w:bCs w:val="1"/>
          <w:color w:val="232F84"/>
        </w:rPr>
      </w:pPr>
      <w:r>
        <w:rPr>
          <w:rFonts w:ascii="Arial" w:cs="Arial" w:eastAsia="Arial" w:hAnsi="Arial"/>
          <w:sz w:val="16"/>
          <w:szCs w:val="16"/>
          <w:b w:val="1"/>
          <w:bCs w:val="1"/>
          <w:color w:val="232F84"/>
        </w:rPr>
        <w:t>Segment Information</w:t>
      </w:r>
    </w:p>
    <w:p>
      <w:pPr>
        <w:spacing w:after="0" w:line="188" w:lineRule="exact"/>
        <w:rPr>
          <w:sz w:val="20"/>
          <w:szCs w:val="20"/>
          <w:color w:val="auto"/>
        </w:rPr>
      </w:pPr>
    </w:p>
    <w:p>
      <w:pPr>
        <w:ind w:right="20" w:firstLine="509"/>
        <w:spacing w:after="0" w:line="239" w:lineRule="auto"/>
        <w:rPr>
          <w:sz w:val="20"/>
          <w:szCs w:val="20"/>
          <w:color w:val="auto"/>
        </w:rPr>
      </w:pPr>
      <w:r>
        <w:rPr>
          <w:rFonts w:ascii="Arial" w:cs="Arial" w:eastAsia="Arial" w:hAnsi="Arial"/>
          <w:sz w:val="13"/>
          <w:szCs w:val="13"/>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orchards from which substantially all fruit produced is sold to our Marketing and Distribution segment. The segment’s farming activities range from cultivating early-stage plantings to harvesting from mature trees. The segment also earns service revenues for packing and processing for producers of other crops during the avocado off-harvest season. The International Farming segment is principally located in Peru, with smaller operations emerging in other areas of Latin America.</w:t>
      </w:r>
    </w:p>
    <w:p>
      <w:pPr>
        <w:spacing w:after="0" w:line="157" w:lineRule="exact"/>
        <w:rPr>
          <w:sz w:val="20"/>
          <w:szCs w:val="20"/>
          <w:color w:val="auto"/>
        </w:rPr>
      </w:pPr>
    </w:p>
    <w:p>
      <w:pPr>
        <w:ind w:right="20" w:firstLine="509"/>
        <w:spacing w:after="0"/>
        <w:rPr>
          <w:sz w:val="20"/>
          <w:szCs w:val="20"/>
          <w:color w:val="auto"/>
        </w:rPr>
      </w:pPr>
      <w:r>
        <w:rPr>
          <w:rFonts w:ascii="Arial" w:cs="Arial" w:eastAsia="Arial" w:hAnsi="Arial"/>
          <w:sz w:val="13"/>
          <w:szCs w:val="13"/>
          <w:color w:val="auto"/>
        </w:rPr>
        <w:t>The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45" w:lineRule="exact"/>
        <w:rPr>
          <w:sz w:val="20"/>
          <w:szCs w:val="20"/>
          <w:color w:val="auto"/>
        </w:rPr>
      </w:pPr>
    </w:p>
    <w:p>
      <w:pPr>
        <w:ind w:right="240" w:firstLine="509"/>
        <w:spacing w:after="0"/>
        <w:rPr>
          <w:sz w:val="20"/>
          <w:szCs w:val="20"/>
          <w:color w:val="auto"/>
        </w:rPr>
      </w:pPr>
      <w:r>
        <w:rPr>
          <w:rFonts w:ascii="Arial" w:cs="Arial" w:eastAsia="Arial" w:hAnsi="Arial"/>
          <w:sz w:val="13"/>
          <w:szCs w:val="13"/>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legal settlement, farming costs for nonproductive orchards (which represents land lease costs), and any special, non-recurring, or one-time items such as impairments that are excluded from the results the CEO reviews uses to assess segment performance and results.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NOTES TO CONSOLIDATED FINANCIAL STATEMENTS</w:t>
      </w:r>
    </w:p>
    <w:p>
      <w:pPr>
        <w:spacing w:after="0" w:line="200" w:lineRule="exact"/>
        <w:rPr>
          <w:sz w:val="20"/>
          <w:szCs w:val="20"/>
          <w:color w:val="auto"/>
        </w:rPr>
      </w:pPr>
    </w:p>
    <w:p>
      <w:pPr>
        <w:spacing w:after="0" w:line="26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sales from each of our reportable segments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4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2380" w:type="dxa"/>
            <w:vAlign w:val="bottom"/>
            <w:gridSpan w:val="4"/>
            <w:shd w:val="clear" w:color="auto" w:fill="232F84"/>
          </w:tcPr>
          <w:p>
            <w:pPr>
              <w:jc w:val="right"/>
              <w:ind w:right="311"/>
              <w:spacing w:after="0"/>
              <w:rPr>
                <w:sz w:val="20"/>
                <w:szCs w:val="20"/>
                <w:color w:val="auto"/>
              </w:rPr>
            </w:pPr>
            <w:r>
              <w:rPr>
                <w:rFonts w:ascii="Arial" w:cs="Arial" w:eastAsia="Arial" w:hAnsi="Arial"/>
                <w:sz w:val="11"/>
                <w:szCs w:val="11"/>
                <w:b w:val="1"/>
                <w:bCs w:val="1"/>
                <w:color w:val="FFFFFF"/>
              </w:rPr>
              <w:t>Year Ended October 31,</w:t>
            </w:r>
          </w:p>
        </w:tc>
        <w:tc>
          <w:tcPr>
            <w:tcW w:w="7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60" w:type="dxa"/>
            <w:vAlign w:val="bottom"/>
            <w:shd w:val="clear" w:color="auto" w:fill="232F84"/>
          </w:tcPr>
          <w:p>
            <w:pPr>
              <w:spacing w:after="0"/>
              <w:rPr>
                <w:sz w:val="15"/>
                <w:szCs w:val="15"/>
                <w:color w:val="auto"/>
              </w:rPr>
            </w:pP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r>
      <w:tr>
        <w:trPr>
          <w:trHeight w:val="178"/>
        </w:trPr>
        <w:tc>
          <w:tcPr>
            <w:tcW w:w="124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40" w:type="dxa"/>
            <w:vAlign w:val="bottom"/>
            <w:shd w:val="clear" w:color="auto" w:fill="232F84"/>
          </w:tcPr>
          <w:p>
            <w:pPr>
              <w:jc w:val="right"/>
              <w:ind w:right="370"/>
              <w:spacing w:after="0"/>
              <w:rPr>
                <w:sz w:val="20"/>
                <w:szCs w:val="20"/>
                <w:color w:val="auto"/>
              </w:rPr>
            </w:pPr>
            <w:r>
              <w:rPr>
                <w:rFonts w:ascii="Arial" w:cs="Arial" w:eastAsia="Arial" w:hAnsi="Arial"/>
                <w:sz w:val="11"/>
                <w:szCs w:val="11"/>
                <w:b w:val="1"/>
                <w:bCs w:val="1"/>
                <w:color w:val="FFFFFF"/>
              </w:rPr>
              <w:t>2021</w:t>
            </w: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0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40" w:type="dxa"/>
            <w:vAlign w:val="bottom"/>
            <w:shd w:val="clear" w:color="auto" w:fill="232F84"/>
          </w:tcPr>
          <w:p>
            <w:pPr>
              <w:jc w:val="right"/>
              <w:ind w:right="370"/>
              <w:spacing w:after="0"/>
              <w:rPr>
                <w:sz w:val="20"/>
                <w:szCs w:val="20"/>
                <w:color w:val="auto"/>
              </w:rPr>
            </w:pPr>
            <w:r>
              <w:rPr>
                <w:rFonts w:ascii="Arial" w:cs="Arial" w:eastAsia="Arial" w:hAnsi="Arial"/>
                <w:sz w:val="11"/>
                <w:szCs w:val="11"/>
                <w:b w:val="1"/>
                <w:bCs w:val="1"/>
                <w:color w:val="FFFFFF"/>
              </w:rPr>
              <w:t>2020</w:t>
            </w:r>
          </w:p>
        </w:tc>
        <w:tc>
          <w:tcPr>
            <w:tcW w:w="46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82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860" w:type="dxa"/>
            <w:vAlign w:val="bottom"/>
            <w:shd w:val="clear" w:color="auto" w:fill="232F84"/>
          </w:tcPr>
          <w:p>
            <w:pPr>
              <w:jc w:val="right"/>
              <w:ind w:right="390"/>
              <w:spacing w:after="0"/>
              <w:rPr>
                <w:sz w:val="20"/>
                <w:szCs w:val="20"/>
                <w:color w:val="auto"/>
              </w:rPr>
            </w:pPr>
            <w:r>
              <w:rPr>
                <w:rFonts w:ascii="Arial" w:cs="Arial" w:eastAsia="Arial" w:hAnsi="Arial"/>
                <w:sz w:val="11"/>
                <w:szCs w:val="11"/>
                <w:b w:val="1"/>
                <w:bCs w:val="1"/>
                <w:color w:val="FFFFFF"/>
              </w:rPr>
              <w:t>2019</w:t>
            </w:r>
          </w:p>
        </w:tc>
        <w:tc>
          <w:tcPr>
            <w:tcW w:w="44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r>
      <w:tr>
        <w:trPr>
          <w:trHeight w:val="129"/>
        </w:trPr>
        <w:tc>
          <w:tcPr>
            <w:tcW w:w="1240" w:type="dxa"/>
            <w:vAlign w:val="bottom"/>
            <w:shd w:val="clear" w:color="auto" w:fill="232F84"/>
          </w:tcPr>
          <w:p>
            <w:pPr>
              <w:spacing w:after="0"/>
              <w:rPr>
                <w:sz w:val="11"/>
                <w:szCs w:val="11"/>
                <w:color w:val="auto"/>
              </w:rPr>
            </w:pPr>
          </w:p>
        </w:tc>
        <w:tc>
          <w:tcPr>
            <w:tcW w:w="260" w:type="dxa"/>
            <w:vAlign w:val="bottom"/>
            <w:shd w:val="clear" w:color="auto" w:fill="232F84"/>
          </w:tcPr>
          <w:p>
            <w:pPr>
              <w:spacing w:after="0"/>
              <w:rPr>
                <w:sz w:val="11"/>
                <w:szCs w:val="11"/>
                <w:color w:val="auto"/>
              </w:rPr>
            </w:pPr>
          </w:p>
        </w:tc>
        <w:tc>
          <w:tcPr>
            <w:tcW w:w="820" w:type="dxa"/>
            <w:vAlign w:val="bottom"/>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Marketing &amp;</w:t>
            </w:r>
          </w:p>
        </w:tc>
        <w:tc>
          <w:tcPr>
            <w:tcW w:w="260" w:type="dxa"/>
            <w:vAlign w:val="bottom"/>
            <w:shd w:val="clear" w:color="auto" w:fill="232F84"/>
          </w:tcPr>
          <w:p>
            <w:pPr>
              <w:spacing w:after="0"/>
              <w:rPr>
                <w:sz w:val="11"/>
                <w:szCs w:val="11"/>
                <w:color w:val="auto"/>
              </w:rPr>
            </w:pPr>
          </w:p>
        </w:tc>
        <w:tc>
          <w:tcPr>
            <w:tcW w:w="84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International</w:t>
            </w:r>
          </w:p>
        </w:tc>
        <w:tc>
          <w:tcPr>
            <w:tcW w:w="440" w:type="dxa"/>
            <w:vAlign w:val="bottom"/>
            <w:shd w:val="clear" w:color="auto" w:fill="232F84"/>
          </w:tcPr>
          <w:p>
            <w:pPr>
              <w:spacing w:after="0"/>
              <w:rPr>
                <w:sz w:val="11"/>
                <w:szCs w:val="11"/>
                <w:color w:val="auto"/>
              </w:rPr>
            </w:pPr>
          </w:p>
        </w:tc>
        <w:tc>
          <w:tcPr>
            <w:tcW w:w="700" w:type="dxa"/>
            <w:vAlign w:val="bottom"/>
            <w:shd w:val="clear" w:color="auto" w:fill="232F84"/>
          </w:tcPr>
          <w:p>
            <w:pPr>
              <w:spacing w:after="0"/>
              <w:rPr>
                <w:sz w:val="11"/>
                <w:szCs w:val="11"/>
                <w:color w:val="auto"/>
              </w:rPr>
            </w:pPr>
          </w:p>
        </w:tc>
        <w:tc>
          <w:tcPr>
            <w:tcW w:w="280" w:type="dxa"/>
            <w:vAlign w:val="bottom"/>
            <w:shd w:val="clear" w:color="auto" w:fill="232F84"/>
          </w:tcPr>
          <w:p>
            <w:pPr>
              <w:spacing w:after="0"/>
              <w:rPr>
                <w:sz w:val="11"/>
                <w:szCs w:val="11"/>
                <w:color w:val="auto"/>
              </w:rPr>
            </w:pPr>
          </w:p>
        </w:tc>
        <w:tc>
          <w:tcPr>
            <w:tcW w:w="80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Marketing &amp;</w:t>
            </w:r>
          </w:p>
        </w:tc>
        <w:tc>
          <w:tcPr>
            <w:tcW w:w="280" w:type="dxa"/>
            <w:vAlign w:val="bottom"/>
            <w:shd w:val="clear" w:color="auto" w:fill="232F84"/>
          </w:tcPr>
          <w:p>
            <w:pPr>
              <w:spacing w:after="0"/>
              <w:rPr>
                <w:sz w:val="11"/>
                <w:szCs w:val="11"/>
                <w:color w:val="auto"/>
              </w:rPr>
            </w:pPr>
          </w:p>
        </w:tc>
        <w:tc>
          <w:tcPr>
            <w:tcW w:w="84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International</w:t>
            </w:r>
          </w:p>
        </w:tc>
        <w:tc>
          <w:tcPr>
            <w:tcW w:w="460" w:type="dxa"/>
            <w:vAlign w:val="bottom"/>
            <w:shd w:val="clear" w:color="auto" w:fill="232F84"/>
          </w:tcPr>
          <w:p>
            <w:pPr>
              <w:spacing w:after="0"/>
              <w:rPr>
                <w:sz w:val="11"/>
                <w:szCs w:val="11"/>
                <w:color w:val="auto"/>
              </w:rPr>
            </w:pPr>
          </w:p>
        </w:tc>
        <w:tc>
          <w:tcPr>
            <w:tcW w:w="700" w:type="dxa"/>
            <w:vAlign w:val="bottom"/>
            <w:shd w:val="clear" w:color="auto" w:fill="232F84"/>
          </w:tcPr>
          <w:p>
            <w:pPr>
              <w:spacing w:after="0"/>
              <w:rPr>
                <w:sz w:val="11"/>
                <w:szCs w:val="11"/>
                <w:color w:val="auto"/>
              </w:rPr>
            </w:pPr>
          </w:p>
        </w:tc>
        <w:tc>
          <w:tcPr>
            <w:tcW w:w="260" w:type="dxa"/>
            <w:vAlign w:val="bottom"/>
            <w:shd w:val="clear" w:color="auto" w:fill="232F84"/>
          </w:tcPr>
          <w:p>
            <w:pPr>
              <w:spacing w:after="0"/>
              <w:rPr>
                <w:sz w:val="11"/>
                <w:szCs w:val="11"/>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0"/>
                <w:szCs w:val="10"/>
                <w:b w:val="1"/>
                <w:bCs w:val="1"/>
                <w:color w:val="FFFFFF"/>
              </w:rPr>
              <w:t>Marketing &amp;</w:t>
            </w:r>
          </w:p>
        </w:tc>
        <w:tc>
          <w:tcPr>
            <w:tcW w:w="280" w:type="dxa"/>
            <w:vAlign w:val="bottom"/>
            <w:shd w:val="clear" w:color="auto" w:fill="232F84"/>
          </w:tcPr>
          <w:p>
            <w:pPr>
              <w:spacing w:after="0"/>
              <w:rPr>
                <w:sz w:val="11"/>
                <w:szCs w:val="11"/>
                <w:color w:val="auto"/>
              </w:rPr>
            </w:pPr>
          </w:p>
        </w:tc>
        <w:tc>
          <w:tcPr>
            <w:tcW w:w="860" w:type="dxa"/>
            <w:vAlign w:val="bottom"/>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International</w:t>
            </w:r>
          </w:p>
        </w:tc>
        <w:tc>
          <w:tcPr>
            <w:tcW w:w="440" w:type="dxa"/>
            <w:vAlign w:val="bottom"/>
            <w:shd w:val="clear" w:color="auto" w:fill="232F84"/>
          </w:tcPr>
          <w:p>
            <w:pPr>
              <w:spacing w:after="0"/>
              <w:rPr>
                <w:sz w:val="11"/>
                <w:szCs w:val="11"/>
                <w:color w:val="auto"/>
              </w:rPr>
            </w:pPr>
          </w:p>
        </w:tc>
        <w:tc>
          <w:tcPr>
            <w:tcW w:w="700" w:type="dxa"/>
            <w:vAlign w:val="bottom"/>
            <w:shd w:val="clear" w:color="auto" w:fill="232F84"/>
          </w:tcPr>
          <w:p>
            <w:pPr>
              <w:spacing w:after="0"/>
              <w:rPr>
                <w:sz w:val="11"/>
                <w:szCs w:val="11"/>
                <w:color w:val="auto"/>
              </w:rPr>
            </w:pPr>
          </w:p>
        </w:tc>
      </w:tr>
      <w:tr>
        <w:trPr>
          <w:trHeight w:val="135"/>
        </w:trPr>
        <w:tc>
          <w:tcPr>
            <w:tcW w:w="124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0"/>
                <w:szCs w:val="10"/>
                <w:b w:val="1"/>
                <w:bCs w:val="1"/>
                <w:color w:val="FFFFFF"/>
              </w:rPr>
              <w:t>(In millions)</w:t>
            </w:r>
          </w:p>
        </w:tc>
        <w:tc>
          <w:tcPr>
            <w:tcW w:w="26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ind w:right="11"/>
              <w:spacing w:after="0"/>
              <w:rPr>
                <w:sz w:val="20"/>
                <w:szCs w:val="20"/>
                <w:color w:val="auto"/>
              </w:rPr>
            </w:pPr>
            <w:r>
              <w:rPr>
                <w:rFonts w:ascii="Arial" w:cs="Arial" w:eastAsia="Arial" w:hAnsi="Arial"/>
                <w:sz w:val="10"/>
                <w:szCs w:val="10"/>
                <w:b w:val="1"/>
                <w:bCs w:val="1"/>
                <w:color w:val="FFFFFF"/>
              </w:rPr>
              <w:t>Distribution</w:t>
            </w:r>
          </w:p>
        </w:tc>
        <w:tc>
          <w:tcPr>
            <w:tcW w:w="260" w:type="dxa"/>
            <w:vAlign w:val="bottom"/>
            <w:tcBorders>
              <w:bottom w:val="single" w:sz="8" w:color="232F84"/>
            </w:tcBorders>
            <w:shd w:val="clear" w:color="auto" w:fill="232F84"/>
          </w:tcPr>
          <w:p>
            <w:pPr>
              <w:spacing w:after="0"/>
              <w:rPr>
                <w:sz w:val="11"/>
                <w:szCs w:val="11"/>
                <w:color w:val="auto"/>
              </w:rPr>
            </w:pPr>
          </w:p>
        </w:tc>
        <w:tc>
          <w:tcPr>
            <w:tcW w:w="8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Farming</w:t>
            </w:r>
          </w:p>
        </w:tc>
        <w:tc>
          <w:tcPr>
            <w:tcW w:w="440" w:type="dxa"/>
            <w:vAlign w:val="bottom"/>
            <w:tcBorders>
              <w:bottom w:val="single" w:sz="8" w:color="232F84"/>
            </w:tcBorders>
            <w:shd w:val="clear" w:color="auto" w:fill="232F84"/>
          </w:tcPr>
          <w:p>
            <w:pPr>
              <w:spacing w:after="0"/>
              <w:rPr>
                <w:sz w:val="11"/>
                <w:szCs w:val="11"/>
                <w:color w:val="auto"/>
              </w:rPr>
            </w:pPr>
          </w:p>
        </w:tc>
        <w:tc>
          <w:tcPr>
            <w:tcW w:w="700" w:type="dxa"/>
            <w:vAlign w:val="bottom"/>
            <w:tcBorders>
              <w:bottom w:val="single" w:sz="8" w:color="232F84"/>
            </w:tcBorders>
            <w:shd w:val="clear" w:color="auto" w:fill="232F84"/>
          </w:tcPr>
          <w:p>
            <w:pPr>
              <w:jc w:val="right"/>
              <w:ind w:right="31"/>
              <w:spacing w:after="0"/>
              <w:rPr>
                <w:sz w:val="20"/>
                <w:szCs w:val="20"/>
                <w:color w:val="auto"/>
              </w:rPr>
            </w:pPr>
            <w:r>
              <w:rPr>
                <w:rFonts w:ascii="Arial" w:cs="Arial" w:eastAsia="Arial" w:hAnsi="Arial"/>
                <w:sz w:val="10"/>
                <w:szCs w:val="10"/>
                <w:b w:val="1"/>
                <w:bCs w:val="1"/>
                <w:color w:val="FFFFFF"/>
              </w:rPr>
              <w:t>Total</w:t>
            </w:r>
          </w:p>
        </w:tc>
        <w:tc>
          <w:tcPr>
            <w:tcW w:w="280" w:type="dxa"/>
            <w:vAlign w:val="bottom"/>
            <w:tcBorders>
              <w:bottom w:val="single" w:sz="8" w:color="232F84"/>
            </w:tcBorders>
            <w:shd w:val="clear" w:color="auto" w:fill="232F84"/>
          </w:tcPr>
          <w:p>
            <w:pPr>
              <w:spacing w:after="0"/>
              <w:rPr>
                <w:sz w:val="11"/>
                <w:szCs w:val="11"/>
                <w:color w:val="auto"/>
              </w:rPr>
            </w:pPr>
          </w:p>
        </w:tc>
        <w:tc>
          <w:tcPr>
            <w:tcW w:w="8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Distribution</w:t>
            </w:r>
          </w:p>
        </w:tc>
        <w:tc>
          <w:tcPr>
            <w:tcW w:w="280" w:type="dxa"/>
            <w:vAlign w:val="bottom"/>
            <w:tcBorders>
              <w:bottom w:val="single" w:sz="8" w:color="232F84"/>
            </w:tcBorders>
            <w:shd w:val="clear" w:color="auto" w:fill="232F84"/>
          </w:tcPr>
          <w:p>
            <w:pPr>
              <w:spacing w:after="0"/>
              <w:rPr>
                <w:sz w:val="11"/>
                <w:szCs w:val="11"/>
                <w:color w:val="auto"/>
              </w:rPr>
            </w:pPr>
          </w:p>
        </w:tc>
        <w:tc>
          <w:tcPr>
            <w:tcW w:w="8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Farming</w:t>
            </w:r>
          </w:p>
        </w:tc>
        <w:tc>
          <w:tcPr>
            <w:tcW w:w="460" w:type="dxa"/>
            <w:vAlign w:val="bottom"/>
            <w:tcBorders>
              <w:bottom w:val="single" w:sz="8" w:color="232F84"/>
            </w:tcBorders>
            <w:shd w:val="clear" w:color="auto" w:fill="232F84"/>
          </w:tcPr>
          <w:p>
            <w:pPr>
              <w:spacing w:after="0"/>
              <w:rPr>
                <w:sz w:val="11"/>
                <w:szCs w:val="11"/>
                <w:color w:val="auto"/>
              </w:rPr>
            </w:pPr>
          </w:p>
        </w:tc>
        <w:tc>
          <w:tcPr>
            <w:tcW w:w="700" w:type="dxa"/>
            <w:vAlign w:val="bottom"/>
            <w:tcBorders>
              <w:bottom w:val="single" w:sz="8" w:color="232F84"/>
            </w:tcBorders>
            <w:shd w:val="clear" w:color="auto" w:fill="232F84"/>
          </w:tcPr>
          <w:p>
            <w:pPr>
              <w:jc w:val="right"/>
              <w:ind w:right="31"/>
              <w:spacing w:after="0"/>
              <w:rPr>
                <w:sz w:val="20"/>
                <w:szCs w:val="20"/>
                <w:color w:val="auto"/>
              </w:rPr>
            </w:pPr>
            <w:r>
              <w:rPr>
                <w:rFonts w:ascii="Arial" w:cs="Arial" w:eastAsia="Arial" w:hAnsi="Arial"/>
                <w:sz w:val="10"/>
                <w:szCs w:val="10"/>
                <w:b w:val="1"/>
                <w:bCs w:val="1"/>
                <w:color w:val="FFFFFF"/>
              </w:rPr>
              <w:t>Total</w:t>
            </w:r>
          </w:p>
        </w:tc>
        <w:tc>
          <w:tcPr>
            <w:tcW w:w="260" w:type="dxa"/>
            <w:vAlign w:val="bottom"/>
            <w:tcBorders>
              <w:bottom w:val="single" w:sz="8" w:color="232F84"/>
            </w:tcBorders>
            <w:shd w:val="clear" w:color="auto" w:fill="232F84"/>
          </w:tcPr>
          <w:p>
            <w:pPr>
              <w:spacing w:after="0"/>
              <w:rPr>
                <w:sz w:val="11"/>
                <w:szCs w:val="11"/>
                <w:color w:val="auto"/>
              </w:rPr>
            </w:pPr>
          </w:p>
        </w:tc>
        <w:tc>
          <w:tcPr>
            <w:tcW w:w="82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0"/>
                <w:szCs w:val="10"/>
                <w:b w:val="1"/>
                <w:bCs w:val="1"/>
                <w:color w:val="FFFFFF"/>
              </w:rPr>
              <w:t>Distribution</w:t>
            </w:r>
          </w:p>
        </w:tc>
        <w:tc>
          <w:tcPr>
            <w:tcW w:w="280" w:type="dxa"/>
            <w:vAlign w:val="bottom"/>
            <w:tcBorders>
              <w:bottom w:val="single" w:sz="8" w:color="232F84"/>
            </w:tcBorders>
            <w:shd w:val="clear" w:color="auto" w:fill="232F84"/>
          </w:tcPr>
          <w:p>
            <w:pPr>
              <w:spacing w:after="0"/>
              <w:rPr>
                <w:sz w:val="11"/>
                <w:szCs w:val="11"/>
                <w:color w:val="auto"/>
              </w:rPr>
            </w:pPr>
          </w:p>
        </w:tc>
        <w:tc>
          <w:tcPr>
            <w:tcW w:w="860" w:type="dxa"/>
            <w:vAlign w:val="bottom"/>
            <w:tcBorders>
              <w:bottom w:val="single" w:sz="8" w:color="232F84"/>
            </w:tcBorders>
            <w:shd w:val="clear" w:color="auto" w:fill="232F84"/>
          </w:tcPr>
          <w:p>
            <w:pPr>
              <w:jc w:val="right"/>
              <w:ind w:right="10"/>
              <w:spacing w:after="0"/>
              <w:rPr>
                <w:sz w:val="20"/>
                <w:szCs w:val="20"/>
                <w:color w:val="auto"/>
              </w:rPr>
            </w:pPr>
            <w:r>
              <w:rPr>
                <w:rFonts w:ascii="Arial" w:cs="Arial" w:eastAsia="Arial" w:hAnsi="Arial"/>
                <w:sz w:val="10"/>
                <w:szCs w:val="10"/>
                <w:b w:val="1"/>
                <w:bCs w:val="1"/>
                <w:color w:val="FFFFFF"/>
              </w:rPr>
              <w:t>Farming</w:t>
            </w:r>
          </w:p>
        </w:tc>
        <w:tc>
          <w:tcPr>
            <w:tcW w:w="440" w:type="dxa"/>
            <w:vAlign w:val="bottom"/>
            <w:tcBorders>
              <w:bottom w:val="single" w:sz="8" w:color="232F84"/>
            </w:tcBorders>
            <w:shd w:val="clear" w:color="auto" w:fill="232F84"/>
          </w:tcPr>
          <w:p>
            <w:pPr>
              <w:spacing w:after="0"/>
              <w:rPr>
                <w:sz w:val="11"/>
                <w:szCs w:val="11"/>
                <w:color w:val="auto"/>
              </w:rPr>
            </w:pPr>
          </w:p>
        </w:tc>
        <w:tc>
          <w:tcPr>
            <w:tcW w:w="700" w:type="dxa"/>
            <w:vAlign w:val="bottom"/>
            <w:tcBorders>
              <w:bottom w:val="single" w:sz="8" w:color="232F84"/>
            </w:tcBorders>
            <w:shd w:val="clear" w:color="auto" w:fill="232F84"/>
          </w:tcPr>
          <w:p>
            <w:pPr>
              <w:jc w:val="right"/>
              <w:ind w:right="31"/>
              <w:spacing w:after="0"/>
              <w:rPr>
                <w:sz w:val="20"/>
                <w:szCs w:val="20"/>
                <w:color w:val="auto"/>
              </w:rPr>
            </w:pPr>
            <w:r>
              <w:rPr>
                <w:rFonts w:ascii="Arial" w:cs="Arial" w:eastAsia="Arial" w:hAnsi="Arial"/>
                <w:sz w:val="10"/>
                <w:szCs w:val="10"/>
                <w:b w:val="1"/>
                <w:bCs w:val="1"/>
                <w:color w:val="FFFFFF"/>
              </w:rPr>
              <w:t>Total</w:t>
            </w:r>
          </w:p>
        </w:tc>
      </w:tr>
      <w:tr>
        <w:trPr>
          <w:trHeight w:val="139"/>
        </w:trPr>
        <w:tc>
          <w:tcPr>
            <w:tcW w:w="12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Third party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19.7</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891.7</w:t>
            </w:r>
          </w:p>
        </w:tc>
        <w:tc>
          <w:tcPr>
            <w:tcW w:w="28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center"/>
              <w:ind w:left="450"/>
              <w:spacing w:after="0"/>
              <w:rPr>
                <w:sz w:val="20"/>
                <w:szCs w:val="20"/>
                <w:color w:val="auto"/>
              </w:rPr>
            </w:pPr>
            <w:r>
              <w:rPr>
                <w:rFonts w:ascii="Arial" w:cs="Arial" w:eastAsia="Arial" w:hAnsi="Arial"/>
                <w:sz w:val="10"/>
                <w:szCs w:val="10"/>
                <w:color w:val="auto"/>
                <w:w w:val="92"/>
              </w:rPr>
              <w:t>15.4</w:t>
            </w:r>
          </w:p>
        </w:tc>
        <w:tc>
          <w:tcPr>
            <w:tcW w:w="46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862.3</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9.6</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883.3</w:t>
            </w:r>
          </w:p>
        </w:tc>
      </w:tr>
      <w:tr>
        <w:trPr>
          <w:trHeight w:val="134"/>
        </w:trPr>
        <w:tc>
          <w:tcPr>
            <w:tcW w:w="1240" w:type="dxa"/>
            <w:vAlign w:val="bottom"/>
          </w:tcPr>
          <w:p>
            <w:pPr>
              <w:ind w:left="20"/>
              <w:spacing w:after="0"/>
              <w:rPr>
                <w:sz w:val="20"/>
                <w:szCs w:val="20"/>
                <w:color w:val="auto"/>
              </w:rPr>
            </w:pPr>
            <w:r>
              <w:rPr>
                <w:rFonts w:ascii="Arial" w:cs="Arial" w:eastAsia="Arial" w:hAnsi="Arial"/>
                <w:sz w:val="10"/>
                <w:szCs w:val="10"/>
                <w:color w:val="auto"/>
              </w:rPr>
              <w:t>Affiliated sales</w:t>
            </w:r>
          </w:p>
        </w:tc>
        <w:tc>
          <w:tcPr>
            <w:tcW w:w="260" w:type="dxa"/>
            <w:vAlign w:val="bottom"/>
          </w:tcPr>
          <w:p>
            <w:pPr>
              <w:spacing w:after="0"/>
              <w:rPr>
                <w:sz w:val="11"/>
                <w:szCs w:val="11"/>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40" w:type="dxa"/>
            <w:vAlign w:val="bottom"/>
          </w:tcPr>
          <w:p>
            <w:pPr>
              <w:jc w:val="right"/>
              <w:ind w:right="30"/>
              <w:spacing w:after="0"/>
              <w:rPr>
                <w:sz w:val="20"/>
                <w:szCs w:val="20"/>
                <w:color w:val="auto"/>
              </w:rPr>
            </w:pPr>
            <w:r>
              <w:rPr>
                <w:rFonts w:ascii="Arial" w:cs="Arial" w:eastAsia="Arial" w:hAnsi="Arial"/>
                <w:sz w:val="10"/>
                <w:szCs w:val="10"/>
                <w:color w:val="auto"/>
              </w:rPr>
              <w:t>84.9</w:t>
            </w:r>
          </w:p>
        </w:tc>
        <w:tc>
          <w:tcPr>
            <w:tcW w:w="44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84.9</w:t>
            </w:r>
          </w:p>
        </w:tc>
        <w:tc>
          <w:tcPr>
            <w:tcW w:w="280" w:type="dxa"/>
            <w:vAlign w:val="bottom"/>
          </w:tcPr>
          <w:p>
            <w:pPr>
              <w:spacing w:after="0"/>
              <w:rPr>
                <w:sz w:val="11"/>
                <w:szCs w:val="11"/>
                <w:color w:val="auto"/>
              </w:rPr>
            </w:pP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40" w:type="dxa"/>
            <w:vAlign w:val="bottom"/>
          </w:tcPr>
          <w:p>
            <w:pPr>
              <w:jc w:val="center"/>
              <w:ind w:left="450"/>
              <w:spacing w:after="0"/>
              <w:rPr>
                <w:sz w:val="20"/>
                <w:szCs w:val="20"/>
                <w:color w:val="auto"/>
              </w:rPr>
            </w:pPr>
            <w:r>
              <w:rPr>
                <w:rFonts w:ascii="Arial" w:cs="Arial" w:eastAsia="Arial" w:hAnsi="Arial"/>
                <w:sz w:val="10"/>
                <w:szCs w:val="10"/>
                <w:color w:val="auto"/>
                <w:w w:val="92"/>
              </w:rPr>
              <w:t>66.4</w:t>
            </w:r>
          </w:p>
        </w:tc>
        <w:tc>
          <w:tcPr>
            <w:tcW w:w="46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66.4</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80.7</w:t>
            </w:r>
          </w:p>
        </w:tc>
        <w:tc>
          <w:tcPr>
            <w:tcW w:w="440" w:type="dxa"/>
            <w:vAlign w:val="bottom"/>
          </w:tcPr>
          <w:p>
            <w:pPr>
              <w:spacing w:after="0"/>
              <w:rPr>
                <w:sz w:val="11"/>
                <w:szCs w:val="11"/>
                <w:color w:val="auto"/>
              </w:rPr>
            </w:pPr>
          </w:p>
        </w:tc>
        <w:tc>
          <w:tcPr>
            <w:tcW w:w="700" w:type="dxa"/>
            <w:vAlign w:val="bottom"/>
          </w:tcPr>
          <w:p>
            <w:pPr>
              <w:jc w:val="right"/>
              <w:ind w:right="71"/>
              <w:spacing w:after="0"/>
              <w:rPr>
                <w:sz w:val="20"/>
                <w:szCs w:val="20"/>
                <w:color w:val="auto"/>
              </w:rPr>
            </w:pPr>
            <w:r>
              <w:rPr>
                <w:rFonts w:ascii="Arial" w:cs="Arial" w:eastAsia="Arial" w:hAnsi="Arial"/>
                <w:sz w:val="10"/>
                <w:szCs w:val="10"/>
                <w:color w:val="auto"/>
              </w:rPr>
              <w:t>80.7</w:t>
            </w:r>
          </w:p>
        </w:tc>
      </w:tr>
      <w:tr>
        <w:trPr>
          <w:trHeight w:val="25"/>
        </w:trPr>
        <w:tc>
          <w:tcPr>
            <w:tcW w:w="124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2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40" w:type="dxa"/>
            <w:vAlign w:val="bottom"/>
            <w:tcBorders>
              <w:bottom w:val="single" w:sz="8" w:color="494949"/>
            </w:tcBorders>
          </w:tcPr>
          <w:p>
            <w:pPr>
              <w:spacing w:after="0"/>
              <w:rPr>
                <w:sz w:val="2"/>
                <w:szCs w:val="2"/>
                <w:color w:val="auto"/>
              </w:rPr>
            </w:pPr>
          </w:p>
        </w:tc>
        <w:tc>
          <w:tcPr>
            <w:tcW w:w="440" w:type="dxa"/>
            <w:vAlign w:val="bottom"/>
            <w:tcBorders>
              <w:bottom w:val="single" w:sz="8" w:color="494949"/>
            </w:tcBorders>
          </w:tcPr>
          <w:p>
            <w:pPr>
              <w:spacing w:after="0"/>
              <w:rPr>
                <w:sz w:val="2"/>
                <w:szCs w:val="2"/>
                <w:color w:val="auto"/>
              </w:rPr>
            </w:pPr>
          </w:p>
        </w:tc>
        <w:tc>
          <w:tcPr>
            <w:tcW w:w="700" w:type="dxa"/>
            <w:vAlign w:val="bottom"/>
            <w:tcBorders>
              <w:bottom w:val="single" w:sz="8" w:color="494949"/>
            </w:tcBorders>
          </w:tcPr>
          <w:p>
            <w:pPr>
              <w:spacing w:after="0"/>
              <w:rPr>
                <w:sz w:val="2"/>
                <w:szCs w:val="2"/>
                <w:color w:val="auto"/>
              </w:rPr>
            </w:pPr>
          </w:p>
        </w:tc>
        <w:tc>
          <w:tcPr>
            <w:tcW w:w="280" w:type="dxa"/>
            <w:vAlign w:val="bottom"/>
            <w:tcBorders>
              <w:bottom w:val="single" w:sz="8" w:color="494949"/>
            </w:tcBorders>
          </w:tcPr>
          <w:p>
            <w:pPr>
              <w:spacing w:after="0"/>
              <w:rPr>
                <w:sz w:val="2"/>
                <w:szCs w:val="2"/>
                <w:color w:val="auto"/>
              </w:rPr>
            </w:pPr>
          </w:p>
        </w:tc>
        <w:tc>
          <w:tcPr>
            <w:tcW w:w="800" w:type="dxa"/>
            <w:vAlign w:val="bottom"/>
            <w:tcBorders>
              <w:bottom w:val="single" w:sz="8" w:color="494949"/>
            </w:tcBorders>
          </w:tcPr>
          <w:p>
            <w:pPr>
              <w:spacing w:after="0"/>
              <w:rPr>
                <w:sz w:val="2"/>
                <w:szCs w:val="2"/>
                <w:color w:val="auto"/>
              </w:rPr>
            </w:pPr>
          </w:p>
        </w:tc>
        <w:tc>
          <w:tcPr>
            <w:tcW w:w="280" w:type="dxa"/>
            <w:vAlign w:val="bottom"/>
            <w:tcBorders>
              <w:bottom w:val="single" w:sz="8" w:color="494949"/>
            </w:tcBorders>
          </w:tcPr>
          <w:p>
            <w:pPr>
              <w:spacing w:after="0"/>
              <w:rPr>
                <w:sz w:val="2"/>
                <w:szCs w:val="2"/>
                <w:color w:val="auto"/>
              </w:rPr>
            </w:pPr>
          </w:p>
        </w:tc>
        <w:tc>
          <w:tcPr>
            <w:tcW w:w="840" w:type="dxa"/>
            <w:vAlign w:val="bottom"/>
            <w:tcBorders>
              <w:bottom w:val="single" w:sz="8" w:color="494949"/>
            </w:tcBorders>
          </w:tcPr>
          <w:p>
            <w:pPr>
              <w:spacing w:after="0"/>
              <w:rPr>
                <w:sz w:val="2"/>
                <w:szCs w:val="2"/>
                <w:color w:val="auto"/>
              </w:rPr>
            </w:pPr>
          </w:p>
        </w:tc>
        <w:tc>
          <w:tcPr>
            <w:tcW w:w="460" w:type="dxa"/>
            <w:vAlign w:val="bottom"/>
            <w:tcBorders>
              <w:bottom w:val="single" w:sz="8" w:color="494949"/>
            </w:tcBorders>
          </w:tcPr>
          <w:p>
            <w:pPr>
              <w:spacing w:after="0"/>
              <w:rPr>
                <w:sz w:val="2"/>
                <w:szCs w:val="2"/>
                <w:color w:val="auto"/>
              </w:rPr>
            </w:pPr>
          </w:p>
        </w:tc>
        <w:tc>
          <w:tcPr>
            <w:tcW w:w="700" w:type="dxa"/>
            <w:vAlign w:val="bottom"/>
            <w:tcBorders>
              <w:bottom w:val="single" w:sz="8" w:color="494949"/>
            </w:tcBorders>
          </w:tcPr>
          <w:p>
            <w:pPr>
              <w:spacing w:after="0"/>
              <w:rPr>
                <w:sz w:val="2"/>
                <w:szCs w:val="2"/>
                <w:color w:val="auto"/>
              </w:rPr>
            </w:pPr>
          </w:p>
        </w:tc>
        <w:tc>
          <w:tcPr>
            <w:tcW w:w="260" w:type="dxa"/>
            <w:vAlign w:val="bottom"/>
            <w:tcBorders>
              <w:bottom w:val="single" w:sz="8" w:color="494949"/>
            </w:tcBorders>
          </w:tcPr>
          <w:p>
            <w:pPr>
              <w:spacing w:after="0"/>
              <w:rPr>
                <w:sz w:val="2"/>
                <w:szCs w:val="2"/>
                <w:color w:val="auto"/>
              </w:rPr>
            </w:pPr>
          </w:p>
        </w:tc>
        <w:tc>
          <w:tcPr>
            <w:tcW w:w="820" w:type="dxa"/>
            <w:vAlign w:val="bottom"/>
            <w:tcBorders>
              <w:bottom w:val="single" w:sz="8" w:color="494949"/>
            </w:tcBorders>
          </w:tcPr>
          <w:p>
            <w:pPr>
              <w:spacing w:after="0"/>
              <w:rPr>
                <w:sz w:val="2"/>
                <w:szCs w:val="2"/>
                <w:color w:val="auto"/>
              </w:rPr>
            </w:pPr>
          </w:p>
        </w:tc>
        <w:tc>
          <w:tcPr>
            <w:tcW w:w="280" w:type="dxa"/>
            <w:vAlign w:val="bottom"/>
            <w:tcBorders>
              <w:bottom w:val="single" w:sz="8" w:color="494949"/>
            </w:tcBorders>
          </w:tcPr>
          <w:p>
            <w:pPr>
              <w:spacing w:after="0"/>
              <w:rPr>
                <w:sz w:val="2"/>
                <w:szCs w:val="2"/>
                <w:color w:val="auto"/>
              </w:rPr>
            </w:pPr>
          </w:p>
        </w:tc>
        <w:tc>
          <w:tcPr>
            <w:tcW w:w="860" w:type="dxa"/>
            <w:vAlign w:val="bottom"/>
            <w:tcBorders>
              <w:bottom w:val="single" w:sz="8" w:color="494949"/>
            </w:tcBorders>
          </w:tcPr>
          <w:p>
            <w:pPr>
              <w:spacing w:after="0"/>
              <w:rPr>
                <w:sz w:val="2"/>
                <w:szCs w:val="2"/>
                <w:color w:val="auto"/>
              </w:rPr>
            </w:pPr>
          </w:p>
        </w:tc>
        <w:tc>
          <w:tcPr>
            <w:tcW w:w="440" w:type="dxa"/>
            <w:vAlign w:val="bottom"/>
            <w:tcBorders>
              <w:bottom w:val="single" w:sz="8" w:color="494949"/>
            </w:tcBorders>
          </w:tcPr>
          <w:p>
            <w:pPr>
              <w:spacing w:after="0"/>
              <w:rPr>
                <w:sz w:val="2"/>
                <w:szCs w:val="2"/>
                <w:color w:val="auto"/>
              </w:rPr>
            </w:pPr>
          </w:p>
        </w:tc>
        <w:tc>
          <w:tcPr>
            <w:tcW w:w="700" w:type="dxa"/>
            <w:vAlign w:val="bottom"/>
            <w:tcBorders>
              <w:bottom w:val="single" w:sz="8" w:color="494949"/>
            </w:tcBorders>
          </w:tcPr>
          <w:p>
            <w:pPr>
              <w:spacing w:after="0"/>
              <w:rPr>
                <w:sz w:val="2"/>
                <w:szCs w:val="2"/>
                <w:color w:val="auto"/>
              </w:rPr>
            </w:pPr>
          </w:p>
        </w:tc>
      </w:tr>
      <w:tr>
        <w:trPr>
          <w:trHeight w:val="130"/>
        </w:trPr>
        <w:tc>
          <w:tcPr>
            <w:tcW w:w="12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Total segment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104.6</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976.6</w:t>
            </w:r>
          </w:p>
        </w:tc>
        <w:tc>
          <w:tcPr>
            <w:tcW w:w="28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center"/>
              <w:ind w:left="450"/>
              <w:spacing w:after="0"/>
              <w:rPr>
                <w:sz w:val="20"/>
                <w:szCs w:val="20"/>
                <w:color w:val="auto"/>
              </w:rPr>
            </w:pPr>
            <w:r>
              <w:rPr>
                <w:rFonts w:ascii="Arial" w:cs="Arial" w:eastAsia="Arial" w:hAnsi="Arial"/>
                <w:sz w:val="10"/>
                <w:szCs w:val="10"/>
                <w:color w:val="auto"/>
                <w:w w:val="92"/>
              </w:rPr>
              <w:t>81.8</w:t>
            </w:r>
          </w:p>
        </w:tc>
        <w:tc>
          <w:tcPr>
            <w:tcW w:w="46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928.7</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90.3</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964.0</w:t>
            </w:r>
          </w:p>
        </w:tc>
      </w:tr>
      <w:tr>
        <w:trPr>
          <w:trHeight w:val="134"/>
        </w:trPr>
        <w:tc>
          <w:tcPr>
            <w:tcW w:w="1240" w:type="dxa"/>
            <w:vAlign w:val="bottom"/>
          </w:tcPr>
          <w:p>
            <w:pPr>
              <w:ind w:left="20"/>
              <w:spacing w:after="0"/>
              <w:rPr>
                <w:sz w:val="20"/>
                <w:szCs w:val="20"/>
                <w:color w:val="auto"/>
              </w:rPr>
            </w:pPr>
            <w:r>
              <w:rPr>
                <w:rFonts w:ascii="Arial" w:cs="Arial" w:eastAsia="Arial" w:hAnsi="Arial"/>
                <w:sz w:val="10"/>
                <w:szCs w:val="10"/>
                <w:color w:val="auto"/>
              </w:rPr>
              <w:t>Intercompany eliminations</w:t>
            </w:r>
          </w:p>
        </w:tc>
        <w:tc>
          <w:tcPr>
            <w:tcW w:w="260" w:type="dxa"/>
            <w:vAlign w:val="bottom"/>
          </w:tcPr>
          <w:p>
            <w:pPr>
              <w:spacing w:after="0"/>
              <w:rPr>
                <w:sz w:val="11"/>
                <w:szCs w:val="11"/>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840" w:type="dxa"/>
            <w:vAlign w:val="bottom"/>
          </w:tcPr>
          <w:p>
            <w:pPr>
              <w:jc w:val="right"/>
              <w:ind w:right="10"/>
              <w:spacing w:after="0"/>
              <w:rPr>
                <w:sz w:val="20"/>
                <w:szCs w:val="20"/>
                <w:color w:val="auto"/>
              </w:rPr>
            </w:pPr>
            <w:r>
              <w:rPr>
                <w:rFonts w:ascii="Arial" w:cs="Arial" w:eastAsia="Arial" w:hAnsi="Arial"/>
                <w:sz w:val="10"/>
                <w:szCs w:val="10"/>
                <w:color w:val="auto"/>
              </w:rPr>
              <w:t>(84.9)</w:t>
            </w:r>
          </w:p>
        </w:tc>
        <w:tc>
          <w:tcPr>
            <w:tcW w:w="440" w:type="dxa"/>
            <w:vAlign w:val="bottom"/>
          </w:tcPr>
          <w:p>
            <w:pPr>
              <w:spacing w:after="0"/>
              <w:rPr>
                <w:sz w:val="11"/>
                <w:szCs w:val="11"/>
                <w:color w:val="auto"/>
              </w:rPr>
            </w:pPr>
          </w:p>
        </w:tc>
        <w:tc>
          <w:tcPr>
            <w:tcW w:w="700" w:type="dxa"/>
            <w:vAlign w:val="bottom"/>
          </w:tcPr>
          <w:p>
            <w:pPr>
              <w:jc w:val="right"/>
              <w:ind w:right="31"/>
              <w:spacing w:after="0"/>
              <w:rPr>
                <w:sz w:val="20"/>
                <w:szCs w:val="20"/>
                <w:color w:val="auto"/>
              </w:rPr>
            </w:pPr>
            <w:r>
              <w:rPr>
                <w:rFonts w:ascii="Arial" w:cs="Arial" w:eastAsia="Arial" w:hAnsi="Arial"/>
                <w:sz w:val="10"/>
                <w:szCs w:val="10"/>
                <w:color w:val="auto"/>
              </w:rPr>
              <w:t>(84.9)</w:t>
            </w:r>
          </w:p>
        </w:tc>
        <w:tc>
          <w:tcPr>
            <w:tcW w:w="280" w:type="dxa"/>
            <w:vAlign w:val="bottom"/>
          </w:tcPr>
          <w:p>
            <w:pPr>
              <w:spacing w:after="0"/>
              <w:rPr>
                <w:sz w:val="11"/>
                <w:szCs w:val="11"/>
                <w:color w:val="auto"/>
              </w:rPr>
            </w:pPr>
          </w:p>
        </w:tc>
        <w:tc>
          <w:tcPr>
            <w:tcW w:w="8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40" w:type="dxa"/>
            <w:vAlign w:val="bottom"/>
          </w:tcPr>
          <w:p>
            <w:pPr>
              <w:jc w:val="center"/>
              <w:ind w:left="450"/>
              <w:spacing w:after="0"/>
              <w:rPr>
                <w:sz w:val="20"/>
                <w:szCs w:val="20"/>
                <w:color w:val="auto"/>
              </w:rPr>
            </w:pPr>
            <w:r>
              <w:rPr>
                <w:rFonts w:ascii="Arial" w:cs="Arial" w:eastAsia="Arial" w:hAnsi="Arial"/>
                <w:sz w:val="10"/>
                <w:szCs w:val="10"/>
                <w:color w:val="auto"/>
                <w:w w:val="99"/>
              </w:rPr>
              <w:t>(66.4)</w:t>
            </w:r>
          </w:p>
        </w:tc>
        <w:tc>
          <w:tcPr>
            <w:tcW w:w="460" w:type="dxa"/>
            <w:vAlign w:val="bottom"/>
          </w:tcPr>
          <w:p>
            <w:pPr>
              <w:spacing w:after="0"/>
              <w:rPr>
                <w:sz w:val="11"/>
                <w:szCs w:val="11"/>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(66.4)</w:t>
            </w:r>
          </w:p>
        </w:tc>
        <w:tc>
          <w:tcPr>
            <w:tcW w:w="260" w:type="dxa"/>
            <w:vAlign w:val="bottom"/>
          </w:tcPr>
          <w:p>
            <w:pPr>
              <w:spacing w:after="0"/>
              <w:rPr>
                <w:sz w:val="11"/>
                <w:szCs w:val="11"/>
                <w:color w:val="auto"/>
              </w:rPr>
            </w:pPr>
          </w:p>
        </w:tc>
        <w:tc>
          <w:tcPr>
            <w:tcW w:w="82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860" w:type="dxa"/>
            <w:vAlign w:val="bottom"/>
          </w:tcPr>
          <w:p>
            <w:pPr>
              <w:jc w:val="right"/>
              <w:ind w:right="10"/>
              <w:spacing w:after="0"/>
              <w:rPr>
                <w:sz w:val="20"/>
                <w:szCs w:val="20"/>
                <w:color w:val="auto"/>
              </w:rPr>
            </w:pPr>
            <w:r>
              <w:rPr>
                <w:rFonts w:ascii="Arial" w:cs="Arial" w:eastAsia="Arial" w:hAnsi="Arial"/>
                <w:sz w:val="10"/>
                <w:szCs w:val="10"/>
                <w:color w:val="auto"/>
              </w:rPr>
              <w:t>(80.7)</w:t>
            </w:r>
          </w:p>
        </w:tc>
        <w:tc>
          <w:tcPr>
            <w:tcW w:w="440" w:type="dxa"/>
            <w:vAlign w:val="bottom"/>
          </w:tcPr>
          <w:p>
            <w:pPr>
              <w:spacing w:after="0"/>
              <w:rPr>
                <w:sz w:val="11"/>
                <w:szCs w:val="11"/>
                <w:color w:val="auto"/>
              </w:rPr>
            </w:pPr>
          </w:p>
        </w:tc>
        <w:tc>
          <w:tcPr>
            <w:tcW w:w="700" w:type="dxa"/>
            <w:vAlign w:val="bottom"/>
          </w:tcPr>
          <w:p>
            <w:pPr>
              <w:jc w:val="right"/>
              <w:ind w:right="51"/>
              <w:spacing w:after="0"/>
              <w:rPr>
                <w:sz w:val="20"/>
                <w:szCs w:val="20"/>
                <w:color w:val="auto"/>
              </w:rPr>
            </w:pPr>
            <w:r>
              <w:rPr>
                <w:rFonts w:ascii="Arial" w:cs="Arial" w:eastAsia="Arial" w:hAnsi="Arial"/>
                <w:sz w:val="10"/>
                <w:szCs w:val="10"/>
                <w:color w:val="auto"/>
              </w:rPr>
              <w:t>(80.7)</w:t>
            </w:r>
          </w:p>
        </w:tc>
      </w:tr>
      <w:tr>
        <w:trPr>
          <w:trHeight w:val="25"/>
        </w:trPr>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30"/>
        </w:trPr>
        <w:tc>
          <w:tcPr>
            <w:tcW w:w="12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0"/>
                <w:szCs w:val="10"/>
                <w:color w:val="auto"/>
              </w:rPr>
              <w:t>Total net sales</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51"/>
              <w:spacing w:after="0"/>
              <w:rPr>
                <w:sz w:val="20"/>
                <w:szCs w:val="20"/>
                <w:color w:val="auto"/>
              </w:rPr>
            </w:pPr>
            <w:r>
              <w:rPr>
                <w:rFonts w:ascii="Arial" w:cs="Arial" w:eastAsia="Arial" w:hAnsi="Arial"/>
                <w:sz w:val="10"/>
                <w:szCs w:val="10"/>
                <w:color w:val="auto"/>
              </w:rPr>
              <w:t>872.0</w:t>
            </w:r>
          </w:p>
        </w:tc>
        <w:tc>
          <w:tcPr>
            <w:tcW w:w="26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19.7</w:t>
            </w:r>
          </w:p>
        </w:tc>
        <w:tc>
          <w:tcPr>
            <w:tcW w:w="440" w:type="dxa"/>
            <w:vAlign w:val="bottom"/>
            <w:tcBorders>
              <w:bottom w:val="single" w:sz="8" w:color="43C0B9"/>
            </w:tcBorders>
            <w:shd w:val="clear" w:color="auto" w:fill="43C0B9"/>
          </w:tcPr>
          <w:p>
            <w:pPr>
              <w:jc w:val="right"/>
              <w:ind w:right="27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891.7</w:t>
            </w:r>
          </w:p>
        </w:tc>
        <w:tc>
          <w:tcPr>
            <w:tcW w:w="28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43C0B9"/>
            </w:tcBorders>
            <w:shd w:val="clear" w:color="auto" w:fill="43C0B9"/>
          </w:tcPr>
          <w:p>
            <w:pPr>
              <w:jc w:val="right"/>
              <w:ind w:right="30"/>
              <w:spacing w:after="0"/>
              <w:rPr>
                <w:sz w:val="20"/>
                <w:szCs w:val="20"/>
                <w:color w:val="auto"/>
              </w:rPr>
            </w:pPr>
            <w:r>
              <w:rPr>
                <w:rFonts w:ascii="Arial" w:cs="Arial" w:eastAsia="Arial" w:hAnsi="Arial"/>
                <w:sz w:val="10"/>
                <w:szCs w:val="10"/>
                <w:color w:val="auto"/>
              </w:rPr>
              <w:t>846.9</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43C0B9"/>
            </w:tcBorders>
            <w:shd w:val="clear" w:color="auto" w:fill="43C0B9"/>
          </w:tcPr>
          <w:p>
            <w:pPr>
              <w:jc w:val="center"/>
              <w:ind w:left="450"/>
              <w:spacing w:after="0"/>
              <w:rPr>
                <w:sz w:val="20"/>
                <w:szCs w:val="20"/>
                <w:color w:val="auto"/>
              </w:rPr>
            </w:pPr>
            <w:r>
              <w:rPr>
                <w:rFonts w:ascii="Arial" w:cs="Arial" w:eastAsia="Arial" w:hAnsi="Arial"/>
                <w:sz w:val="10"/>
                <w:szCs w:val="10"/>
                <w:color w:val="auto"/>
                <w:w w:val="92"/>
              </w:rPr>
              <w:t>15.4</w:t>
            </w:r>
          </w:p>
        </w:tc>
        <w:tc>
          <w:tcPr>
            <w:tcW w:w="46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862.3</w:t>
            </w:r>
          </w:p>
        </w:tc>
        <w:tc>
          <w:tcPr>
            <w:tcW w:w="260" w:type="dxa"/>
            <w:vAlign w:val="bottom"/>
            <w:tcBorders>
              <w:bottom w:val="single" w:sz="8" w:color="43C0B9"/>
            </w:tcBorders>
            <w:shd w:val="clear" w:color="auto" w:fill="43C0B9"/>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43C0B9"/>
            </w:tcBorders>
            <w:shd w:val="clear" w:color="auto" w:fill="43C0B9"/>
          </w:tcPr>
          <w:p>
            <w:pPr>
              <w:jc w:val="right"/>
              <w:ind w:right="31"/>
              <w:spacing w:after="0"/>
              <w:rPr>
                <w:sz w:val="20"/>
                <w:szCs w:val="20"/>
                <w:color w:val="auto"/>
              </w:rPr>
            </w:pPr>
            <w:r>
              <w:rPr>
                <w:rFonts w:ascii="Arial" w:cs="Arial" w:eastAsia="Arial" w:hAnsi="Arial"/>
                <w:sz w:val="10"/>
                <w:szCs w:val="10"/>
                <w:color w:val="auto"/>
              </w:rPr>
              <w:t>873.7</w:t>
            </w:r>
          </w:p>
        </w:tc>
        <w:tc>
          <w:tcPr>
            <w:tcW w:w="280" w:type="dxa"/>
            <w:vAlign w:val="bottom"/>
            <w:tcBorders>
              <w:bottom w:val="single" w:sz="8" w:color="43C0B9"/>
            </w:tcBorders>
            <w:shd w:val="clear" w:color="auto" w:fill="43C0B9"/>
          </w:tcPr>
          <w:p>
            <w:pPr>
              <w:jc w:val="right"/>
              <w:ind w:right="111"/>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43C0B9"/>
            </w:tcBorders>
            <w:shd w:val="clear" w:color="auto" w:fill="43C0B9"/>
          </w:tcPr>
          <w:p>
            <w:pPr>
              <w:jc w:val="right"/>
              <w:ind w:right="50"/>
              <w:spacing w:after="0"/>
              <w:rPr>
                <w:sz w:val="20"/>
                <w:szCs w:val="20"/>
                <w:color w:val="auto"/>
              </w:rPr>
            </w:pPr>
            <w:r>
              <w:rPr>
                <w:rFonts w:ascii="Arial" w:cs="Arial" w:eastAsia="Arial" w:hAnsi="Arial"/>
                <w:sz w:val="10"/>
                <w:szCs w:val="10"/>
                <w:color w:val="auto"/>
              </w:rPr>
              <w:t>9.6</w:t>
            </w:r>
          </w:p>
        </w:tc>
        <w:tc>
          <w:tcPr>
            <w:tcW w:w="440" w:type="dxa"/>
            <w:vAlign w:val="bottom"/>
            <w:tcBorders>
              <w:bottom w:val="single" w:sz="8" w:color="43C0B9"/>
            </w:tcBorders>
            <w:shd w:val="clear" w:color="auto" w:fill="43C0B9"/>
          </w:tcPr>
          <w:p>
            <w:pPr>
              <w:jc w:val="right"/>
              <w:ind w:right="291"/>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43C0B9"/>
            </w:tcBorders>
            <w:shd w:val="clear" w:color="auto" w:fill="43C0B9"/>
          </w:tcPr>
          <w:p>
            <w:pPr>
              <w:jc w:val="right"/>
              <w:ind w:right="71"/>
              <w:spacing w:after="0"/>
              <w:rPr>
                <w:sz w:val="20"/>
                <w:szCs w:val="20"/>
                <w:color w:val="auto"/>
              </w:rPr>
            </w:pPr>
            <w:r>
              <w:rPr>
                <w:rFonts w:ascii="Arial" w:cs="Arial" w:eastAsia="Arial" w:hAnsi="Arial"/>
                <w:sz w:val="10"/>
                <w:szCs w:val="10"/>
                <w:color w:val="auto"/>
              </w:rPr>
              <w:t>883.3</w:t>
            </w:r>
          </w:p>
        </w:tc>
      </w:tr>
      <w:tr>
        <w:trPr>
          <w:trHeight w:val="20"/>
        </w:trPr>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Adjusted EBITDA for each of our reporting segments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shd w:val="clear" w:color="auto" w:fill="232F84"/>
          </w:tcPr>
          <w:p>
            <w:pPr>
              <w:spacing w:after="0"/>
              <w:rPr>
                <w:sz w:val="15"/>
                <w:szCs w:val="15"/>
                <w:color w:val="auto"/>
              </w:rPr>
            </w:pPr>
          </w:p>
        </w:tc>
        <w:tc>
          <w:tcPr>
            <w:tcW w:w="620" w:type="dxa"/>
            <w:vAlign w:val="bottom"/>
            <w:shd w:val="clear" w:color="auto" w:fill="232F84"/>
          </w:tcPr>
          <w:p>
            <w:pPr>
              <w:spacing w:after="0"/>
              <w:rPr>
                <w:sz w:val="15"/>
                <w:szCs w:val="15"/>
                <w:color w:val="auto"/>
              </w:rPr>
            </w:pPr>
          </w:p>
        </w:tc>
        <w:tc>
          <w:tcPr>
            <w:tcW w:w="980" w:type="dxa"/>
            <w:vAlign w:val="bottom"/>
            <w:shd w:val="clear" w:color="auto" w:fill="232F84"/>
          </w:tcPr>
          <w:p>
            <w:pPr>
              <w:spacing w:after="0"/>
              <w:rPr>
                <w:sz w:val="15"/>
                <w:szCs w:val="15"/>
                <w:color w:val="auto"/>
              </w:rPr>
            </w:pP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43"/>
              <w:spacing w:after="0"/>
              <w:rPr>
                <w:sz w:val="20"/>
                <w:szCs w:val="20"/>
                <w:color w:val="auto"/>
              </w:rPr>
            </w:pPr>
            <w:r>
              <w:rPr>
                <w:rFonts w:ascii="Arial" w:cs="Arial" w:eastAsia="Arial" w:hAnsi="Arial"/>
                <w:sz w:val="11"/>
                <w:szCs w:val="11"/>
                <w:b w:val="1"/>
                <w:bCs w:val="1"/>
                <w:color w:val="FFFFFF"/>
              </w:rPr>
              <w:t>Year Ended October 31,</w:t>
            </w:r>
          </w:p>
        </w:tc>
        <w:tc>
          <w:tcPr>
            <w:tcW w:w="70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r>
      <w:tr>
        <w:trPr>
          <w:trHeight w:val="175"/>
        </w:trPr>
        <w:tc>
          <w:tcPr>
            <w:tcW w:w="64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20" w:type="dxa"/>
            <w:vAlign w:val="bottom"/>
            <w:shd w:val="clear" w:color="auto" w:fill="232F84"/>
          </w:tcPr>
          <w:p>
            <w:pPr>
              <w:spacing w:after="0"/>
              <w:rPr>
                <w:sz w:val="15"/>
                <w:szCs w:val="15"/>
                <w:color w:val="auto"/>
              </w:rPr>
            </w:pPr>
          </w:p>
        </w:tc>
        <w:tc>
          <w:tcPr>
            <w:tcW w:w="98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2021</w:t>
            </w:r>
          </w:p>
        </w:tc>
        <w:tc>
          <w:tcPr>
            <w:tcW w:w="180" w:type="dxa"/>
            <w:vAlign w:val="bottom"/>
            <w:shd w:val="clear" w:color="auto" w:fill="232F84"/>
          </w:tcPr>
          <w:p>
            <w:pPr>
              <w:spacing w:after="0"/>
              <w:rPr>
                <w:sz w:val="15"/>
                <w:szCs w:val="15"/>
                <w:color w:val="auto"/>
              </w:rPr>
            </w:pPr>
          </w:p>
        </w:tc>
        <w:tc>
          <w:tcPr>
            <w:tcW w:w="1500" w:type="dxa"/>
            <w:vAlign w:val="bottom"/>
            <w:shd w:val="clear" w:color="auto" w:fill="232F84"/>
          </w:tcPr>
          <w:p>
            <w:pPr>
              <w:jc w:val="right"/>
              <w:ind w:right="103"/>
              <w:spacing w:after="0"/>
              <w:rPr>
                <w:sz w:val="20"/>
                <w:szCs w:val="20"/>
                <w:color w:val="auto"/>
              </w:rPr>
            </w:pPr>
            <w:r>
              <w:rPr>
                <w:rFonts w:ascii="Arial" w:cs="Arial" w:eastAsia="Arial" w:hAnsi="Arial"/>
                <w:sz w:val="11"/>
                <w:szCs w:val="11"/>
                <w:b w:val="1"/>
                <w:bCs w:val="1"/>
                <w:color w:val="FFFFFF"/>
              </w:rPr>
              <w:t>2020</w:t>
            </w:r>
          </w:p>
        </w:tc>
        <w:tc>
          <w:tcPr>
            <w:tcW w:w="70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2019</w:t>
            </w:r>
          </w:p>
        </w:tc>
      </w:tr>
      <w:tr>
        <w:trPr>
          <w:trHeight w:val="170"/>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Marketing &amp; Distribution adjusted EBITDA</w:t>
            </w:r>
          </w:p>
        </w:tc>
        <w:tc>
          <w:tcPr>
            <w:tcW w:w="620" w:type="dxa"/>
            <w:vAlign w:val="bottom"/>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51.4</w:t>
            </w:r>
          </w:p>
        </w:tc>
        <w:tc>
          <w:tcPr>
            <w:tcW w:w="18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68.2</w:t>
            </w:r>
          </w:p>
        </w:tc>
        <w:tc>
          <w:tcPr>
            <w:tcW w:w="700" w:type="dxa"/>
            <w:vAlign w:val="bottom"/>
            <w:shd w:val="clear" w:color="auto" w:fill="43C0B9"/>
          </w:tcPr>
          <w:p>
            <w:pPr>
              <w:jc w:val="right"/>
              <w:ind w:right="503"/>
              <w:spacing w:after="0"/>
              <w:rPr>
                <w:sz w:val="20"/>
                <w:szCs w:val="20"/>
                <w:color w:val="auto"/>
              </w:rPr>
            </w:pPr>
            <w:r>
              <w:rPr>
                <w:rFonts w:ascii="Arial" w:cs="Arial" w:eastAsia="Arial" w:hAnsi="Arial"/>
                <w:sz w:val="11"/>
                <w:szCs w:val="11"/>
                <w:color w:val="auto"/>
              </w:rPr>
              <w:t>$</w:t>
            </w: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88.0</w:t>
            </w:r>
          </w:p>
        </w:tc>
      </w:tr>
      <w:tr>
        <w:trPr>
          <w:trHeight w:val="16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International Farming adjusted EBITDA</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33.9</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23.3</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w:t>
            </w:r>
          </w:p>
        </w:tc>
      </w:tr>
      <w:tr>
        <w:trPr>
          <w:trHeight w:val="160"/>
        </w:trPr>
        <w:tc>
          <w:tcPr>
            <w:tcW w:w="6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reportable segment adjusted EBITDA</w:t>
            </w:r>
          </w:p>
        </w:tc>
        <w:tc>
          <w:tcPr>
            <w:tcW w:w="620" w:type="dxa"/>
            <w:vAlign w:val="bottom"/>
            <w:tcBorders>
              <w:bottom w:val="single" w:sz="8" w:color="auto"/>
            </w:tcBorders>
            <w:shd w:val="clear" w:color="auto" w:fill="43C0B9"/>
          </w:tcPr>
          <w:p>
            <w:pPr>
              <w:spacing w:after="0"/>
              <w:rPr>
                <w:sz w:val="13"/>
                <w:szCs w:val="13"/>
                <w:color w:val="auto"/>
              </w:rPr>
            </w:pP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85.3</w:t>
            </w:r>
          </w:p>
        </w:tc>
        <w:tc>
          <w:tcPr>
            <w:tcW w:w="180" w:type="dxa"/>
            <w:vAlign w:val="bottom"/>
            <w:tcBorders>
              <w:bottom w:val="single" w:sz="8" w:color="auto"/>
            </w:tcBorders>
            <w:shd w:val="clear" w:color="auto" w:fill="43C0B9"/>
          </w:tcPr>
          <w:p>
            <w:pPr>
              <w:spacing w:after="0"/>
              <w:rPr>
                <w:sz w:val="13"/>
                <w:szCs w:val="13"/>
                <w:color w:val="auto"/>
              </w:rPr>
            </w:pPr>
          </w:p>
        </w:tc>
        <w:tc>
          <w:tcPr>
            <w:tcW w:w="150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91.5</w:t>
            </w:r>
          </w:p>
        </w:tc>
        <w:tc>
          <w:tcPr>
            <w:tcW w:w="700" w:type="dxa"/>
            <w:vAlign w:val="bottom"/>
            <w:tcBorders>
              <w:bottom w:val="single" w:sz="8" w:color="auto"/>
            </w:tcBorders>
            <w:shd w:val="clear" w:color="auto" w:fill="43C0B9"/>
          </w:tcPr>
          <w:p>
            <w:pPr>
              <w:spacing w:after="0"/>
              <w:rPr>
                <w:sz w:val="13"/>
                <w:szCs w:val="13"/>
                <w:color w:val="auto"/>
              </w:rPr>
            </w:pP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123.0</w:t>
            </w:r>
          </w:p>
        </w:tc>
      </w:tr>
      <w:tr>
        <w:trPr>
          <w:trHeight w:val="160"/>
        </w:trPr>
        <w:tc>
          <w:tcPr>
            <w:tcW w:w="64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44.9</w:t>
            </w:r>
          </w:p>
        </w:tc>
        <w:tc>
          <w:tcPr>
            <w:tcW w:w="180" w:type="dxa"/>
            <w:vAlign w:val="bottom"/>
          </w:tcPr>
          <w:p>
            <w:pPr>
              <w:spacing w:after="0"/>
              <w:rPr>
                <w:sz w:val="13"/>
                <w:szCs w:val="13"/>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28.8</w:t>
            </w:r>
          </w:p>
        </w:tc>
        <w:tc>
          <w:tcPr>
            <w:tcW w:w="7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71.7</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Interest expense</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3.7</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6.7</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10.3</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Provision for income taxes</w:t>
            </w:r>
          </w:p>
        </w:tc>
        <w:tc>
          <w:tcPr>
            <w:tcW w:w="6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21.1</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15.0</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24.3</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Depreciation and amortization</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20.4</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18.1</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16.5</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Equity method income</w:t>
            </w:r>
          </w:p>
        </w:tc>
        <w:tc>
          <w:tcPr>
            <w:tcW w:w="62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(7.5)</w:t>
            </w:r>
          </w:p>
        </w:tc>
        <w:tc>
          <w:tcPr>
            <w:tcW w:w="180" w:type="dxa"/>
            <w:vAlign w:val="bottom"/>
          </w:tcPr>
          <w:p>
            <w:pPr>
              <w:spacing w:after="0"/>
              <w:rPr>
                <w:sz w:val="14"/>
                <w:szCs w:val="14"/>
                <w:color w:val="auto"/>
              </w:rPr>
            </w:pPr>
          </w:p>
        </w:tc>
        <w:tc>
          <w:tcPr>
            <w:tcW w:w="1500" w:type="dxa"/>
            <w:vAlign w:val="bottom"/>
          </w:tcPr>
          <w:p>
            <w:pPr>
              <w:jc w:val="right"/>
              <w:ind w:right="23"/>
              <w:spacing w:after="0"/>
              <w:rPr>
                <w:sz w:val="20"/>
                <w:szCs w:val="20"/>
                <w:color w:val="auto"/>
              </w:rPr>
            </w:pPr>
            <w:r>
              <w:rPr>
                <w:rFonts w:ascii="Arial" w:cs="Arial" w:eastAsia="Arial" w:hAnsi="Arial"/>
                <w:sz w:val="11"/>
                <w:szCs w:val="11"/>
                <w:color w:val="auto"/>
              </w:rPr>
              <w:t>(4.0)</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Stock-based compensation</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2.6</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5.0</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Other (income) expense, net</w:t>
            </w:r>
          </w:p>
        </w:tc>
        <w:tc>
          <w:tcPr>
            <w:tcW w:w="620" w:type="dxa"/>
            <w:vAlign w:val="bottom"/>
          </w:tcPr>
          <w:p>
            <w:pPr>
              <w:spacing w:after="0"/>
              <w:rPr>
                <w:sz w:val="14"/>
                <w:szCs w:val="14"/>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(1.3)</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0.7</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Impairment on equity method investment</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21.2</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Pr>
          <w:p>
            <w:pPr>
              <w:ind w:left="20"/>
              <w:spacing w:after="0"/>
              <w:rPr>
                <w:sz w:val="20"/>
                <w:szCs w:val="20"/>
                <w:color w:val="auto"/>
              </w:rPr>
            </w:pPr>
            <w:r>
              <w:rPr>
                <w:rFonts w:ascii="Arial" w:cs="Arial" w:eastAsia="Arial" w:hAnsi="Arial"/>
                <w:sz w:val="11"/>
                <w:szCs w:val="11"/>
                <w:color w:val="auto"/>
              </w:rPr>
              <w:t>Legal settlement</w:t>
            </w:r>
          </w:p>
        </w:tc>
        <w:tc>
          <w:tcPr>
            <w:tcW w:w="62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0.8</w:t>
            </w:r>
          </w:p>
        </w:tc>
        <w:tc>
          <w:tcPr>
            <w:tcW w:w="180" w:type="dxa"/>
            <w:vAlign w:val="bottom"/>
          </w:tcPr>
          <w:p>
            <w:pPr>
              <w:spacing w:after="0"/>
              <w:rPr>
                <w:sz w:val="14"/>
                <w:szCs w:val="14"/>
                <w:color w:val="auto"/>
              </w:rPr>
            </w:pPr>
          </w:p>
        </w:tc>
        <w:tc>
          <w:tcPr>
            <w:tcW w:w="1500" w:type="dxa"/>
            <w:vAlign w:val="bottom"/>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4"/>
        </w:trPr>
        <w:tc>
          <w:tcPr>
            <w:tcW w:w="6400" w:type="dxa"/>
            <w:vAlign w:val="bottom"/>
            <w:shd w:val="clear" w:color="auto" w:fill="43C0B9"/>
          </w:tcPr>
          <w:p>
            <w:pPr>
              <w:ind w:left="20"/>
              <w:spacing w:after="0"/>
              <w:rPr>
                <w:sz w:val="20"/>
                <w:szCs w:val="20"/>
                <w:color w:val="auto"/>
              </w:rPr>
            </w:pPr>
            <w:r>
              <w:rPr>
                <w:rFonts w:ascii="Arial" w:cs="Arial" w:eastAsia="Arial" w:hAnsi="Arial"/>
                <w:sz w:val="11"/>
                <w:szCs w:val="11"/>
                <w:color w:val="auto"/>
              </w:rPr>
              <w:t>Asset impairment and disposals, net of insurance recoveries</w:t>
            </w:r>
          </w:p>
        </w:tc>
        <w:tc>
          <w:tcPr>
            <w:tcW w:w="620" w:type="dxa"/>
            <w:vAlign w:val="bottom"/>
            <w:shd w:val="clear" w:color="auto" w:fill="43C0B9"/>
          </w:tcPr>
          <w:p>
            <w:pPr>
              <w:spacing w:after="0"/>
              <w:rPr>
                <w:sz w:val="15"/>
                <w:szCs w:val="15"/>
                <w:color w:val="auto"/>
              </w:rPr>
            </w:pPr>
          </w:p>
        </w:tc>
        <w:tc>
          <w:tcPr>
            <w:tcW w:w="98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(0.2)</w:t>
            </w:r>
          </w:p>
        </w:tc>
        <w:tc>
          <w:tcPr>
            <w:tcW w:w="180" w:type="dxa"/>
            <w:vAlign w:val="bottom"/>
            <w:shd w:val="clear" w:color="auto" w:fill="43C0B9"/>
          </w:tcPr>
          <w:p>
            <w:pPr>
              <w:spacing w:after="0"/>
              <w:rPr>
                <w:sz w:val="15"/>
                <w:szCs w:val="15"/>
                <w:color w:val="auto"/>
              </w:rPr>
            </w:pPr>
          </w:p>
        </w:tc>
        <w:tc>
          <w:tcPr>
            <w:tcW w:w="1500" w:type="dxa"/>
            <w:vAlign w:val="bottom"/>
            <w:shd w:val="clear" w:color="auto" w:fill="43C0B9"/>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shd w:val="clear" w:color="auto" w:fill="43C0B9"/>
          </w:tcPr>
          <w:p>
            <w:pPr>
              <w:spacing w:after="0"/>
              <w:rPr>
                <w:sz w:val="15"/>
                <w:szCs w:val="15"/>
                <w:color w:val="auto"/>
              </w:rPr>
            </w:pPr>
          </w:p>
        </w:tc>
        <w:tc>
          <w:tcPr>
            <w:tcW w:w="900" w:type="dxa"/>
            <w:vAlign w:val="bottom"/>
            <w:shd w:val="clear" w:color="auto" w:fill="43C0B9"/>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Farming costs for nonproductive orchards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0.8</w:t>
            </w: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4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Total adjusted EBITDA</w:t>
            </w:r>
          </w:p>
        </w:tc>
        <w:tc>
          <w:tcPr>
            <w:tcW w:w="620" w:type="dxa"/>
            <w:vAlign w:val="bottom"/>
            <w:tcBorders>
              <w:bottom w:val="single" w:sz="8" w:color="auto"/>
            </w:tcBorders>
            <w:shd w:val="clear" w:color="auto" w:fill="43C0B9"/>
          </w:tcPr>
          <w:p>
            <w:pPr>
              <w:jc w:val="right"/>
              <w:ind w:right="50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85.3</w:t>
            </w:r>
          </w:p>
        </w:tc>
        <w:tc>
          <w:tcPr>
            <w:tcW w:w="1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shd w:val="clear" w:color="auto" w:fill="43C0B9"/>
          </w:tcPr>
          <w:p>
            <w:pPr>
              <w:jc w:val="right"/>
              <w:ind w:right="63"/>
              <w:spacing w:after="0"/>
              <w:rPr>
                <w:sz w:val="20"/>
                <w:szCs w:val="20"/>
                <w:color w:val="auto"/>
              </w:rPr>
            </w:pPr>
            <w:r>
              <w:rPr>
                <w:rFonts w:ascii="Arial" w:cs="Arial" w:eastAsia="Arial" w:hAnsi="Arial"/>
                <w:sz w:val="11"/>
                <w:szCs w:val="11"/>
                <w:color w:val="auto"/>
              </w:rPr>
              <w:t>91.5</w:t>
            </w:r>
          </w:p>
        </w:tc>
        <w:tc>
          <w:tcPr>
            <w:tcW w:w="700" w:type="dxa"/>
            <w:vAlign w:val="bottom"/>
            <w:tcBorders>
              <w:bottom w:val="single" w:sz="8" w:color="auto"/>
            </w:tcBorders>
            <w:shd w:val="clear" w:color="auto" w:fill="43C0B9"/>
          </w:tcPr>
          <w:p>
            <w:pPr>
              <w:jc w:val="right"/>
              <w:ind w:right="503"/>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1"/>
                <w:szCs w:val="11"/>
                <w:color w:val="auto"/>
              </w:rPr>
              <w:t>123.0</w:t>
            </w:r>
          </w:p>
        </w:tc>
      </w:tr>
    </w:tbl>
    <w:p>
      <w:pPr>
        <w:spacing w:after="0" w:line="2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Net sales to customers outside the U.S. were $217.0 million, $202.8 million and $194.2 million, for the years ended October 31, 2021, 2020 and 2019, respectively.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goodwill balance of $76.4 million as of October 31, 2021 and 2020 was wholly attributed to the International Farming segment.</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Property, plant and equipment, net attributed to geographic areas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shd w:val="clear" w:color="auto" w:fill="232F84"/>
          </w:tcPr>
          <w:p>
            <w:pPr>
              <w:spacing w:after="0"/>
              <w:rPr>
                <w:sz w:val="15"/>
                <w:szCs w:val="15"/>
                <w:color w:val="auto"/>
              </w:rPr>
            </w:pPr>
          </w:p>
        </w:tc>
        <w:tc>
          <w:tcPr>
            <w:tcW w:w="600" w:type="dxa"/>
            <w:vAlign w:val="bottom"/>
            <w:shd w:val="clear" w:color="auto" w:fill="232F84"/>
          </w:tcPr>
          <w:p>
            <w:pPr>
              <w:spacing w:after="0"/>
              <w:rPr>
                <w:sz w:val="15"/>
                <w:szCs w:val="15"/>
                <w:color w:val="auto"/>
              </w:rPr>
            </w:pPr>
          </w:p>
        </w:tc>
        <w:tc>
          <w:tcPr>
            <w:tcW w:w="1680" w:type="dxa"/>
            <w:vAlign w:val="bottom"/>
            <w:gridSpan w:val="2"/>
            <w:shd w:val="clear" w:color="auto" w:fill="232F84"/>
          </w:tcPr>
          <w:p>
            <w:pPr>
              <w:jc w:val="right"/>
              <w:ind w:right="383"/>
              <w:spacing w:after="0"/>
              <w:rPr>
                <w:sz w:val="20"/>
                <w:szCs w:val="20"/>
                <w:color w:val="auto"/>
              </w:rPr>
            </w:pPr>
            <w:r>
              <w:rPr>
                <w:rFonts w:ascii="Arial" w:cs="Arial" w:eastAsia="Arial" w:hAnsi="Arial"/>
                <w:sz w:val="11"/>
                <w:szCs w:val="11"/>
                <w:b w:val="1"/>
                <w:bCs w:val="1"/>
                <w:color w:val="FFFFFF"/>
              </w:rPr>
              <w:t>October 31,</w:t>
            </w:r>
          </w:p>
        </w:tc>
        <w:tc>
          <w:tcPr>
            <w:tcW w:w="780" w:type="dxa"/>
            <w:vAlign w:val="bottom"/>
            <w:shd w:val="clear" w:color="auto" w:fill="232F84"/>
          </w:tcPr>
          <w:p>
            <w:pPr>
              <w:spacing w:after="0"/>
              <w:rPr>
                <w:sz w:val="15"/>
                <w:szCs w:val="15"/>
                <w:color w:val="auto"/>
              </w:rPr>
            </w:pPr>
          </w:p>
        </w:tc>
      </w:tr>
      <w:tr>
        <w:trPr>
          <w:trHeight w:val="175"/>
        </w:trPr>
        <w:tc>
          <w:tcPr>
            <w:tcW w:w="8200" w:type="dxa"/>
            <w:vAlign w:val="bottom"/>
            <w:shd w:val="clear" w:color="auto" w:fill="232F84"/>
          </w:tcPr>
          <w:p>
            <w:pPr>
              <w:ind w:left="20"/>
              <w:spacing w:after="0"/>
              <w:rPr>
                <w:sz w:val="20"/>
                <w:szCs w:val="20"/>
                <w:color w:val="auto"/>
              </w:rPr>
            </w:pPr>
            <w:r>
              <w:rPr>
                <w:rFonts w:ascii="Arial" w:cs="Arial" w:eastAsia="Arial" w:hAnsi="Arial"/>
                <w:sz w:val="11"/>
                <w:szCs w:val="11"/>
                <w:b w:val="1"/>
                <w:bCs w:val="1"/>
                <w:color w:val="FFFFFF"/>
              </w:rPr>
              <w:t>(In millions)</w:t>
            </w:r>
          </w:p>
        </w:tc>
        <w:tc>
          <w:tcPr>
            <w:tcW w:w="600" w:type="dxa"/>
            <w:vAlign w:val="bottom"/>
            <w:shd w:val="clear" w:color="auto" w:fill="232F84"/>
          </w:tcPr>
          <w:p>
            <w:pPr>
              <w:spacing w:after="0"/>
              <w:rPr>
                <w:sz w:val="15"/>
                <w:szCs w:val="15"/>
                <w:color w:val="auto"/>
              </w:rPr>
            </w:pPr>
          </w:p>
        </w:tc>
        <w:tc>
          <w:tcPr>
            <w:tcW w:w="900" w:type="dxa"/>
            <w:vAlign w:val="bottom"/>
            <w:shd w:val="clear" w:color="auto" w:fill="232F84"/>
          </w:tcPr>
          <w:p>
            <w:pPr>
              <w:jc w:val="right"/>
              <w:ind w:right="63"/>
              <w:spacing w:after="0"/>
              <w:rPr>
                <w:sz w:val="20"/>
                <w:szCs w:val="20"/>
                <w:color w:val="auto"/>
              </w:rPr>
            </w:pPr>
            <w:r>
              <w:rPr>
                <w:rFonts w:ascii="Arial" w:cs="Arial" w:eastAsia="Arial" w:hAnsi="Arial"/>
                <w:sz w:val="11"/>
                <w:szCs w:val="11"/>
                <w:b w:val="1"/>
                <w:bCs w:val="1"/>
                <w:color w:val="FFFFFF"/>
              </w:rPr>
              <w:t>2021</w:t>
            </w:r>
          </w:p>
        </w:tc>
        <w:tc>
          <w:tcPr>
            <w:tcW w:w="780" w:type="dxa"/>
            <w:vAlign w:val="bottom"/>
            <w:shd w:val="clear" w:color="auto" w:fill="232F84"/>
          </w:tcPr>
          <w:p>
            <w:pPr>
              <w:spacing w:after="0"/>
              <w:rPr>
                <w:sz w:val="15"/>
                <w:szCs w:val="15"/>
                <w:color w:val="auto"/>
              </w:rPr>
            </w:pPr>
          </w:p>
        </w:tc>
        <w:tc>
          <w:tcPr>
            <w:tcW w:w="780" w:type="dxa"/>
            <w:vAlign w:val="bottom"/>
            <w:shd w:val="clear" w:color="auto" w:fill="232F84"/>
          </w:tcPr>
          <w:p>
            <w:pPr>
              <w:jc w:val="right"/>
              <w:ind w:right="43"/>
              <w:spacing w:after="0"/>
              <w:rPr>
                <w:sz w:val="20"/>
                <w:szCs w:val="20"/>
                <w:color w:val="auto"/>
              </w:rPr>
            </w:pPr>
            <w:r>
              <w:rPr>
                <w:rFonts w:ascii="Arial" w:cs="Arial" w:eastAsia="Arial" w:hAnsi="Arial"/>
                <w:sz w:val="11"/>
                <w:szCs w:val="11"/>
                <w:b w:val="1"/>
                <w:bCs w:val="1"/>
                <w:color w:val="FFFFFF"/>
              </w:rPr>
              <w:t>2020</w:t>
            </w:r>
          </w:p>
        </w:tc>
      </w:tr>
      <w:tr>
        <w:trPr>
          <w:trHeight w:val="170"/>
        </w:trPr>
        <w:tc>
          <w:tcPr>
            <w:tcW w:w="8200" w:type="dxa"/>
            <w:vAlign w:val="bottom"/>
            <w:shd w:val="clear" w:color="auto" w:fill="43C0B9"/>
          </w:tcPr>
          <w:p>
            <w:pPr>
              <w:ind w:left="20"/>
              <w:spacing w:after="0"/>
              <w:rPr>
                <w:sz w:val="20"/>
                <w:szCs w:val="20"/>
                <w:color w:val="auto"/>
              </w:rPr>
            </w:pPr>
            <w:r>
              <w:rPr>
                <w:rFonts w:ascii="Arial" w:cs="Arial" w:eastAsia="Arial" w:hAnsi="Arial"/>
                <w:sz w:val="11"/>
                <w:szCs w:val="11"/>
                <w:color w:val="auto"/>
              </w:rPr>
              <w:t>North America</w:t>
            </w:r>
          </w:p>
        </w:tc>
        <w:tc>
          <w:tcPr>
            <w:tcW w:w="600" w:type="dxa"/>
            <w:vAlign w:val="bottom"/>
            <w:shd w:val="clear" w:color="auto" w:fill="43C0B9"/>
          </w:tcPr>
          <w:p>
            <w:pPr>
              <w:jc w:val="right"/>
              <w:ind w:right="46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43C0B9"/>
          </w:tcPr>
          <w:p>
            <w:pPr>
              <w:jc w:val="right"/>
              <w:ind w:right="23"/>
              <w:spacing w:after="0"/>
              <w:rPr>
                <w:sz w:val="20"/>
                <w:szCs w:val="20"/>
                <w:color w:val="auto"/>
              </w:rPr>
            </w:pPr>
            <w:r>
              <w:rPr>
                <w:rFonts w:ascii="Arial" w:cs="Arial" w:eastAsia="Arial" w:hAnsi="Arial"/>
                <w:sz w:val="11"/>
                <w:szCs w:val="11"/>
                <w:color w:val="auto"/>
              </w:rPr>
              <w:t>161.7</w:t>
            </w:r>
          </w:p>
        </w:tc>
        <w:tc>
          <w:tcPr>
            <w:tcW w:w="780" w:type="dxa"/>
            <w:vAlign w:val="bottom"/>
            <w:shd w:val="clear" w:color="auto" w:fill="43C0B9"/>
          </w:tcPr>
          <w:p>
            <w:pPr>
              <w:jc w:val="right"/>
              <w:ind w:right="563"/>
              <w:spacing w:after="0"/>
              <w:rPr>
                <w:sz w:val="20"/>
                <w:szCs w:val="20"/>
                <w:color w:val="auto"/>
              </w:rPr>
            </w:pPr>
            <w:r>
              <w:rPr>
                <w:rFonts w:ascii="Arial" w:cs="Arial" w:eastAsia="Arial" w:hAnsi="Arial"/>
                <w:sz w:val="11"/>
                <w:szCs w:val="11"/>
                <w:color w:val="auto"/>
              </w:rPr>
              <w:t>$</w:t>
            </w:r>
          </w:p>
        </w:tc>
        <w:tc>
          <w:tcPr>
            <w:tcW w:w="780" w:type="dxa"/>
            <w:vAlign w:val="bottom"/>
            <w:shd w:val="clear" w:color="auto" w:fill="43C0B9"/>
          </w:tcPr>
          <w:p>
            <w:pPr>
              <w:jc w:val="right"/>
              <w:ind w:right="3"/>
              <w:spacing w:after="0"/>
              <w:rPr>
                <w:sz w:val="20"/>
                <w:szCs w:val="20"/>
                <w:color w:val="auto"/>
              </w:rPr>
            </w:pPr>
            <w:r>
              <w:rPr>
                <w:rFonts w:ascii="Arial" w:cs="Arial" w:eastAsia="Arial" w:hAnsi="Arial"/>
                <w:sz w:val="11"/>
                <w:szCs w:val="11"/>
                <w:color w:val="auto"/>
              </w:rPr>
              <w:t>143.3</w:t>
            </w:r>
          </w:p>
        </w:tc>
      </w:tr>
      <w:tr>
        <w:trPr>
          <w:trHeight w:val="166"/>
        </w:trPr>
        <w:tc>
          <w:tcPr>
            <w:tcW w:w="8200" w:type="dxa"/>
            <w:vAlign w:val="bottom"/>
          </w:tcPr>
          <w:p>
            <w:pPr>
              <w:ind w:left="20"/>
              <w:spacing w:after="0"/>
              <w:rPr>
                <w:sz w:val="20"/>
                <w:szCs w:val="20"/>
                <w:color w:val="auto"/>
              </w:rPr>
            </w:pPr>
            <w:r>
              <w:rPr>
                <w:rFonts w:ascii="Arial" w:cs="Arial" w:eastAsia="Arial" w:hAnsi="Arial"/>
                <w:sz w:val="11"/>
                <w:szCs w:val="11"/>
                <w:color w:val="auto"/>
              </w:rPr>
              <w:t>South America</w:t>
            </w:r>
          </w:p>
        </w:tc>
        <w:tc>
          <w:tcPr>
            <w:tcW w:w="600" w:type="dxa"/>
            <w:vAlign w:val="bottom"/>
          </w:tcPr>
          <w:p>
            <w:pPr>
              <w:spacing w:after="0"/>
              <w:rPr>
                <w:sz w:val="14"/>
                <w:szCs w:val="14"/>
                <w:color w:val="auto"/>
              </w:rPr>
            </w:pPr>
          </w:p>
        </w:tc>
        <w:tc>
          <w:tcPr>
            <w:tcW w:w="900" w:type="dxa"/>
            <w:vAlign w:val="bottom"/>
          </w:tcPr>
          <w:p>
            <w:pPr>
              <w:jc w:val="right"/>
              <w:ind w:right="23"/>
              <w:spacing w:after="0"/>
              <w:rPr>
                <w:sz w:val="20"/>
                <w:szCs w:val="20"/>
                <w:color w:val="auto"/>
              </w:rPr>
            </w:pPr>
            <w:r>
              <w:rPr>
                <w:rFonts w:ascii="Arial" w:cs="Arial" w:eastAsia="Arial" w:hAnsi="Arial"/>
                <w:sz w:val="11"/>
                <w:szCs w:val="11"/>
                <w:color w:val="auto"/>
              </w:rPr>
              <w:t>261.7</w:t>
            </w:r>
          </w:p>
        </w:tc>
        <w:tc>
          <w:tcPr>
            <w:tcW w:w="7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234.9</w:t>
            </w:r>
          </w:p>
        </w:tc>
      </w:tr>
      <w:tr>
        <w:trPr>
          <w:trHeight w:val="170"/>
        </w:trPr>
        <w:tc>
          <w:tcPr>
            <w:tcW w:w="820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1"/>
                <w:szCs w:val="11"/>
                <w:color w:val="auto"/>
              </w:rPr>
              <w:t>Europe</w:t>
            </w:r>
          </w:p>
        </w:tc>
        <w:tc>
          <w:tcPr>
            <w:tcW w:w="600" w:type="dxa"/>
            <w:vAlign w:val="bottom"/>
            <w:tcBorders>
              <w:bottom w:val="single" w:sz="8" w:color="auto"/>
            </w:tcBorders>
            <w:shd w:val="clear" w:color="auto" w:fill="43C0B9"/>
          </w:tcPr>
          <w:p>
            <w:pPr>
              <w:spacing w:after="0"/>
              <w:rPr>
                <w:sz w:val="14"/>
                <w:szCs w:val="14"/>
                <w:color w:val="auto"/>
              </w:rPr>
            </w:pPr>
          </w:p>
        </w:tc>
        <w:tc>
          <w:tcPr>
            <w:tcW w:w="900" w:type="dxa"/>
            <w:vAlign w:val="bottom"/>
            <w:tcBorders>
              <w:bottom w:val="single" w:sz="8" w:color="auto"/>
            </w:tcBorders>
            <w:shd w:val="clear" w:color="auto" w:fill="43C0B9"/>
          </w:tcPr>
          <w:p>
            <w:pPr>
              <w:jc w:val="right"/>
              <w:ind w:right="23"/>
              <w:spacing w:after="0"/>
              <w:rPr>
                <w:sz w:val="20"/>
                <w:szCs w:val="20"/>
                <w:color w:val="auto"/>
              </w:rPr>
            </w:pPr>
            <w:r>
              <w:rPr>
                <w:rFonts w:ascii="Arial" w:cs="Arial" w:eastAsia="Arial" w:hAnsi="Arial"/>
                <w:sz w:val="11"/>
                <w:szCs w:val="11"/>
                <w:color w:val="auto"/>
              </w:rPr>
              <w:t>0.8</w:t>
            </w:r>
          </w:p>
        </w:tc>
        <w:tc>
          <w:tcPr>
            <w:tcW w:w="780" w:type="dxa"/>
            <w:vAlign w:val="bottom"/>
            <w:tcBorders>
              <w:bottom w:val="single" w:sz="8" w:color="auto"/>
            </w:tcBorders>
            <w:shd w:val="clear" w:color="auto" w:fill="43C0B9"/>
          </w:tcPr>
          <w:p>
            <w:pPr>
              <w:spacing w:after="0"/>
              <w:rPr>
                <w:sz w:val="14"/>
                <w:szCs w:val="14"/>
                <w:color w:val="auto"/>
              </w:rPr>
            </w:pPr>
          </w:p>
        </w:tc>
        <w:tc>
          <w:tcPr>
            <w:tcW w:w="780" w:type="dxa"/>
            <w:vAlign w:val="bottom"/>
            <w:tcBorders>
              <w:bottom w:val="single" w:sz="8" w:color="auto"/>
            </w:tcBorders>
            <w:shd w:val="clear" w:color="auto" w:fill="43C0B9"/>
          </w:tcPr>
          <w:p>
            <w:pPr>
              <w:jc w:val="right"/>
              <w:ind w:right="3"/>
              <w:spacing w:after="0"/>
              <w:rPr>
                <w:sz w:val="20"/>
                <w:szCs w:val="20"/>
                <w:color w:val="auto"/>
              </w:rPr>
            </w:pPr>
            <w:r>
              <w:rPr>
                <w:rFonts w:ascii="Arial" w:cs="Arial" w:eastAsia="Arial" w:hAnsi="Arial"/>
                <w:sz w:val="11"/>
                <w:szCs w:val="11"/>
                <w:color w:val="auto"/>
              </w:rPr>
              <w:t>0.9</w:t>
            </w:r>
          </w:p>
        </w:tc>
      </w:tr>
      <w:tr>
        <w:trPr>
          <w:trHeight w:val="160"/>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Property, plant and equipment, net</w:t>
            </w:r>
          </w:p>
        </w:tc>
        <w:tc>
          <w:tcPr>
            <w:tcW w:w="6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424.2</w:t>
            </w:r>
          </w:p>
        </w:tc>
        <w:tc>
          <w:tcPr>
            <w:tcW w:w="7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379.1</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1280"/>
          </w:cols>
          <w:pgMar w:left="300" w:top="117"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51" w:lineRule="exact"/>
        <w:rPr>
          <w:sz w:val="20"/>
          <w:szCs w:val="20"/>
          <w:color w:val="auto"/>
        </w:rPr>
      </w:pPr>
    </w:p>
    <w:p>
      <w:pPr>
        <w:ind w:right="100" w:firstLine="280"/>
        <w:spacing w:after="0" w:line="226" w:lineRule="auto"/>
        <w:rPr>
          <w:sz w:val="20"/>
          <w:szCs w:val="20"/>
          <w:color w:val="auto"/>
        </w:rPr>
      </w:pPr>
      <w:r>
        <w:rPr>
          <w:rFonts w:ascii="Arial" w:cs="Arial" w:eastAsia="Arial" w:hAnsi="Arial"/>
          <w:sz w:val="14"/>
          <w:szCs w:val="14"/>
          <w:color w:val="auto"/>
        </w:rPr>
        <w:t>The following description of the capital stock of Mission Produce, Inc. (the “Company,” “we,” “us,” and “our”)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Securities and Exchange Commission (“SEC”).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authorized capital stock consists of:</w:t>
      </w:r>
    </w:p>
    <w:p>
      <w:pPr>
        <w:spacing w:after="0" w:line="136" w:lineRule="exact"/>
        <w:rPr>
          <w:sz w:val="20"/>
          <w:szCs w:val="20"/>
          <w:color w:val="auto"/>
        </w:rPr>
      </w:pPr>
    </w:p>
    <w:p>
      <w:pPr>
        <w:ind w:left="580" w:hanging="257"/>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1,000,000,000 shares of common stock, par value $0.001 per share; and</w:t>
      </w:r>
    </w:p>
    <w:p>
      <w:pPr>
        <w:ind w:left="580" w:hanging="257"/>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100,000,000 shares of preferred stock, par value $0.001 par value.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68"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Holders of our common stock are entitled to one vote per share of common stock. Holders of shares of common stock vote together as a single class on all matters (including the election of directors) submitted to a vote of shareholders. We have not provided for cumulative voting for the election of directors in our certificate of incorporation.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Rights</w:t>
      </w:r>
    </w:p>
    <w:p>
      <w:pPr>
        <w:spacing w:after="0" w:line="168" w:lineRule="exact"/>
        <w:rPr>
          <w:sz w:val="20"/>
          <w:szCs w:val="20"/>
          <w:color w:val="auto"/>
        </w:rPr>
      </w:pPr>
    </w:p>
    <w:p>
      <w:pPr>
        <w:ind w:right="80" w:firstLine="509"/>
        <w:spacing w:after="0" w:line="226" w:lineRule="auto"/>
        <w:rPr>
          <w:sz w:val="20"/>
          <w:szCs w:val="20"/>
          <w:color w:val="auto"/>
        </w:rPr>
      </w:pPr>
      <w:r>
        <w:rPr>
          <w:rFonts w:ascii="Arial" w:cs="Arial" w:eastAsia="Arial" w:hAnsi="Arial"/>
          <w:sz w:val="14"/>
          <w:szCs w:val="14"/>
          <w:i w:val="1"/>
          <w:iCs w:val="1"/>
          <w:color w:val="auto"/>
        </w:rPr>
        <w:t>Dividends</w:t>
      </w:r>
      <w:r>
        <w:rPr>
          <w:rFonts w:ascii="Arial" w:cs="Arial" w:eastAsia="Arial" w:hAnsi="Arial"/>
          <w:sz w:val="14"/>
          <w:szCs w:val="14"/>
          <w:color w:val="auto"/>
        </w:rPr>
        <w:t>. Subject to preferences that may apply to shares of preferred stock outstanding at the time, the holders of outstanding shares of our common stock are entitled to receive dividends</w:t>
      </w:r>
      <w:r>
        <w:rPr>
          <w:rFonts w:ascii="Arial" w:cs="Arial" w:eastAsia="Arial" w:hAnsi="Arial"/>
          <w:sz w:val="14"/>
          <w:szCs w:val="14"/>
          <w:i w:val="1"/>
          <w:iCs w:val="1"/>
          <w:color w:val="auto"/>
        </w:rPr>
        <w:t xml:space="preserve"> </w:t>
      </w:r>
      <w:r>
        <w:rPr>
          <w:rFonts w:ascii="Arial" w:cs="Arial" w:eastAsia="Arial" w:hAnsi="Arial"/>
          <w:sz w:val="14"/>
          <w:szCs w:val="14"/>
          <w:color w:val="auto"/>
        </w:rPr>
        <w:t>out of funds legally available if our board of directors, in its discretion, determines to issue dividends and only then at the times and in the amounts that our board of directors may determine. Any dividend or distributions paid or payable to the holders of shares of common stock shall be paid pro rata, on an equal priority, pari passu basis.</w:t>
      </w:r>
    </w:p>
    <w:p>
      <w:pPr>
        <w:spacing w:after="0" w:line="150" w:lineRule="exact"/>
        <w:rPr>
          <w:sz w:val="20"/>
          <w:szCs w:val="20"/>
          <w:color w:val="auto"/>
        </w:rPr>
      </w:pPr>
    </w:p>
    <w:p>
      <w:pPr>
        <w:ind w:firstLine="509"/>
        <w:spacing w:after="0" w:line="226" w:lineRule="auto"/>
        <w:rPr>
          <w:sz w:val="20"/>
          <w:szCs w:val="20"/>
          <w:color w:val="auto"/>
        </w:rPr>
      </w:pPr>
      <w:r>
        <w:rPr>
          <w:rFonts w:ascii="Arial" w:cs="Arial" w:eastAsia="Arial" w:hAnsi="Arial"/>
          <w:sz w:val="14"/>
          <w:szCs w:val="14"/>
          <w:i w:val="1"/>
          <w:iCs w:val="1"/>
          <w:color w:val="auto"/>
        </w:rPr>
        <w:t>Right to Receive Liquidation Distributions</w:t>
      </w:r>
      <w:r>
        <w:rPr>
          <w:rFonts w:ascii="Arial" w:cs="Arial" w:eastAsia="Arial" w:hAnsi="Arial"/>
          <w:sz w:val="14"/>
          <w:szCs w:val="14"/>
          <w:color w:val="auto"/>
        </w:rPr>
        <w:t>. Upon our dissolution, liquidation or winding-up, the assets legally available for distribution to our shareholders shall be distributable ratably</w:t>
      </w:r>
      <w:r>
        <w:rPr>
          <w:rFonts w:ascii="Arial" w:cs="Arial" w:eastAsia="Arial" w:hAnsi="Arial"/>
          <w:sz w:val="14"/>
          <w:szCs w:val="14"/>
          <w:i w:val="1"/>
          <w:iCs w:val="1"/>
          <w:color w:val="auto"/>
        </w:rPr>
        <w:t xml:space="preserve"> </w:t>
      </w:r>
      <w:r>
        <w:rPr>
          <w:rFonts w:ascii="Arial" w:cs="Arial" w:eastAsia="Arial" w:hAnsi="Arial"/>
          <w:sz w:val="14"/>
          <w:szCs w:val="14"/>
          <w:color w:val="auto"/>
        </w:rPr>
        <w:t>among the holders of our common stock, subject to prior satisfaction of all outstanding debt and liabilities and the preferential rights and payment of liquidation preferences, if any, on any outstanding shares of preferred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72" w:lineRule="exact"/>
        <w:rPr>
          <w:sz w:val="20"/>
          <w:szCs w:val="20"/>
          <w:color w:val="auto"/>
        </w:rPr>
      </w:pPr>
    </w:p>
    <w:p>
      <w:pPr>
        <w:jc w:val="both"/>
        <w:ind w:right="100" w:firstLine="509"/>
        <w:spacing w:after="0" w:line="226" w:lineRule="auto"/>
        <w:rPr>
          <w:sz w:val="20"/>
          <w:szCs w:val="20"/>
          <w:color w:val="auto"/>
        </w:rPr>
      </w:pPr>
      <w:r>
        <w:rPr>
          <w:rFonts w:ascii="Arial" w:cs="Arial" w:eastAsia="Arial" w:hAnsi="Arial"/>
          <w:sz w:val="14"/>
          <w:szCs w:val="14"/>
          <w:color w:val="auto"/>
        </w:rPr>
        <w:t>Under the terms of our certificate of incorporation, our board of directors is authorized to direct us to issue shares of preferred stock in one or more series without shareholder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50" w:lineRule="exact"/>
        <w:rPr>
          <w:sz w:val="20"/>
          <w:szCs w:val="20"/>
          <w:color w:val="auto"/>
        </w:rPr>
      </w:pPr>
    </w:p>
    <w:p>
      <w:pPr>
        <w:ind w:right="60" w:firstLine="509"/>
        <w:spacing w:after="0" w:line="218"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shareholder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There are currently no shares of preferred stock outstanding, and we have no present plans to issue any shares of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 and Removal of Directors</w:t>
      </w:r>
    </w:p>
    <w:p>
      <w:pPr>
        <w:spacing w:after="0" w:line="168" w:lineRule="exact"/>
        <w:rPr>
          <w:sz w:val="20"/>
          <w:szCs w:val="20"/>
          <w:color w:val="auto"/>
        </w:rPr>
      </w:pPr>
    </w:p>
    <w:p>
      <w:pPr>
        <w:ind w:right="440" w:firstLine="509"/>
        <w:spacing w:after="0" w:line="236" w:lineRule="auto"/>
        <w:rPr>
          <w:sz w:val="20"/>
          <w:szCs w:val="20"/>
          <w:color w:val="auto"/>
        </w:rPr>
      </w:pPr>
      <w:r>
        <w:rPr>
          <w:rFonts w:ascii="Arial" w:cs="Arial" w:eastAsia="Arial" w:hAnsi="Arial"/>
          <w:sz w:val="14"/>
          <w:szCs w:val="14"/>
          <w:color w:val="auto"/>
        </w:rPr>
        <w:t>Our certificate of incorporation provides that our board of directors be comprised of three classes of directors, with each class serving three-year staggered terms. The classification of directors has the effect of making it more difficult for shareholders to change the composition of our board.</w:t>
      </w:r>
    </w:p>
    <w:p>
      <w:pPr>
        <w:spacing w:after="0" w:line="150" w:lineRule="exact"/>
        <w:rPr>
          <w:sz w:val="20"/>
          <w:szCs w:val="20"/>
          <w:color w:val="auto"/>
        </w:rPr>
      </w:pPr>
    </w:p>
    <w:p>
      <w:pPr>
        <w:ind w:right="520" w:firstLine="509"/>
        <w:spacing w:after="0" w:line="236" w:lineRule="auto"/>
        <w:rPr>
          <w:sz w:val="20"/>
          <w:szCs w:val="20"/>
          <w:color w:val="auto"/>
        </w:rPr>
      </w:pPr>
      <w:r>
        <w:rPr>
          <w:rFonts w:ascii="Arial" w:cs="Arial" w:eastAsia="Arial" w:hAnsi="Arial"/>
          <w:sz w:val="14"/>
          <w:szCs w:val="14"/>
          <w:color w:val="auto"/>
        </w:rPr>
        <w:t>Our certificate of incorporation and our bylaws provide that a director may be removed only for cause. Any vacancy on our board of directors, including a vacancy resulting from an enlargement of our board of directors, may be filled only by vote of a majority of our directors then in office.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Shareholder Action; Special Meeting of Shareholders</w:t>
      </w:r>
    </w:p>
    <w:p>
      <w:pPr>
        <w:sectPr>
          <w:pgSz w:w="11900" w:h="16838" w:orient="portrait"/>
          <w:cols w:equalWidth="0" w:num="1">
            <w:col w:w="11280"/>
          </w:cols>
          <w:pgMar w:left="300" w:top="108" w:right="319" w:bottom="1440" w:gutter="0" w:footer="0" w:header="0"/>
        </w:sectPr>
      </w:pPr>
    </w:p>
    <w:bookmarkStart w:id="66" w:name="page67"/>
    <w:bookmarkEnd w:id="66"/>
    <w:p>
      <w:pPr>
        <w:ind w:right="180" w:firstLine="509"/>
        <w:spacing w:after="0" w:line="226" w:lineRule="auto"/>
        <w:rPr>
          <w:sz w:val="20"/>
          <w:szCs w:val="20"/>
          <w:color w:val="auto"/>
        </w:rPr>
      </w:pPr>
      <w:r>
        <w:rPr>
          <w:rFonts w:ascii="Arial" w:cs="Arial" w:eastAsia="Arial" w:hAnsi="Arial"/>
          <w:sz w:val="14"/>
          <w:szCs w:val="14"/>
          <w:color w:val="auto"/>
        </w:rPr>
        <w:t>Our bylaws provide that any action required or permitted to be taken by our shareholders must be effected at a duly called annual or special meeting of such shareholders and may not be effected by any consent in writing by such shareholders. Our certificate of incorporation and our bylaws also provide that, except as otherwise required by law, special meetings of our shareholders can only be called by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Authorized But Unissued Shares</w:t>
      </w:r>
    </w:p>
    <w:p>
      <w:pPr>
        <w:spacing w:after="0" w:line="168" w:lineRule="exact"/>
        <w:rPr>
          <w:sz w:val="20"/>
          <w:szCs w:val="20"/>
          <w:color w:val="auto"/>
        </w:rPr>
      </w:pPr>
    </w:p>
    <w:p>
      <w:pPr>
        <w:ind w:firstLine="509"/>
        <w:spacing w:after="0" w:line="221" w:lineRule="auto"/>
        <w:rPr>
          <w:sz w:val="20"/>
          <w:szCs w:val="20"/>
          <w:color w:val="auto"/>
        </w:rPr>
      </w:pPr>
      <w:r>
        <w:rPr>
          <w:rFonts w:ascii="Arial" w:cs="Arial" w:eastAsia="Arial" w:hAnsi="Arial"/>
          <w:sz w:val="14"/>
          <w:szCs w:val="14"/>
          <w:color w:val="auto"/>
        </w:rPr>
        <w:t>The authorized but unissued shares of our common stock and preferred stock are available for future issuance without shareholder approval, subject to any limitations imposed by the listing standards of the 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50" w:lineRule="exact"/>
        <w:rPr>
          <w:sz w:val="20"/>
          <w:szCs w:val="20"/>
          <w:color w:val="auto"/>
        </w:rPr>
      </w:pPr>
    </w:p>
    <w:p>
      <w:pPr>
        <w:ind w:firstLine="509"/>
        <w:spacing w:after="0" w:line="216" w:lineRule="auto"/>
        <w:rPr>
          <w:sz w:val="20"/>
          <w:szCs w:val="20"/>
          <w:color w:val="auto"/>
        </w:rPr>
      </w:pPr>
      <w:r>
        <w:rPr>
          <w:rFonts w:ascii="Arial" w:cs="Arial" w:eastAsia="Arial" w:hAnsi="Arial"/>
          <w:sz w:val="14"/>
          <w:szCs w:val="14"/>
          <w:color w:val="auto"/>
        </w:rPr>
        <w:t>The foregoing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transactions that may involve an actual or threatened change of control. These provisions are designed to reduce our vulnerability to an unsolicited acquisition proposal.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shareholders.</w:t>
      </w:r>
    </w:p>
    <w:p>
      <w:pPr>
        <w:spacing w:after="0" w:line="149" w:lineRule="exact"/>
        <w:rPr>
          <w:sz w:val="20"/>
          <w:szCs w:val="20"/>
          <w:color w:val="auto"/>
        </w:rPr>
      </w:pPr>
    </w:p>
    <w:p>
      <w:pPr>
        <w:ind w:right="100" w:firstLine="509"/>
        <w:spacing w:after="0" w:line="234" w:lineRule="auto"/>
        <w:rPr>
          <w:sz w:val="20"/>
          <w:szCs w:val="20"/>
          <w:color w:val="auto"/>
        </w:rPr>
      </w:pPr>
      <w:r>
        <w:rPr>
          <w:rFonts w:ascii="Arial" w:cs="Arial" w:eastAsia="Arial" w:hAnsi="Arial"/>
          <w:sz w:val="13"/>
          <w:szCs w:val="13"/>
          <w:color w:val="auto"/>
        </w:rPr>
        <w:t>In addition, we are subject to Section 203 of the Delaware General Corporation Law ( “DGCL”). Subject to exceptions, Section 203 prevents a publicly held Delaware corporation from engaging in a “business combination” with any “interested shareholder” for three years following the date that the person became an interested shareholder, unless the interested shareholder attained such status with the approval of our board of directors or unless the business combination is approved in a prescribed manner. A “business combination” includes, among other things, a merger or consolidation involving us and the “interested shareholder” and the sale of more than 10% of our assets. In general, an “interested shareholder” is any entity or person beneficially owning 15% or more of our outstanding voting stock and any entity or person affiliated with or controlling or controlled by such entity or person.</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7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3"/>
          <w:szCs w:val="13"/>
          <w:color w:val="auto"/>
        </w:rPr>
        <w:t>In connection with our initial public offering (the “IPO”) in October 2020, we entered into an amended and restated stockholders’ agreement (the “Stockholders’ Agreement”) with the holders of our common stock prior to the IPO (the “Pre-IPO Shares”) granting such parties specified rights to require us to register all or a portion of their Pre-IPO Shares under the Securities Act of 1933, as amended (the “Securities Act”). Pursuant to the Stockholders’ Agreement, the holders of at least a majority of Pre-IPO Shares can request in writing that we register the offer and sale of all or a portion of their Pre-IPO Shares on a maximum of one effective registration statement, provided that the anticipated aggregate price to the public is at least $50.0 million.</w:t>
      </w:r>
    </w:p>
    <w:p>
      <w:pPr>
        <w:spacing w:after="0" w:line="150" w:lineRule="exact"/>
        <w:rPr>
          <w:sz w:val="20"/>
          <w:szCs w:val="20"/>
          <w:color w:val="auto"/>
        </w:rPr>
      </w:pPr>
    </w:p>
    <w:p>
      <w:pPr>
        <w:ind w:firstLine="509"/>
        <w:spacing w:after="0" w:line="216" w:lineRule="auto"/>
        <w:rPr>
          <w:sz w:val="20"/>
          <w:szCs w:val="20"/>
          <w:color w:val="auto"/>
        </w:rPr>
      </w:pPr>
      <w:r>
        <w:rPr>
          <w:rFonts w:ascii="Arial" w:cs="Arial" w:eastAsia="Arial" w:hAnsi="Arial"/>
          <w:sz w:val="14"/>
          <w:szCs w:val="14"/>
          <w:color w:val="auto"/>
        </w:rPr>
        <w:t>In addition, if we determine to register any of our securities under the Securities Act (subject to certain exceptions), either for our own account or for the account of other security holders, the holders of Pre-IPO Shares will be entitled to certain “piggyback” registration rights allowing the holders to include their Pre-IPO Shares in one such registration, subject to certain marketing and other limitations. As a result, if we propose to file a registration statement under the Securities Act, other than with respect to a registration related to employee benefit plans, convertible debt securities, or certain other transactions, the holders of these Pre-IPO Shares are entitled to notice of the registration and have the right, subject to limitations that the underwriters may impose on the number of shares included in the registration, to include their Pre-IPO Shares in the registration. In an underwritten offering, the managing underwriter, if any, has the right to limit the number of Pre-IPO Shares such holders may include.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Choice of Forum</w:t>
      </w:r>
    </w:p>
    <w:p>
      <w:pPr>
        <w:spacing w:after="0" w:line="172" w:lineRule="exact"/>
        <w:rPr>
          <w:sz w:val="20"/>
          <w:szCs w:val="20"/>
          <w:color w:val="auto"/>
        </w:rPr>
      </w:pPr>
    </w:p>
    <w:p>
      <w:pPr>
        <w:ind w:right="120" w:firstLine="509"/>
        <w:spacing w:after="0" w:line="218" w:lineRule="auto"/>
        <w:rPr>
          <w:sz w:val="20"/>
          <w:szCs w:val="20"/>
          <w:color w:val="auto"/>
        </w:rPr>
      </w:pPr>
      <w:r>
        <w:rPr>
          <w:rFonts w:ascii="Arial" w:cs="Arial" w:eastAsia="Arial" w:hAnsi="Arial"/>
          <w:sz w:val="14"/>
          <w:szCs w:val="14"/>
          <w:color w:val="auto"/>
        </w:rPr>
        <w:t>Our amended and restated certificate of incorporation provides that, unless we consent in writing to the selection of an alternative form, the Chancery Court (or, in the event that the Chancery Court does not have jurisdiction, the federal district court for the District of Delaware or other state courts of the State of Delaware) shall, to the fullest extent permitted by law, be the sole and exclusive forum for: (1) any derivative action, suit or proceeding brought on our behalf; (2) any action, suit or proceeding asserting a claim of breach of a fiduciary duty owed by any of our directors, officers or stockholders owed to us or our stockholders; (3) any action, suit or proceeding asserting a claim against us arising pursuant to any provision of the DGCL, our amended and restated</w:t>
      </w:r>
    </w:p>
    <w:p>
      <w:pPr>
        <w:sectPr>
          <w:pgSz w:w="11900" w:h="16838" w:orient="portrait"/>
          <w:cols w:equalWidth="0" w:num="1">
            <w:col w:w="11280"/>
          </w:cols>
          <w:pgMar w:left="300" w:top="1137"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certificate of incorporation or our bylaws (as either may be amended from time to time); or (4) any action, suit or proceeding asserting a claim against us governed by the internal affairs doctrine.</w:t>
      </w:r>
    </w:p>
    <w:p>
      <w:pPr>
        <w:spacing w:after="0" w:line="179" w:lineRule="exact"/>
        <w:rPr>
          <w:sz w:val="20"/>
          <w:szCs w:val="20"/>
          <w:color w:val="auto"/>
        </w:rPr>
      </w:pPr>
    </w:p>
    <w:p>
      <w:pPr>
        <w:ind w:firstLine="509"/>
        <w:spacing w:after="0" w:line="231" w:lineRule="auto"/>
        <w:rPr>
          <w:sz w:val="20"/>
          <w:szCs w:val="20"/>
          <w:color w:val="auto"/>
        </w:rPr>
      </w:pPr>
      <w:r>
        <w:rPr>
          <w:rFonts w:ascii="Arial" w:cs="Arial" w:eastAsia="Arial" w:hAnsi="Arial"/>
          <w:sz w:val="13"/>
          <w:szCs w:val="13"/>
          <w:color w:val="auto"/>
        </w:rPr>
        <w:t>Our amended and restated certificate of incorporation provides that the federal district courts of the United States of America shall be the exclusive forum for the resolution of any complaint asserting a cause of action arising under the Securities Act. If any such foreign action is filed in a court other than the courts in the State of Delaware in the name of any stockholder, such stockholder shall be deemed to have consented to (a) the personal jurisdiction of the state and federal courts in the State of Delaware in connection with any action brought in any such court to enforce such actions and (b) having service of process made upon such stockholder in any such action by service upon such stockholder’s counsel in the foreign action as agent for such stockholder. Our amended and restated certificate of incorporation also provides that any person or entity purchasing or otherwise acquiring any interest in any of our securities shall be deemed to have notice of and consented to this choice of forum provision. It is possible that a court of law could rule that the choice of forum provision contained in our certificate of incorporation is inapplicable or unenforceable if it is challenged in a proceeding or otherwise. This choice of forum provision has important consequences for our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72" w:lineRule="exact"/>
        <w:rPr>
          <w:sz w:val="20"/>
          <w:szCs w:val="20"/>
          <w:color w:val="auto"/>
        </w:rPr>
      </w:pPr>
    </w:p>
    <w:p>
      <w:pPr>
        <w:ind w:right="100" w:firstLine="509"/>
        <w:spacing w:after="0" w:line="236" w:lineRule="auto"/>
        <w:rPr>
          <w:sz w:val="20"/>
          <w:szCs w:val="20"/>
          <w:color w:val="auto"/>
        </w:rPr>
      </w:pPr>
      <w:r>
        <w:rPr>
          <w:rFonts w:ascii="Arial" w:cs="Arial" w:eastAsia="Arial" w:hAnsi="Arial"/>
          <w:sz w:val="14"/>
          <w:szCs w:val="14"/>
          <w:color w:val="auto"/>
        </w:rPr>
        <w:t>The transfer agent and registrar for our common stock is American Stock Transfer &amp; Trust, LLC. The address of the transfer agent and registrar is 59 Maiden Lane, Plaza Level, New York NY 10038.</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listed on the Nasdaq Global Select Market under the symbol “AVO.”</w:t>
      </w:r>
    </w:p>
    <w:p>
      <w:pPr>
        <w:sectPr>
          <w:pgSz w:w="11900" w:h="16838" w:orient="portrait"/>
          <w:cols w:equalWidth="0" w:num="1">
            <w:col w:w="11220"/>
          </w:cols>
          <w:pgMar w:left="300" w:top="1137" w:right="379" w:bottom="1440"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rFonts w:ascii="Arial" w:cs="Arial" w:eastAsia="Arial" w:hAnsi="Arial"/>
          <w:sz w:val="14"/>
          <w:szCs w:val="14"/>
          <w:b w:val="1"/>
          <w:bCs w:val="1"/>
          <w:color w:val="auto"/>
        </w:rPr>
        <w:t>MISSION PRODUCE, INC.</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2020 INCENTIVE AWARD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PERFORMANCE-VESTING RESTRICTED STOCK UNIT GRANT NOTICE (XXXX – XXXX)</w:t>
      </w:r>
    </w:p>
    <w:p>
      <w:pPr>
        <w:spacing w:after="0" w:line="151" w:lineRule="exact"/>
        <w:rPr>
          <w:sz w:val="20"/>
          <w:szCs w:val="20"/>
          <w:color w:val="auto"/>
        </w:rPr>
      </w:pPr>
    </w:p>
    <w:p>
      <w:pPr>
        <w:jc w:val="both"/>
        <w:ind w:firstLine="347"/>
        <w:spacing w:after="0" w:line="238" w:lineRule="auto"/>
        <w:rPr>
          <w:sz w:val="20"/>
          <w:szCs w:val="20"/>
          <w:color w:val="auto"/>
        </w:rPr>
      </w:pPr>
      <w:r>
        <w:rPr>
          <w:rFonts w:ascii="Arial" w:cs="Arial" w:eastAsia="Arial" w:hAnsi="Arial"/>
          <w:sz w:val="13"/>
          <w:szCs w:val="13"/>
          <w:color w:val="auto"/>
        </w:rPr>
        <w:t>Mission Produce,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has granted to the participant listed below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the performance-vesting Restricted Stock Units (the “</w:t>
      </w:r>
      <w:r>
        <w:rPr>
          <w:rFonts w:ascii="Arial" w:cs="Arial" w:eastAsia="Arial" w:hAnsi="Arial"/>
          <w:sz w:val="13"/>
          <w:szCs w:val="13"/>
          <w:b w:val="1"/>
          <w:bCs w:val="1"/>
          <w:i w:val="1"/>
          <w:iCs w:val="1"/>
          <w:color w:val="auto"/>
        </w:rPr>
        <w:t>PSUs</w:t>
      </w:r>
      <w:r>
        <w:rPr>
          <w:rFonts w:ascii="Arial" w:cs="Arial" w:eastAsia="Arial" w:hAnsi="Arial"/>
          <w:sz w:val="13"/>
          <w:szCs w:val="13"/>
          <w:color w:val="auto"/>
        </w:rPr>
        <w:t>”) described in this Performance-Vesting Restricted Stock Unit Grant Notice (this “</w:t>
      </w:r>
      <w:r>
        <w:rPr>
          <w:rFonts w:ascii="Arial" w:cs="Arial" w:eastAsia="Arial" w:hAnsi="Arial"/>
          <w:sz w:val="13"/>
          <w:szCs w:val="13"/>
          <w:b w:val="1"/>
          <w:bCs w:val="1"/>
          <w:i w:val="1"/>
          <w:iCs w:val="1"/>
          <w:color w:val="auto"/>
        </w:rPr>
        <w:t>Grant Notice</w:t>
      </w:r>
      <w:r>
        <w:rPr>
          <w:rFonts w:ascii="Arial" w:cs="Arial" w:eastAsia="Arial" w:hAnsi="Arial"/>
          <w:sz w:val="13"/>
          <w:szCs w:val="13"/>
          <w:color w:val="auto"/>
        </w:rPr>
        <w:t>”), subject to the terms and conditions of the Mission Produce, Inc. 2020 Incentive Award Plan (as amended from time to time,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xml:space="preserve">”) and the Performance-Vesting Restricted Stock Unit Agreement attached hereto as </w:t>
      </w:r>
      <w:r>
        <w:rPr>
          <w:rFonts w:ascii="Arial" w:cs="Arial" w:eastAsia="Arial" w:hAnsi="Arial"/>
          <w:sz w:val="13"/>
          <w:szCs w:val="13"/>
          <w:b w:val="1"/>
          <w:bCs w:val="1"/>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both of which are incorporated into this Grant Notice by reference. Capitalized terms not specifically defined in this Grant Notice or the Agreement have the meanings given to them in the Plan.</w:t>
      </w:r>
    </w:p>
    <w:p>
      <w:pPr>
        <w:sectPr>
          <w:pgSz w:w="11900" w:h="16838" w:orient="portrait"/>
          <w:cols w:equalWidth="0" w:num="1">
            <w:col w:w="11280"/>
          </w:cols>
          <w:pgMar w:left="300" w:top="1132" w:right="31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Insert Participant Name</w:t>
      </w:r>
      <w:r>
        <w:rPr>
          <w:rFonts w:ascii="Arial" w:cs="Arial" w:eastAsia="Arial" w:hAnsi="Arial"/>
          <w:sz w:val="13"/>
          <w:szCs w:val="13"/>
          <w:color w:val="auto"/>
        </w:rPr>
        <w:t>]</w:t>
      </w:r>
    </w:p>
    <w:p>
      <w:pPr>
        <w:spacing w:after="0" w:line="112" w:lineRule="exact"/>
        <w:rPr>
          <w:sz w:val="20"/>
          <w:szCs w:val="20"/>
          <w:color w:val="auto"/>
        </w:rPr>
      </w:pPr>
    </w:p>
    <w:p>
      <w:pPr>
        <w:sectPr>
          <w:pgSz w:w="11900" w:h="16838" w:orient="portrait"/>
          <w:cols w:equalWidth="0" w:num="2">
            <w:col w:w="3280" w:space="720"/>
            <w:col w:w="7280"/>
          </w:cols>
          <w:pgMar w:left="300" w:top="1132" w:right="31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Insert Grant Date</w:t>
      </w:r>
      <w:r>
        <w:rPr>
          <w:rFonts w:ascii="Arial" w:cs="Arial" w:eastAsia="Arial" w:hAnsi="Arial"/>
          <w:sz w:val="13"/>
          <w:szCs w:val="13"/>
          <w:color w:val="auto"/>
        </w:rPr>
        <w:t>]</w:t>
      </w:r>
    </w:p>
    <w:p>
      <w:pPr>
        <w:spacing w:after="0" w:line="112" w:lineRule="exact"/>
        <w:rPr>
          <w:sz w:val="20"/>
          <w:szCs w:val="20"/>
          <w:color w:val="auto"/>
        </w:rPr>
      </w:pPr>
    </w:p>
    <w:p>
      <w:pPr>
        <w:sectPr>
          <w:pgSz w:w="11900" w:h="16838" w:orient="portrait"/>
          <w:cols w:equalWidth="0" w:num="2">
            <w:col w:w="3280" w:space="720"/>
            <w:col w:w="7280"/>
          </w:cols>
          <w:pgMar w:left="300" w:top="1132" w:right="319" w:bottom="1440" w:gutter="0" w:footer="0" w:header="0"/>
          <w:type w:val="continuous"/>
        </w:sectPr>
      </w:pPr>
    </w:p>
    <w:p>
      <w:pPr>
        <w:ind w:left="160"/>
        <w:spacing w:after="0"/>
        <w:rPr>
          <w:sz w:val="20"/>
          <w:szCs w:val="20"/>
          <w:color w:val="auto"/>
        </w:rPr>
      </w:pPr>
      <w:r>
        <w:rPr>
          <w:rFonts w:ascii="Arial" w:cs="Arial" w:eastAsia="Arial" w:hAnsi="Arial"/>
          <w:sz w:val="12"/>
          <w:szCs w:val="12"/>
          <w:b w:val="1"/>
          <w:bCs w:val="1"/>
          <w:color w:val="auto"/>
        </w:rPr>
        <w:t>Target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Target Number of PSUs</w:t>
      </w:r>
      <w:r>
        <w:rPr>
          <w:rFonts w:ascii="Arial" w:cs="Arial" w:eastAsia="Arial" w:hAnsi="Arial"/>
          <w:sz w:val="12"/>
          <w:szCs w:val="12"/>
          <w:color w:val="auto"/>
        </w:rPr>
        <w:t>]</w:t>
      </w:r>
    </w:p>
    <w:p>
      <w:pPr>
        <w:spacing w:after="0" w:line="123" w:lineRule="exact"/>
        <w:rPr>
          <w:sz w:val="20"/>
          <w:szCs w:val="20"/>
          <w:color w:val="auto"/>
        </w:rPr>
      </w:pPr>
    </w:p>
    <w:p>
      <w:pPr>
        <w:sectPr>
          <w:pgSz w:w="11900" w:h="16838" w:orient="portrait"/>
          <w:cols w:equalWidth="0" w:num="2">
            <w:col w:w="3280" w:space="720"/>
            <w:col w:w="7280"/>
          </w:cols>
          <w:pgMar w:left="300" w:top="1132" w:right="319" w:bottom="1440" w:gutter="0" w:footer="0" w:header="0"/>
          <w:type w:val="continuous"/>
        </w:sectPr>
      </w:pPr>
    </w:p>
    <w:p>
      <w:pPr>
        <w:ind w:left="160"/>
        <w:spacing w:after="0"/>
        <w:rPr>
          <w:sz w:val="20"/>
          <w:szCs w:val="20"/>
          <w:color w:val="auto"/>
        </w:rPr>
      </w:pPr>
      <w:r>
        <w:rPr>
          <w:rFonts w:ascii="Arial" w:cs="Arial" w:eastAsia="Arial" w:hAnsi="Arial"/>
          <w:sz w:val="13"/>
          <w:szCs w:val="13"/>
          <w:b w:val="1"/>
          <w:bCs w:val="1"/>
          <w:color w:val="auto"/>
        </w:rPr>
        <w:t>Maximum 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200% of Target Number of PSUs</w:t>
      </w:r>
      <w:r>
        <w:rPr>
          <w:rFonts w:ascii="Arial" w:cs="Arial" w:eastAsia="Arial" w:hAnsi="Arial"/>
          <w:sz w:val="12"/>
          <w:szCs w:val="12"/>
          <w:color w:val="auto"/>
        </w:rPr>
        <w:t>]</w:t>
      </w:r>
    </w:p>
    <w:p>
      <w:pPr>
        <w:spacing w:after="0" w:line="207" w:lineRule="exact"/>
        <w:rPr>
          <w:sz w:val="20"/>
          <w:szCs w:val="20"/>
          <w:color w:val="auto"/>
        </w:rPr>
      </w:pPr>
    </w:p>
    <w:p>
      <w:pPr>
        <w:sectPr>
          <w:pgSz w:w="11900" w:h="16838" w:orient="portrait"/>
          <w:cols w:equalWidth="0" w:num="2">
            <w:col w:w="3280" w:space="720"/>
            <w:col w:w="7280"/>
          </w:cols>
          <w:pgMar w:left="300" w:top="1132" w:right="319" w:bottom="1440" w:gutter="0" w:footer="0" w:header="0"/>
          <w:type w:val="continuous"/>
        </w:sect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Vesting Schedule: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The PSUs shall vest as provided in Article II of the Agreement.</w:t>
      </w:r>
    </w:p>
    <w:p>
      <w:pPr>
        <w:spacing w:after="0" w:line="200" w:lineRule="exact"/>
        <w:rPr>
          <w:sz w:val="20"/>
          <w:szCs w:val="20"/>
          <w:color w:val="auto"/>
        </w:rPr>
      </w:pPr>
    </w:p>
    <w:p>
      <w:pPr>
        <w:sectPr>
          <w:pgSz w:w="11900" w:h="16838" w:orient="portrait"/>
          <w:cols w:equalWidth="0" w:num="2">
            <w:col w:w="3280" w:space="720"/>
            <w:col w:w="7280"/>
          </w:cols>
          <w:pgMar w:left="300" w:top="1132" w:right="319" w:bottom="1440" w:gutter="0" w:footer="0" w:header="0"/>
          <w:type w:val="continuous"/>
        </w:sectPr>
      </w:pPr>
    </w:p>
    <w:p>
      <w:pPr>
        <w:spacing w:after="0" w:line="150" w:lineRule="exact"/>
        <w:rPr>
          <w:sz w:val="20"/>
          <w:szCs w:val="20"/>
          <w:color w:val="auto"/>
        </w:rPr>
      </w:pPr>
    </w:p>
    <w:p>
      <w:pPr>
        <w:jc w:val="both"/>
        <w:ind w:firstLine="347"/>
        <w:spacing w:after="0" w:line="221" w:lineRule="auto"/>
        <w:rPr>
          <w:sz w:val="20"/>
          <w:szCs w:val="20"/>
          <w:color w:val="auto"/>
        </w:rPr>
      </w:pPr>
      <w:r>
        <w:rPr>
          <w:rFonts w:ascii="Arial" w:cs="Arial" w:eastAsia="Arial" w:hAnsi="Arial"/>
          <w:sz w:val="14"/>
          <w:szCs w:val="14"/>
          <w:color w:val="auto"/>
        </w:rPr>
        <w:t>By accepting (whether in writing, electronically or otherwise) the PSUs,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47" w:lineRule="exact"/>
        <w:rPr>
          <w:sz w:val="20"/>
          <w:szCs w:val="20"/>
          <w:color w:val="auto"/>
        </w:rPr>
      </w:pPr>
    </w:p>
    <w:p>
      <w:pPr>
        <w:ind w:left="20"/>
        <w:spacing w:after="0"/>
        <w:tabs>
          <w:tab w:leader="none" w:pos="6880" w:val="left"/>
        </w:tabs>
        <w:rPr>
          <w:sz w:val="20"/>
          <w:szCs w:val="20"/>
          <w:color w:val="auto"/>
        </w:rPr>
      </w:pPr>
      <w:r>
        <w:rPr>
          <w:rFonts w:ascii="Arial" w:cs="Arial" w:eastAsia="Arial" w:hAnsi="Arial"/>
          <w:sz w:val="14"/>
          <w:szCs w:val="14"/>
          <w:b w:val="1"/>
          <w:bCs w:val="1"/>
          <w:color w:val="auto"/>
        </w:rPr>
        <w:t>MISSION PRODUCE, INC.</w:t>
      </w:r>
      <w:r>
        <w:rPr>
          <w:sz w:val="20"/>
          <w:szCs w:val="20"/>
          <w:color w:val="auto"/>
        </w:rPr>
        <w:tab/>
      </w:r>
      <w:r>
        <w:rPr>
          <w:rFonts w:ascii="Arial" w:cs="Arial" w:eastAsia="Arial" w:hAnsi="Arial"/>
          <w:sz w:val="14"/>
          <w:szCs w:val="14"/>
          <w:b w:val="1"/>
          <w:bCs w:val="1"/>
          <w:color w:val="auto"/>
        </w:rPr>
        <w:t>PARTICIPANT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20"/>
        <w:spacing w:after="0"/>
        <w:tabs>
          <w:tab w:leader="none" w:pos="68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-101600</wp:posOffset>
            </wp:positionV>
            <wp:extent cx="651510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651510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19050</wp:posOffset>
            </wp:positionV>
            <wp:extent cx="307911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3079115" cy="698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-101600</wp:posOffset>
            </wp:positionV>
            <wp:extent cx="307911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30791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132" w:right="319" w:bottom="144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4"/>
          <w:szCs w:val="14"/>
          <w:b w:val="1"/>
          <w:bCs w:val="1"/>
          <w:color w:val="auto"/>
        </w:rPr>
        <w:t>EXHIBIT A</w:t>
      </w:r>
    </w:p>
    <w:p>
      <w:pPr>
        <w:jc w:val="center"/>
        <w:spacing w:after="0"/>
        <w:rPr>
          <w:sz w:val="20"/>
          <w:szCs w:val="20"/>
          <w:color w:val="auto"/>
        </w:rPr>
      </w:pPr>
      <w:r>
        <w:rPr>
          <w:rFonts w:ascii="Arial" w:cs="Arial" w:eastAsia="Arial" w:hAnsi="Arial"/>
          <w:sz w:val="14"/>
          <w:szCs w:val="14"/>
          <w:b w:val="1"/>
          <w:bCs w:val="1"/>
          <w:color w:val="auto"/>
        </w:rPr>
        <w:t>PERFORMANCE-VESTING RESTRICTED STOCK UNIT AGREEMENT</w:t>
      </w:r>
    </w:p>
    <w:p>
      <w:pPr>
        <w:spacing w:after="0" w:line="135" w:lineRule="exact"/>
        <w:rPr>
          <w:sz w:val="20"/>
          <w:szCs w:val="20"/>
          <w:color w:val="auto"/>
        </w:rPr>
      </w:pPr>
    </w:p>
    <w:p>
      <w:pPr>
        <w:ind w:firstLine="347"/>
        <w:spacing w:after="0" w:line="214" w:lineRule="auto"/>
        <w:rPr>
          <w:sz w:val="20"/>
          <w:szCs w:val="20"/>
          <w:color w:val="auto"/>
        </w:rPr>
      </w:pPr>
      <w:r>
        <w:rPr>
          <w:rFonts w:ascii="Arial" w:cs="Arial" w:eastAsia="Arial" w:hAnsi="Arial"/>
          <w:sz w:val="14"/>
          <w:szCs w:val="14"/>
          <w:color w:val="auto"/>
        </w:rPr>
        <w:t>Capitalized terms not specifically defined in this Performance-Vesting Restricted Stock Unit Agreement (this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have the meanings specified in the Grant Notice or, if not defined in the Grant Notice, in the Plan. Except as the context may otherwise require, references to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shall be deemed to include its Subsidiaries and affiliates.</w:t>
      </w:r>
    </w:p>
    <w:p>
      <w:pPr>
        <w:ind w:left="5140"/>
        <w:spacing w:after="0" w:line="206" w:lineRule="auto"/>
        <w:rPr>
          <w:sz w:val="20"/>
          <w:szCs w:val="20"/>
          <w:color w:val="auto"/>
        </w:rPr>
      </w:pPr>
      <w:r>
        <w:rPr>
          <w:rFonts w:ascii="Arial" w:cs="Arial" w:eastAsia="Arial" w:hAnsi="Arial"/>
          <w:sz w:val="14"/>
          <w:szCs w:val="14"/>
          <w:b w:val="1"/>
          <w:bCs w:val="1"/>
          <w:color w:val="auto"/>
        </w:rPr>
        <w:t>Article I.</w:t>
      </w:r>
    </w:p>
    <w:p>
      <w:pPr>
        <w:ind w:left="5300"/>
        <w:spacing w:after="0"/>
        <w:rPr>
          <w:sz w:val="20"/>
          <w:szCs w:val="20"/>
          <w:color w:val="auto"/>
        </w:rPr>
      </w:pPr>
      <w:r>
        <w:rPr>
          <w:rFonts w:ascii="Arial" w:cs="Arial" w:eastAsia="Arial" w:hAnsi="Arial"/>
          <w:sz w:val="14"/>
          <w:szCs w:val="14"/>
          <w:b w:val="1"/>
          <w:bCs w:val="1"/>
          <w:color w:val="auto"/>
        </w:rPr>
        <w:t>GENERAL</w:t>
      </w:r>
    </w:p>
    <w:p>
      <w:pPr>
        <w:spacing w:after="0" w:line="135"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Award of PSUs</w:t>
      </w:r>
      <w:r>
        <w:rPr>
          <w:rFonts w:ascii="Arial" w:cs="Arial" w:eastAsia="Arial" w:hAnsi="Arial"/>
          <w:sz w:val="14"/>
          <w:szCs w:val="14"/>
          <w:color w:val="auto"/>
        </w:rPr>
        <w:t>. The Company has granted the PSUs to Participant effective as of the Grant Date set forth in the Grant Notice (the “</w:t>
      </w:r>
      <w:r>
        <w:rPr>
          <w:rFonts w:ascii="Arial" w:cs="Arial" w:eastAsia="Arial" w:hAnsi="Arial"/>
          <w:sz w:val="14"/>
          <w:szCs w:val="14"/>
          <w:b w:val="1"/>
          <w:bCs w:val="1"/>
          <w:i w:val="1"/>
          <w:iCs w:val="1"/>
          <w:color w:val="auto"/>
        </w:rPr>
        <w:t>Grant Date</w:t>
      </w:r>
      <w:r>
        <w:rPr>
          <w:rFonts w:ascii="Arial" w:cs="Arial" w:eastAsia="Arial" w:hAnsi="Arial"/>
          <w:sz w:val="14"/>
          <w:szCs w:val="14"/>
          <w:color w:val="auto"/>
        </w:rPr>
        <w:t>”). Each PSU represents the right to receive one Share as set forth in this Agreement. Participant will have no right to the distribution of any Shares until the time (if ever) the PSUs have vested.</w:t>
      </w:r>
    </w:p>
    <w:p>
      <w:pPr>
        <w:spacing w:after="0" w:line="129"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Incorporation of Terms of Plan</w:t>
      </w:r>
      <w:r>
        <w:rPr>
          <w:rFonts w:ascii="Arial" w:cs="Arial" w:eastAsia="Arial" w:hAnsi="Arial"/>
          <w:sz w:val="14"/>
          <w:szCs w:val="14"/>
          <w:color w:val="auto"/>
        </w:rPr>
        <w:t>. The PSUs are subject to the terms and conditions set forth in this Agreement and the Plan, which is incorporated herein by reference. In the event of any inconsistency between the Plan and this Agreement, the terms of the Plan will control.</w:t>
      </w:r>
    </w:p>
    <w:p>
      <w:pPr>
        <w:spacing w:after="0" w:line="12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u w:val="single" w:color="auto"/>
          <w:color w:val="auto"/>
        </w:rPr>
        <w:t>Unsecured Promise</w:t>
      </w:r>
      <w:r>
        <w:rPr>
          <w:rFonts w:ascii="Arial" w:cs="Arial" w:eastAsia="Arial" w:hAnsi="Arial"/>
          <w:sz w:val="12"/>
          <w:szCs w:val="12"/>
          <w:color w:val="auto"/>
        </w:rPr>
        <w:t>. The PSUs will at all times prior to settlement represent an unsecured Company obligation payable only from the Company’s general assets.</w:t>
      </w:r>
    </w:p>
    <w:p>
      <w:pPr>
        <w:spacing w:after="0" w:line="147"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3"/>
          <w:szCs w:val="13"/>
          <w:u w:val="single" w:color="auto"/>
          <w:color w:val="auto"/>
        </w:rPr>
        <w:t>Certain Definitions</w:t>
      </w:r>
      <w:r>
        <w:rPr>
          <w:rFonts w:ascii="Arial" w:cs="Arial" w:eastAsia="Arial" w:hAnsi="Arial"/>
          <w:sz w:val="13"/>
          <w:szCs w:val="13"/>
          <w:color w:val="auto"/>
        </w:rPr>
        <w:t>.</w:t>
      </w:r>
    </w:p>
    <w:p>
      <w:pPr>
        <w:spacing w:after="0" w:line="147" w:lineRule="exact"/>
        <w:rPr>
          <w:sz w:val="20"/>
          <w:szCs w:val="20"/>
          <w:color w:val="auto"/>
        </w:rPr>
      </w:pPr>
    </w:p>
    <w:p>
      <w:pPr>
        <w:jc w:val="both"/>
        <w:ind w:left="520" w:firstLine="503"/>
        <w:spacing w:after="0" w:line="218" w:lineRule="auto"/>
        <w:tabs>
          <w:tab w:leader="none" w:pos="15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Adjusted Net Income per Share</w:t>
      </w:r>
      <w:r>
        <w:rPr>
          <w:rFonts w:ascii="Arial" w:cs="Arial" w:eastAsia="Arial" w:hAnsi="Arial"/>
          <w:sz w:val="14"/>
          <w:szCs w:val="14"/>
          <w:color w:val="auto"/>
        </w:rPr>
        <w:t>” means the Company’s net income on a per share basis, as determined pursuant to U.S. Generally Accepted Accounting Principles (“</w:t>
      </w:r>
      <w:r>
        <w:rPr>
          <w:rFonts w:ascii="Arial" w:cs="Arial" w:eastAsia="Arial" w:hAnsi="Arial"/>
          <w:sz w:val="14"/>
          <w:szCs w:val="14"/>
          <w:b w:val="1"/>
          <w:bCs w:val="1"/>
          <w:i w:val="1"/>
          <w:iCs w:val="1"/>
          <w:color w:val="auto"/>
        </w:rPr>
        <w:t>GAAP</w:t>
      </w:r>
      <w:r>
        <w:rPr>
          <w:rFonts w:ascii="Arial" w:cs="Arial" w:eastAsia="Arial" w:hAnsi="Arial"/>
          <w:sz w:val="14"/>
          <w:szCs w:val="14"/>
          <w:color w:val="auto"/>
        </w:rPr>
        <w:t>”) issued by the Financial Accounting Standard Board, adjusted to mitigate the impact of each of the following: (i) gains or losses on interest rate swaps, (ii) foreign currency exchange rates, (iii) stock-based compensation expense, (iv) changes to tax rates, GAAP or Applicable Laws during the Performance Period, (v) settlements and expenses of non-ordinary course litigation or administrative proceedings, and (vi) other non-recurring events that are unusual or extraordinary in nature, in each case, as determined in the good faith discretion of the Board.</w:t>
      </w:r>
    </w:p>
    <w:p>
      <w:pPr>
        <w:spacing w:after="0" w:line="128" w:lineRule="exact"/>
        <w:rPr>
          <w:rFonts w:ascii="Arial" w:cs="Arial" w:eastAsia="Arial" w:hAnsi="Arial"/>
          <w:sz w:val="14"/>
          <w:szCs w:val="14"/>
          <w:color w:val="auto"/>
        </w:rPr>
      </w:pPr>
    </w:p>
    <w:p>
      <w:pPr>
        <w:jc w:val="both"/>
        <w:ind w:left="520" w:firstLine="503"/>
        <w:spacing w:after="0" w:line="227" w:lineRule="auto"/>
        <w:tabs>
          <w:tab w:leader="none" w:pos="1534" w:val="left"/>
        </w:tabs>
        <w:numPr>
          <w:ilvl w:val="0"/>
          <w:numId w:val="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Cause</w:t>
      </w:r>
      <w:r>
        <w:rPr>
          <w:rFonts w:ascii="Arial" w:cs="Arial" w:eastAsia="Arial" w:hAnsi="Arial"/>
          <w:sz w:val="13"/>
          <w:szCs w:val="13"/>
          <w:color w:val="auto"/>
        </w:rPr>
        <w:t>” means the occurrence of any of the following events, as determined by the Board in good faith: (i) Participant’s failure to substantially perform Participant’s duties (other than a failure resulting from Participant’s Disability), including Participant’s failure to follow any lawful directive from the Board or Participant’s immediate supervisor; (ii) Participant’s material breach of any employment or other written agreement with the Company or its affiliate, or material violation of any code or standard of behavior generally applicable to Employees or executives of the Company; (iii) engaging in conduct that may reasonably result in reputational, economic or financial injury to the Company or its affiliates; (iv) Participant’s commission of, indictment for or plea of nolo contendere to a felony, any crime involving fraud or embezzlement under federal, state or local laws or a crime involving moral turpitude; (v) Participant’s failure to devote substantially all of Participant’s working time to the business of the Company and its affiliates; (vi) Participant’s unlawful use (including being under the influence) or possession of illegal drugs on the premises of the Company or any of its affiliates or while performing Participant’s duties and responsibilities for the Company or any of its affiliates; (vii) Participant’s commission of an act of fraud, willful misconduct or gross negligence with respect to the Company or its affiliates, or Participant’s material breach of fiduciary duty against the Company or any of its affiliates; (viii) Participant’s engaging in misconduct in connection with the performance of any of Participant’s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Participant’s disloyalty to the Company or its affiliates, including willfully aiding a competitor or improperly disclosing confidential information.</w:t>
      </w:r>
    </w:p>
    <w:p>
      <w:pPr>
        <w:spacing w:after="0" w:line="128" w:lineRule="exact"/>
        <w:rPr>
          <w:rFonts w:ascii="Arial" w:cs="Arial" w:eastAsia="Arial" w:hAnsi="Arial"/>
          <w:sz w:val="13"/>
          <w:szCs w:val="13"/>
          <w:color w:val="auto"/>
        </w:rPr>
      </w:pPr>
    </w:p>
    <w:p>
      <w:pPr>
        <w:ind w:left="520" w:firstLine="503"/>
        <w:spacing w:after="0" w:line="236" w:lineRule="auto"/>
        <w:tabs>
          <w:tab w:leader="none" w:pos="15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Cumulative Adjusted Net Income per Share</w:t>
      </w:r>
      <w:r>
        <w:rPr>
          <w:rFonts w:ascii="Arial" w:cs="Arial" w:eastAsia="Arial" w:hAnsi="Arial"/>
          <w:sz w:val="14"/>
          <w:szCs w:val="14"/>
          <w:color w:val="auto"/>
        </w:rPr>
        <w:t>” means the sum of the Company’s Adjusted Net Income per Share for each of the three years, or such shorter period due to the occurrence of a Change in Control as provided in Section 2.2 hereof, comprising the Performance Period.</w:t>
      </w:r>
    </w:p>
    <w:p>
      <w:pPr>
        <w:spacing w:after="0" w:line="128" w:lineRule="exact"/>
        <w:rPr>
          <w:rFonts w:ascii="Arial" w:cs="Arial" w:eastAsia="Arial" w:hAnsi="Arial"/>
          <w:sz w:val="14"/>
          <w:szCs w:val="14"/>
          <w:color w:val="auto"/>
        </w:rPr>
      </w:pPr>
    </w:p>
    <w:p>
      <w:pPr>
        <w:ind w:left="1520" w:hanging="497"/>
        <w:spacing w:after="0"/>
        <w:tabs>
          <w:tab w:leader="none" w:pos="1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Participant is considered “disabled” as such term is defined in Treasury Regulation Section 1.409A-3(i)(4) and any successor provision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126" w:right="319" w:bottom="1440" w:gutter="0" w:footer="0" w:header="0"/>
        </w:sectPr>
      </w:pPr>
    </w:p>
    <w:bookmarkStart w:id="163" w:name="page164"/>
    <w:bookmarkEnd w:id="163"/>
    <w:p>
      <w:pPr>
        <w:jc w:val="both"/>
        <w:ind w:left="520" w:firstLine="503"/>
        <w:spacing w:after="0" w:line="229" w:lineRule="auto"/>
        <w:tabs>
          <w:tab w:leader="none" w:pos="1536" w:val="left"/>
        </w:tabs>
        <w:numPr>
          <w:ilvl w:val="0"/>
          <w:numId w:val="3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Good Reason</w:t>
      </w:r>
      <w:r>
        <w:rPr>
          <w:rFonts w:ascii="Arial" w:cs="Arial" w:eastAsia="Arial" w:hAnsi="Arial"/>
          <w:sz w:val="13"/>
          <w:szCs w:val="13"/>
          <w:color w:val="auto"/>
        </w:rPr>
        <w:t>” means any of the following actions taken without Cause by the Company and without Participant’s consent: (i) material reduction of Participant’s base compensation; or (ii) material reduction of Participant’s authority, duties, or responsibilities; provided, however, that a change in job position (including a change in title) will not be deemed a “material reduction” unless Participant’s new authority, duties, or responsibilities are materially reduced from the prior authority, duties, or responsibilities and, for clarity, in no event shall a Change in Control as a result of which the Company becomes a subsidiary or division of a larger organization and/or ceases to be a Publicly-Listed Company, in and of itself, constitute Good Reason, if Participant’s authority, duties and responsibilities within the Company (however the Company may be held following such Change in Control) are not materially reduced. In order to resign for Good Reason, Participant must notify the Company of the condition that Participant believes constitutes Good Reason no more than 60 days after the condition arose, and allow the Company 30 days to cure such condition. If the Company fails to cure the condition within such period, then Participant’s resignation from all positions Participant then holds with the Company must be effective no later than 60 days after the end of the cure period.</w:t>
      </w:r>
    </w:p>
    <w:p>
      <w:pPr>
        <w:spacing w:after="0" w:line="120" w:lineRule="exact"/>
        <w:rPr>
          <w:rFonts w:ascii="Arial" w:cs="Arial" w:eastAsia="Arial" w:hAnsi="Arial"/>
          <w:sz w:val="13"/>
          <w:szCs w:val="13"/>
          <w:color w:val="auto"/>
        </w:rPr>
      </w:pPr>
    </w:p>
    <w:p>
      <w:pPr>
        <w:ind w:left="1520" w:hanging="497"/>
        <w:spacing w:after="0"/>
        <w:tabs>
          <w:tab w:leader="none" w:pos="1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Performance Period</w:t>
      </w:r>
      <w:r>
        <w:rPr>
          <w:rFonts w:ascii="Arial" w:cs="Arial" w:eastAsia="Arial" w:hAnsi="Arial"/>
          <w:sz w:val="14"/>
          <w:szCs w:val="14"/>
          <w:color w:val="auto"/>
        </w:rPr>
        <w:t>” means the period commencing on [XX-XX-XXXX] and ending on [XX-XX-XXXX] (or, if earlier, upon the consummation of a Change in</w:t>
      </w:r>
    </w:p>
    <w:p>
      <w:pPr>
        <w:ind w:left="520"/>
        <w:spacing w:after="0"/>
        <w:rPr>
          <w:rFonts w:ascii="Arial" w:cs="Arial" w:eastAsia="Arial" w:hAnsi="Arial"/>
          <w:sz w:val="14"/>
          <w:szCs w:val="14"/>
          <w:color w:val="auto"/>
        </w:rPr>
      </w:pPr>
      <w:r>
        <w:rPr>
          <w:rFonts w:ascii="Arial" w:cs="Arial" w:eastAsia="Arial" w:hAnsi="Arial"/>
          <w:sz w:val="14"/>
          <w:szCs w:val="14"/>
          <w:color w:val="auto"/>
        </w:rPr>
        <w:t>Control).</w:t>
      </w:r>
    </w:p>
    <w:p>
      <w:pPr>
        <w:spacing w:after="0" w:line="134" w:lineRule="exact"/>
        <w:rPr>
          <w:rFonts w:ascii="Arial" w:cs="Arial" w:eastAsia="Arial" w:hAnsi="Arial"/>
          <w:sz w:val="14"/>
          <w:szCs w:val="14"/>
          <w:color w:val="auto"/>
        </w:rPr>
      </w:pPr>
    </w:p>
    <w:p>
      <w:pPr>
        <w:ind w:left="1520" w:hanging="497"/>
        <w:spacing w:after="0"/>
        <w:tabs>
          <w:tab w:leader="none" w:pos="1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Qualifying Termination</w:t>
      </w:r>
      <w:r>
        <w:rPr>
          <w:rFonts w:ascii="Arial" w:cs="Arial" w:eastAsia="Arial" w:hAnsi="Arial"/>
          <w:sz w:val="14"/>
          <w:szCs w:val="14"/>
          <w:color w:val="auto"/>
        </w:rPr>
        <w:t>” means a Termination of Service by the Company without Cause or by Participant for Good Reason.</w:t>
      </w:r>
    </w:p>
    <w:p>
      <w:pPr>
        <w:spacing w:after="0" w:line="136"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Article II.</w:t>
      </w:r>
    </w:p>
    <w:p>
      <w:pPr>
        <w:ind w:left="4140"/>
        <w:spacing w:after="0"/>
        <w:rPr>
          <w:sz w:val="20"/>
          <w:szCs w:val="20"/>
          <w:color w:val="auto"/>
        </w:rPr>
      </w:pPr>
      <w:r>
        <w:rPr>
          <w:rFonts w:ascii="Arial" w:cs="Arial" w:eastAsia="Arial" w:hAnsi="Arial"/>
          <w:sz w:val="14"/>
          <w:szCs w:val="14"/>
          <w:b w:val="1"/>
          <w:bCs w:val="1"/>
          <w:color w:val="auto"/>
        </w:rPr>
        <w:t>VESTING; FORFEITURE AND SETTLEMENT</w:t>
      </w:r>
    </w:p>
    <w:p>
      <w:pPr>
        <w:spacing w:after="0" w:line="135" w:lineRule="exact"/>
        <w:rPr>
          <w:sz w:val="20"/>
          <w:szCs w:val="20"/>
          <w:color w:val="auto"/>
        </w:rPr>
      </w:pPr>
    </w:p>
    <w:p>
      <w:pPr>
        <w:jc w:val="both"/>
        <w:ind w:firstLine="509"/>
        <w:spacing w:after="0" w:line="213"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Performance Vesting</w:t>
      </w:r>
      <w:r>
        <w:rPr>
          <w:rFonts w:ascii="Arial" w:cs="Arial" w:eastAsia="Arial" w:hAnsi="Arial"/>
          <w:sz w:val="14"/>
          <w:szCs w:val="14"/>
          <w:color w:val="auto"/>
        </w:rPr>
        <w:t>. Subject to Sections 2.2 and 2.3 hereof, a number of PSUs shall vest on the Determination Date (as defined below) equal to (i) the Target Number of PSUs, multiplied by (ii) the “Earning Percentage” set forth in the table below based on the Company’s Cumulative Adjusted Net Income per Share for the Performance Period. As soon as reasonably practicable after the completion of the Performance Period, but in no event later than 90 days following the end of the Performance Period (including upon the consummation of a Change in Control, as applicable), the Administrator shall determine the Company’s Cumulative Adjusted Net Income per Share for the Performance Period (such date of determination, the “</w:t>
      </w:r>
      <w:r>
        <w:rPr>
          <w:rFonts w:ascii="Arial" w:cs="Arial" w:eastAsia="Arial" w:hAnsi="Arial"/>
          <w:sz w:val="14"/>
          <w:szCs w:val="14"/>
          <w:b w:val="1"/>
          <w:bCs w:val="1"/>
          <w:i w:val="1"/>
          <w:iCs w:val="1"/>
          <w:color w:val="auto"/>
        </w:rPr>
        <w:t>Determination Date</w:t>
      </w:r>
      <w:r>
        <w:rPr>
          <w:rFonts w:ascii="Arial" w:cs="Arial" w:eastAsia="Arial" w:hAnsi="Arial"/>
          <w:sz w:val="14"/>
          <w:szCs w:val="14"/>
          <w:color w:val="auto"/>
        </w:rPr>
        <w:t>”). Subject to Sections 2.2 and 2.3 hereof, the number of PSUs that are earned shall be determined and shall vest on the Determination Date, subject to Participant’s continued status as a Service Provider with the Company (“</w:t>
      </w:r>
      <w:r>
        <w:rPr>
          <w:rFonts w:ascii="Arial" w:cs="Arial" w:eastAsia="Arial" w:hAnsi="Arial"/>
          <w:sz w:val="14"/>
          <w:szCs w:val="14"/>
          <w:b w:val="1"/>
          <w:bCs w:val="1"/>
          <w:i w:val="1"/>
          <w:iCs w:val="1"/>
          <w:color w:val="auto"/>
        </w:rPr>
        <w:t>Continuous Service</w:t>
      </w:r>
      <w:r>
        <w:rPr>
          <w:rFonts w:ascii="Arial" w:cs="Arial" w:eastAsia="Arial" w:hAnsi="Arial"/>
          <w:sz w:val="14"/>
          <w:szCs w:val="14"/>
          <w:color w:val="auto"/>
        </w:rPr>
        <w:t>”) through the Determination Date (except as otherwise provided below). Any PSUs granted hereby which remain outstanding as of the Determination Date, but do not vest as of the Determination Date, shall automatically be cancelled and forfeited on the Determination Date without payment of any consideration therefor, and Participant shall have no further right to or interest in such PSUs.</w:t>
      </w:r>
    </w:p>
    <w:p>
      <w:pPr>
        <w:spacing w:after="0" w:line="153" w:lineRule="exact"/>
        <w:rPr>
          <w:sz w:val="20"/>
          <w:szCs w:val="20"/>
          <w:color w:val="auto"/>
        </w:rPr>
      </w:pPr>
    </w:p>
    <w:tbl>
      <w:tblPr>
        <w:tblLayout w:type="fixed"/>
        <w:tblInd w:w="430" w:type="dxa"/>
        <w:tblCellMar>
          <w:top w:w="0" w:type="dxa"/>
          <w:left w:w="0" w:type="dxa"/>
          <w:bottom w:w="0" w:type="dxa"/>
          <w:right w:w="0" w:type="dxa"/>
        </w:tblCellMar>
      </w:tblPr>
      <w:tr>
        <w:trPr>
          <w:trHeight w:val="366"/>
        </w:trPr>
        <w:tc>
          <w:tcPr>
            <w:tcW w:w="2420" w:type="dxa"/>
            <w:vAlign w:val="bottom"/>
            <w:tcBorders>
              <w:top w:val="single" w:sz="8" w:color="auto"/>
              <w:left w:val="single" w:sz="8" w:color="auto"/>
              <w:bottom w:val="single" w:sz="8" w:color="auto"/>
              <w:right w:val="single" w:sz="8" w:color="auto"/>
            </w:tcBorders>
            <w:shd w:val="clear" w:color="auto" w:fill="D2DFE7"/>
          </w:tcPr>
          <w:p>
            <w:pPr>
              <w:spacing w:after="0"/>
              <w:rPr>
                <w:sz w:val="24"/>
                <w:szCs w:val="24"/>
                <w:color w:val="auto"/>
              </w:rPr>
            </w:pPr>
          </w:p>
        </w:tc>
        <w:tc>
          <w:tcPr>
            <w:tcW w:w="4480" w:type="dxa"/>
            <w:vAlign w:val="bottom"/>
            <w:tcBorders>
              <w:top w:val="single" w:sz="8" w:color="auto"/>
              <w:bottom w:val="single" w:sz="8" w:color="auto"/>
              <w:right w:val="single" w:sz="8" w:color="auto"/>
            </w:tcBorders>
            <w:shd w:val="clear" w:color="auto" w:fill="D2DFE7"/>
          </w:tcPr>
          <w:p>
            <w:pPr>
              <w:ind w:left="1020"/>
              <w:spacing w:after="0"/>
              <w:rPr>
                <w:sz w:val="20"/>
                <w:szCs w:val="20"/>
                <w:color w:val="auto"/>
              </w:rPr>
            </w:pPr>
            <w:r>
              <w:rPr>
                <w:rFonts w:ascii="Arial" w:cs="Arial" w:eastAsia="Arial" w:hAnsi="Arial"/>
                <w:sz w:val="14"/>
                <w:szCs w:val="14"/>
                <w:b w:val="1"/>
                <w:bCs w:val="1"/>
                <w:i w:val="1"/>
                <w:iCs w:val="1"/>
                <w:color w:val="auto"/>
              </w:rPr>
              <w:t>Cumulative Adjusted Net Income per Share</w:t>
            </w:r>
          </w:p>
        </w:tc>
        <w:tc>
          <w:tcPr>
            <w:tcW w:w="2620" w:type="dxa"/>
            <w:vAlign w:val="bottom"/>
            <w:tcBorders>
              <w:top w:val="single" w:sz="8" w:color="auto"/>
              <w:bottom w:val="single" w:sz="8" w:color="auto"/>
              <w:right w:val="single" w:sz="8" w:color="auto"/>
            </w:tcBorders>
            <w:shd w:val="clear" w:color="auto" w:fill="D2DFE7"/>
          </w:tcPr>
          <w:p>
            <w:pPr>
              <w:ind w:left="660"/>
              <w:spacing w:after="0"/>
              <w:rPr>
                <w:sz w:val="20"/>
                <w:szCs w:val="20"/>
                <w:color w:val="auto"/>
              </w:rPr>
            </w:pPr>
            <w:r>
              <w:rPr>
                <w:rFonts w:ascii="Arial" w:cs="Arial" w:eastAsia="Arial" w:hAnsi="Arial"/>
                <w:sz w:val="14"/>
                <w:szCs w:val="14"/>
                <w:b w:val="1"/>
                <w:bCs w:val="1"/>
                <w:i w:val="1"/>
                <w:iCs w:val="1"/>
                <w:color w:val="auto"/>
              </w:rPr>
              <w:t>Earning Percentage*</w:t>
            </w:r>
          </w:p>
        </w:tc>
        <w:tc>
          <w:tcPr>
            <w:tcW w:w="0" w:type="dxa"/>
            <w:vAlign w:val="bottom"/>
          </w:tcPr>
          <w:p>
            <w:pPr>
              <w:spacing w:after="0"/>
              <w:rPr>
                <w:sz w:val="1"/>
                <w:szCs w:val="1"/>
                <w:color w:val="auto"/>
              </w:rPr>
            </w:pPr>
          </w:p>
        </w:tc>
      </w:tr>
      <w:tr>
        <w:trPr>
          <w:trHeight w:val="346"/>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4"/>
                <w:szCs w:val="14"/>
                <w:color w:val="auto"/>
                <w:w w:val="95"/>
              </w:rPr>
              <w:t>Below $[_____]</w:t>
            </w:r>
          </w:p>
        </w:tc>
        <w:tc>
          <w:tcPr>
            <w:tcW w:w="262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4"/>
                <w:szCs w:val="14"/>
                <w:color w:val="auto"/>
                <w:w w:val="88"/>
              </w:rPr>
              <w:t>0%</w:t>
            </w: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Threshold</w:t>
            </w:r>
          </w:p>
        </w:tc>
        <w:tc>
          <w:tcPr>
            <w:tcW w:w="448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5"/>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Target</w:t>
            </w:r>
          </w:p>
        </w:tc>
        <w:tc>
          <w:tcPr>
            <w:tcW w:w="448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5"/>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Maximum</w:t>
            </w:r>
          </w:p>
        </w:tc>
        <w:tc>
          <w:tcPr>
            <w:tcW w:w="448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5"/>
              </w:rPr>
              <w:t>$[_____]</w:t>
            </w:r>
          </w:p>
        </w:tc>
        <w:tc>
          <w:tcPr>
            <w:tcW w:w="2620" w:type="dxa"/>
            <w:vAlign w:val="bottom"/>
            <w:tcBorders>
              <w:right w:val="single" w:sz="8" w:color="auto"/>
            </w:tcBorders>
            <w:vMerge w:val="restart"/>
          </w:tcPr>
          <w:p>
            <w:pPr>
              <w:jc w:val="center"/>
              <w:ind w:right="49"/>
              <w:spacing w:after="0"/>
              <w:rPr>
                <w:sz w:val="20"/>
                <w:szCs w:val="20"/>
                <w:color w:val="auto"/>
              </w:rPr>
            </w:pPr>
            <w:r>
              <w:rPr>
                <w:rFonts w:ascii="Arial" w:cs="Arial" w:eastAsia="Arial" w:hAnsi="Arial"/>
                <w:sz w:val="14"/>
                <w:szCs w:val="14"/>
                <w:color w:val="auto"/>
                <w:w w:val="94"/>
              </w:rPr>
              <w:t>200%</w:t>
            </w:r>
          </w:p>
        </w:tc>
        <w:tc>
          <w:tcPr>
            <w:tcW w:w="0" w:type="dxa"/>
            <w:vAlign w:val="bottom"/>
          </w:tcPr>
          <w:p>
            <w:pPr>
              <w:spacing w:after="0"/>
              <w:rPr>
                <w:sz w:val="1"/>
                <w:szCs w:val="1"/>
                <w:color w:val="auto"/>
              </w:rPr>
            </w:pPr>
          </w:p>
        </w:tc>
      </w:tr>
      <w:tr>
        <w:trPr>
          <w:trHeight w:val="85"/>
        </w:trPr>
        <w:tc>
          <w:tcPr>
            <w:tcW w:w="2420" w:type="dxa"/>
            <w:vAlign w:val="bottom"/>
            <w:tcBorders>
              <w:left w:val="single" w:sz="8" w:color="auto"/>
              <w:bottom w:val="single" w:sz="8" w:color="auto"/>
              <w:right w:val="single" w:sz="8" w:color="auto"/>
            </w:tcBorders>
          </w:tcPr>
          <w:p>
            <w:pPr>
              <w:spacing w:after="0"/>
              <w:rPr>
                <w:sz w:val="7"/>
                <w:szCs w:val="7"/>
                <w:color w:val="auto"/>
              </w:rPr>
            </w:pPr>
          </w:p>
        </w:tc>
        <w:tc>
          <w:tcPr>
            <w:tcW w:w="4480" w:type="dxa"/>
            <w:vAlign w:val="bottom"/>
            <w:tcBorders>
              <w:bottom w:val="single" w:sz="8" w:color="auto"/>
              <w:right w:val="single" w:sz="8" w:color="auto"/>
            </w:tcBorders>
            <w:vMerge w:val="continue"/>
          </w:tcPr>
          <w:p>
            <w:pPr>
              <w:spacing w:after="0"/>
              <w:rPr>
                <w:sz w:val="7"/>
                <w:szCs w:val="7"/>
                <w:color w:val="auto"/>
              </w:rPr>
            </w:pPr>
          </w:p>
        </w:tc>
        <w:tc>
          <w:tcPr>
            <w:tcW w:w="2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60" w:right="500" w:hanging="10"/>
        <w:spacing w:after="0" w:line="236" w:lineRule="auto"/>
        <w:tabs>
          <w:tab w:leader="none" w:pos="578"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event that the Company’s Cumulative Adjusted Net Income per Share falls between performance ranges, the applicable Earning Percentage shall be determined by linear interpolation.</w:t>
      </w:r>
    </w:p>
    <w:p>
      <w:pPr>
        <w:spacing w:after="0" w:line="129"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Change in Control</w:t>
      </w:r>
      <w:r>
        <w:rPr>
          <w:rFonts w:ascii="Arial" w:cs="Arial" w:eastAsia="Arial" w:hAnsi="Arial"/>
          <w:sz w:val="13"/>
          <w:szCs w:val="13"/>
          <w:color w:val="auto"/>
        </w:rPr>
        <w:t>. In the event of a Change in Control during the Performance Period, subject to Participant’s Continuous Service until immediately prior to such Change in Control (except as otherwise provided in Section 2.3), the date of the most recent fiscal quarter end shall be the last day of the Performance Period, and the number of PSUs vested hereunder will be determined as of immediately prior to the Change in Control and will equal the greater of (i) the number of PSUs that Participant would vest in as provided in Section 2.1 hereof based on actual performance of the Company through the most recent fiscal quarter end, as determined and certified by the Administrator and (ii) the Target Number of PSUs. No unvested PSUs as of the date of the Change in Control, after taking into account vesting that occurs in connection with such Change in Control pursuant to this Section 2.2, shall thereafter become vested.</w:t>
      </w:r>
    </w:p>
    <w:p>
      <w:pPr>
        <w:spacing w:after="0" w:line="131"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3"/>
          <w:szCs w:val="13"/>
          <w:u w:val="single" w:color="auto"/>
          <w:color w:val="auto"/>
        </w:rPr>
        <w:t>Effect of Termination of Service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137" w:right="319" w:bottom="1440" w:gutter="0" w:footer="0" w:header="0"/>
        </w:sectPr>
      </w:pPr>
    </w:p>
    <w:bookmarkStart w:id="164" w:name="page165"/>
    <w:bookmarkEnd w:id="164"/>
    <w:p>
      <w:pPr>
        <w:jc w:val="both"/>
        <w:ind w:left="520" w:firstLine="503"/>
        <w:spacing w:after="0" w:line="221" w:lineRule="auto"/>
        <w:tabs>
          <w:tab w:leader="none" w:pos="1536"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Termination of Service</w:t>
      </w:r>
      <w:r>
        <w:rPr>
          <w:rFonts w:ascii="Arial" w:cs="Arial" w:eastAsia="Arial" w:hAnsi="Arial"/>
          <w:sz w:val="14"/>
          <w:szCs w:val="14"/>
          <w:color w:val="auto"/>
        </w:rPr>
        <w:t>. Except as otherwise expressly provided in Sections 2.3(b) and 2.3(c) hereof, in the event of Participant’s Termination of Service for any reason, all unvested PSUs as of the date of such Termination of Service shall automatically and without further action be cancelled and forfeited without payment of any consideration therefor, and Participant shall have no further right to or interest in such PSUs. Except as set forth in Section 2.3(b) hereof, no unvested PSUs as of the date of Participant’s Termination of Service shall thereafter become vested.</w:t>
      </w:r>
    </w:p>
    <w:p>
      <w:pPr>
        <w:spacing w:after="0" w:line="128" w:lineRule="exact"/>
        <w:rPr>
          <w:rFonts w:ascii="Arial" w:cs="Arial" w:eastAsia="Arial" w:hAnsi="Arial"/>
          <w:sz w:val="14"/>
          <w:szCs w:val="14"/>
          <w:color w:val="auto"/>
        </w:rPr>
      </w:pPr>
    </w:p>
    <w:p>
      <w:pPr>
        <w:jc w:val="both"/>
        <w:ind w:left="520" w:firstLine="503"/>
        <w:spacing w:after="0" w:line="221" w:lineRule="auto"/>
        <w:tabs>
          <w:tab w:leader="none" w:pos="1534"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Qualifying Termination</w:t>
      </w:r>
      <w:r>
        <w:rPr>
          <w:rFonts w:ascii="Arial" w:cs="Arial" w:eastAsia="Arial" w:hAnsi="Arial"/>
          <w:sz w:val="13"/>
          <w:szCs w:val="13"/>
          <w:color w:val="auto"/>
        </w:rPr>
        <w:t>. If Participant experiences a Qualifying Termination prior to the Determination Date, Participant will vest on the Determination Date in a number of PSUs determined by multiplying (i) the number of PSUs that Participant would vest in as provided in Section 2.1 hereof had he/she not incurred a Termination of Service prior to the Determination Date, by (ii) (A) the number of full calendar months that have elapsed during the Performance Period through and including the date of termination (not to exceed 36), divided by (B) 36. Partial months shall be rounded to the nearest whole calendar month for purposes of the numerator in this calculation (rounding up for any termination occurring after the 15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of the calendar month). If the calculation results in a fractional PSU, any fractional PSU will be rounded to the nearest whole PSU.</w:t>
      </w:r>
    </w:p>
    <w:p>
      <w:pPr>
        <w:spacing w:after="0" w:line="128" w:lineRule="exact"/>
        <w:rPr>
          <w:rFonts w:ascii="Arial" w:cs="Arial" w:eastAsia="Arial" w:hAnsi="Arial"/>
          <w:sz w:val="13"/>
          <w:szCs w:val="13"/>
          <w:color w:val="auto"/>
        </w:rPr>
      </w:pPr>
    </w:p>
    <w:p>
      <w:pPr>
        <w:jc w:val="both"/>
        <w:ind w:left="520" w:firstLine="503"/>
        <w:spacing w:after="0" w:line="206" w:lineRule="auto"/>
        <w:tabs>
          <w:tab w:leader="none" w:pos="1536"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Death or Disability</w:t>
      </w:r>
      <w:r>
        <w:rPr>
          <w:rFonts w:ascii="Arial" w:cs="Arial" w:eastAsia="Arial" w:hAnsi="Arial"/>
          <w:sz w:val="14"/>
          <w:szCs w:val="14"/>
          <w:color w:val="auto"/>
        </w:rPr>
        <w:t>. If Participant experiences a Termination of Service due to death or Disability, in either case, prior to the Determination Date, Participant will vest on the date of termination in a number of PSUs determined by multiplying (i) the Target Number of PSUs, by (ii) (A) the number of full calendar months that have elapsed during the Performance Period through and including the date of termination (not to exceed 36), divided by (B) 36. Partial months shall be rounded to the nearest whole calendar month for purposes of the numerator in this calculation (rounding up for any termination occurring after the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of the calendar month). If the calculation results in a fractional PSU, any fractional PSU will be rounded to the nearest whole PSU.</w:t>
      </w:r>
    </w:p>
    <w:p>
      <w:pPr>
        <w:spacing w:after="0" w:line="12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2"/>
          <w:szCs w:val="12"/>
          <w:u w:val="single" w:color="auto"/>
          <w:color w:val="auto"/>
        </w:rPr>
        <w:t>Settlement</w:t>
      </w:r>
      <w:r>
        <w:rPr>
          <w:rFonts w:ascii="Arial" w:cs="Arial" w:eastAsia="Arial" w:hAnsi="Arial"/>
          <w:sz w:val="12"/>
          <w:szCs w:val="12"/>
          <w:color w:val="auto"/>
        </w:rPr>
        <w:t>.</w:t>
      </w:r>
    </w:p>
    <w:p>
      <w:pPr>
        <w:spacing w:after="0" w:line="147" w:lineRule="exact"/>
        <w:rPr>
          <w:sz w:val="20"/>
          <w:szCs w:val="20"/>
          <w:color w:val="auto"/>
        </w:rPr>
      </w:pPr>
    </w:p>
    <w:p>
      <w:pPr>
        <w:jc w:val="both"/>
        <w:ind w:left="520" w:firstLine="503"/>
        <w:spacing w:after="0" w:line="206" w:lineRule="auto"/>
        <w:tabs>
          <w:tab w:leader="none" w:pos="15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PSUs that vest and are earned on the Determination Date will be paid in Shares as soon as administratively practicable after the Determination Date, and in no event after the earlier of (i) 90 days after the Determination Date or (ii) March 15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calendar year following the calendar year in which the Performance Period ends. PSUs that vest and are earned upon a Termination of Service due to death or Disability will be paid in Shares as soon as administratively practicable after the date of Termination of Service, and in any event within 60 days thereafter. PSUs that vest and are earned upon a Change in Control will be paid in Shares or cash, as the Administrator may determine, as soon as administratively practicable after the Change in Control, and in any event within 30 days thereafter.</w:t>
      </w:r>
    </w:p>
    <w:p>
      <w:pPr>
        <w:spacing w:after="0" w:line="128" w:lineRule="exact"/>
        <w:rPr>
          <w:rFonts w:ascii="Arial" w:cs="Arial" w:eastAsia="Arial" w:hAnsi="Arial"/>
          <w:sz w:val="14"/>
          <w:szCs w:val="14"/>
          <w:color w:val="auto"/>
        </w:rPr>
      </w:pPr>
    </w:p>
    <w:p>
      <w:pPr>
        <w:jc w:val="both"/>
        <w:ind w:left="520" w:firstLine="503"/>
        <w:spacing w:after="0" w:line="226" w:lineRule="auto"/>
        <w:tabs>
          <w:tab w:leader="none" w:pos="1534"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 (ii)); provided the Company reasonably believes the delay will not result in the imposition of excise taxes under Section 409A.</w:t>
      </w:r>
    </w:p>
    <w:p>
      <w:pPr>
        <w:spacing w:after="0" w:line="118"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Article III.</w:t>
      </w:r>
    </w:p>
    <w:p>
      <w:pPr>
        <w:ind w:left="4380"/>
        <w:spacing w:after="0"/>
        <w:rPr>
          <w:sz w:val="20"/>
          <w:szCs w:val="20"/>
          <w:color w:val="auto"/>
        </w:rPr>
      </w:pPr>
      <w:r>
        <w:rPr>
          <w:rFonts w:ascii="Arial" w:cs="Arial" w:eastAsia="Arial" w:hAnsi="Arial"/>
          <w:sz w:val="14"/>
          <w:szCs w:val="14"/>
          <w:b w:val="1"/>
          <w:bCs w:val="1"/>
          <w:color w:val="auto"/>
        </w:rPr>
        <w:t>TAXATION AND TAX WITHHOLDING</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Representation</w:t>
      </w:r>
      <w:r>
        <w:rPr>
          <w:rFonts w:ascii="Arial" w:cs="Arial" w:eastAsia="Arial" w:hAnsi="Arial"/>
          <w:sz w:val="13"/>
          <w:szCs w:val="13"/>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0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u w:val="single" w:color="auto"/>
          <w:color w:val="auto"/>
        </w:rPr>
        <w:t>Tax Withholding</w:t>
      </w:r>
      <w:r>
        <w:rPr>
          <w:rFonts w:ascii="Arial" w:cs="Arial" w:eastAsia="Arial" w:hAnsi="Arial"/>
          <w:sz w:val="13"/>
          <w:szCs w:val="13"/>
          <w:color w:val="auto"/>
        </w:rPr>
        <w:t>.</w:t>
      </w:r>
    </w:p>
    <w:p>
      <w:pPr>
        <w:spacing w:after="0" w:line="147" w:lineRule="exact"/>
        <w:rPr>
          <w:sz w:val="20"/>
          <w:szCs w:val="20"/>
          <w:color w:val="auto"/>
        </w:rPr>
      </w:pPr>
    </w:p>
    <w:p>
      <w:pPr>
        <w:jc w:val="both"/>
        <w:ind w:left="520" w:firstLine="503"/>
        <w:spacing w:after="0" w:line="238" w:lineRule="auto"/>
        <w:tabs>
          <w:tab w:leader="none" w:pos="1536" w:val="left"/>
        </w:tabs>
        <w:numPr>
          <w:ilvl w:val="0"/>
          <w:numId w:val="34"/>
        </w:numPr>
        <w:rPr>
          <w:rFonts w:ascii="Arial" w:cs="Arial" w:eastAsia="Arial" w:hAnsi="Arial"/>
          <w:sz w:val="13"/>
          <w:szCs w:val="13"/>
          <w:color w:val="auto"/>
        </w:rPr>
      </w:pPr>
      <w:r>
        <w:rPr>
          <w:rFonts w:ascii="Arial" w:cs="Arial" w:eastAsia="Arial" w:hAnsi="Arial"/>
          <w:sz w:val="13"/>
          <w:szCs w:val="13"/>
          <w:color w:val="auto"/>
        </w:rPr>
        <w:t>Unless the Administrator otherwise determines, the Company shall withhold, or cause to be withheld, Shares otherwise vesting or issuable under this Award (including the PSUs) in satisfaction of any applicable withholding tax obligations. The number of Shares which may be so withheld or surrendered shall be limited to the number of Shares which have a Fair Market Value on the date of withholding no greater than the aggregate amount of such liabilities based on the maximum individual statutory withholding rates in Participant’s applicable jurisdictions for federal, state, local and foreign income tax and payroll tax purposes that are applicable to such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137" w:right="319" w:bottom="1440" w:gutter="0" w:footer="0" w:header="0"/>
        </w:sectPr>
      </w:pPr>
    </w:p>
    <w:bookmarkStart w:id="165" w:name="page166"/>
    <w:bookmarkEnd w:id="165"/>
    <w:p>
      <w:pPr>
        <w:jc w:val="both"/>
        <w:ind w:left="520" w:firstLine="503"/>
        <w:spacing w:after="0" w:line="221" w:lineRule="auto"/>
        <w:tabs>
          <w:tab w:leader="none" w:pos="1534" w:val="left"/>
        </w:tabs>
        <w:numPr>
          <w:ilvl w:val="0"/>
          <w:numId w:val="35"/>
        </w:numPr>
        <w:rPr>
          <w:rFonts w:ascii="Arial" w:cs="Arial" w:eastAsia="Arial" w:hAnsi="Arial"/>
          <w:sz w:val="14"/>
          <w:szCs w:val="14"/>
          <w:color w:val="auto"/>
        </w:rPr>
      </w:pPr>
      <w:r>
        <w:rPr>
          <w:rFonts w:ascii="Arial" w:cs="Arial" w:eastAsia="Arial" w:hAnsi="Arial"/>
          <w:sz w:val="14"/>
          <w:szCs w:val="14"/>
          <w:color w:val="auto"/>
        </w:rPr>
        <w:t>Participant acknowledges that 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its Subsidiaries do not commit and are under no obligation to structure the PSUs to reduce or eliminate Participant’s tax liability.</w:t>
      </w:r>
    </w:p>
    <w:p>
      <w:pPr>
        <w:spacing w:after="0" w:line="117"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Article IV.</w:t>
      </w:r>
    </w:p>
    <w:p>
      <w:pPr>
        <w:ind w:left="4940"/>
        <w:spacing w:after="0"/>
        <w:rPr>
          <w:sz w:val="20"/>
          <w:szCs w:val="20"/>
          <w:color w:val="auto"/>
        </w:rPr>
      </w:pPr>
      <w:r>
        <w:rPr>
          <w:rFonts w:ascii="Arial" w:cs="Arial" w:eastAsia="Arial" w:hAnsi="Arial"/>
          <w:sz w:val="14"/>
          <w:szCs w:val="14"/>
          <w:b w:val="1"/>
          <w:bCs w:val="1"/>
          <w:color w:val="auto"/>
        </w:rPr>
        <w:t>OTHER PROVISIONS</w:t>
      </w:r>
    </w:p>
    <w:p>
      <w:pPr>
        <w:spacing w:after="0" w:line="13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Adjustments</w:t>
      </w:r>
      <w:r>
        <w:rPr>
          <w:rFonts w:ascii="Arial" w:cs="Arial" w:eastAsia="Arial" w:hAnsi="Arial"/>
          <w:sz w:val="14"/>
          <w:szCs w:val="14"/>
          <w:color w:val="auto"/>
        </w:rPr>
        <w:t>. Participant acknowledges that the PSUs and the Shares subject to the PSUs are subject to adjustment, modification and termination in certain events as provided in this Agreement and the Plan.</w:t>
      </w:r>
    </w:p>
    <w:p>
      <w:pPr>
        <w:spacing w:after="0" w:line="129" w:lineRule="exact"/>
        <w:rPr>
          <w:sz w:val="20"/>
          <w:szCs w:val="20"/>
          <w:color w:val="auto"/>
        </w:rPr>
      </w:pPr>
    </w:p>
    <w:p>
      <w:pPr>
        <w:jc w:val="both"/>
        <w:ind w:firstLine="509"/>
        <w:spacing w:after="0" w:line="232"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Notices</w:t>
      </w:r>
      <w:r>
        <w:rPr>
          <w:rFonts w:ascii="Arial" w:cs="Arial" w:eastAsia="Arial" w:hAnsi="Arial"/>
          <w:sz w:val="13"/>
          <w:szCs w:val="13"/>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30"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2"/>
          <w:szCs w:val="12"/>
          <w:u w:val="single" w:color="auto"/>
          <w:color w:val="auto"/>
        </w:rPr>
        <w:t>Titles</w:t>
      </w:r>
      <w:r>
        <w:rPr>
          <w:rFonts w:ascii="Arial" w:cs="Arial" w:eastAsia="Arial" w:hAnsi="Arial"/>
          <w:sz w:val="12"/>
          <w:szCs w:val="12"/>
          <w:color w:val="auto"/>
        </w:rPr>
        <w:t>. Titles are provided herein for convenience only and are not to serve as a basis for interpretation or construction of this Agreement.</w:t>
      </w:r>
    </w:p>
    <w:p>
      <w:pPr>
        <w:spacing w:after="0" w:line="14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Conformity to Securities Laws</w:t>
      </w:r>
      <w:r>
        <w:rPr>
          <w:rFonts w:ascii="Arial" w:cs="Arial" w:eastAsia="Arial" w:hAnsi="Arial"/>
          <w:sz w:val="14"/>
          <w:szCs w:val="14"/>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29"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 xml:space="preserve">1.5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29" w:lineRule="exact"/>
        <w:rPr>
          <w:sz w:val="20"/>
          <w:szCs w:val="20"/>
          <w:color w:val="auto"/>
        </w:rPr>
      </w:pPr>
    </w:p>
    <w:p>
      <w:pPr>
        <w:jc w:val="both"/>
        <w:ind w:firstLine="509"/>
        <w:spacing w:after="0" w:line="221" w:lineRule="auto"/>
        <w:rPr>
          <w:sz w:val="20"/>
          <w:szCs w:val="20"/>
          <w:color w:val="auto"/>
        </w:rPr>
      </w:pPr>
      <w:r>
        <w:rPr>
          <w:rFonts w:ascii="Arial" w:cs="Arial" w:eastAsia="Arial" w:hAnsi="Arial"/>
          <w:sz w:val="14"/>
          <w:szCs w:val="14"/>
          <w:color w:val="auto"/>
        </w:rPr>
        <w:t xml:space="preserve">1.6 </w:t>
      </w:r>
      <w:r>
        <w:rPr>
          <w:rFonts w:ascii="Arial" w:cs="Arial" w:eastAsia="Arial" w:hAnsi="Arial"/>
          <w:sz w:val="14"/>
          <w:szCs w:val="14"/>
          <w:u w:val="single" w:color="auto"/>
          <w:color w:val="auto"/>
        </w:rPr>
        <w:t>Limitations Applicable to Section 16 Persons</w:t>
      </w:r>
      <w:r>
        <w:rPr>
          <w:rFonts w:ascii="Arial" w:cs="Arial" w:eastAsia="Arial" w:hAnsi="Arial"/>
          <w:sz w:val="14"/>
          <w:szCs w:val="14"/>
          <w:color w:val="auto"/>
        </w:rPr>
        <w:t>. Notwithstanding any other provision of the Plan or this Agreement, if Participant is subject to Section 16 of the Exchange Act, the Plan, the Grant Notice, this Agreement and the PSUs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 xml:space="preserve">1.7 </w:t>
      </w:r>
      <w:r>
        <w:rPr>
          <w:rFonts w:ascii="Arial" w:cs="Arial" w:eastAsia="Arial" w:hAnsi="Arial"/>
          <w:sz w:val="14"/>
          <w:szCs w:val="14"/>
          <w:u w:val="single" w:color="auto"/>
          <w:color w:val="auto"/>
        </w:rPr>
        <w:t>Entire Agreement</w:t>
      </w:r>
      <w:r>
        <w:rPr>
          <w:rFonts w:ascii="Arial" w:cs="Arial" w:eastAsia="Arial" w:hAnsi="Arial"/>
          <w:sz w:val="14"/>
          <w:szCs w:val="14"/>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 xml:space="preserve">1.8 </w:t>
      </w:r>
      <w:r>
        <w:rPr>
          <w:rFonts w:ascii="Arial" w:cs="Arial" w:eastAsia="Arial" w:hAnsi="Arial"/>
          <w:sz w:val="14"/>
          <w:szCs w:val="14"/>
          <w:u w:val="single" w:color="auto"/>
          <w:color w:val="auto"/>
        </w:rPr>
        <w:t>Agreement Severable</w:t>
      </w:r>
      <w:r>
        <w:rPr>
          <w:rFonts w:ascii="Arial" w:cs="Arial" w:eastAsia="Arial" w:hAnsi="Arial"/>
          <w:sz w:val="14"/>
          <w:szCs w:val="14"/>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2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Limitation on Participant’s Rights</w:t>
      </w:r>
      <w:r>
        <w:rPr>
          <w:rFonts w:ascii="Arial" w:cs="Arial" w:eastAsia="Arial" w:hAnsi="Arial"/>
          <w:sz w:val="13"/>
          <w:szCs w:val="13"/>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PSUs, and rights no greater than the right to receive cash or the Shares as a general unsecured creditor with respect to the PSUs, as and when settled pursuant to the terms of this Agreement.</w:t>
      </w:r>
    </w:p>
    <w:p>
      <w:pPr>
        <w:spacing w:after="0" w:line="1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4"/>
          <w:szCs w:val="14"/>
          <w:color w:val="auto"/>
        </w:rPr>
        <w:t xml:space="preserve">1.10 </w:t>
      </w:r>
      <w:r>
        <w:rPr>
          <w:rFonts w:ascii="Arial" w:cs="Arial" w:eastAsia="Arial" w:hAnsi="Arial"/>
          <w:sz w:val="14"/>
          <w:szCs w:val="14"/>
          <w:u w:val="single" w:color="auto"/>
          <w:color w:val="auto"/>
        </w:rPr>
        <w:t>Not a Contract of Employment</w:t>
      </w:r>
      <w:r>
        <w:rPr>
          <w:rFonts w:ascii="Arial" w:cs="Arial" w:eastAsia="Arial" w:hAnsi="Arial"/>
          <w:sz w:val="14"/>
          <w:szCs w:val="14"/>
          <w:color w:val="auto"/>
        </w:rPr>
        <w:t>. Nothing in the Plan, the Grant Notice or this Agreement confers upon Participant any right to continue in the employ or service of the Company or any Subsidiary or interferes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137" w:right="319" w:bottom="1440" w:gutter="0" w:footer="0" w:header="0"/>
        </w:sectPr>
      </w:pPr>
    </w:p>
    <w:bookmarkStart w:id="166" w:name="page167"/>
    <w:bookmarkEnd w:id="166"/>
    <w:p>
      <w:pPr>
        <w:spacing w:after="0" w:line="236" w:lineRule="auto"/>
        <w:rPr>
          <w:sz w:val="20"/>
          <w:szCs w:val="20"/>
          <w:color w:val="auto"/>
        </w:rPr>
      </w:pPr>
      <w:r>
        <w:rPr>
          <w:rFonts w:ascii="Arial" w:cs="Arial" w:eastAsia="Arial" w:hAnsi="Arial"/>
          <w:sz w:val="14"/>
          <w:szCs w:val="14"/>
          <w:color w:val="auto"/>
        </w:rPr>
        <w:t>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29"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Counterparts</w:t>
      </w:r>
      <w:r>
        <w:rPr>
          <w:rFonts w:ascii="Arial" w:cs="Arial" w:eastAsia="Arial" w:hAnsi="Arial"/>
          <w:sz w:val="14"/>
          <w:szCs w:val="14"/>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29"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147" w:lineRule="exact"/>
        <w:rPr>
          <w:sz w:val="20"/>
          <w:szCs w:val="20"/>
          <w:color w:val="auto"/>
        </w:rPr>
      </w:pPr>
    </w:p>
    <w:p>
      <w:pPr>
        <w:jc w:val="both"/>
        <w:ind w:left="520" w:firstLine="503"/>
        <w:spacing w:after="0" w:line="234" w:lineRule="auto"/>
        <w:tabs>
          <w:tab w:leader="none" w:pos="1536"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This Agreement shall be interpreted in accordance with the requirements of Section 409A. Notwithstanding any provision of this Agreement, the Company may adopt such amendments to this Agreement or adopt other policies and procedures (including amendments, policies and procedures with retroactive effect), or take any other actions, that the Administrator determines are necessary or appropriate to avoid the imposition of taxes under Section 409A, provided, however, that this Section 4.12 shall not create an obligation on the part of the Company to adopt any such amendment, policy or procedure or take any such other action, nor shall the Company have any liability for failing to do so. To the extent that any payment window spans two calendar years, Participant shall have no discretion over or ability to control the actual year in which payment is made.</w:t>
      </w:r>
    </w:p>
    <w:p>
      <w:pPr>
        <w:spacing w:after="0" w:line="130" w:lineRule="exact"/>
        <w:rPr>
          <w:rFonts w:ascii="Arial" w:cs="Arial" w:eastAsia="Arial" w:hAnsi="Arial"/>
          <w:sz w:val="13"/>
          <w:szCs w:val="13"/>
          <w:color w:val="auto"/>
        </w:rPr>
      </w:pPr>
    </w:p>
    <w:p>
      <w:pPr>
        <w:jc w:val="both"/>
        <w:ind w:left="520" w:firstLine="503"/>
        <w:spacing w:after="0" w:line="216" w:lineRule="auto"/>
        <w:tabs>
          <w:tab w:leader="none" w:pos="153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Potential Six-Month Delay</w:t>
      </w:r>
      <w:r>
        <w:rPr>
          <w:rFonts w:ascii="Arial" w:cs="Arial" w:eastAsia="Arial" w:hAnsi="Arial"/>
          <w:sz w:val="14"/>
          <w:szCs w:val="14"/>
          <w:color w:val="auto"/>
        </w:rPr>
        <w:t>. Notwithstanding anything to the contrary in this Agreement, no amounts shall be paid to Participant under this Agreement during the six-month period following Participant’s “separation from service” to the extent that the Administrator determines that Participant is a “specified employee” (each within the meaning of Section 409A) at the time of such separation from service and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being subject to such additional taxes), the Company shall pay to Participant in a lump-sum all amounts that would have otherwise been payable to Participant during such six-month period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136" w:right="31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856615</wp:posOffset>
            </wp:positionV>
            <wp:extent cx="842010" cy="356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842010" cy="35687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MISSION PRODUCE, INC.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2710 Camino del Sol</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Oxnard, California 93030</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February 9, 2021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Joanne Wu</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[Address]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Dear Joanne,</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On behalf of Mission Produce, I am pleased to formally extend our offer of employment to you for the position of General Counsel, reporting to Stephen Barnard, Chief Executive Officer, with a start date of March 8, 2021. This offer is contingent on a successful background check. It is with great excitement to know you will exemplify our Core Values which are Fun, Innovative, Reliable, Successful and Trustworthy. The following outlines the terms of our offer:</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Compensation</w:t>
      </w:r>
    </w:p>
    <w:p>
      <w:pPr>
        <w:spacing w:after="0" w:line="193" w:lineRule="exact"/>
        <w:rPr>
          <w:sz w:val="20"/>
          <w:szCs w:val="20"/>
          <w:color w:val="auto"/>
        </w:rPr>
      </w:pPr>
    </w:p>
    <w:p>
      <w:pPr>
        <w:ind w:left="500" w:hanging="24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Your bi-weekly salary will be $13,462.00.00 ($350,012.00 annually) and will be paid in accordance with our bi-weekly payroll disbursement schedule.</w:t>
      </w:r>
    </w:p>
    <w:p>
      <w:pPr>
        <w:spacing w:after="0" w:line="72" w:lineRule="exact"/>
        <w:rPr>
          <w:rFonts w:ascii="Arial" w:cs="Arial" w:eastAsia="Arial" w:hAnsi="Arial"/>
          <w:sz w:val="14"/>
          <w:szCs w:val="14"/>
          <w:color w:val="auto"/>
        </w:rPr>
      </w:pPr>
    </w:p>
    <w:p>
      <w:pPr>
        <w:ind w:left="520" w:hanging="260"/>
        <w:spacing w:after="0" w:line="287" w:lineRule="auto"/>
        <w:tabs>
          <w:tab w:leader="none" w:pos="510" w:val="left"/>
        </w:tabs>
        <w:numPr>
          <w:ilvl w:val="0"/>
          <w:numId w:val="37"/>
        </w:numPr>
        <w:rPr>
          <w:rFonts w:ascii="Arial" w:cs="Arial" w:eastAsia="Arial" w:hAnsi="Arial"/>
          <w:sz w:val="13"/>
          <w:szCs w:val="13"/>
          <w:color w:val="auto"/>
        </w:rPr>
      </w:pPr>
      <w:r>
        <w:rPr>
          <w:rFonts w:ascii="Arial" w:cs="Arial" w:eastAsia="Arial" w:hAnsi="Arial"/>
          <w:sz w:val="13"/>
          <w:szCs w:val="13"/>
          <w:color w:val="auto"/>
        </w:rPr>
        <w:t>You will be eligible to participate in our performance-based incentive program for fiscal year 2021 which is payable after the completion of the 2021 fiscal year. Your target bonus is 75% of your base annual salary and actual payout amounts are based on company &amp; individual performance. The payout will be prorated to start calculating on January 1, 2021.</w:t>
      </w:r>
    </w:p>
    <w:p>
      <w:pPr>
        <w:spacing w:after="0" w:line="24" w:lineRule="exact"/>
        <w:rPr>
          <w:rFonts w:ascii="Arial" w:cs="Arial" w:eastAsia="Arial" w:hAnsi="Arial"/>
          <w:sz w:val="13"/>
          <w:szCs w:val="13"/>
          <w:color w:val="auto"/>
        </w:rPr>
      </w:pPr>
    </w:p>
    <w:p>
      <w:pPr>
        <w:ind w:left="500" w:hanging="24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You will receive a biweekly car allowance of $881.00 ($22,906.00 annually).</w:t>
      </w:r>
    </w:p>
    <w:p>
      <w:pPr>
        <w:spacing w:after="0" w:line="72" w:lineRule="exact"/>
        <w:rPr>
          <w:rFonts w:ascii="Arial" w:cs="Arial" w:eastAsia="Arial" w:hAnsi="Arial"/>
          <w:sz w:val="14"/>
          <w:szCs w:val="14"/>
          <w:color w:val="auto"/>
        </w:rPr>
      </w:pPr>
    </w:p>
    <w:p>
      <w:pPr>
        <w:ind w:left="520" w:hanging="260"/>
        <w:spacing w:after="0" w:line="249" w:lineRule="auto"/>
        <w:tabs>
          <w:tab w:leader="none" w:pos="510" w:val="left"/>
        </w:tabs>
        <w:numPr>
          <w:ilvl w:val="0"/>
          <w:numId w:val="37"/>
        </w:numPr>
        <w:rPr>
          <w:rFonts w:ascii="Arial" w:cs="Arial" w:eastAsia="Arial" w:hAnsi="Arial"/>
          <w:sz w:val="14"/>
          <w:szCs w:val="14"/>
          <w:color w:val="auto"/>
        </w:rPr>
      </w:pPr>
      <w:r>
        <w:rPr>
          <w:rFonts w:ascii="Arial" w:cs="Arial" w:eastAsia="Arial" w:hAnsi="Arial"/>
          <w:sz w:val="14"/>
          <w:szCs w:val="14"/>
          <w:color w:val="auto"/>
        </w:rPr>
        <w:t>You will receive Restricted Stock Units (RSU) in the amount of $160,000.00, with a four year vesting period. Grant price will be based on the twenty day trailing average from start date. You will be eligible for the annual RSU grants at year-end.</w:t>
      </w:r>
    </w:p>
    <w:p>
      <w:pPr>
        <w:spacing w:after="0" w:line="47" w:lineRule="exact"/>
        <w:rPr>
          <w:rFonts w:ascii="Arial" w:cs="Arial" w:eastAsia="Arial" w:hAnsi="Arial"/>
          <w:sz w:val="14"/>
          <w:szCs w:val="14"/>
          <w:color w:val="auto"/>
        </w:rPr>
      </w:pPr>
    </w:p>
    <w:p>
      <w:pPr>
        <w:ind w:left="520" w:hanging="260"/>
        <w:spacing w:after="0" w:line="249" w:lineRule="auto"/>
        <w:tabs>
          <w:tab w:leader="none" w:pos="510" w:val="left"/>
        </w:tabs>
        <w:numPr>
          <w:ilvl w:val="0"/>
          <w:numId w:val="37"/>
        </w:numPr>
        <w:rPr>
          <w:rFonts w:ascii="Arial" w:cs="Arial" w:eastAsia="Arial" w:hAnsi="Arial"/>
          <w:sz w:val="14"/>
          <w:szCs w:val="14"/>
          <w:color w:val="auto"/>
        </w:rPr>
      </w:pPr>
      <w:r>
        <w:rPr>
          <w:rFonts w:ascii="Arial" w:cs="Arial" w:eastAsia="Arial" w:hAnsi="Arial"/>
          <w:sz w:val="14"/>
          <w:szCs w:val="14"/>
          <w:color w:val="auto"/>
        </w:rPr>
        <w:t>Your position includes relocation benefits. The company views relocation as part of your responsibility as an employee of the company. You will receive a relocation allowance check in the amount of $10,000.00 (net) with your first payroll following your hire date.</w:t>
      </w:r>
    </w:p>
    <w:p>
      <w:pPr>
        <w:spacing w:after="0" w:line="47" w:lineRule="exact"/>
        <w:rPr>
          <w:rFonts w:ascii="Arial" w:cs="Arial" w:eastAsia="Arial" w:hAnsi="Arial"/>
          <w:sz w:val="14"/>
          <w:szCs w:val="14"/>
          <w:color w:val="auto"/>
        </w:rPr>
      </w:pPr>
    </w:p>
    <w:p>
      <w:pPr>
        <w:ind w:left="500" w:hanging="24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Mission Produce will pay you and your family’s medical, dental and vision premiums at 100%. Our current healthcare provider is through Anthem Blue Cross.</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If you elect our premium PPO $0 deductible medical plan, the annual premium is</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$7,832.16</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and Spouse: $17,230.80</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and Family: $23,396.88</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If you elect our Enhanced PPO Dental plan, the annual premium is</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$303.36</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and Spouse: $600.72</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Employee and Family: $1,077.48</w:t>
      </w:r>
    </w:p>
    <w:p>
      <w:pPr>
        <w:spacing w:after="0" w:line="72" w:lineRule="exact"/>
        <w:rPr>
          <w:rFonts w:ascii="Arial" w:cs="Arial" w:eastAsia="Arial" w:hAnsi="Arial"/>
          <w:sz w:val="14"/>
          <w:szCs w:val="14"/>
          <w:color w:val="auto"/>
        </w:rPr>
      </w:pPr>
    </w:p>
    <w:p>
      <w:pPr>
        <w:ind w:left="1020" w:hanging="251"/>
        <w:spacing w:after="0"/>
        <w:tabs>
          <w:tab w:leader="none" w:pos="1020" w:val="left"/>
        </w:tabs>
        <w:numPr>
          <w:ilvl w:val="1"/>
          <w:numId w:val="37"/>
        </w:numPr>
        <w:rPr>
          <w:rFonts w:ascii="Arial" w:cs="Arial" w:eastAsia="Arial" w:hAnsi="Arial"/>
          <w:sz w:val="14"/>
          <w:szCs w:val="14"/>
          <w:color w:val="auto"/>
        </w:rPr>
      </w:pPr>
      <w:r>
        <w:rPr>
          <w:rFonts w:ascii="Arial" w:cs="Arial" w:eastAsia="Arial" w:hAnsi="Arial"/>
          <w:sz w:val="14"/>
          <w:szCs w:val="14"/>
          <w:color w:val="auto"/>
        </w:rPr>
        <w:t>If you elect our Blue Vision plan, the annual premium is</w:t>
      </w:r>
    </w:p>
    <w:p>
      <w:pPr>
        <w:sectPr>
          <w:pgSz w:w="11900" w:h="16838" w:orient="portrait"/>
          <w:cols w:equalWidth="0" w:num="1">
            <w:col w:w="11280"/>
          </w:cols>
          <w:pgMar w:left="300" w:top="1440" w:right="319" w:bottom="1440" w:gutter="0" w:footer="0" w:header="0"/>
        </w:sectPr>
      </w:pPr>
    </w:p>
    <w:bookmarkStart w:id="168" w:name="page169"/>
    <w:bookmarkEnd w:id="168"/>
    <w:p>
      <w:pPr>
        <w:ind w:left="1520" w:hanging="242"/>
        <w:spacing w:after="0"/>
        <w:tabs>
          <w:tab w:leader="none" w:pos="1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Employee: $51.12</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Employee and Spouse: $87.00</w:t>
      </w:r>
    </w:p>
    <w:p>
      <w:pPr>
        <w:spacing w:after="0" w:line="72" w:lineRule="exact"/>
        <w:rPr>
          <w:rFonts w:ascii="Arial" w:cs="Arial" w:eastAsia="Arial" w:hAnsi="Arial"/>
          <w:sz w:val="14"/>
          <w:szCs w:val="14"/>
          <w:color w:val="auto"/>
        </w:rPr>
      </w:pPr>
    </w:p>
    <w:p>
      <w:pPr>
        <w:ind w:left="1520" w:hanging="242"/>
        <w:spacing w:after="0"/>
        <w:tabs>
          <w:tab w:leader="none" w:pos="1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Employee and Family: $138.12</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Benefits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As a full time employee, you are entitled to the following company provided benefits:</w:t>
      </w:r>
    </w:p>
    <w:p>
      <w:pPr>
        <w:spacing w:after="0" w:line="179" w:lineRule="exact"/>
        <w:rPr>
          <w:sz w:val="20"/>
          <w:szCs w:val="20"/>
          <w:color w:val="auto"/>
        </w:rPr>
      </w:pPr>
    </w:p>
    <w:p>
      <w:pPr>
        <w:ind w:left="520" w:hanging="260"/>
        <w:spacing w:after="0" w:line="249" w:lineRule="auto"/>
        <w:tabs>
          <w:tab w:leader="none" w:pos="513"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will earn and accrue 6.77 hours per pay period beginning with your first day of employment. You are eligible to accrue up to 176 total hours or 22 days and a maximum accrual of 352 hours or 44 days. PTO time will be available and may be used in accordance with the terms of the Company’s PTO policy.</w:t>
      </w:r>
    </w:p>
    <w:p>
      <w:pPr>
        <w:spacing w:after="0" w:line="47" w:lineRule="exact"/>
        <w:rPr>
          <w:rFonts w:ascii="Arial" w:cs="Arial" w:eastAsia="Arial" w:hAnsi="Arial"/>
          <w:sz w:val="14"/>
          <w:szCs w:val="14"/>
          <w:color w:val="auto"/>
        </w:rPr>
      </w:pPr>
    </w:p>
    <w:p>
      <w:pPr>
        <w:ind w:left="520" w:hanging="260"/>
        <w:spacing w:after="0" w:line="249" w:lineRule="auto"/>
        <w:tabs>
          <w:tab w:leader="none" w:pos="510"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will be eligible to enroll for medical, dental, vision, and flexible spending plan effective on April 1, 2021 (first of the month following date of hire). Our current healthcare provider is through Anthem Blue Cross.</w:t>
      </w:r>
    </w:p>
    <w:p>
      <w:pPr>
        <w:spacing w:after="0" w:line="47" w:lineRule="exact"/>
        <w:rPr>
          <w:rFonts w:ascii="Arial" w:cs="Arial" w:eastAsia="Arial" w:hAnsi="Arial"/>
          <w:sz w:val="14"/>
          <w:szCs w:val="14"/>
          <w:color w:val="auto"/>
        </w:rPr>
      </w:pPr>
    </w:p>
    <w:p>
      <w:pPr>
        <w:ind w:left="520" w:hanging="260"/>
        <w:spacing w:after="0" w:line="249" w:lineRule="auto"/>
        <w:tabs>
          <w:tab w:leader="none" w:pos="513"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will be eligible for our Company Sponsored Plans: Life and AD &amp; D insurance at 1.5 times your Basic Annual Earnings and Long-Term Disability with a monthly benefits equaling to 60% of monthly pre-disability pay, to a maximum of $6,000.00 per month.</w:t>
      </w:r>
    </w:p>
    <w:p>
      <w:pPr>
        <w:spacing w:after="0" w:line="47" w:lineRule="exact"/>
        <w:rPr>
          <w:rFonts w:ascii="Arial" w:cs="Arial" w:eastAsia="Arial" w:hAnsi="Arial"/>
          <w:sz w:val="14"/>
          <w:szCs w:val="14"/>
          <w:color w:val="auto"/>
        </w:rPr>
      </w:pPr>
    </w:p>
    <w:p>
      <w:pPr>
        <w:ind w:left="520" w:hanging="260"/>
        <w:spacing w:after="0" w:line="249" w:lineRule="auto"/>
        <w:tabs>
          <w:tab w:leader="none" w:pos="510"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will be eligible to participate in the Company’s 401(k) Plan through Fidelity Investment on July 1, 2021. We match 100% of the first 3% in eligible compensation deferred and 50% of the next 2% in eligible compensation deferred. You are 100% vested immediately on the employer match.</w:t>
      </w:r>
    </w:p>
    <w:p>
      <w:pPr>
        <w:spacing w:after="0" w:line="58" w:lineRule="exact"/>
        <w:rPr>
          <w:rFonts w:ascii="Arial" w:cs="Arial" w:eastAsia="Arial" w:hAnsi="Arial"/>
          <w:sz w:val="14"/>
          <w:szCs w:val="14"/>
          <w:color w:val="auto"/>
        </w:rPr>
      </w:pPr>
    </w:p>
    <w:p>
      <w:pPr>
        <w:ind w:left="520" w:hanging="260"/>
        <w:spacing w:after="0" w:line="304" w:lineRule="auto"/>
        <w:tabs>
          <w:tab w:leader="none" w:pos="513" w:val="left"/>
        </w:tabs>
        <w:numPr>
          <w:ilvl w:val="0"/>
          <w:numId w:val="39"/>
        </w:numPr>
        <w:rPr>
          <w:rFonts w:ascii="Arial" w:cs="Arial" w:eastAsia="Arial" w:hAnsi="Arial"/>
          <w:sz w:val="13"/>
          <w:szCs w:val="13"/>
          <w:color w:val="auto"/>
        </w:rPr>
      </w:pPr>
      <w:r>
        <w:rPr>
          <w:rFonts w:ascii="Arial" w:cs="Arial" w:eastAsia="Arial" w:hAnsi="Arial"/>
          <w:sz w:val="13"/>
          <w:szCs w:val="13"/>
          <w:color w:val="auto"/>
        </w:rPr>
        <w:t>You will be eligible for our Company’s Deferred Compensation Plan through Lockton. This exclusive plan provides an opportunity to defer salary and/or incentive compensation on a pretax basis to assist with your personal tax planning and funding of future retirement income. You will be eligible to enroll the first of the month following 30 days of employment.</w:t>
      </w:r>
    </w:p>
    <w:p>
      <w:pPr>
        <w:spacing w:after="0" w:line="24" w:lineRule="exact"/>
        <w:rPr>
          <w:rFonts w:ascii="Arial" w:cs="Arial" w:eastAsia="Arial" w:hAnsi="Arial"/>
          <w:sz w:val="13"/>
          <w:szCs w:val="13"/>
          <w:color w:val="auto"/>
        </w:rPr>
      </w:pPr>
    </w:p>
    <w:p>
      <w:pPr>
        <w:ind w:left="1020" w:hanging="251"/>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You can elect up to a maximum of 90% of your base salary.</w:t>
      </w:r>
    </w:p>
    <w:p>
      <w:pPr>
        <w:spacing w:after="0" w:line="83" w:lineRule="exact"/>
        <w:rPr>
          <w:rFonts w:ascii="Arial" w:cs="Arial" w:eastAsia="Arial" w:hAnsi="Arial"/>
          <w:sz w:val="14"/>
          <w:szCs w:val="14"/>
          <w:color w:val="auto"/>
        </w:rPr>
      </w:pPr>
    </w:p>
    <w:p>
      <w:pPr>
        <w:ind w:left="1020" w:hanging="251"/>
        <w:spacing w:after="0"/>
        <w:tabs>
          <w:tab w:leader="none" w:pos="1020" w:val="left"/>
        </w:tabs>
        <w:numPr>
          <w:ilvl w:val="1"/>
          <w:numId w:val="39"/>
        </w:numPr>
        <w:rPr>
          <w:rFonts w:ascii="Arial" w:cs="Arial" w:eastAsia="Arial" w:hAnsi="Arial"/>
          <w:sz w:val="14"/>
          <w:szCs w:val="14"/>
          <w:color w:val="auto"/>
        </w:rPr>
      </w:pPr>
      <w:r>
        <w:rPr>
          <w:rFonts w:ascii="Arial" w:cs="Arial" w:eastAsia="Arial" w:hAnsi="Arial"/>
          <w:sz w:val="14"/>
          <w:szCs w:val="14"/>
          <w:color w:val="auto"/>
        </w:rPr>
        <w:t>You can elect 10% to 100% of your annual bonus.</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You are eligible for (6) paid holidays and ½ day on Christmas Eve and New Year’s Eve.</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Neither the policies nor practices described in this document, nor the document itself, create an express or implied contract of employment or any other contractual commitment. Mission Produce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may modify the terms outlined herein at its sole discretion without notice, at any time, consistent with applicable law.</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Employment with Mission Produce, Inc. is on an at-will basis, which means that either you or the company may terminate the employment relationship at any time for any or no reason, consistent with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We believe you will find our environment to be challenging, stimulating, and rewarding. Please sign and return the offer within five (5) business days. This offer of employment will lapse at that time.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Upon execution, please return the signed letter by one of the following options:</w:t>
      </w:r>
    </w:p>
    <w:p>
      <w:pPr>
        <w:spacing w:after="0" w:line="178" w:lineRule="exact"/>
        <w:rPr>
          <w:sz w:val="20"/>
          <w:szCs w:val="20"/>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Fax a signed copy to Rachel Rivas at (805) 228-4720.</w:t>
      </w: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Scan and email the signed copy to rrivas@missionproduce.com</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After receiving your signed offer letter, Jenna Colitti, will contact you directly to provide you a schedule of your first day of new hire orientation and indoctrination into the Mission Produce team.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 am confident that you will undoubtedly be instrumental to our business. I look forward to working with you in this new capacity. Please feel free to contact me directly if you have questions.</w:t>
      </w:r>
    </w:p>
    <w:p>
      <w:pPr>
        <w:sectPr>
          <w:pgSz w:w="11900" w:h="16838" w:orient="portrait"/>
          <w:cols w:equalWidth="0" w:num="1">
            <w:col w:w="11280"/>
          </w:cols>
          <w:pgMar w:left="300" w:top="1137"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Rachel Rivas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286321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Rachel Rivas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Director of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7188835" cy="5791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88835" cy="57912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0" w:right="40"/>
        <w:spacing w:after="0" w:line="287" w:lineRule="auto"/>
        <w:rPr>
          <w:sz w:val="20"/>
          <w:szCs w:val="20"/>
          <w:color w:val="auto"/>
        </w:rPr>
      </w:pPr>
      <w:r>
        <w:rPr>
          <w:rFonts w:ascii="Arial" w:cs="Arial" w:eastAsia="Arial" w:hAnsi="Arial"/>
          <w:sz w:val="14"/>
          <w:szCs w:val="14"/>
          <w:b w:val="1"/>
          <w:bCs w:val="1"/>
          <w:color w:val="auto"/>
        </w:rPr>
        <w:t>I acknowledge receipt of this offer. I have read and understand the conditions of employment. By signing below, I have agreed and accepted the terms and conditions of your offer as stated above.</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7500" w:type="dxa"/>
            <w:vAlign w:val="bottom"/>
            <w:gridSpan w:val="2"/>
          </w:tcPr>
          <w:p>
            <w:pPr>
              <w:jc w:val="right"/>
              <w:ind w:right="6680"/>
              <w:spacing w:after="0"/>
              <w:rPr>
                <w:sz w:val="20"/>
                <w:szCs w:val="20"/>
                <w:color w:val="auto"/>
              </w:rPr>
            </w:pPr>
            <w:r>
              <w:rPr>
                <w:rFonts w:ascii="Arial" w:cs="Arial" w:eastAsia="Arial" w:hAnsi="Arial"/>
                <w:sz w:val="14"/>
                <w:szCs w:val="14"/>
                <w:color w:val="auto"/>
                <w:w w:val="89"/>
              </w:rPr>
              <w:t>/s/ Joanne Wu</w:t>
            </w:r>
          </w:p>
        </w:tc>
        <w:tc>
          <w:tcPr>
            <w:tcW w:w="3760" w:type="dxa"/>
            <w:vAlign w:val="bottom"/>
          </w:tcPr>
          <w:p>
            <w:pPr>
              <w:ind w:left="20"/>
              <w:spacing w:after="0"/>
              <w:rPr>
                <w:sz w:val="20"/>
                <w:szCs w:val="20"/>
                <w:color w:val="auto"/>
              </w:rPr>
            </w:pPr>
            <w:r>
              <w:rPr>
                <w:rFonts w:ascii="Arial" w:cs="Arial" w:eastAsia="Arial" w:hAnsi="Arial"/>
                <w:sz w:val="14"/>
                <w:szCs w:val="14"/>
                <w:color w:val="auto"/>
              </w:rPr>
              <w:t>03/8/2021</w:t>
            </w:r>
          </w:p>
        </w:tc>
      </w:tr>
      <w:tr>
        <w:trPr>
          <w:trHeight w:val="171"/>
        </w:trPr>
        <w:tc>
          <w:tcPr>
            <w:tcW w:w="5200" w:type="dxa"/>
            <w:vAlign w:val="bottom"/>
            <w:tcBorders>
              <w:top w:val="single" w:sz="8" w:color="auto"/>
            </w:tcBorders>
          </w:tcPr>
          <w:p>
            <w:pPr>
              <w:jc w:val="right"/>
              <w:ind w:right="4309"/>
              <w:spacing w:after="0"/>
              <w:rPr>
                <w:sz w:val="20"/>
                <w:szCs w:val="20"/>
                <w:color w:val="auto"/>
              </w:rPr>
            </w:pPr>
            <w:r>
              <w:rPr>
                <w:rFonts w:ascii="Arial" w:cs="Arial" w:eastAsia="Arial" w:hAnsi="Arial"/>
                <w:sz w:val="14"/>
                <w:szCs w:val="14"/>
                <w:color w:val="auto"/>
              </w:rPr>
              <w:t>Joanne Wu</w:t>
            </w:r>
          </w:p>
        </w:tc>
        <w:tc>
          <w:tcPr>
            <w:tcW w:w="2300" w:type="dxa"/>
            <w:vAlign w:val="bottom"/>
          </w:tcPr>
          <w:p>
            <w:pPr>
              <w:spacing w:after="0"/>
              <w:rPr>
                <w:sz w:val="14"/>
                <w:szCs w:val="14"/>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r>
    </w:tbl>
    <w:p>
      <w:pPr>
        <w:sectPr>
          <w:pgSz w:w="11900" w:h="16838" w:orient="portrait"/>
          <w:cols w:equalWidth="0" w:num="1">
            <w:col w:w="11280"/>
          </w:cols>
          <w:pgMar w:left="300" w:top="1148" w:right="3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9"/>
          <w:szCs w:val="19"/>
          <w:b w:val="1"/>
          <w:bCs w:val="1"/>
          <w:color w:val="232F84"/>
        </w:rPr>
        <w:t>LIST OF SUBSIDIARIES OF THE REGISTRANT</w:t>
      </w:r>
    </w:p>
    <w:p>
      <w:pPr>
        <w:spacing w:after="0" w:line="229"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3100" w:type="dxa"/>
            <w:vAlign w:val="bottom"/>
            <w:shd w:val="clear" w:color="auto" w:fill="232F84"/>
          </w:tcPr>
          <w:p>
            <w:pPr>
              <w:spacing w:after="0"/>
              <w:rPr>
                <w:sz w:val="20"/>
                <w:szCs w:val="20"/>
                <w:color w:val="auto"/>
              </w:rPr>
            </w:pPr>
            <w:r>
              <w:rPr>
                <w:rFonts w:ascii="Arial" w:cs="Arial" w:eastAsia="Arial" w:hAnsi="Arial"/>
                <w:sz w:val="11"/>
                <w:szCs w:val="11"/>
                <w:b w:val="1"/>
                <w:bCs w:val="1"/>
                <w:color w:val="FFFFFF"/>
              </w:rPr>
              <w:t>Subsidiary</w:t>
            </w:r>
          </w:p>
        </w:tc>
        <w:tc>
          <w:tcPr>
            <w:tcW w:w="3100" w:type="dxa"/>
            <w:vAlign w:val="bottom"/>
            <w:shd w:val="clear" w:color="auto" w:fill="232F84"/>
          </w:tcPr>
          <w:p>
            <w:pPr>
              <w:ind w:left="800"/>
              <w:spacing w:after="0"/>
              <w:rPr>
                <w:sz w:val="20"/>
                <w:szCs w:val="20"/>
                <w:color w:val="auto"/>
              </w:rPr>
            </w:pPr>
            <w:r>
              <w:rPr>
                <w:rFonts w:ascii="Arial" w:cs="Arial" w:eastAsia="Arial" w:hAnsi="Arial"/>
                <w:sz w:val="11"/>
                <w:szCs w:val="11"/>
                <w:b w:val="1"/>
                <w:bCs w:val="1"/>
                <w:color w:val="FFFFFF"/>
              </w:rPr>
              <w:t>Registered Jurisdiction</w:t>
            </w:r>
          </w:p>
        </w:tc>
      </w:tr>
      <w:tr>
        <w:trPr>
          <w:trHeight w:val="170"/>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Advanced Production Management LLC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Arato Peru S.A.</w:t>
            </w:r>
          </w:p>
        </w:tc>
        <w:tc>
          <w:tcPr>
            <w:tcW w:w="3100" w:type="dxa"/>
            <w:vAlign w:val="bottom"/>
          </w:tcPr>
          <w:p>
            <w:pPr>
              <w:ind w:left="800"/>
              <w:spacing w:after="0"/>
              <w:rPr>
                <w:sz w:val="20"/>
                <w:szCs w:val="20"/>
                <w:color w:val="auto"/>
              </w:rPr>
            </w:pPr>
            <w:r>
              <w:rPr>
                <w:rFonts w:ascii="Arial" w:cs="Arial" w:eastAsia="Arial" w:hAnsi="Arial"/>
                <w:sz w:val="11"/>
                <w:szCs w:val="11"/>
                <w:color w:val="auto"/>
              </w:rPr>
              <w:t>Peru</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Avocado Packing Company S.A.C.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Peru</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Beggie Peru S.A.</w:t>
            </w:r>
          </w:p>
        </w:tc>
        <w:tc>
          <w:tcPr>
            <w:tcW w:w="3100" w:type="dxa"/>
            <w:vAlign w:val="bottom"/>
          </w:tcPr>
          <w:p>
            <w:pPr>
              <w:ind w:left="800"/>
              <w:spacing w:after="0"/>
              <w:rPr>
                <w:sz w:val="20"/>
                <w:szCs w:val="20"/>
                <w:color w:val="auto"/>
              </w:rPr>
            </w:pPr>
            <w:r>
              <w:rPr>
                <w:rFonts w:ascii="Arial" w:cs="Arial" w:eastAsia="Arial" w:hAnsi="Arial"/>
                <w:sz w:val="11"/>
                <w:szCs w:val="11"/>
                <w:color w:val="auto"/>
              </w:rPr>
              <w:t>Peru</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Blueberries Peru S.A.C.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Peru</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Copaltas S.A.S.</w:t>
            </w:r>
          </w:p>
        </w:tc>
        <w:tc>
          <w:tcPr>
            <w:tcW w:w="3100" w:type="dxa"/>
            <w:vAlign w:val="bottom"/>
          </w:tcPr>
          <w:p>
            <w:pPr>
              <w:ind w:left="800"/>
              <w:spacing w:after="0"/>
              <w:rPr>
                <w:sz w:val="20"/>
                <w:szCs w:val="20"/>
                <w:color w:val="auto"/>
              </w:rPr>
            </w:pPr>
            <w:r>
              <w:rPr>
                <w:rFonts w:ascii="Arial" w:cs="Arial" w:eastAsia="Arial" w:hAnsi="Arial"/>
                <w:sz w:val="11"/>
                <w:szCs w:val="11"/>
                <w:color w:val="auto"/>
              </w:rPr>
              <w:t>Colombia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Grupo Arato Holding S.A.C.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Peru</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Guatemala Avocados S.A.</w:t>
            </w:r>
          </w:p>
        </w:tc>
        <w:tc>
          <w:tcPr>
            <w:tcW w:w="3100" w:type="dxa"/>
            <w:vAlign w:val="bottom"/>
          </w:tcPr>
          <w:p>
            <w:pPr>
              <w:ind w:left="800"/>
              <w:spacing w:after="0"/>
              <w:rPr>
                <w:sz w:val="20"/>
                <w:szCs w:val="20"/>
                <w:color w:val="auto"/>
              </w:rPr>
            </w:pPr>
            <w:r>
              <w:rPr>
                <w:rFonts w:ascii="Arial" w:cs="Arial" w:eastAsia="Arial" w:hAnsi="Arial"/>
                <w:sz w:val="11"/>
                <w:szCs w:val="11"/>
                <w:color w:val="auto"/>
              </w:rPr>
              <w:t>Guatemala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Henry Avocado Corporation</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Inversiones Agricolas Olmos II S.A.C.</w:t>
            </w:r>
          </w:p>
        </w:tc>
        <w:tc>
          <w:tcPr>
            <w:tcW w:w="3100" w:type="dxa"/>
            <w:vAlign w:val="bottom"/>
          </w:tcPr>
          <w:p>
            <w:pPr>
              <w:ind w:left="800"/>
              <w:spacing w:after="0"/>
              <w:rPr>
                <w:sz w:val="20"/>
                <w:szCs w:val="20"/>
                <w:color w:val="auto"/>
              </w:rPr>
            </w:pPr>
            <w:r>
              <w:rPr>
                <w:rFonts w:ascii="Arial" w:cs="Arial" w:eastAsia="Arial" w:hAnsi="Arial"/>
                <w:sz w:val="11"/>
                <w:szCs w:val="11"/>
                <w:color w:val="auto"/>
              </w:rPr>
              <w:t>Peru</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Inversiones Agricolas Olmos S.A.C.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Peru</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Aguacates, Limitada</w:t>
            </w:r>
          </w:p>
        </w:tc>
        <w:tc>
          <w:tcPr>
            <w:tcW w:w="3100" w:type="dxa"/>
            <w:vAlign w:val="bottom"/>
          </w:tcPr>
          <w:p>
            <w:pPr>
              <w:ind w:left="800"/>
              <w:spacing w:after="0"/>
              <w:rPr>
                <w:sz w:val="20"/>
                <w:szCs w:val="20"/>
                <w:color w:val="auto"/>
              </w:rPr>
            </w:pPr>
            <w:r>
              <w:rPr>
                <w:rFonts w:ascii="Arial" w:cs="Arial" w:eastAsia="Arial" w:hAnsi="Arial"/>
                <w:sz w:val="11"/>
                <w:szCs w:val="11"/>
                <w:color w:val="auto"/>
              </w:rPr>
              <w:t>Guatemala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Mission Canada Ltd.</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Canada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de Mexico, S.A. de C.V.</w:t>
            </w:r>
          </w:p>
        </w:tc>
        <w:tc>
          <w:tcPr>
            <w:tcW w:w="3100" w:type="dxa"/>
            <w:vAlign w:val="bottom"/>
          </w:tcPr>
          <w:p>
            <w:pPr>
              <w:ind w:left="800"/>
              <w:spacing w:after="0"/>
              <w:rPr>
                <w:sz w:val="20"/>
                <w:szCs w:val="20"/>
                <w:color w:val="auto"/>
              </w:rPr>
            </w:pPr>
            <w:r>
              <w:rPr>
                <w:rFonts w:ascii="Arial" w:cs="Arial" w:eastAsia="Arial" w:hAnsi="Arial"/>
                <w:sz w:val="11"/>
                <w:szCs w:val="11"/>
                <w:color w:val="auto"/>
              </w:rPr>
              <w:t>Mexico</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Mission Inversiones Agricolas Guatemala S.A.</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Guatemala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Produce Asia Limited</w:t>
            </w:r>
          </w:p>
        </w:tc>
        <w:tc>
          <w:tcPr>
            <w:tcW w:w="3100" w:type="dxa"/>
            <w:vAlign w:val="bottom"/>
          </w:tcPr>
          <w:p>
            <w:pPr>
              <w:ind w:left="800"/>
              <w:spacing w:after="0"/>
              <w:rPr>
                <w:sz w:val="20"/>
                <w:szCs w:val="20"/>
                <w:color w:val="auto"/>
              </w:rPr>
            </w:pPr>
            <w:r>
              <w:rPr>
                <w:rFonts w:ascii="Arial" w:cs="Arial" w:eastAsia="Arial" w:hAnsi="Arial"/>
                <w:sz w:val="11"/>
                <w:szCs w:val="11"/>
                <w:color w:val="auto"/>
              </w:rPr>
              <w:t>Hong Kong</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Mission Produce Chile SpA</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Chile</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Produce Europe BV</w:t>
            </w:r>
          </w:p>
        </w:tc>
        <w:tc>
          <w:tcPr>
            <w:tcW w:w="3100" w:type="dxa"/>
            <w:vAlign w:val="bottom"/>
          </w:tcPr>
          <w:p>
            <w:pPr>
              <w:ind w:left="800"/>
              <w:spacing w:after="0"/>
              <w:rPr>
                <w:sz w:val="20"/>
                <w:szCs w:val="20"/>
                <w:color w:val="auto"/>
              </w:rPr>
            </w:pPr>
            <w:r>
              <w:rPr>
                <w:rFonts w:ascii="Arial" w:cs="Arial" w:eastAsia="Arial" w:hAnsi="Arial"/>
                <w:sz w:val="11"/>
                <w:szCs w:val="11"/>
                <w:color w:val="auto"/>
              </w:rPr>
              <w:t>Netherlands</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Mission Produce Foundation</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Produce Logistics, LLC</w:t>
            </w:r>
          </w:p>
        </w:tc>
        <w:tc>
          <w:tcPr>
            <w:tcW w:w="3100" w:type="dxa"/>
            <w:vAlign w:val="bottom"/>
          </w:tcPr>
          <w:p>
            <w:pPr>
              <w:ind w:left="800"/>
              <w:spacing w:after="0"/>
              <w:rPr>
                <w:sz w:val="20"/>
                <w:szCs w:val="20"/>
                <w:color w:val="auto"/>
              </w:rPr>
            </w:pPr>
            <w:r>
              <w:rPr>
                <w:rFonts w:ascii="Arial" w:cs="Arial" w:eastAsia="Arial" w:hAnsi="Arial"/>
                <w:sz w:val="11"/>
                <w:szCs w:val="11"/>
                <w:color w:val="auto"/>
              </w:rPr>
              <w:t>California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Mission Produce UK</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United Kingdom</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Mission South Africa (Pty) Ltd</w:t>
            </w:r>
          </w:p>
        </w:tc>
        <w:tc>
          <w:tcPr>
            <w:tcW w:w="3100" w:type="dxa"/>
            <w:vAlign w:val="bottom"/>
          </w:tcPr>
          <w:p>
            <w:pPr>
              <w:ind w:left="800"/>
              <w:spacing w:after="0"/>
              <w:rPr>
                <w:sz w:val="20"/>
                <w:szCs w:val="20"/>
                <w:color w:val="auto"/>
              </w:rPr>
            </w:pPr>
            <w:r>
              <w:rPr>
                <w:rFonts w:ascii="Arial" w:cs="Arial" w:eastAsia="Arial" w:hAnsi="Arial"/>
                <w:sz w:val="11"/>
                <w:szCs w:val="11"/>
                <w:color w:val="auto"/>
              </w:rPr>
              <w:t>South Africa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Moruga Inc. S.A.C.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Panama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SamLand I, LLC</w:t>
            </w:r>
          </w:p>
        </w:tc>
        <w:tc>
          <w:tcPr>
            <w:tcW w:w="3100" w:type="dxa"/>
            <w:vAlign w:val="bottom"/>
          </w:tcPr>
          <w:p>
            <w:pPr>
              <w:ind w:left="800"/>
              <w:spacing w:after="0"/>
              <w:rPr>
                <w:sz w:val="20"/>
                <w:szCs w:val="20"/>
                <w:color w:val="auto"/>
              </w:rPr>
            </w:pPr>
            <w:r>
              <w:rPr>
                <w:rFonts w:ascii="Arial" w:cs="Arial" w:eastAsia="Arial" w:hAnsi="Arial"/>
                <w:sz w:val="11"/>
                <w:szCs w:val="11"/>
                <w:color w:val="auto"/>
              </w:rPr>
              <w:t>California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SamLand II, LLC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SamLand III, LLC</w:t>
            </w:r>
          </w:p>
        </w:tc>
        <w:tc>
          <w:tcPr>
            <w:tcW w:w="3100" w:type="dxa"/>
            <w:vAlign w:val="bottom"/>
          </w:tcPr>
          <w:p>
            <w:pPr>
              <w:ind w:left="800"/>
              <w:spacing w:after="0"/>
              <w:rPr>
                <w:sz w:val="20"/>
                <w:szCs w:val="20"/>
                <w:color w:val="auto"/>
              </w:rPr>
            </w:pPr>
            <w:r>
              <w:rPr>
                <w:rFonts w:ascii="Arial" w:cs="Arial" w:eastAsia="Arial" w:hAnsi="Arial"/>
                <w:sz w:val="11"/>
                <w:szCs w:val="11"/>
                <w:color w:val="auto"/>
              </w:rPr>
              <w:t>California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SamLand IV, LLC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r>
        <w:trPr>
          <w:trHeight w:val="166"/>
        </w:trPr>
        <w:tc>
          <w:tcPr>
            <w:tcW w:w="3100" w:type="dxa"/>
            <w:vAlign w:val="bottom"/>
          </w:tcPr>
          <w:p>
            <w:pPr>
              <w:spacing w:after="0"/>
              <w:rPr>
                <w:sz w:val="20"/>
                <w:szCs w:val="20"/>
                <w:color w:val="auto"/>
              </w:rPr>
            </w:pPr>
            <w:r>
              <w:rPr>
                <w:rFonts w:ascii="Arial" w:cs="Arial" w:eastAsia="Arial" w:hAnsi="Arial"/>
                <w:sz w:val="11"/>
                <w:szCs w:val="11"/>
                <w:color w:val="auto"/>
              </w:rPr>
              <w:t>Shanghai Mr. Avocado Limited</w:t>
            </w:r>
          </w:p>
        </w:tc>
        <w:tc>
          <w:tcPr>
            <w:tcW w:w="3100" w:type="dxa"/>
            <w:vAlign w:val="bottom"/>
          </w:tcPr>
          <w:p>
            <w:pPr>
              <w:ind w:left="800"/>
              <w:spacing w:after="0"/>
              <w:rPr>
                <w:sz w:val="20"/>
                <w:szCs w:val="20"/>
                <w:color w:val="auto"/>
              </w:rPr>
            </w:pPr>
            <w:r>
              <w:rPr>
                <w:rFonts w:ascii="Arial" w:cs="Arial" w:eastAsia="Arial" w:hAnsi="Arial"/>
                <w:sz w:val="11"/>
                <w:szCs w:val="11"/>
                <w:color w:val="auto"/>
              </w:rPr>
              <w:t>China</w:t>
            </w:r>
          </w:p>
        </w:tc>
      </w:tr>
      <w:tr>
        <w:trPr>
          <w:trHeight w:val="174"/>
        </w:trPr>
        <w:tc>
          <w:tcPr>
            <w:tcW w:w="3100" w:type="dxa"/>
            <w:vAlign w:val="bottom"/>
            <w:shd w:val="clear" w:color="auto" w:fill="43C0B9"/>
          </w:tcPr>
          <w:p>
            <w:pPr>
              <w:spacing w:after="0"/>
              <w:rPr>
                <w:sz w:val="20"/>
                <w:szCs w:val="20"/>
                <w:color w:val="auto"/>
              </w:rPr>
            </w:pPr>
            <w:r>
              <w:rPr>
                <w:rFonts w:ascii="Arial" w:cs="Arial" w:eastAsia="Arial" w:hAnsi="Arial"/>
                <w:sz w:val="11"/>
                <w:szCs w:val="11"/>
                <w:color w:val="auto"/>
              </w:rPr>
              <w:t>Solar MPC, LLC</w:t>
            </w:r>
          </w:p>
        </w:tc>
        <w:tc>
          <w:tcPr>
            <w:tcW w:w="3100" w:type="dxa"/>
            <w:vAlign w:val="bottom"/>
            <w:shd w:val="clear" w:color="auto" w:fill="43C0B9"/>
          </w:tcPr>
          <w:p>
            <w:pPr>
              <w:ind w:left="800"/>
              <w:spacing w:after="0"/>
              <w:rPr>
                <w:sz w:val="20"/>
                <w:szCs w:val="20"/>
                <w:color w:val="auto"/>
              </w:rPr>
            </w:pPr>
            <w:r>
              <w:rPr>
                <w:rFonts w:ascii="Arial" w:cs="Arial" w:eastAsia="Arial" w:hAnsi="Arial"/>
                <w:sz w:val="11"/>
                <w:szCs w:val="11"/>
                <w:color w:val="auto"/>
              </w:rPr>
              <w:t>California</w:t>
            </w:r>
          </w:p>
        </w:tc>
      </w:tr>
    </w:tbl>
    <w:p>
      <w:pPr>
        <w:sectPr>
          <w:pgSz w:w="11900" w:h="16838" w:orient="portrait"/>
          <w:cols w:equalWidth="0" w:num="1">
            <w:col w:w="9019"/>
          </w:cols>
          <w:pgMar w:left="1440" w:top="1220" w:right="1440"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0"/>
          <w:szCs w:val="20"/>
          <w:b w:val="1"/>
          <w:bCs w:val="1"/>
          <w:color w:val="232F84"/>
        </w:rPr>
        <w:t>CONSENT OF INDEPENDENT REGISTERED PUBLIC ACCOUNTING FIRM</w:t>
      </w:r>
    </w:p>
    <w:p>
      <w:pPr>
        <w:spacing w:after="0" w:line="197" w:lineRule="exact"/>
        <w:rPr>
          <w:sz w:val="20"/>
          <w:szCs w:val="20"/>
          <w:color w:val="auto"/>
        </w:rPr>
      </w:pPr>
    </w:p>
    <w:p>
      <w:pPr>
        <w:ind w:firstLine="509"/>
        <w:spacing w:after="0" w:line="241" w:lineRule="auto"/>
        <w:rPr>
          <w:sz w:val="20"/>
          <w:szCs w:val="20"/>
          <w:color w:val="auto"/>
        </w:rPr>
      </w:pPr>
      <w:r>
        <w:rPr>
          <w:rFonts w:ascii="Arial" w:cs="Arial" w:eastAsia="Arial" w:hAnsi="Arial"/>
          <w:sz w:val="13"/>
          <w:szCs w:val="13"/>
          <w:color w:val="auto"/>
        </w:rPr>
        <w:t>We consent to the incorporation by reference in Registration Statement No. 333-248596 on Form S-8 of our reports dated December 22, 2021, relating to the consolidated financial statements of Mission Produce, Inc. and subsidiaries (the “Company”) and the effectiveness of the Company’s internal control over financial reporting appearing in this Annual Report on Form 10-K of the Company for the year ended October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Deloitte &amp; Touche LLP</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Los Angeles, California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December 22, 2021</w:t>
      </w:r>
    </w:p>
    <w:p>
      <w:pPr>
        <w:sectPr>
          <w:pgSz w:w="11900" w:h="16838" w:orient="portrait"/>
          <w:cols w:equalWidth="0" w:num="1">
            <w:col w:w="11260"/>
          </w:cols>
          <w:pgMar w:left="300" w:top="1220" w:right="3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20"/>
          <w:szCs w:val="20"/>
          <w:b w:val="1"/>
          <w:bCs w:val="1"/>
          <w:color w:val="232F84"/>
        </w:rPr>
        <w:t>CERTIFICATION OF CHIEF EXECUTIVE OFFICER</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2F84"/>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 Stephen J. Barnard, certify that:</w:t>
      </w:r>
    </w:p>
    <w:p>
      <w:pPr>
        <w:spacing w:after="0" w:line="169"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Mission Produce, Inc.;</w:t>
      </w:r>
    </w:p>
    <w:p>
      <w:pPr>
        <w:spacing w:after="0" w:line="168" w:lineRule="exact"/>
        <w:rPr>
          <w:rFonts w:ascii="Arial" w:cs="Arial" w:eastAsia="Arial" w:hAnsi="Arial"/>
          <w:sz w:val="13"/>
          <w:szCs w:val="13"/>
          <w:color w:val="auto"/>
        </w:rPr>
      </w:pPr>
    </w:p>
    <w:p>
      <w:pPr>
        <w:ind w:left="520" w:right="720" w:hanging="260"/>
        <w:spacing w:after="0" w:line="244" w:lineRule="auto"/>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520" w:right="100" w:hanging="260"/>
        <w:spacing w:after="0" w:line="244" w:lineRule="auto"/>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3"/>
          <w:szCs w:val="13"/>
          <w:color w:val="auto"/>
        </w:rPr>
      </w:pPr>
    </w:p>
    <w:p>
      <w:pPr>
        <w:ind w:left="520" w:right="300" w:hanging="260"/>
        <w:spacing w:after="0" w:line="244" w:lineRule="auto"/>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3"/>
          <w:szCs w:val="13"/>
          <w:color w:val="auto"/>
        </w:rPr>
      </w:pPr>
    </w:p>
    <w:p>
      <w:pPr>
        <w:ind w:left="1020" w:right="300" w:hanging="251"/>
        <w:spacing w:after="0" w:line="241" w:lineRule="auto"/>
        <w:tabs>
          <w:tab w:leader="none" w:pos="1038"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ind w:left="1020" w:right="20" w:hanging="251"/>
        <w:spacing w:after="0" w:line="284" w:lineRule="auto"/>
        <w:tabs>
          <w:tab w:leader="none" w:pos="1027" w:val="left"/>
        </w:tabs>
        <w:numPr>
          <w:ilvl w:val="1"/>
          <w:numId w:val="4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2"/>
          <w:szCs w:val="12"/>
          <w:color w:val="auto"/>
        </w:rPr>
      </w:pPr>
    </w:p>
    <w:p>
      <w:pPr>
        <w:ind w:left="1020" w:right="120" w:hanging="251"/>
        <w:spacing w:after="0" w:line="244" w:lineRule="auto"/>
        <w:tabs>
          <w:tab w:leader="none" w:pos="1030" w:val="left"/>
        </w:tabs>
        <w:numPr>
          <w:ilvl w:val="1"/>
          <w:numId w:val="4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3"/>
          <w:szCs w:val="13"/>
          <w:color w:val="auto"/>
        </w:rPr>
      </w:pPr>
    </w:p>
    <w:p>
      <w:pPr>
        <w:ind w:left="1020" w:right="280" w:hanging="251"/>
        <w:spacing w:after="0" w:line="284" w:lineRule="auto"/>
        <w:tabs>
          <w:tab w:leader="none" w:pos="1027" w:val="left"/>
        </w:tabs>
        <w:numPr>
          <w:ilvl w:val="1"/>
          <w:numId w:val="4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2"/>
          <w:szCs w:val="12"/>
          <w:color w:val="auto"/>
        </w:rPr>
      </w:pPr>
    </w:p>
    <w:p>
      <w:pPr>
        <w:ind w:left="520" w:right="500" w:hanging="260"/>
        <w:spacing w:after="0" w:line="244" w:lineRule="auto"/>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3"/>
          <w:szCs w:val="13"/>
          <w:color w:val="auto"/>
        </w:rPr>
      </w:pPr>
    </w:p>
    <w:p>
      <w:pPr>
        <w:ind w:left="1020" w:hanging="251"/>
        <w:spacing w:after="0" w:line="244" w:lineRule="auto"/>
        <w:tabs>
          <w:tab w:leader="none" w:pos="1038" w:val="left"/>
        </w:tabs>
        <w:numPr>
          <w:ilvl w:val="1"/>
          <w:numId w:val="4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3"/>
          <w:szCs w:val="13"/>
          <w:color w:val="auto"/>
        </w:rPr>
      </w:pPr>
    </w:p>
    <w:p>
      <w:pPr>
        <w:ind w:left="1040" w:hanging="271"/>
        <w:spacing w:after="0"/>
        <w:tabs>
          <w:tab w:leader="none" w:pos="10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8420"/>
        <w:spacing w:after="0"/>
        <w:rPr>
          <w:sz w:val="20"/>
          <w:szCs w:val="20"/>
          <w:color w:val="auto"/>
        </w:rPr>
      </w:pPr>
      <w:r>
        <w:rPr>
          <w:rFonts w:ascii="Arial" w:cs="Arial" w:eastAsia="Arial" w:hAnsi="Arial"/>
          <w:sz w:val="13"/>
          <w:szCs w:val="13"/>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5080</wp:posOffset>
            </wp:positionV>
            <wp:extent cx="268160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2681605" cy="6985"/>
                    </a:xfrm>
                    <a:prstGeom prst="rect">
                      <a:avLst/>
                    </a:prstGeom>
                    <a:noFill/>
                  </pic:spPr>
                </pic:pic>
              </a:graphicData>
            </a:graphic>
          </wp:anchor>
        </w:drawing>
      </w:r>
    </w:p>
    <w:p>
      <w:pPr>
        <w:spacing w:after="0" w:line="21"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Stephen J. Barnard</w:t>
      </w:r>
    </w:p>
    <w:p>
      <w:pPr>
        <w:spacing w:after="0" w:line="19" w:lineRule="exact"/>
        <w:rPr>
          <w:sz w:val="20"/>
          <w:szCs w:val="20"/>
          <w:color w:val="auto"/>
        </w:rPr>
      </w:pPr>
    </w:p>
    <w:p>
      <w:pPr>
        <w:ind w:left="7720"/>
        <w:spacing w:after="0"/>
        <w:rPr>
          <w:sz w:val="20"/>
          <w:szCs w:val="20"/>
          <w:color w:val="auto"/>
        </w:rPr>
      </w:pPr>
      <w:r>
        <w:rPr>
          <w:rFonts w:ascii="Arial" w:cs="Arial" w:eastAsia="Arial" w:hAnsi="Arial"/>
          <w:sz w:val="13"/>
          <w:szCs w:val="13"/>
          <w:i w:val="1"/>
          <w:iCs w:val="1"/>
          <w:color w:val="auto"/>
        </w:rPr>
        <w:t>President, Chief Executive Officer and Director</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22, 2021</w:t>
      </w:r>
    </w:p>
    <w:p>
      <w:pPr>
        <w:sectPr>
          <w:pgSz w:w="11900" w:h="16838" w:orient="portrait"/>
          <w:cols w:equalWidth="0" w:num="1">
            <w:col w:w="11260"/>
          </w:cols>
          <w:pgMar w:left="300" w:top="1210" w:right="33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20"/>
          <w:szCs w:val="20"/>
          <w:b w:val="1"/>
          <w:bCs w:val="1"/>
          <w:color w:val="232F84"/>
        </w:rPr>
        <w:t>CERTIFICATION OF CHIEF FINANCIAL OFFICER</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232F84"/>
        </w:rPr>
        <w:t>PURSUANT TO 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 Bryan E. Giles, certify that:</w:t>
      </w:r>
    </w:p>
    <w:p>
      <w:pPr>
        <w:spacing w:after="0" w:line="169"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Mission Produce, Inc.;</w:t>
      </w:r>
    </w:p>
    <w:p>
      <w:pPr>
        <w:spacing w:after="0" w:line="168" w:lineRule="exact"/>
        <w:rPr>
          <w:rFonts w:ascii="Arial" w:cs="Arial" w:eastAsia="Arial" w:hAnsi="Arial"/>
          <w:sz w:val="13"/>
          <w:szCs w:val="13"/>
          <w:color w:val="auto"/>
        </w:rPr>
      </w:pPr>
    </w:p>
    <w:p>
      <w:pPr>
        <w:ind w:left="520" w:right="720" w:hanging="260"/>
        <w:spacing w:after="0" w:line="244"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3"/>
          <w:szCs w:val="13"/>
          <w:color w:val="auto"/>
        </w:rPr>
      </w:pPr>
    </w:p>
    <w:p>
      <w:pPr>
        <w:ind w:left="520" w:right="100" w:hanging="260"/>
        <w:spacing w:after="0" w:line="244"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3"/>
          <w:szCs w:val="13"/>
          <w:color w:val="auto"/>
        </w:rPr>
      </w:pPr>
    </w:p>
    <w:p>
      <w:pPr>
        <w:ind w:left="520" w:right="300" w:hanging="260"/>
        <w:spacing w:after="0" w:line="244"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3"/>
          <w:szCs w:val="13"/>
          <w:color w:val="auto"/>
        </w:rPr>
      </w:pPr>
    </w:p>
    <w:p>
      <w:pPr>
        <w:ind w:left="1020" w:right="300" w:hanging="251"/>
        <w:spacing w:after="0" w:line="241" w:lineRule="auto"/>
        <w:tabs>
          <w:tab w:leader="none" w:pos="1038" w:val="left"/>
        </w:tabs>
        <w:numPr>
          <w:ilvl w:val="1"/>
          <w:numId w:val="4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3"/>
          <w:szCs w:val="13"/>
          <w:color w:val="auto"/>
        </w:rPr>
      </w:pPr>
    </w:p>
    <w:p>
      <w:pPr>
        <w:ind w:left="1020" w:right="20" w:hanging="251"/>
        <w:spacing w:after="0" w:line="284" w:lineRule="auto"/>
        <w:tabs>
          <w:tab w:leader="none" w:pos="1027"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2"/>
          <w:szCs w:val="12"/>
          <w:color w:val="auto"/>
        </w:rPr>
      </w:pPr>
    </w:p>
    <w:p>
      <w:pPr>
        <w:ind w:left="1020" w:right="120" w:hanging="251"/>
        <w:spacing w:after="0" w:line="244" w:lineRule="auto"/>
        <w:tabs>
          <w:tab w:leader="none" w:pos="1030" w:val="left"/>
        </w:tabs>
        <w:numPr>
          <w:ilvl w:val="1"/>
          <w:numId w:val="4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3"/>
          <w:szCs w:val="13"/>
          <w:color w:val="auto"/>
        </w:rPr>
      </w:pPr>
    </w:p>
    <w:p>
      <w:pPr>
        <w:ind w:left="1020" w:right="280" w:hanging="251"/>
        <w:spacing w:after="0" w:line="284" w:lineRule="auto"/>
        <w:tabs>
          <w:tab w:leader="none" w:pos="1027"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2"/>
          <w:szCs w:val="12"/>
          <w:color w:val="auto"/>
        </w:rPr>
      </w:pPr>
    </w:p>
    <w:p>
      <w:pPr>
        <w:ind w:left="520" w:right="500" w:hanging="260"/>
        <w:spacing w:after="0" w:line="244" w:lineRule="auto"/>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3"/>
          <w:szCs w:val="13"/>
          <w:color w:val="auto"/>
        </w:rPr>
      </w:pPr>
    </w:p>
    <w:p>
      <w:pPr>
        <w:ind w:left="1020" w:hanging="251"/>
        <w:spacing w:after="0" w:line="244" w:lineRule="auto"/>
        <w:tabs>
          <w:tab w:leader="none" w:pos="1038" w:val="left"/>
        </w:tabs>
        <w:numPr>
          <w:ilvl w:val="1"/>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3"/>
          <w:szCs w:val="13"/>
          <w:color w:val="auto"/>
        </w:rPr>
      </w:pPr>
    </w:p>
    <w:p>
      <w:pPr>
        <w:ind w:left="1040" w:hanging="271"/>
        <w:spacing w:after="0"/>
        <w:tabs>
          <w:tab w:leader="none" w:pos="104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jc w:val="center"/>
        <w:ind w:left="6800"/>
        <w:spacing w:after="0"/>
        <w:rPr>
          <w:sz w:val="20"/>
          <w:szCs w:val="20"/>
          <w:color w:val="auto"/>
        </w:rPr>
      </w:pPr>
      <w:r>
        <w:rPr>
          <w:rFonts w:ascii="Arial" w:cs="Arial" w:eastAsia="Arial" w:hAnsi="Arial"/>
          <w:sz w:val="13"/>
          <w:szCs w:val="13"/>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5080</wp:posOffset>
            </wp:positionV>
            <wp:extent cx="268160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2681605" cy="6985"/>
                    </a:xfrm>
                    <a:prstGeom prst="rect">
                      <a:avLst/>
                    </a:prstGeom>
                    <a:noFill/>
                  </pic:spPr>
                </pic:pic>
              </a:graphicData>
            </a:graphic>
          </wp:anchor>
        </w:drawing>
      </w:r>
    </w:p>
    <w:p>
      <w:pPr>
        <w:spacing w:after="0" w:line="21" w:lineRule="exact"/>
        <w:rPr>
          <w:sz w:val="20"/>
          <w:szCs w:val="20"/>
          <w:color w:val="auto"/>
        </w:rPr>
      </w:pPr>
    </w:p>
    <w:p>
      <w:pPr>
        <w:jc w:val="center"/>
        <w:ind w:left="6800"/>
        <w:spacing w:after="0"/>
        <w:rPr>
          <w:sz w:val="20"/>
          <w:szCs w:val="20"/>
          <w:color w:val="auto"/>
        </w:rPr>
      </w:pPr>
      <w:r>
        <w:rPr>
          <w:rFonts w:ascii="Arial" w:cs="Arial" w:eastAsia="Arial" w:hAnsi="Arial"/>
          <w:sz w:val="13"/>
          <w:szCs w:val="13"/>
          <w:color w:val="auto"/>
        </w:rPr>
        <w:t>Bryan E. Giles</w:t>
      </w:r>
    </w:p>
    <w:p>
      <w:pPr>
        <w:spacing w:after="0" w:line="29" w:lineRule="exact"/>
        <w:rPr>
          <w:sz w:val="20"/>
          <w:szCs w:val="20"/>
          <w:color w:val="auto"/>
        </w:rPr>
      </w:pPr>
    </w:p>
    <w:p>
      <w:pPr>
        <w:jc w:val="center"/>
        <w:ind w:left="6800"/>
        <w:spacing w:after="0"/>
        <w:rPr>
          <w:sz w:val="20"/>
          <w:szCs w:val="20"/>
          <w:color w:val="auto"/>
        </w:rPr>
      </w:pPr>
      <w:r>
        <w:rPr>
          <w:rFonts w:ascii="Arial" w:cs="Arial" w:eastAsia="Arial" w:hAnsi="Arial"/>
          <w:sz w:val="13"/>
          <w:szCs w:val="13"/>
          <w:i w:val="1"/>
          <w:iCs w:val="1"/>
          <w:color w:val="auto"/>
        </w:rPr>
        <w:t>Chief Financial Officer</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22, 2021</w:t>
      </w:r>
    </w:p>
    <w:p>
      <w:pPr>
        <w:sectPr>
          <w:pgSz w:w="11900" w:h="16838" w:orient="portrait"/>
          <w:cols w:equalWidth="0" w:num="1">
            <w:col w:w="11260"/>
          </w:cols>
          <w:pgMar w:left="300" w:top="1209" w:right="339" w:bottom="1440" w:gutter="0" w:footer="0" w:header="0"/>
        </w:sectPr>
      </w:pPr>
    </w:p>
    <w:bookmarkStart w:id="174" w:name="page175"/>
    <w:bookmarkEnd w:id="174"/>
    <w:p>
      <w:pPr>
        <w:jc w:val="center"/>
        <w:ind w:right="-119"/>
        <w:spacing w:after="0"/>
        <w:rPr>
          <w:sz w:val="20"/>
          <w:szCs w:val="20"/>
          <w:color w:val="auto"/>
        </w:rPr>
      </w:pPr>
      <w:r>
        <w:rPr>
          <w:rFonts w:ascii="Arial" w:cs="Arial" w:eastAsia="Arial" w:hAnsi="Arial"/>
          <w:sz w:val="20"/>
          <w:szCs w:val="20"/>
          <w:b w:val="1"/>
          <w:bCs w:val="1"/>
          <w:color w:val="232F84"/>
        </w:rPr>
        <w:t>CERTIFICATION OF CHIEF EXECUTIVE OFFICER</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232F84"/>
        </w:rPr>
        <w:t>PURSUANT TO SECTION 906 OF THE SARBANES-OXLEY ACT OF 2002</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Mission Produce, Inc. (the “Company”) hereby certifies, to the best of his knowledge, that:</w:t>
      </w:r>
    </w:p>
    <w:p>
      <w:pPr>
        <w:spacing w:after="0" w:line="163" w:lineRule="exact"/>
        <w:rPr>
          <w:sz w:val="20"/>
          <w:szCs w:val="20"/>
          <w:color w:val="auto"/>
        </w:rPr>
      </w:pPr>
    </w:p>
    <w:p>
      <w:pPr>
        <w:ind w:left="520" w:right="540" w:hanging="260"/>
        <w:spacing w:after="0" w:line="244" w:lineRule="auto"/>
        <w:tabs>
          <w:tab w:leader="none" w:pos="527"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October 31, 2021 (the “Report”) fully complies with the requirements of Section 13(a) or Section 15(d), as applicable, of the Securities Exchange Act of 1934, as amended; and</w:t>
      </w:r>
    </w:p>
    <w:p>
      <w:pPr>
        <w:spacing w:after="0" w:line="162" w:lineRule="exact"/>
        <w:rPr>
          <w:rFonts w:ascii="Arial" w:cs="Arial" w:eastAsia="Arial" w:hAnsi="Arial"/>
          <w:sz w:val="13"/>
          <w:szCs w:val="13"/>
          <w:color w:val="auto"/>
        </w:rPr>
      </w:pPr>
    </w:p>
    <w:p>
      <w:pPr>
        <w:ind w:left="520" w:hanging="260"/>
        <w:spacing w:after="0"/>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8420"/>
        <w:spacing w:after="0"/>
        <w:rPr>
          <w:sz w:val="20"/>
          <w:szCs w:val="20"/>
          <w:color w:val="auto"/>
        </w:rPr>
      </w:pPr>
      <w:r>
        <w:rPr>
          <w:rFonts w:ascii="Arial" w:cs="Arial" w:eastAsia="Arial" w:hAnsi="Arial"/>
          <w:sz w:val="13"/>
          <w:szCs w:val="13"/>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5080</wp:posOffset>
            </wp:positionV>
            <wp:extent cx="268160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2681605" cy="6985"/>
                    </a:xfrm>
                    <a:prstGeom prst="rect">
                      <a:avLst/>
                    </a:prstGeom>
                    <a:noFill/>
                  </pic:spPr>
                </pic:pic>
              </a:graphicData>
            </a:graphic>
          </wp:anchor>
        </w:drawing>
      </w:r>
    </w:p>
    <w:p>
      <w:pPr>
        <w:spacing w:after="0" w:line="21" w:lineRule="exact"/>
        <w:rPr>
          <w:sz w:val="20"/>
          <w:szCs w:val="20"/>
          <w:color w:val="auto"/>
        </w:rPr>
      </w:pPr>
    </w:p>
    <w:p>
      <w:pPr>
        <w:ind w:left="8500"/>
        <w:spacing w:after="0"/>
        <w:rPr>
          <w:sz w:val="20"/>
          <w:szCs w:val="20"/>
          <w:color w:val="auto"/>
        </w:rPr>
      </w:pPr>
      <w:r>
        <w:rPr>
          <w:rFonts w:ascii="Arial" w:cs="Arial" w:eastAsia="Arial" w:hAnsi="Arial"/>
          <w:sz w:val="13"/>
          <w:szCs w:val="13"/>
          <w:color w:val="auto"/>
        </w:rPr>
        <w:t>Stephen J. Barnard</w:t>
      </w:r>
    </w:p>
    <w:p>
      <w:pPr>
        <w:spacing w:after="0" w:line="19" w:lineRule="exact"/>
        <w:rPr>
          <w:sz w:val="20"/>
          <w:szCs w:val="20"/>
          <w:color w:val="auto"/>
        </w:rPr>
      </w:pPr>
    </w:p>
    <w:p>
      <w:pPr>
        <w:ind w:left="7720"/>
        <w:spacing w:after="0"/>
        <w:rPr>
          <w:sz w:val="20"/>
          <w:szCs w:val="20"/>
          <w:color w:val="auto"/>
        </w:rPr>
      </w:pPr>
      <w:r>
        <w:rPr>
          <w:rFonts w:ascii="Arial" w:cs="Arial" w:eastAsia="Arial" w:hAnsi="Arial"/>
          <w:sz w:val="13"/>
          <w:szCs w:val="13"/>
          <w:i w:val="1"/>
          <w:iCs w:val="1"/>
          <w:color w:val="auto"/>
        </w:rPr>
        <w:t>President, Chief Executive Officer and Director</w:t>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22, 2021</w:t>
      </w:r>
    </w:p>
    <w:p>
      <w:pPr>
        <w:sectPr>
          <w:pgSz w:w="11900" w:h="16838" w:orient="portrait"/>
          <w:cols w:equalWidth="0" w:num="1">
            <w:col w:w="11180"/>
          </w:cols>
          <w:pgMar w:left="300" w:top="1209" w:right="419" w:bottom="1440" w:gutter="0" w:footer="0" w:header="0"/>
        </w:sectPr>
      </w:pPr>
    </w:p>
    <w:bookmarkStart w:id="175" w:name="page176"/>
    <w:bookmarkEnd w:id="175"/>
    <w:p>
      <w:pPr>
        <w:jc w:val="center"/>
        <w:ind w:right="-119"/>
        <w:spacing w:after="0"/>
        <w:rPr>
          <w:sz w:val="20"/>
          <w:szCs w:val="20"/>
          <w:color w:val="auto"/>
        </w:rPr>
      </w:pPr>
      <w:r>
        <w:rPr>
          <w:rFonts w:ascii="Arial" w:cs="Arial" w:eastAsia="Arial" w:hAnsi="Arial"/>
          <w:sz w:val="20"/>
          <w:szCs w:val="20"/>
          <w:b w:val="1"/>
          <w:bCs w:val="1"/>
          <w:color w:val="232F84"/>
        </w:rPr>
        <w:t>CERTIFICATION OF CHIEF FINANCIAL OFFICER</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232F84"/>
        </w:rPr>
        <w:t>PURSUANT TO SECTION 906 OF THE SARBANES-OXLEY ACT OF 2002</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Pursuant to 18 U.S.C. Section 1350, as created by Section 906 of the Sarbanes-Oxley Act of 2002, the undersigned officer of Mission Produce, Inc. (the “Company”) hereby certifies, to the best of his knowledge, that:</w:t>
      </w:r>
    </w:p>
    <w:p>
      <w:pPr>
        <w:spacing w:after="0" w:line="163" w:lineRule="exact"/>
        <w:rPr>
          <w:sz w:val="20"/>
          <w:szCs w:val="20"/>
          <w:color w:val="auto"/>
        </w:rPr>
      </w:pPr>
    </w:p>
    <w:p>
      <w:pPr>
        <w:ind w:left="520" w:right="540" w:hanging="260"/>
        <w:spacing w:after="0" w:line="244" w:lineRule="auto"/>
        <w:tabs>
          <w:tab w:leader="none" w:pos="527"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fiscal year ended October 31, 2021 (the “Report”) fully complies with the requirements of Section 13(a) or Section 15(d), as applicable, of the Securities Exchange Act of 1934, as amended; and</w:t>
      </w:r>
    </w:p>
    <w:p>
      <w:pPr>
        <w:spacing w:after="0" w:line="162" w:lineRule="exact"/>
        <w:rPr>
          <w:rFonts w:ascii="Arial" w:cs="Arial" w:eastAsia="Arial" w:hAnsi="Arial"/>
          <w:sz w:val="13"/>
          <w:szCs w:val="13"/>
          <w:color w:val="auto"/>
        </w:rPr>
      </w:pPr>
    </w:p>
    <w:p>
      <w:pPr>
        <w:ind w:left="520" w:hanging="260"/>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jc w:val="center"/>
        <w:ind w:left="6800"/>
        <w:spacing w:after="0"/>
        <w:rPr>
          <w:sz w:val="20"/>
          <w:szCs w:val="20"/>
          <w:color w:val="auto"/>
        </w:rPr>
      </w:pPr>
      <w:r>
        <w:rPr>
          <w:rFonts w:ascii="Arial" w:cs="Arial" w:eastAsia="Arial" w:hAnsi="Arial"/>
          <w:sz w:val="13"/>
          <w:szCs w:val="13"/>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5080</wp:posOffset>
            </wp:positionV>
            <wp:extent cx="26816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2681605" cy="6985"/>
                    </a:xfrm>
                    <a:prstGeom prst="rect">
                      <a:avLst/>
                    </a:prstGeom>
                    <a:noFill/>
                  </pic:spPr>
                </pic:pic>
              </a:graphicData>
            </a:graphic>
          </wp:anchor>
        </w:drawing>
      </w:r>
    </w:p>
    <w:p>
      <w:pPr>
        <w:spacing w:after="0" w:line="21" w:lineRule="exact"/>
        <w:rPr>
          <w:sz w:val="20"/>
          <w:szCs w:val="20"/>
          <w:color w:val="auto"/>
        </w:rPr>
      </w:pPr>
    </w:p>
    <w:p>
      <w:pPr>
        <w:jc w:val="center"/>
        <w:ind w:left="6800"/>
        <w:spacing w:after="0"/>
        <w:rPr>
          <w:sz w:val="20"/>
          <w:szCs w:val="20"/>
          <w:color w:val="auto"/>
        </w:rPr>
      </w:pPr>
      <w:r>
        <w:rPr>
          <w:rFonts w:ascii="Arial" w:cs="Arial" w:eastAsia="Arial" w:hAnsi="Arial"/>
          <w:sz w:val="13"/>
          <w:szCs w:val="13"/>
          <w:color w:val="auto"/>
        </w:rPr>
        <w:t>Bryan E. Giles</w:t>
      </w:r>
    </w:p>
    <w:p>
      <w:pPr>
        <w:spacing w:after="0" w:line="29" w:lineRule="exact"/>
        <w:rPr>
          <w:sz w:val="20"/>
          <w:szCs w:val="20"/>
          <w:color w:val="auto"/>
        </w:rPr>
      </w:pPr>
    </w:p>
    <w:p>
      <w:pPr>
        <w:jc w:val="center"/>
        <w:ind w:left="6800"/>
        <w:spacing w:after="0"/>
        <w:rPr>
          <w:sz w:val="20"/>
          <w:szCs w:val="20"/>
          <w:color w:val="auto"/>
        </w:rPr>
      </w:pPr>
      <w:r>
        <w:rPr>
          <w:rFonts w:ascii="Arial" w:cs="Arial" w:eastAsia="Arial" w:hAnsi="Arial"/>
          <w:sz w:val="13"/>
          <w:szCs w:val="13"/>
          <w:i w:val="1"/>
          <w:iCs w:val="1"/>
          <w:color w:val="auto"/>
        </w:rPr>
        <w:t>Chief Financial Officer</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Date: December 22, 2021</w:t>
      </w:r>
    </w:p>
    <w:sectPr>
      <w:pgSz w:w="11900" w:h="16838" w:orient="portrait"/>
      <w:cols w:equalWidth="0" w:num="1">
        <w:col w:w="11180"/>
      </w:cols>
      <w:pgMar w:left="300" w:top="120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emdash "/>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2"/>
    </w:lvl>
  </w:abstractNum>
  <w:abstractNum w:abstractNumId="13">
    <w:nsid w:val="2901D82"/>
    <w:multiLevelType w:val="hybridMultilevel"/>
    <w:lvl w:ilvl="0">
      <w:lvlJc w:val="left"/>
      <w:lvlText w:val="(%1)"/>
      <w:numFmt w:val="lowerRoman"/>
      <w:start w:val="3"/>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5"/>
    </w:lvl>
  </w:abstractNum>
  <w:abstractNum w:abstractNumId="16">
    <w:nsid w:val="1E7FF521"/>
    <w:multiLevelType w:val="hybridMultilevel"/>
    <w:lvl w:ilvl="0">
      <w:lvlJc w:val="left"/>
      <w:lvlText w:val="%1."/>
      <w:numFmt w:val="decimal"/>
      <w:start w:val="6"/>
    </w:lvl>
  </w:abstractNum>
  <w:abstractNum w:abstractNumId="17">
    <w:nsid w:val="7C3DBD3D"/>
    <w:multiLevelType w:val="hybridMultilevel"/>
    <w:lvl w:ilvl="0">
      <w:lvlJc w:val="left"/>
      <w:lvlText w:val="%1."/>
      <w:numFmt w:val="decimal"/>
      <w:start w:val="7"/>
    </w:lvl>
  </w:abstractNum>
  <w:abstractNum w:abstractNumId="18">
    <w:nsid w:val="737B8DDC"/>
    <w:multiLevelType w:val="hybridMultilevel"/>
    <w:lvl w:ilvl="0">
      <w:lvlJc w:val="left"/>
      <w:lvlText w:val="%1."/>
      <w:numFmt w:val="decimal"/>
      <w:start w:val="9"/>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3"/>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0"/>
    </w:lvl>
  </w:abstractNum>
  <w:abstractNum w:abstractNumId="24">
    <w:nsid w:val="419AC241"/>
    <w:multiLevelType w:val="hybridMultilevel"/>
    <w:lvl w:ilvl="0">
      <w:lvlJc w:val="left"/>
      <w:lvlText w:val="%1."/>
      <w:numFmt w:val="decimal"/>
      <w:start w:val="12"/>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3"/>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5"/>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lvl w:ilvl="1">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3"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jpe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48" Type="http://schemas.openxmlformats.org/officeDocument/2006/relationships/hyperlink" Target="https://www.sec.gov/Archives/edgar/data/1802974/000119312520265099/d32849dex31.htm" TargetMode="External"/><Relationship Id="rId49" Type="http://schemas.openxmlformats.org/officeDocument/2006/relationships/hyperlink" Target="https://www.sec.gov/Archives/edgar/data/1802974/000119312520265099/d32849dex32.htm" TargetMode="External"/><Relationship Id="rId50" Type="http://schemas.openxmlformats.org/officeDocument/2006/relationships/hyperlink" Target="https://www.sec.gov/Archives/edgar/data/1802974/000119312520250637/d829132dex41.htm" TargetMode="External"/><Relationship Id="rId51" Type="http://schemas.openxmlformats.org/officeDocument/2006/relationships/hyperlink" Target="http://www.sec.gov/Archives/edgar/data/1802974/000119312520244616/d829132dex101.htm" TargetMode="External"/><Relationship Id="rId52" Type="http://schemas.openxmlformats.org/officeDocument/2006/relationships/hyperlink" Target="http://www.sec.gov/Archives/edgar/data/0001802974/000119312520239418/d829132dex102.htm" TargetMode="External"/><Relationship Id="rId53" Type="http://schemas.openxmlformats.org/officeDocument/2006/relationships/hyperlink" Target="http://www.sec.gov/Archives/edgar/data/0001802974/000119312520239418/d829132dex103.htm" TargetMode="External"/><Relationship Id="rId54" Type="http://schemas.openxmlformats.org/officeDocument/2006/relationships/hyperlink" Target="http://www.sec.gov/Archives/edgar/data/0001802974/000119312520239418/d829132dex104.htm" TargetMode="External"/><Relationship Id="rId55" Type="http://schemas.openxmlformats.org/officeDocument/2006/relationships/hyperlink" Target="http://www.sec.gov/Archives/edgar/data/0001802974/000119312520239418/d829132dex105.htm" TargetMode="External"/><Relationship Id="rId56" Type="http://schemas.openxmlformats.org/officeDocument/2006/relationships/hyperlink" Target="http://www.sec.gov/Archives/edgar/data/0001802974/000119312520239418/d829132dex106.htm" TargetMode="External"/><Relationship Id="rId57" Type="http://schemas.openxmlformats.org/officeDocument/2006/relationships/hyperlink" Target="http://www.sec.gov/Archives/edgar/data/0001802974/000119312520239418/d829132dex107.htm" TargetMode="External"/><Relationship Id="rId58" Type="http://schemas.openxmlformats.org/officeDocument/2006/relationships/hyperlink" Target="http://www.sec.gov/Archives/edgar/data/0001802974/000119312520239418/d829132dex108.htm" TargetMode="External"/><Relationship Id="rId59" Type="http://schemas.openxmlformats.org/officeDocument/2006/relationships/hyperlink" Target="https://www.sec.gov/Archives/edgar/data/1802974/000119312520250637/d829132dex109.htm" TargetMode="External"/><Relationship Id="rId60" Type="http://schemas.openxmlformats.org/officeDocument/2006/relationships/hyperlink" Target="https://www.sec.gov/Archives/edgar/data/1802974/000119312520250637/d829132dex1010.htm" TargetMode="External"/><Relationship Id="rId61" Type="http://schemas.openxmlformats.org/officeDocument/2006/relationships/hyperlink" Target="https://www.sec.gov/Archives/edgar/data/1802974/000180297421000016/exhibit1011leaseagreement.htm" TargetMode="External"/><Relationship Id="rId62" Type="http://schemas.openxmlformats.org/officeDocument/2006/relationships/hyperlink" Target="https://www.sec.gov/Archives/edgar/data/1802974/000180297421000026/exhibit1012mikebrowneoffer.htm" TargetMode="External"/><Relationship Id="rId64" Type="http://schemas.openxmlformats.org/officeDocument/2006/relationships/hyperlink" Target="https://www.sec.gov/Archives/edgar/data/1802974/000180297421000016/a2020-10k.htm#i0e4dcc4c20894e97854af5f46a429c4d_6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2021-12-22T15:34:42Z</dcterms:created>
  <dcterms:modified xsi:type="dcterms:W3CDTF">2021-12-22T15:34:42Z</dcterms:modified>
</cp:coreProperties>
</file>