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530225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556260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jc w:val="center"/>
        <w:ind w:right="-39"/>
        <w:spacing w:after="0" w:line="212"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line="220" w:lineRule="auto"/>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ind w:left="5240"/>
        <w:spacing w:after="0"/>
        <w:rPr>
          <w:sz w:val="20"/>
          <w:szCs w:val="20"/>
          <w:color w:val="auto"/>
        </w:rPr>
      </w:pPr>
      <w:r>
        <w:rPr>
          <w:rFonts w:ascii="Arial" w:cs="Arial" w:eastAsia="Arial" w:hAnsi="Arial"/>
          <w:sz w:val="11"/>
          <w:szCs w:val="11"/>
          <w:u w:val="single" w:color="auto"/>
          <w:color w:val="auto"/>
        </w:rPr>
        <w:t>_____________</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5" w:lineRule="exact"/>
        <w:rPr>
          <w:sz w:val="24"/>
          <w:szCs w:val="24"/>
          <w:color w:val="auto"/>
        </w:rPr>
      </w:pPr>
    </w:p>
    <w:p>
      <w:pPr>
        <w:ind w:left="5240"/>
        <w:spacing w:after="0"/>
        <w:rPr>
          <w:sz w:val="20"/>
          <w:szCs w:val="20"/>
          <w:color w:val="auto"/>
        </w:rPr>
      </w:pPr>
      <w:r>
        <w:rPr>
          <w:rFonts w:ascii="Arial" w:cs="Arial" w:eastAsia="Arial" w:hAnsi="Arial"/>
          <w:sz w:val="11"/>
          <w:szCs w:val="11"/>
          <w:u w:val="single" w:color="auto"/>
          <w:color w:val="auto"/>
        </w:rPr>
        <w:t>_____________</w:t>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7" w:lineRule="exact"/>
        <w:rPr>
          <w:sz w:val="24"/>
          <w:szCs w:val="24"/>
          <w:color w:val="auto"/>
        </w:rPr>
      </w:pPr>
    </w:p>
    <w:p>
      <w:pPr>
        <w:ind w:left="2120" w:hanging="811"/>
        <w:spacing w:after="0"/>
        <w:tabs>
          <w:tab w:leader="none" w:pos="21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2"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For the quarterly period ended January 31, 2022</w:t>
      </w:r>
    </w:p>
    <w:p>
      <w:pPr>
        <w:spacing w:after="0" w:line="40"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OR</w:t>
      </w:r>
    </w:p>
    <w:p>
      <w:pPr>
        <w:spacing w:after="0" w:line="275" w:lineRule="exact"/>
        <w:rPr>
          <w:sz w:val="24"/>
          <w:szCs w:val="24"/>
          <w:color w:val="auto"/>
        </w:rPr>
      </w:pPr>
    </w:p>
    <w:p>
      <w:pPr>
        <w:ind w:left="2140" w:hanging="831"/>
        <w:spacing w:after="0"/>
        <w:tabs>
          <w:tab w:leader="none" w:pos="21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8" w:lineRule="exact"/>
        <w:rPr>
          <w:sz w:val="24"/>
          <w:szCs w:val="24"/>
          <w:color w:val="auto"/>
        </w:rPr>
      </w:pPr>
    </w:p>
    <w:p>
      <w:pPr>
        <w:ind w:left="4020"/>
        <w:spacing w:after="0"/>
        <w:tabs>
          <w:tab w:leader="none" w:pos="6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3853180</wp:posOffset>
            </wp:positionH>
            <wp:positionV relativeFrom="paragraph">
              <wp:posOffset>0</wp:posOffset>
            </wp:positionV>
            <wp:extent cx="1141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20"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Commission file number: 001-39561</w:t>
      </w:r>
    </w:p>
    <w:p>
      <w:pPr>
        <w:spacing w:after="0" w:line="10"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MISSION PRODUCE, INC.</w:t>
      </w:r>
    </w:p>
    <w:p>
      <w:pPr>
        <w:spacing w:after="0" w:line="26"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5360" w:type="dxa"/>
            <w:vAlign w:val="bottom"/>
            <w:gridSpan w:val="3"/>
          </w:tcPr>
          <w:p>
            <w:pPr>
              <w:jc w:val="center"/>
              <w:ind w:right="1492"/>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10"/>
        </w:trPr>
        <w:tc>
          <w:tcPr>
            <w:tcW w:w="2060" w:type="dxa"/>
            <w:vAlign w:val="bottom"/>
          </w:tcPr>
          <w:p>
            <w:pPr>
              <w:spacing w:after="0"/>
              <w:rPr>
                <w:sz w:val="9"/>
                <w:szCs w:val="9"/>
                <w:color w:val="auto"/>
              </w:rPr>
            </w:pPr>
          </w:p>
        </w:tc>
        <w:tc>
          <w:tcPr>
            <w:tcW w:w="5360" w:type="dxa"/>
            <w:vAlign w:val="bottom"/>
            <w:gridSpan w:val="3"/>
          </w:tcPr>
          <w:p>
            <w:pPr>
              <w:jc w:val="right"/>
              <w:ind w:right="2992"/>
              <w:spacing w:after="0" w:line="111" w:lineRule="exact"/>
              <w:rPr>
                <w:sz w:val="20"/>
                <w:szCs w:val="20"/>
                <w:color w:val="auto"/>
              </w:rPr>
            </w:pPr>
            <w:r>
              <w:rPr>
                <w:rFonts w:ascii="Arial" w:cs="Arial" w:eastAsia="Arial" w:hAnsi="Arial"/>
                <w:sz w:val="11"/>
                <w:szCs w:val="11"/>
                <w:color w:val="auto"/>
              </w:rPr>
              <w:t>_____________</w:t>
            </w:r>
          </w:p>
        </w:tc>
      </w:tr>
      <w:tr>
        <w:trPr>
          <w:trHeight w:val="368"/>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Delaware</w:t>
            </w:r>
          </w:p>
        </w:tc>
        <w:tc>
          <w:tcPr>
            <w:tcW w:w="15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60" w:type="dxa"/>
            <w:vAlign w:val="bottom"/>
          </w:tcPr>
          <w:p>
            <w:pPr>
              <w:jc w:val="right"/>
              <w:ind w:right="132"/>
              <w:spacing w:after="0"/>
              <w:rPr>
                <w:sz w:val="20"/>
                <w:szCs w:val="20"/>
                <w:color w:val="auto"/>
              </w:rPr>
            </w:pPr>
            <w:r>
              <w:rPr>
                <w:rFonts w:ascii="Arial" w:cs="Arial" w:eastAsia="Arial" w:hAnsi="Arial"/>
                <w:sz w:val="14"/>
                <w:szCs w:val="14"/>
                <w:b w:val="1"/>
                <w:bCs w:val="1"/>
                <w:color w:val="auto"/>
              </w:rPr>
              <w:t>95-3847744</w:t>
            </w:r>
          </w:p>
        </w:tc>
      </w:tr>
      <w:tr>
        <w:trPr>
          <w:trHeight w:val="157"/>
        </w:trPr>
        <w:tc>
          <w:tcPr>
            <w:tcW w:w="2060" w:type="dxa"/>
            <w:vAlign w:val="bottom"/>
          </w:tcPr>
          <w:p>
            <w:pPr>
              <w:jc w:val="center"/>
              <w:ind w:right="50"/>
              <w:spacing w:after="0"/>
              <w:rPr>
                <w:sz w:val="20"/>
                <w:szCs w:val="20"/>
                <w:color w:val="auto"/>
              </w:rPr>
            </w:pPr>
            <w:r>
              <w:rPr>
                <w:rFonts w:ascii="Arial" w:cs="Arial" w:eastAsia="Arial" w:hAnsi="Arial"/>
                <w:sz w:val="13"/>
                <w:szCs w:val="13"/>
                <w:b w:val="1"/>
                <w:bCs w:val="1"/>
                <w:color w:val="auto"/>
              </w:rPr>
              <w:t>(State or Other Jurisdiction of</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60" w:type="dxa"/>
            <w:vAlign w:val="bottom"/>
          </w:tcPr>
          <w:p>
            <w:pPr>
              <w:jc w:val="center"/>
              <w:ind w:left="1852"/>
              <w:spacing w:after="0"/>
              <w:rPr>
                <w:sz w:val="20"/>
                <w:szCs w:val="20"/>
                <w:color w:val="auto"/>
              </w:rPr>
            </w:pPr>
            <w:r>
              <w:rPr>
                <w:rFonts w:ascii="Arial" w:cs="Arial" w:eastAsia="Arial" w:hAnsi="Arial"/>
                <w:sz w:val="13"/>
                <w:szCs w:val="13"/>
                <w:b w:val="1"/>
                <w:bCs w:val="1"/>
                <w:color w:val="auto"/>
              </w:rPr>
              <w:t>(I.R.S. Employer</w:t>
            </w:r>
          </w:p>
        </w:tc>
      </w:tr>
      <w:tr>
        <w:trPr>
          <w:trHeight w:val="190"/>
        </w:trPr>
        <w:tc>
          <w:tcPr>
            <w:tcW w:w="2060" w:type="dxa"/>
            <w:vAlign w:val="bottom"/>
          </w:tcPr>
          <w:p>
            <w:pPr>
              <w:jc w:val="center"/>
              <w:ind w:right="50"/>
              <w:spacing w:after="0"/>
              <w:rPr>
                <w:sz w:val="20"/>
                <w:szCs w:val="20"/>
                <w:color w:val="auto"/>
              </w:rPr>
            </w:pPr>
            <w:r>
              <w:rPr>
                <w:rFonts w:ascii="Arial" w:cs="Arial" w:eastAsia="Arial" w:hAnsi="Arial"/>
                <w:sz w:val="13"/>
                <w:szCs w:val="13"/>
                <w:b w:val="1"/>
                <w:bCs w:val="1"/>
                <w:color w:val="auto"/>
              </w:rPr>
              <w:t>Incorporation or Organization)</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60" w:type="dxa"/>
            <w:vAlign w:val="bottom"/>
          </w:tcPr>
          <w:p>
            <w:pPr>
              <w:jc w:val="center"/>
              <w:ind w:left="1852"/>
              <w:spacing w:after="0"/>
              <w:rPr>
                <w:sz w:val="20"/>
                <w:szCs w:val="20"/>
                <w:color w:val="auto"/>
              </w:rPr>
            </w:pPr>
            <w:r>
              <w:rPr>
                <w:rFonts w:ascii="Arial" w:cs="Arial" w:eastAsia="Arial" w:hAnsi="Arial"/>
                <w:sz w:val="13"/>
                <w:szCs w:val="13"/>
                <w:b w:val="1"/>
                <w:bCs w:val="1"/>
                <w:color w:val="auto"/>
              </w:rPr>
              <w:t>Identification No.)</w:t>
            </w:r>
          </w:p>
        </w:tc>
      </w:tr>
      <w:tr>
        <w:trPr>
          <w:trHeight w:val="294"/>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2710 Camino Del Sol</w:t>
            </w:r>
          </w:p>
        </w:tc>
        <w:tc>
          <w:tcPr>
            <w:tcW w:w="536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93030</w:t>
            </w:r>
          </w:p>
        </w:tc>
      </w:tr>
      <w:tr>
        <w:trPr>
          <w:trHeight w:val="173"/>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Oxnard, California</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60" w:type="dxa"/>
            <w:vAlign w:val="bottom"/>
          </w:tcPr>
          <w:p>
            <w:pPr>
              <w:jc w:val="center"/>
              <w:ind w:left="1852"/>
              <w:spacing w:after="0"/>
              <w:rPr>
                <w:sz w:val="20"/>
                <w:szCs w:val="20"/>
                <w:color w:val="auto"/>
              </w:rPr>
            </w:pPr>
            <w:r>
              <w:rPr>
                <w:rFonts w:ascii="Arial" w:cs="Arial" w:eastAsia="Arial" w:hAnsi="Arial"/>
                <w:sz w:val="13"/>
                <w:szCs w:val="13"/>
                <w:b w:val="1"/>
                <w:bCs w:val="1"/>
                <w:color w:val="auto"/>
              </w:rPr>
              <w:t>(Zip Code)</w:t>
            </w:r>
          </w:p>
        </w:tc>
      </w:tr>
    </w:tbl>
    <w:p>
      <w:pPr>
        <w:ind w:left="168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26"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Registrant’s Telephone Number, Including Area Code: (805) 981-3650</w:t>
      </w:r>
    </w:p>
    <w:p>
      <w:pPr>
        <w:spacing w:after="0" w:line="10"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77"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20"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3800" w:type="dxa"/>
            <w:vAlign w:val="bottom"/>
            <w:gridSpan w:val="2"/>
          </w:tcPr>
          <w:p>
            <w:pPr>
              <w:jc w:val="center"/>
              <w:ind w:left="429"/>
              <w:spacing w:after="0"/>
              <w:rPr>
                <w:sz w:val="20"/>
                <w:szCs w:val="20"/>
                <w:color w:val="auto"/>
              </w:rPr>
            </w:pPr>
            <w:r>
              <w:rPr>
                <w:rFonts w:ascii="Arial" w:cs="Arial" w:eastAsia="Arial" w:hAnsi="Arial"/>
                <w:sz w:val="14"/>
                <w:szCs w:val="14"/>
                <w:b w:val="1"/>
                <w:bCs w:val="1"/>
                <w:color w:val="auto"/>
              </w:rPr>
              <w:t>Title of each class</w:t>
            </w:r>
          </w:p>
        </w:tc>
        <w:tc>
          <w:tcPr>
            <w:tcW w:w="2040" w:type="dxa"/>
            <w:vAlign w:val="bottom"/>
            <w:gridSpan w:val="2"/>
          </w:tcPr>
          <w:p>
            <w:pPr>
              <w:jc w:val="center"/>
              <w:ind w:left="449"/>
              <w:spacing w:after="0"/>
              <w:rPr>
                <w:sz w:val="20"/>
                <w:szCs w:val="20"/>
                <w:color w:val="auto"/>
              </w:rPr>
            </w:pPr>
            <w:r>
              <w:rPr>
                <w:rFonts w:ascii="Arial" w:cs="Arial" w:eastAsia="Arial" w:hAnsi="Arial"/>
                <w:sz w:val="14"/>
                <w:szCs w:val="14"/>
                <w:b w:val="1"/>
                <w:bCs w:val="1"/>
                <w:color w:val="auto"/>
              </w:rPr>
              <w:t>Trading</w:t>
            </w:r>
          </w:p>
        </w:tc>
        <w:tc>
          <w:tcPr>
            <w:tcW w:w="3700" w:type="dxa"/>
            <w:vAlign w:val="bottom"/>
          </w:tcPr>
          <w:p>
            <w:pPr>
              <w:jc w:val="center"/>
              <w:ind w:left="569"/>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4"/>
        </w:trPr>
        <w:tc>
          <w:tcPr>
            <w:tcW w:w="3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r>
      <w:tr>
        <w:trPr>
          <w:trHeight w:val="182"/>
        </w:trPr>
        <w:tc>
          <w:tcPr>
            <w:tcW w:w="3800" w:type="dxa"/>
            <w:vAlign w:val="bottom"/>
            <w:gridSpan w:val="2"/>
          </w:tcPr>
          <w:p>
            <w:pPr>
              <w:jc w:val="center"/>
              <w:ind w:left="449"/>
              <w:spacing w:after="0"/>
              <w:rPr>
                <w:sz w:val="20"/>
                <w:szCs w:val="20"/>
                <w:color w:val="auto"/>
              </w:rPr>
            </w:pPr>
            <w:r>
              <w:rPr>
                <w:rFonts w:ascii="Arial" w:cs="Arial" w:eastAsia="Arial" w:hAnsi="Arial"/>
                <w:sz w:val="14"/>
                <w:szCs w:val="14"/>
                <w:b w:val="1"/>
                <w:bCs w:val="1"/>
                <w:color w:val="auto"/>
              </w:rPr>
              <w:t>Common Stock, par value $0.001 per share</w:t>
            </w:r>
          </w:p>
        </w:tc>
        <w:tc>
          <w:tcPr>
            <w:tcW w:w="2040" w:type="dxa"/>
            <w:vAlign w:val="bottom"/>
            <w:gridSpan w:val="2"/>
          </w:tcPr>
          <w:p>
            <w:pPr>
              <w:jc w:val="center"/>
              <w:ind w:left="449"/>
              <w:spacing w:after="0"/>
              <w:rPr>
                <w:sz w:val="20"/>
                <w:szCs w:val="20"/>
                <w:color w:val="auto"/>
              </w:rPr>
            </w:pPr>
            <w:r>
              <w:rPr>
                <w:rFonts w:ascii="Arial" w:cs="Arial" w:eastAsia="Arial" w:hAnsi="Arial"/>
                <w:sz w:val="14"/>
                <w:szCs w:val="14"/>
                <w:b w:val="1"/>
                <w:bCs w:val="1"/>
                <w:color w:val="auto"/>
                <w:w w:val="92"/>
              </w:rPr>
              <w:t>AVO</w:t>
            </w:r>
          </w:p>
        </w:tc>
        <w:tc>
          <w:tcPr>
            <w:tcW w:w="3700" w:type="dxa"/>
            <w:vAlign w:val="bottom"/>
          </w:tcPr>
          <w:p>
            <w:pPr>
              <w:jc w:val="center"/>
              <w:ind w:left="569"/>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200" w:lineRule="exact"/>
        <w:rPr>
          <w:sz w:val="24"/>
          <w:szCs w:val="24"/>
          <w:color w:val="auto"/>
        </w:rPr>
      </w:pPr>
    </w:p>
    <w:p>
      <w:pPr>
        <w:spacing w:after="0" w:line="220" w:lineRule="exact"/>
        <w:rPr>
          <w:sz w:val="24"/>
          <w:szCs w:val="24"/>
          <w:color w:val="auto"/>
        </w:rPr>
      </w:pPr>
    </w:p>
    <w:p>
      <w:pPr>
        <w:ind w:firstLine="437"/>
        <w:spacing w:after="0" w:line="14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1" w:lineRule="exact"/>
        <w:rPr>
          <w:sz w:val="24"/>
          <w:szCs w:val="24"/>
          <w:color w:val="auto"/>
        </w:rPr>
      </w:pPr>
    </w:p>
    <w:p>
      <w:pPr>
        <w:ind w:right="160" w:firstLine="437"/>
        <w:spacing w:after="0" w:line="142"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1" w:lineRule="exact"/>
        <w:rPr>
          <w:sz w:val="24"/>
          <w:szCs w:val="24"/>
          <w:color w:val="auto"/>
        </w:rPr>
      </w:pPr>
    </w:p>
    <w:p>
      <w:pPr>
        <w:ind w:right="400" w:firstLine="437"/>
        <w:spacing w:after="0" w:line="234"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1300" w:type="dxa"/>
        <w:tblCellMar>
          <w:top w:w="0" w:type="dxa"/>
          <w:left w:w="0" w:type="dxa"/>
          <w:bottom w:w="0" w:type="dxa"/>
          <w:right w:w="0" w:type="dxa"/>
        </w:tblCellMar>
      </w:tblPr>
      <w:tr>
        <w:trPr>
          <w:trHeight w:val="174"/>
        </w:trPr>
        <w:tc>
          <w:tcPr>
            <w:tcW w:w="16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500" w:type="dxa"/>
            <w:vAlign w:val="bottom"/>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4120" w:type="dxa"/>
            <w:vAlign w:val="bottom"/>
          </w:tcPr>
          <w:p>
            <w:pPr>
              <w:ind w:left="2640"/>
              <w:spacing w:after="0"/>
              <w:rPr>
                <w:sz w:val="20"/>
                <w:szCs w:val="20"/>
                <w:color w:val="auto"/>
              </w:rPr>
            </w:pPr>
            <w:r>
              <w:rPr>
                <w:rFonts w:ascii="Arial" w:cs="Arial" w:eastAsia="Arial" w:hAnsi="Arial"/>
                <w:sz w:val="12"/>
                <w:szCs w:val="12"/>
                <w:color w:val="auto"/>
              </w:rPr>
              <w:t>Accelerated filer</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51"/>
        </w:trPr>
        <w:tc>
          <w:tcPr>
            <w:tcW w:w="1600" w:type="dxa"/>
            <w:vAlign w:val="bottom"/>
          </w:tcPr>
          <w:p>
            <w:pPr>
              <w:spacing w:after="0"/>
              <w:rPr>
                <w:sz w:val="20"/>
                <w:szCs w:val="20"/>
                <w:color w:val="auto"/>
              </w:rPr>
            </w:pPr>
            <w:r>
              <w:rPr>
                <w:rFonts w:ascii="Arial" w:cs="Arial" w:eastAsia="Arial" w:hAnsi="Arial"/>
                <w:sz w:val="12"/>
                <w:szCs w:val="12"/>
                <w:color w:val="auto"/>
              </w:rPr>
              <w:t>Non-accelerated filer</w:t>
            </w:r>
          </w:p>
        </w:tc>
        <w:tc>
          <w:tcPr>
            <w:tcW w:w="2500" w:type="dxa"/>
            <w:vAlign w:val="bottom"/>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4120" w:type="dxa"/>
            <w:vAlign w:val="bottom"/>
          </w:tcPr>
          <w:p>
            <w:pPr>
              <w:ind w:left="2640"/>
              <w:spacing w:after="0"/>
              <w:rPr>
                <w:sz w:val="20"/>
                <w:szCs w:val="20"/>
                <w:color w:val="auto"/>
              </w:rPr>
            </w:pPr>
            <w:r>
              <w:rPr>
                <w:rFonts w:ascii="Arial" w:cs="Arial" w:eastAsia="Arial" w:hAnsi="Arial"/>
                <w:sz w:val="12"/>
                <w:szCs w:val="12"/>
                <w:color w:val="auto"/>
              </w:rPr>
              <w:t>Smaller reporting</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500" w:type="dxa"/>
            <w:vAlign w:val="bottom"/>
            <w:vMerge w:val="restart"/>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4120" w:type="dxa"/>
            <w:vAlign w:val="bottom"/>
          </w:tcPr>
          <w:p>
            <w:pPr>
              <w:ind w:left="2000"/>
              <w:spacing w:after="0"/>
              <w:rPr>
                <w:sz w:val="20"/>
                <w:szCs w:val="20"/>
                <w:color w:val="auto"/>
              </w:rPr>
            </w:pPr>
            <w:r>
              <w:rPr>
                <w:rFonts w:ascii="Arial" w:cs="Arial" w:eastAsia="Arial" w:hAnsi="Arial"/>
                <w:sz w:val="12"/>
                <w:szCs w:val="12"/>
                <w:color w:val="auto"/>
              </w:rPr>
              <w:t>company</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20"/>
                <w:szCs w:val="20"/>
                <w:color w:val="auto"/>
              </w:rPr>
            </w:pPr>
            <w:r>
              <w:rPr>
                <w:rFonts w:ascii="Arial" w:cs="Arial" w:eastAsia="Arial" w:hAnsi="Arial"/>
                <w:sz w:val="12"/>
                <w:szCs w:val="12"/>
                <w:color w:val="auto"/>
              </w:rPr>
              <w:t>Emerging growth</w:t>
            </w:r>
          </w:p>
        </w:tc>
        <w:tc>
          <w:tcPr>
            <w:tcW w:w="2500" w:type="dxa"/>
            <w:vAlign w:val="bottom"/>
            <w:vMerge w:val="continue"/>
          </w:tcPr>
          <w:p>
            <w:pPr>
              <w:spacing w:after="0"/>
              <w:rPr>
                <w:sz w:val="12"/>
                <w:szCs w:val="12"/>
                <w:color w:val="auto"/>
              </w:rPr>
            </w:pPr>
          </w:p>
        </w:tc>
        <w:tc>
          <w:tcPr>
            <w:tcW w:w="4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2"/>
          <w:szCs w:val="12"/>
          <w:color w:val="auto"/>
        </w:rPr>
        <w:t>company</w:t>
      </w:r>
    </w:p>
    <w:p>
      <w:pPr>
        <w:spacing w:after="0" w:line="343" w:lineRule="exact"/>
        <w:rPr>
          <w:sz w:val="24"/>
          <w:szCs w:val="24"/>
          <w:color w:val="auto"/>
        </w:rPr>
      </w:pPr>
    </w:p>
    <w:p>
      <w:pPr>
        <w:ind w:right="60" w:firstLine="437"/>
        <w:spacing w:after="0" w:line="14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440" w:right="4220"/>
        <w:spacing w:after="0" w:line="167"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February 28, 2022, the registrant had 70,631,525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746125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401955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427355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1" w:name="page2"/>
    <w:bookmarkEnd w:id="1"/>
    <w:p>
      <w:pPr>
        <w:jc w:val="center"/>
        <w:ind w:right="100"/>
        <w:spacing w:after="0"/>
        <w:rPr>
          <w:sz w:val="20"/>
          <w:szCs w:val="20"/>
          <w:color w:val="auto"/>
        </w:rPr>
      </w:pPr>
      <w:r>
        <w:rPr>
          <w:rFonts w:ascii="Arial" w:cs="Arial" w:eastAsia="Arial" w:hAnsi="Arial"/>
          <w:sz w:val="25"/>
          <w:szCs w:val="25"/>
          <w:b w:val="1"/>
          <w:bCs w:val="1"/>
          <w:color w:val="auto"/>
        </w:rPr>
        <w:t>MISSION PRODUCE, INC.</w:t>
      </w:r>
    </w:p>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FORM 10-Q</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FISCAL FIRST QUARTER 2022</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INDEX</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9"/>
          </w:tcPr>
          <w:p>
            <w:pPr>
              <w:spacing w:after="0"/>
              <w:rPr>
                <w:rFonts w:ascii="Arial" w:cs="Arial" w:eastAsia="Arial" w:hAnsi="Arial"/>
                <w:sz w:val="14"/>
                <w:szCs w:val="14"/>
                <w:color w:val="0000FF"/>
              </w:rPr>
            </w:pPr>
            <w:hyperlink w:anchor="page22">
              <w:r>
                <w:rPr>
                  <w:rFonts w:ascii="Arial" w:cs="Arial" w:eastAsia="Arial" w:hAnsi="Arial"/>
                  <w:sz w:val="14"/>
                  <w:szCs w:val="14"/>
                  <w:color w:val="0000FF"/>
                </w:rPr>
                <w:t>PART I- FINANCIAL INFORMATION</w:t>
              </w:r>
            </w:hyperlink>
          </w:p>
        </w:tc>
        <w:tc>
          <w:tcPr>
            <w:tcW w:w="7620" w:type="dxa"/>
            <w:vAlign w:val="bottom"/>
            <w:gridSpan w:val="13"/>
          </w:tcPr>
          <w:p>
            <w:pPr>
              <w:spacing w:after="0"/>
              <w:rPr>
                <w:sz w:val="14"/>
                <w:szCs w:val="14"/>
                <w:color w:val="auto"/>
              </w:rPr>
            </w:pPr>
          </w:p>
        </w:tc>
        <w:tc>
          <w:tcPr>
            <w:tcW w:w="100" w:type="dxa"/>
            <w:vAlign w:val="bottom"/>
          </w:tcPr>
          <w:p>
            <w:pPr>
              <w:jc w:val="right"/>
              <w:spacing w:after="0"/>
              <w:rPr>
                <w:rFonts w:ascii="Arial" w:cs="Arial" w:eastAsia="Arial" w:hAnsi="Arial"/>
                <w:sz w:val="14"/>
                <w:szCs w:val="14"/>
                <w:color w:val="0000FF"/>
              </w:rPr>
            </w:pPr>
            <w:hyperlink w:anchor="page4">
              <w:r>
                <w:rPr>
                  <w:rFonts w:ascii="Arial" w:cs="Arial" w:eastAsia="Arial" w:hAnsi="Arial"/>
                  <w:sz w:val="14"/>
                  <w:szCs w:val="14"/>
                  <w:color w:val="0000FF"/>
                </w:rPr>
                <w:t>5</w:t>
              </w:r>
            </w:hyperlink>
          </w:p>
        </w:tc>
      </w:tr>
      <w:tr>
        <w:trPr>
          <w:trHeight w:val="341"/>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4"/>
                <w:szCs w:val="14"/>
                <w:color w:val="0000FF"/>
              </w:rPr>
              <w:t>Item</w:t>
            </w:r>
          </w:p>
        </w:tc>
        <w:tc>
          <w:tcPr>
            <w:tcW w:w="762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sz w:val="20"/>
                <w:szCs w:val="20"/>
                <w:color w:val="auto"/>
              </w:rPr>
            </w:pPr>
            <w:r>
              <w:rPr>
                <w:rFonts w:ascii="Arial" w:cs="Arial" w:eastAsia="Arial" w:hAnsi="Arial"/>
                <w:sz w:val="14"/>
                <w:szCs w:val="14"/>
                <w:color w:val="0000FF"/>
              </w:rPr>
              <w:t>1.</w:t>
            </w:r>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sz w:val="20"/>
                <w:szCs w:val="20"/>
                <w:color w:val="auto"/>
              </w:rPr>
            </w:pPr>
            <w:r>
              <w:rPr>
                <w:rFonts w:ascii="Arial" w:cs="Arial" w:eastAsia="Arial" w:hAnsi="Arial"/>
                <w:sz w:val="14"/>
                <w:szCs w:val="14"/>
                <w:color w:val="0000FF"/>
              </w:rPr>
              <w:t>Financial Statements</w:t>
            </w:r>
          </w:p>
        </w:tc>
        <w:tc>
          <w:tcPr>
            <w:tcW w:w="100" w:type="dxa"/>
            <w:vAlign w:val="bottom"/>
          </w:tcPr>
          <w:p>
            <w:pPr>
              <w:jc w:val="right"/>
              <w:spacing w:after="0" w:line="141" w:lineRule="exact"/>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20" w:type="dxa"/>
            <w:vAlign w:val="bottom"/>
            <w:gridSpan w:val="12"/>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Balance Sheets (Unaudited)</w:t>
              </w:r>
            </w:hyperlink>
          </w:p>
        </w:tc>
        <w:tc>
          <w:tcPr>
            <w:tcW w:w="5420" w:type="dxa"/>
            <w:vAlign w:val="bottom"/>
            <w:gridSpan w:val="8"/>
          </w:tcPr>
          <w:p>
            <w:pPr>
              <w:spacing w:after="0"/>
              <w:rPr>
                <w:sz w:val="16"/>
                <w:szCs w:val="16"/>
                <w:color w:val="auto"/>
              </w:rPr>
            </w:pPr>
          </w:p>
        </w:tc>
        <w:tc>
          <w:tcPr>
            <w:tcW w:w="100" w:type="dxa"/>
            <w:vAlign w:val="bottom"/>
          </w:tcPr>
          <w:p>
            <w:pPr>
              <w:jc w:val="right"/>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40" w:type="dxa"/>
            <w:vAlign w:val="bottom"/>
            <w:gridSpan w:val="20"/>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 xml:space="preserve">Condensed Consolidated Statements of </w:t>
              </w:r>
            </w:hyperlink>
            <w:r>
              <w:rPr>
                <w:rFonts w:ascii="Arial" w:cs="Arial" w:eastAsia="Arial" w:hAnsi="Arial"/>
                <w:sz w:val="14"/>
                <w:szCs w:val="14"/>
                <w:color w:val="3051F2"/>
              </w:rPr>
              <w:t>Comprehensive</w:t>
            </w:r>
            <w:r>
              <w:rPr>
                <w:rFonts w:ascii="Arial" w:cs="Arial" w:eastAsia="Arial" w:hAnsi="Arial"/>
                <w:sz w:val="14"/>
                <w:szCs w:val="14"/>
                <w:color w:val="0000FF"/>
              </w:rPr>
              <w:t xml:space="preserve"> </w:t>
            </w:r>
            <w:r>
              <w:rPr>
                <w:rFonts w:ascii="Arial" w:cs="Arial" w:eastAsia="Arial" w:hAnsi="Arial"/>
                <w:sz w:val="14"/>
                <w:szCs w:val="14"/>
                <w:color w:val="3051F2"/>
              </w:rPr>
              <w:t>(Loss) Income (Unaudited)</w:t>
            </w:r>
          </w:p>
        </w:tc>
        <w:tc>
          <w:tcPr>
            <w:tcW w:w="100" w:type="dxa"/>
            <w:vAlign w:val="bottom"/>
          </w:tcPr>
          <w:p>
            <w:pPr>
              <w:jc w:val="right"/>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gridSpan w:val="17"/>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Shareholders’ Equity (Unaudited)</w:t>
              </w:r>
            </w:hyperlink>
          </w:p>
        </w:tc>
        <w:tc>
          <w:tcPr>
            <w:tcW w:w="4180" w:type="dxa"/>
            <w:vAlign w:val="bottom"/>
            <w:gridSpan w:val="3"/>
          </w:tcPr>
          <w:p>
            <w:pPr>
              <w:spacing w:after="0"/>
              <w:rPr>
                <w:sz w:val="16"/>
                <w:szCs w:val="16"/>
                <w:color w:val="auto"/>
              </w:rPr>
            </w:pPr>
          </w:p>
        </w:tc>
        <w:tc>
          <w:tcPr>
            <w:tcW w:w="100" w:type="dxa"/>
            <w:vAlign w:val="bottom"/>
          </w:tcPr>
          <w:p>
            <w:pPr>
              <w:jc w:val="right"/>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80" w:type="dxa"/>
            <w:vAlign w:val="bottom"/>
            <w:gridSpan w:val="15"/>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Condensed Consolidated Statements of Cash Flows (Unaudited)</w:t>
              </w:r>
            </w:hyperlink>
          </w:p>
        </w:tc>
        <w:tc>
          <w:tcPr>
            <w:tcW w:w="580" w:type="dxa"/>
            <w:vAlign w:val="bottom"/>
            <w:gridSpan w:val="2"/>
          </w:tcPr>
          <w:p>
            <w:pPr>
              <w:spacing w:after="0"/>
              <w:rPr>
                <w:sz w:val="16"/>
                <w:szCs w:val="16"/>
                <w:color w:val="auto"/>
              </w:rPr>
            </w:pPr>
          </w:p>
        </w:tc>
        <w:tc>
          <w:tcPr>
            <w:tcW w:w="4180" w:type="dxa"/>
            <w:vAlign w:val="bottom"/>
            <w:gridSpan w:val="3"/>
          </w:tcPr>
          <w:p>
            <w:pPr>
              <w:spacing w:after="0"/>
              <w:rPr>
                <w:sz w:val="16"/>
                <w:szCs w:val="16"/>
                <w:color w:val="auto"/>
              </w:rPr>
            </w:pPr>
          </w:p>
        </w:tc>
        <w:tc>
          <w:tcPr>
            <w:tcW w:w="100" w:type="dxa"/>
            <w:vAlign w:val="bottom"/>
          </w:tcPr>
          <w:p>
            <w:pPr>
              <w:jc w:val="right"/>
              <w:spacing w:after="0"/>
              <w:rPr>
                <w:rFonts w:ascii="Arial" w:cs="Arial" w:eastAsia="Arial" w:hAnsi="Arial"/>
                <w:sz w:val="14"/>
                <w:szCs w:val="14"/>
                <w:color w:val="0000FF"/>
              </w:rPr>
            </w:pPr>
            <w:hyperlink w:anchor="page7">
              <w:r>
                <w:rPr>
                  <w:rFonts w:ascii="Arial" w:cs="Arial" w:eastAsia="Arial" w:hAnsi="Arial"/>
                  <w:sz w:val="14"/>
                  <w:szCs w:val="14"/>
                  <w:color w:val="0000FF"/>
                </w:rPr>
                <w:t>8</w:t>
              </w:r>
            </w:hyperlink>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40" w:type="dxa"/>
            <w:vAlign w:val="bottom"/>
            <w:gridSpan w:val="20"/>
          </w:tcPr>
          <w:p>
            <w:pPr>
              <w:spacing w:after="0"/>
              <w:rPr>
                <w:rFonts w:ascii="Arial" w:cs="Arial" w:eastAsia="Arial" w:hAnsi="Arial"/>
                <w:sz w:val="14"/>
                <w:szCs w:val="14"/>
                <w:color w:val="0000FF"/>
              </w:rPr>
            </w:pPr>
            <w:hyperlink w:anchor="page8">
              <w:r>
                <w:rPr>
                  <w:rFonts w:ascii="Arial" w:cs="Arial" w:eastAsia="Arial" w:hAnsi="Arial"/>
                  <w:sz w:val="14"/>
                  <w:szCs w:val="14"/>
                  <w:color w:val="0000FF"/>
                </w:rPr>
                <w:t>Notes to Unaudited Condensed Consolidated Financial Statements</w:t>
              </w:r>
            </w:hyperlink>
          </w:p>
        </w:tc>
        <w:tc>
          <w:tcPr>
            <w:tcW w:w="100" w:type="dxa"/>
            <w:vAlign w:val="bottom"/>
          </w:tcPr>
          <w:p>
            <w:pPr>
              <w:jc w:val="right"/>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rFonts w:ascii="Arial" w:cs="Arial" w:eastAsia="Arial" w:hAnsi="Arial"/>
                <w:sz w:val="14"/>
                <w:szCs w:val="14"/>
                <w:color w:val="0000FF"/>
              </w:rPr>
            </w:pPr>
            <w:hyperlink w:anchor="page14">
              <w:r>
                <w:rPr>
                  <w:rFonts w:ascii="Arial" w:cs="Arial" w:eastAsia="Arial" w:hAnsi="Arial"/>
                  <w:sz w:val="14"/>
                  <w:szCs w:val="14"/>
                  <w:color w:val="0000FF"/>
                </w:rPr>
                <w:t>Item</w:t>
              </w:r>
            </w:hyperlink>
          </w:p>
        </w:tc>
        <w:tc>
          <w:tcPr>
            <w:tcW w:w="4220" w:type="dxa"/>
            <w:vAlign w:val="bottom"/>
            <w:tcBorders>
              <w:top w:val="single" w:sz="8" w:color="0000FF"/>
            </w:tcBorders>
            <w:gridSpan w:val="16"/>
          </w:tcPr>
          <w:p>
            <w:pPr>
              <w:spacing w:after="0"/>
              <w:rPr>
                <w:sz w:val="16"/>
                <w:szCs w:val="16"/>
                <w:color w:val="auto"/>
              </w:rPr>
            </w:pPr>
          </w:p>
        </w:tc>
        <w:tc>
          <w:tcPr>
            <w:tcW w:w="462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rFonts w:ascii="Arial" w:cs="Arial" w:eastAsia="Arial" w:hAnsi="Arial"/>
                <w:sz w:val="14"/>
                <w:szCs w:val="14"/>
                <w:color w:val="0000FF"/>
              </w:rPr>
            </w:pPr>
            <w:hyperlink w:anchor="page14">
              <w:r>
                <w:rPr>
                  <w:rFonts w:ascii="Arial" w:cs="Arial" w:eastAsia="Arial" w:hAnsi="Arial"/>
                  <w:sz w:val="14"/>
                  <w:szCs w:val="14"/>
                  <w:color w:val="0000FF"/>
                </w:rPr>
                <w:t>2.</w:t>
              </w:r>
            </w:hyperlink>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rFonts w:ascii="Arial" w:cs="Arial" w:eastAsia="Arial" w:hAnsi="Arial"/>
                <w:sz w:val="14"/>
                <w:szCs w:val="14"/>
                <w:color w:val="0000FF"/>
              </w:rPr>
            </w:pPr>
            <w:hyperlink w:anchor="page14">
              <w:r>
                <w:rPr>
                  <w:rFonts w:ascii="Arial" w:cs="Arial" w:eastAsia="Arial" w:hAnsi="Arial"/>
                  <w:sz w:val="14"/>
                  <w:szCs w:val="14"/>
                  <w:color w:val="0000FF"/>
                </w:rPr>
                <w:t>Management's Discussion and Analysis of Financial Condition and Results of Operations</w:t>
              </w:r>
            </w:hyperlink>
          </w:p>
        </w:tc>
        <w:tc>
          <w:tcPr>
            <w:tcW w:w="100" w:type="dxa"/>
            <w:vAlign w:val="bottom"/>
          </w:tcPr>
          <w:p>
            <w:pPr>
              <w:jc w:val="right"/>
              <w:spacing w:after="0" w:line="141" w:lineRule="exact"/>
              <w:rPr>
                <w:rFonts w:ascii="Arial" w:cs="Arial" w:eastAsia="Arial" w:hAnsi="Arial"/>
                <w:sz w:val="14"/>
                <w:szCs w:val="14"/>
                <w:color w:val="0000FF"/>
              </w:rPr>
            </w:pPr>
            <w:hyperlink w:anchor="page14">
              <w:r>
                <w:rPr>
                  <w:rFonts w:ascii="Arial" w:cs="Arial" w:eastAsia="Arial" w:hAnsi="Arial"/>
                  <w:sz w:val="14"/>
                  <w:szCs w:val="14"/>
                  <w:color w:val="0000FF"/>
                </w:rPr>
                <w:t>1</w:t>
              </w:r>
            </w:hyperlink>
          </w:p>
        </w:tc>
      </w:tr>
      <w:tr>
        <w:trPr>
          <w:trHeight w:val="194"/>
        </w:trPr>
        <w:tc>
          <w:tcPr>
            <w:tcW w:w="6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0000FF"/>
              </w:rPr>
              <w:t>Item</w:t>
            </w:r>
          </w:p>
        </w:tc>
        <w:tc>
          <w:tcPr>
            <w:tcW w:w="5600" w:type="dxa"/>
            <w:vAlign w:val="bottom"/>
            <w:tcBorders>
              <w:top w:val="single" w:sz="8" w:color="0000FF"/>
            </w:tcBorders>
            <w:gridSpan w:val="19"/>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sz w:val="20"/>
                <w:szCs w:val="20"/>
                <w:color w:val="auto"/>
              </w:rPr>
            </w:pPr>
            <w:r>
              <w:rPr>
                <w:rFonts w:ascii="Arial" w:cs="Arial" w:eastAsia="Arial" w:hAnsi="Arial"/>
                <w:sz w:val="14"/>
                <w:szCs w:val="14"/>
                <w:color w:val="0000FF"/>
              </w:rPr>
              <w:t>3.</w:t>
            </w:r>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sz w:val="20"/>
                <w:szCs w:val="20"/>
                <w:color w:val="auto"/>
              </w:rPr>
            </w:pPr>
            <w:r>
              <w:rPr>
                <w:rFonts w:ascii="Arial" w:cs="Arial" w:eastAsia="Arial" w:hAnsi="Arial"/>
                <w:sz w:val="14"/>
                <w:szCs w:val="14"/>
                <w:color w:val="0000FF"/>
              </w:rPr>
              <w:t>Quantitative and Qualitative Disclosures About Market Risk</w:t>
            </w:r>
          </w:p>
        </w:tc>
        <w:tc>
          <w:tcPr>
            <w:tcW w:w="100" w:type="dxa"/>
            <w:vAlign w:val="bottom"/>
          </w:tcPr>
          <w:p>
            <w:pPr>
              <w:jc w:val="right"/>
              <w:spacing w:after="0" w:line="141" w:lineRule="exact"/>
              <w:rPr>
                <w:rFonts w:ascii="Arial" w:cs="Arial" w:eastAsia="Arial" w:hAnsi="Arial"/>
                <w:sz w:val="14"/>
                <w:szCs w:val="14"/>
                <w:color w:val="0000FF"/>
              </w:rPr>
            </w:pPr>
            <w:hyperlink w:anchor="page21">
              <w:r>
                <w:rPr>
                  <w:rFonts w:ascii="Arial" w:cs="Arial" w:eastAsia="Arial" w:hAnsi="Arial"/>
                  <w:sz w:val="14"/>
                  <w:szCs w:val="14"/>
                  <w:color w:val="0000FF"/>
                </w:rPr>
                <w:t>2</w:t>
              </w:r>
            </w:hyperlink>
          </w:p>
        </w:tc>
      </w:tr>
      <w:tr>
        <w:trPr>
          <w:trHeight w:val="194"/>
        </w:trPr>
        <w:tc>
          <w:tcPr>
            <w:tcW w:w="6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0000FF"/>
              </w:rPr>
              <w:t>Item</w:t>
            </w:r>
          </w:p>
        </w:tc>
        <w:tc>
          <w:tcPr>
            <w:tcW w:w="3720" w:type="dxa"/>
            <w:vAlign w:val="bottom"/>
            <w:tcBorders>
              <w:top w:val="single" w:sz="8" w:color="0000FF"/>
            </w:tcBorders>
            <w:gridSpan w:val="13"/>
          </w:tcPr>
          <w:p>
            <w:pPr>
              <w:spacing w:after="0"/>
              <w:rPr>
                <w:sz w:val="16"/>
                <w:szCs w:val="16"/>
                <w:color w:val="auto"/>
              </w:rPr>
            </w:pPr>
          </w:p>
        </w:tc>
        <w:tc>
          <w:tcPr>
            <w:tcW w:w="5120" w:type="dxa"/>
            <w:vAlign w:val="bottom"/>
            <w:gridSpan w:val="7"/>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sz w:val="20"/>
                <w:szCs w:val="20"/>
                <w:color w:val="auto"/>
              </w:rPr>
            </w:pPr>
            <w:r>
              <w:rPr>
                <w:rFonts w:ascii="Arial" w:cs="Arial" w:eastAsia="Arial" w:hAnsi="Arial"/>
                <w:sz w:val="14"/>
                <w:szCs w:val="14"/>
                <w:color w:val="0000FF"/>
              </w:rPr>
              <w:t>4.</w:t>
            </w:r>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sz w:val="20"/>
                <w:szCs w:val="20"/>
                <w:color w:val="auto"/>
              </w:rPr>
            </w:pPr>
            <w:r>
              <w:rPr>
                <w:rFonts w:ascii="Arial" w:cs="Arial" w:eastAsia="Arial" w:hAnsi="Arial"/>
                <w:sz w:val="14"/>
                <w:szCs w:val="14"/>
                <w:color w:val="0000FF"/>
              </w:rPr>
              <w:t>Controls and Procedures</w:t>
            </w:r>
          </w:p>
        </w:tc>
        <w:tc>
          <w:tcPr>
            <w:tcW w:w="100" w:type="dxa"/>
            <w:vAlign w:val="bottom"/>
          </w:tcPr>
          <w:p>
            <w:pPr>
              <w:jc w:val="right"/>
              <w:spacing w:after="0" w:line="141" w:lineRule="exact"/>
              <w:rPr>
                <w:rFonts w:ascii="Arial" w:cs="Arial" w:eastAsia="Arial" w:hAnsi="Arial"/>
                <w:sz w:val="14"/>
                <w:szCs w:val="14"/>
                <w:color w:val="0000FF"/>
              </w:rPr>
            </w:pPr>
            <w:hyperlink w:anchor="page22">
              <w:r>
                <w:rPr>
                  <w:rFonts w:ascii="Arial" w:cs="Arial" w:eastAsia="Arial" w:hAnsi="Arial"/>
                  <w:sz w:val="14"/>
                  <w:szCs w:val="14"/>
                  <w:color w:val="0000FF"/>
                </w:rPr>
                <w:t>2</w:t>
              </w:r>
            </w:hyperlink>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r>
      <w:tr>
        <w:trPr>
          <w:trHeight w:val="461"/>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PART II- OTHER INFORMATION</w:t>
              </w:r>
            </w:hyperlink>
          </w:p>
        </w:tc>
        <w:tc>
          <w:tcPr>
            <w:tcW w:w="100" w:type="dxa"/>
            <w:vAlign w:val="bottom"/>
          </w:tcPr>
          <w:p>
            <w:pPr>
              <w:jc w:val="right"/>
              <w:spacing w:after="0"/>
              <w:rPr>
                <w:rFonts w:ascii="Arial" w:cs="Arial" w:eastAsia="Arial" w:hAnsi="Arial"/>
                <w:sz w:val="14"/>
                <w:szCs w:val="14"/>
                <w:color w:val="0000FF"/>
              </w:rPr>
            </w:pPr>
            <w:hyperlink w:anchor="page22">
              <w:r>
                <w:rPr>
                  <w:rFonts w:ascii="Arial" w:cs="Arial" w:eastAsia="Arial" w:hAnsi="Arial"/>
                  <w:sz w:val="14"/>
                  <w:szCs w:val="14"/>
                  <w:color w:val="0000FF"/>
                </w:rPr>
                <w:t>2</w:t>
              </w:r>
            </w:hyperlink>
          </w:p>
        </w:tc>
      </w:tr>
      <w:tr>
        <w:trPr>
          <w:trHeight w:val="341"/>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Borders>
              <w:top w:val="single" w:sz="8" w:color="0000FF"/>
            </w:tcBorders>
            <w:gridSpan w:val="6"/>
          </w:tcPr>
          <w:p>
            <w:pPr>
              <w:spacing w:after="0"/>
              <w:rPr>
                <w:rFonts w:ascii="Arial" w:cs="Arial" w:eastAsia="Arial" w:hAnsi="Arial"/>
                <w:sz w:val="14"/>
                <w:szCs w:val="14"/>
                <w:color w:val="0000FF"/>
              </w:rPr>
            </w:pPr>
            <w:hyperlink w:anchor="page23">
              <w:r>
                <w:rPr>
                  <w:rFonts w:ascii="Arial" w:cs="Arial" w:eastAsia="Arial" w:hAnsi="Arial"/>
                  <w:sz w:val="14"/>
                  <w:szCs w:val="14"/>
                  <w:color w:val="0000FF"/>
                </w:rPr>
                <w:t>Item</w:t>
              </w:r>
            </w:hyperlink>
          </w:p>
        </w:tc>
        <w:tc>
          <w:tcPr>
            <w:tcW w:w="7840" w:type="dxa"/>
            <w:vAlign w:val="bottom"/>
            <w:gridSpan w:val="16"/>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1.</w:t>
              </w:r>
            </w:hyperlink>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Legal Proceedings</w:t>
              </w:r>
            </w:hyperlink>
          </w:p>
        </w:tc>
        <w:tc>
          <w:tcPr>
            <w:tcW w:w="100" w:type="dxa"/>
            <w:vAlign w:val="bottom"/>
          </w:tcPr>
          <w:p>
            <w:pPr>
              <w:jc w:val="right"/>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2</w:t>
              </w:r>
            </w:hyperlink>
          </w:p>
        </w:tc>
      </w:tr>
      <w:tr>
        <w:trPr>
          <w:trHeight w:val="194"/>
        </w:trPr>
        <w:tc>
          <w:tcPr>
            <w:tcW w:w="6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rFonts w:ascii="Arial" w:cs="Arial" w:eastAsia="Arial" w:hAnsi="Arial"/>
                <w:sz w:val="14"/>
                <w:szCs w:val="14"/>
                <w:color w:val="0000FF"/>
              </w:rPr>
            </w:pPr>
            <w:hyperlink w:anchor="page23">
              <w:r>
                <w:rPr>
                  <w:rFonts w:ascii="Arial" w:cs="Arial" w:eastAsia="Arial" w:hAnsi="Arial"/>
                  <w:sz w:val="14"/>
                  <w:szCs w:val="14"/>
                  <w:color w:val="0000FF"/>
                </w:rPr>
                <w:t>Item</w:t>
              </w:r>
            </w:hyperlink>
          </w:p>
        </w:tc>
        <w:tc>
          <w:tcPr>
            <w:tcW w:w="1180" w:type="dxa"/>
            <w:vAlign w:val="bottom"/>
            <w:tcBorders>
              <w:top w:val="single" w:sz="8" w:color="0000FF"/>
            </w:tcBorders>
            <w:gridSpan w:val="6"/>
          </w:tcPr>
          <w:p>
            <w:pPr>
              <w:spacing w:after="0"/>
              <w:rPr>
                <w:sz w:val="16"/>
                <w:szCs w:val="16"/>
                <w:color w:val="auto"/>
              </w:rPr>
            </w:pPr>
          </w:p>
        </w:tc>
        <w:tc>
          <w:tcPr>
            <w:tcW w:w="7660" w:type="dxa"/>
            <w:vAlign w:val="bottom"/>
            <w:gridSpan w:val="14"/>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640" w:type="dxa"/>
            <w:vAlign w:val="bottom"/>
            <w:gridSpan w:val="3"/>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1A.</w:t>
              </w:r>
            </w:hyperlink>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Risk Factors</w:t>
              </w:r>
            </w:hyperlink>
          </w:p>
        </w:tc>
        <w:tc>
          <w:tcPr>
            <w:tcW w:w="100" w:type="dxa"/>
            <w:vAlign w:val="bottom"/>
          </w:tcPr>
          <w:p>
            <w:pPr>
              <w:jc w:val="right"/>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2</w:t>
              </w:r>
            </w:hyperlink>
          </w:p>
        </w:tc>
      </w:tr>
      <w:tr>
        <w:trPr>
          <w:trHeight w:val="194"/>
        </w:trPr>
        <w:tc>
          <w:tcPr>
            <w:tcW w:w="6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rFonts w:ascii="Arial" w:cs="Arial" w:eastAsia="Arial" w:hAnsi="Arial"/>
                <w:sz w:val="14"/>
                <w:szCs w:val="14"/>
                <w:color w:val="0000FF"/>
              </w:rPr>
            </w:pPr>
            <w:hyperlink w:anchor="page23">
              <w:r>
                <w:rPr>
                  <w:rFonts w:ascii="Arial" w:cs="Arial" w:eastAsia="Arial" w:hAnsi="Arial"/>
                  <w:sz w:val="14"/>
                  <w:szCs w:val="14"/>
                  <w:color w:val="0000FF"/>
                </w:rPr>
                <w:t>Item</w:t>
              </w:r>
            </w:hyperlink>
          </w:p>
        </w:tc>
        <w:tc>
          <w:tcPr>
            <w:tcW w:w="780" w:type="dxa"/>
            <w:vAlign w:val="bottom"/>
            <w:tcBorders>
              <w:top w:val="single" w:sz="8" w:color="0000FF"/>
            </w:tcBorders>
            <w:gridSpan w:val="3"/>
          </w:tcPr>
          <w:p>
            <w:pPr>
              <w:spacing w:after="0"/>
              <w:rPr>
                <w:sz w:val="16"/>
                <w:szCs w:val="16"/>
                <w:color w:val="auto"/>
              </w:rPr>
            </w:pPr>
          </w:p>
        </w:tc>
        <w:tc>
          <w:tcPr>
            <w:tcW w:w="8060" w:type="dxa"/>
            <w:vAlign w:val="bottom"/>
            <w:gridSpan w:val="17"/>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2.</w:t>
              </w:r>
            </w:hyperlink>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Unregistered Sales of Equity Securities and Use of Proceeds</w:t>
              </w:r>
            </w:hyperlink>
          </w:p>
        </w:tc>
        <w:tc>
          <w:tcPr>
            <w:tcW w:w="100" w:type="dxa"/>
            <w:vAlign w:val="bottom"/>
          </w:tcPr>
          <w:p>
            <w:pPr>
              <w:jc w:val="right"/>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2</w:t>
              </w:r>
            </w:hyperlink>
          </w:p>
        </w:tc>
      </w:tr>
      <w:tr>
        <w:trPr>
          <w:trHeight w:val="194"/>
        </w:trPr>
        <w:tc>
          <w:tcPr>
            <w:tcW w:w="6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rFonts w:ascii="Arial" w:cs="Arial" w:eastAsia="Arial" w:hAnsi="Arial"/>
                <w:sz w:val="14"/>
                <w:szCs w:val="14"/>
                <w:color w:val="0000FF"/>
              </w:rPr>
            </w:pPr>
            <w:hyperlink w:anchor="page23">
              <w:r>
                <w:rPr>
                  <w:rFonts w:ascii="Arial" w:cs="Arial" w:eastAsia="Arial" w:hAnsi="Arial"/>
                  <w:sz w:val="14"/>
                  <w:szCs w:val="14"/>
                  <w:color w:val="0000FF"/>
                </w:rPr>
                <w:t>Item</w:t>
              </w:r>
            </w:hyperlink>
          </w:p>
        </w:tc>
        <w:tc>
          <w:tcPr>
            <w:tcW w:w="3840" w:type="dxa"/>
            <w:vAlign w:val="bottom"/>
            <w:tcBorders>
              <w:top w:val="single" w:sz="8" w:color="0000FF"/>
            </w:tcBorders>
            <w:gridSpan w:val="14"/>
          </w:tcPr>
          <w:p>
            <w:pPr>
              <w:spacing w:after="0"/>
              <w:rPr>
                <w:sz w:val="16"/>
                <w:szCs w:val="16"/>
                <w:color w:val="auto"/>
              </w:rPr>
            </w:pPr>
          </w:p>
        </w:tc>
        <w:tc>
          <w:tcPr>
            <w:tcW w:w="500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3.</w:t>
              </w:r>
            </w:hyperlink>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Defaults Upon Senior Securities</w:t>
              </w:r>
            </w:hyperlink>
          </w:p>
        </w:tc>
        <w:tc>
          <w:tcPr>
            <w:tcW w:w="100" w:type="dxa"/>
            <w:vAlign w:val="bottom"/>
          </w:tcPr>
          <w:p>
            <w:pPr>
              <w:jc w:val="right"/>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2</w:t>
              </w:r>
            </w:hyperlink>
          </w:p>
        </w:tc>
      </w:tr>
      <w:tr>
        <w:trPr>
          <w:trHeight w:val="194"/>
        </w:trPr>
        <w:tc>
          <w:tcPr>
            <w:tcW w:w="6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rFonts w:ascii="Arial" w:cs="Arial" w:eastAsia="Arial" w:hAnsi="Arial"/>
                <w:sz w:val="14"/>
                <w:szCs w:val="14"/>
                <w:color w:val="0000FF"/>
              </w:rPr>
            </w:pPr>
            <w:hyperlink w:anchor="page23">
              <w:r>
                <w:rPr>
                  <w:rFonts w:ascii="Arial" w:cs="Arial" w:eastAsia="Arial" w:hAnsi="Arial"/>
                  <w:sz w:val="14"/>
                  <w:szCs w:val="14"/>
                  <w:color w:val="0000FF"/>
                </w:rPr>
                <w:t>Item</w:t>
              </w:r>
            </w:hyperlink>
          </w:p>
        </w:tc>
        <w:tc>
          <w:tcPr>
            <w:tcW w:w="2020" w:type="dxa"/>
            <w:vAlign w:val="bottom"/>
            <w:tcBorders>
              <w:top w:val="single" w:sz="8" w:color="0000FF"/>
            </w:tcBorders>
            <w:gridSpan w:val="10"/>
          </w:tcPr>
          <w:p>
            <w:pPr>
              <w:spacing w:after="0"/>
              <w:rPr>
                <w:sz w:val="16"/>
                <w:szCs w:val="16"/>
                <w:color w:val="auto"/>
              </w:rPr>
            </w:pPr>
          </w:p>
        </w:tc>
        <w:tc>
          <w:tcPr>
            <w:tcW w:w="6820" w:type="dxa"/>
            <w:vAlign w:val="bottom"/>
            <w:gridSpan w:val="10"/>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4.</w:t>
              </w:r>
            </w:hyperlink>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Mine Safety Disclosures</w:t>
              </w:r>
            </w:hyperlink>
          </w:p>
        </w:tc>
        <w:tc>
          <w:tcPr>
            <w:tcW w:w="100" w:type="dxa"/>
            <w:vAlign w:val="bottom"/>
          </w:tcPr>
          <w:p>
            <w:pPr>
              <w:jc w:val="right"/>
              <w:spacing w:after="0" w:line="141" w:lineRule="exact"/>
              <w:rPr>
                <w:rFonts w:ascii="Arial" w:cs="Arial" w:eastAsia="Arial" w:hAnsi="Arial"/>
                <w:sz w:val="14"/>
                <w:szCs w:val="14"/>
                <w:color w:val="0000FF"/>
              </w:rPr>
            </w:pPr>
            <w:hyperlink w:anchor="page23">
              <w:r>
                <w:rPr>
                  <w:rFonts w:ascii="Arial" w:cs="Arial" w:eastAsia="Arial" w:hAnsi="Arial"/>
                  <w:sz w:val="14"/>
                  <w:szCs w:val="14"/>
                  <w:color w:val="0000FF"/>
                </w:rPr>
                <w:t>2</w:t>
              </w:r>
            </w:hyperlink>
          </w:p>
        </w:tc>
      </w:tr>
      <w:tr>
        <w:trPr>
          <w:trHeight w:val="194"/>
        </w:trPr>
        <w:tc>
          <w:tcPr>
            <w:tcW w:w="6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rFonts w:ascii="Arial" w:cs="Arial" w:eastAsia="Arial" w:hAnsi="Arial"/>
                <w:sz w:val="14"/>
                <w:szCs w:val="14"/>
                <w:color w:val="0000FF"/>
              </w:rPr>
            </w:pPr>
            <w:hyperlink w:anchor="page24">
              <w:r>
                <w:rPr>
                  <w:rFonts w:ascii="Arial" w:cs="Arial" w:eastAsia="Arial" w:hAnsi="Arial"/>
                  <w:sz w:val="14"/>
                  <w:szCs w:val="14"/>
                  <w:color w:val="0000FF"/>
                </w:rPr>
                <w:t>Item</w:t>
              </w:r>
            </w:hyperlink>
          </w:p>
        </w:tc>
        <w:tc>
          <w:tcPr>
            <w:tcW w:w="1560" w:type="dxa"/>
            <w:vAlign w:val="bottom"/>
            <w:tcBorders>
              <w:top w:val="single" w:sz="8" w:color="0000FF"/>
            </w:tcBorders>
            <w:gridSpan w:val="9"/>
          </w:tcPr>
          <w:p>
            <w:pPr>
              <w:spacing w:after="0"/>
              <w:rPr>
                <w:sz w:val="16"/>
                <w:szCs w:val="16"/>
                <w:color w:val="auto"/>
              </w:rPr>
            </w:pPr>
          </w:p>
        </w:tc>
        <w:tc>
          <w:tcPr>
            <w:tcW w:w="7280" w:type="dxa"/>
            <w:vAlign w:val="bottom"/>
            <w:gridSpan w:val="11"/>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rFonts w:ascii="Arial" w:cs="Arial" w:eastAsia="Arial" w:hAnsi="Arial"/>
                <w:sz w:val="14"/>
                <w:szCs w:val="14"/>
                <w:color w:val="0000FF"/>
              </w:rPr>
            </w:pPr>
            <w:hyperlink w:anchor="page24">
              <w:r>
                <w:rPr>
                  <w:rFonts w:ascii="Arial" w:cs="Arial" w:eastAsia="Arial" w:hAnsi="Arial"/>
                  <w:sz w:val="14"/>
                  <w:szCs w:val="14"/>
                  <w:color w:val="0000FF"/>
                </w:rPr>
                <w:t>5.</w:t>
              </w:r>
            </w:hyperlink>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rFonts w:ascii="Arial" w:cs="Arial" w:eastAsia="Arial" w:hAnsi="Arial"/>
                <w:sz w:val="14"/>
                <w:szCs w:val="14"/>
                <w:color w:val="0000FF"/>
              </w:rPr>
            </w:pPr>
            <w:hyperlink w:anchor="page24">
              <w:r>
                <w:rPr>
                  <w:rFonts w:ascii="Arial" w:cs="Arial" w:eastAsia="Arial" w:hAnsi="Arial"/>
                  <w:sz w:val="14"/>
                  <w:szCs w:val="14"/>
                  <w:color w:val="0000FF"/>
                </w:rPr>
                <w:t>Other Information</w:t>
              </w:r>
            </w:hyperlink>
          </w:p>
        </w:tc>
        <w:tc>
          <w:tcPr>
            <w:tcW w:w="100" w:type="dxa"/>
            <w:vAlign w:val="bottom"/>
          </w:tcPr>
          <w:p>
            <w:pPr>
              <w:jc w:val="right"/>
              <w:spacing w:after="0" w:line="141" w:lineRule="exact"/>
              <w:rPr>
                <w:rFonts w:ascii="Arial" w:cs="Arial" w:eastAsia="Arial" w:hAnsi="Arial"/>
                <w:sz w:val="14"/>
                <w:szCs w:val="14"/>
                <w:color w:val="0000FF"/>
              </w:rPr>
            </w:pPr>
            <w:hyperlink w:anchor="page24">
              <w:r>
                <w:rPr>
                  <w:rFonts w:ascii="Arial" w:cs="Arial" w:eastAsia="Arial" w:hAnsi="Arial"/>
                  <w:sz w:val="14"/>
                  <w:szCs w:val="14"/>
                  <w:color w:val="0000FF"/>
                </w:rPr>
                <w:t>2</w:t>
              </w:r>
            </w:hyperlink>
          </w:p>
        </w:tc>
      </w:tr>
      <w:tr>
        <w:trPr>
          <w:trHeight w:val="194"/>
        </w:trPr>
        <w:tc>
          <w:tcPr>
            <w:tcW w:w="6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spacing w:after="0"/>
              <w:rPr>
                <w:rFonts w:ascii="Arial" w:cs="Arial" w:eastAsia="Arial" w:hAnsi="Arial"/>
                <w:sz w:val="14"/>
                <w:szCs w:val="14"/>
                <w:color w:val="0000FF"/>
              </w:rPr>
            </w:pPr>
            <w:hyperlink w:anchor="page24">
              <w:r>
                <w:rPr>
                  <w:rFonts w:ascii="Arial" w:cs="Arial" w:eastAsia="Arial" w:hAnsi="Arial"/>
                  <w:sz w:val="14"/>
                  <w:szCs w:val="14"/>
                  <w:color w:val="0000FF"/>
                </w:rPr>
                <w:t>Item</w:t>
              </w:r>
            </w:hyperlink>
          </w:p>
        </w:tc>
        <w:tc>
          <w:tcPr>
            <w:tcW w:w="1100" w:type="dxa"/>
            <w:vAlign w:val="bottom"/>
            <w:tcBorders>
              <w:top w:val="single" w:sz="8" w:color="0000FF"/>
            </w:tcBorders>
            <w:gridSpan w:val="5"/>
          </w:tcPr>
          <w:p>
            <w:pPr>
              <w:spacing w:after="0"/>
              <w:rPr>
                <w:sz w:val="16"/>
                <w:szCs w:val="16"/>
                <w:color w:val="auto"/>
              </w:rPr>
            </w:pPr>
          </w:p>
        </w:tc>
        <w:tc>
          <w:tcPr>
            <w:tcW w:w="7740" w:type="dxa"/>
            <w:vAlign w:val="bottom"/>
            <w:gridSpan w:val="15"/>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660" w:type="dxa"/>
            <w:vAlign w:val="bottom"/>
          </w:tcPr>
          <w:p>
            <w:pPr>
              <w:spacing w:after="0"/>
              <w:rPr>
                <w:sz w:val="12"/>
                <w:szCs w:val="12"/>
                <w:color w:val="auto"/>
              </w:rPr>
            </w:pPr>
          </w:p>
        </w:tc>
        <w:tc>
          <w:tcPr>
            <w:tcW w:w="220" w:type="dxa"/>
            <w:vAlign w:val="bottom"/>
            <w:gridSpan w:val="2"/>
          </w:tcPr>
          <w:p>
            <w:pPr>
              <w:spacing w:after="0" w:line="141" w:lineRule="exact"/>
              <w:rPr>
                <w:rFonts w:ascii="Arial" w:cs="Arial" w:eastAsia="Arial" w:hAnsi="Arial"/>
                <w:sz w:val="14"/>
                <w:szCs w:val="14"/>
                <w:color w:val="0000FF"/>
              </w:rPr>
            </w:pPr>
            <w:hyperlink w:anchor="page24">
              <w:r>
                <w:rPr>
                  <w:rFonts w:ascii="Arial" w:cs="Arial" w:eastAsia="Arial" w:hAnsi="Arial"/>
                  <w:sz w:val="14"/>
                  <w:szCs w:val="14"/>
                  <w:color w:val="0000FF"/>
                </w:rPr>
                <w:t>6.</w:t>
              </w:r>
            </w:hyperlink>
          </w:p>
        </w:tc>
        <w:tc>
          <w:tcPr>
            <w:tcW w:w="4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20" w:type="dxa"/>
            <w:vAlign w:val="bottom"/>
          </w:tcPr>
          <w:p>
            <w:pPr>
              <w:spacing w:after="0"/>
              <w:rPr>
                <w:sz w:val="12"/>
                <w:szCs w:val="12"/>
                <w:color w:val="auto"/>
              </w:rPr>
            </w:pPr>
          </w:p>
        </w:tc>
        <w:tc>
          <w:tcPr>
            <w:tcW w:w="8840" w:type="dxa"/>
            <w:vAlign w:val="bottom"/>
            <w:gridSpan w:val="20"/>
          </w:tcPr>
          <w:p>
            <w:pPr>
              <w:spacing w:after="0" w:line="141" w:lineRule="exact"/>
              <w:rPr>
                <w:rFonts w:ascii="Arial" w:cs="Arial" w:eastAsia="Arial" w:hAnsi="Arial"/>
                <w:sz w:val="14"/>
                <w:szCs w:val="14"/>
                <w:color w:val="0000FF"/>
              </w:rPr>
            </w:pPr>
            <w:hyperlink w:anchor="page24">
              <w:r>
                <w:rPr>
                  <w:rFonts w:ascii="Arial" w:cs="Arial" w:eastAsia="Arial" w:hAnsi="Arial"/>
                  <w:sz w:val="14"/>
                  <w:szCs w:val="14"/>
                  <w:color w:val="0000FF"/>
                </w:rPr>
                <w:t>Exhibits</w:t>
              </w:r>
            </w:hyperlink>
          </w:p>
        </w:tc>
        <w:tc>
          <w:tcPr>
            <w:tcW w:w="100" w:type="dxa"/>
            <w:vAlign w:val="bottom"/>
          </w:tcPr>
          <w:p>
            <w:pPr>
              <w:jc w:val="right"/>
              <w:spacing w:after="0" w:line="141" w:lineRule="exact"/>
              <w:rPr>
                <w:rFonts w:ascii="Arial" w:cs="Arial" w:eastAsia="Arial" w:hAnsi="Arial"/>
                <w:sz w:val="14"/>
                <w:szCs w:val="14"/>
                <w:color w:val="0000FF"/>
              </w:rPr>
            </w:pPr>
            <w:hyperlink w:anchor="page24">
              <w:r>
                <w:rPr>
                  <w:rFonts w:ascii="Arial" w:cs="Arial" w:eastAsia="Arial" w:hAnsi="Arial"/>
                  <w:sz w:val="14"/>
                  <w:szCs w:val="14"/>
                  <w:color w:val="0000FF"/>
                </w:rPr>
                <w:t>2</w:t>
              </w:r>
            </w:hyperlink>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18"/>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r>
      <w:tr>
        <w:trPr>
          <w:trHeight w:val="408"/>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40" w:type="dxa"/>
            <w:vAlign w:val="bottom"/>
            <w:gridSpan w:val="20"/>
          </w:tcPr>
          <w:p>
            <w:pPr>
              <w:spacing w:after="0"/>
              <w:rPr>
                <w:rFonts w:ascii="Arial" w:cs="Arial" w:eastAsia="Arial" w:hAnsi="Arial"/>
                <w:sz w:val="14"/>
                <w:szCs w:val="14"/>
                <w:color w:val="0000FF"/>
              </w:rPr>
            </w:pPr>
            <w:hyperlink w:anchor="page24">
              <w:r>
                <w:rPr>
                  <w:rFonts w:ascii="Arial" w:cs="Arial" w:eastAsia="Arial" w:hAnsi="Arial"/>
                  <w:sz w:val="14"/>
                  <w:szCs w:val="14"/>
                  <w:color w:val="0000FF"/>
                </w:rPr>
                <w:t>Signatures</w:t>
              </w:r>
            </w:hyperlink>
          </w:p>
        </w:tc>
        <w:tc>
          <w:tcPr>
            <w:tcW w:w="100" w:type="dxa"/>
            <w:vAlign w:val="bottom"/>
          </w:tcPr>
          <w:p>
            <w:pPr>
              <w:jc w:val="right"/>
              <w:spacing w:after="0"/>
              <w:rPr>
                <w:rFonts w:ascii="Arial" w:cs="Arial" w:eastAsia="Arial" w:hAnsi="Arial"/>
                <w:sz w:val="14"/>
                <w:szCs w:val="14"/>
                <w:color w:val="0000FF"/>
              </w:rPr>
            </w:pPr>
            <w:hyperlink w:anchor="page24">
              <w:r>
                <w:rPr>
                  <w:rFonts w:ascii="Arial" w:cs="Arial" w:eastAsia="Arial" w:hAnsi="Arial"/>
                  <w:sz w:val="14"/>
                  <w:szCs w:val="14"/>
                  <w:color w:val="0000FF"/>
                </w:rPr>
                <w:t>2</w:t>
              </w:r>
            </w:hyperlink>
          </w:p>
        </w:tc>
      </w:tr>
      <w:tr>
        <w:trPr>
          <w:trHeight w:val="869"/>
        </w:trPr>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7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FORWARD LOOKING STATEMENTS</w:t>
      </w:r>
    </w:p>
    <w:p>
      <w:pPr>
        <w:spacing w:after="0" w:line="241" w:lineRule="exact"/>
        <w:rPr>
          <w:sz w:val="20"/>
          <w:szCs w:val="20"/>
          <w:color w:val="auto"/>
        </w:rPr>
      </w:pPr>
    </w:p>
    <w:p>
      <w:pPr>
        <w:ind w:right="40" w:firstLine="642"/>
        <w:spacing w:after="0" w:line="245" w:lineRule="auto"/>
        <w:rPr>
          <w:sz w:val="20"/>
          <w:szCs w:val="20"/>
          <w:color w:val="auto"/>
        </w:rPr>
      </w:pPr>
      <w:r>
        <w:rPr>
          <w:rFonts w:ascii="Arial" w:cs="Arial" w:eastAsia="Arial" w:hAnsi="Arial"/>
          <w:sz w:val="16"/>
          <w:szCs w:val="16"/>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209" w:lineRule="exact"/>
        <w:rPr>
          <w:sz w:val="20"/>
          <w:szCs w:val="20"/>
          <w:color w:val="auto"/>
        </w:rPr>
      </w:pPr>
    </w:p>
    <w:p>
      <w:pPr>
        <w:ind w:left="1300" w:right="100" w:hanging="330"/>
        <w:spacing w:after="0" w:line="245"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business, including: limitations regarding the supply of avocados, either through purchasing or growing; the loss of one or more of our largest customers or a reduction in the level of purchases by customers; doing business internationally, including Mexican and Peruvian economic, political and/or societal conditions; fluctuations in market prices of avocados; increasing competition; inherent farming risks; variations in operating results due to the seasonality of the business; general economic conditions; the effects of the COVID-19 pandemic, including resulting economic conditions; inflationary pressures and increases in costs of commodities or other products used in our business; food safety events and recalls of our products; changes to USDA and FDA regulations, U.S. trade policy, and/or tariff and import/export regulations; restrictions due to health and safety laws; significant costs associated with compliance with environmental laws and regulations; acquisitions of other businesses; the ability of our infrastructure to handle our business needs; supply chain failures or disruptions; disruption to the supply of reliable and cost-effective transportation; failure to recruit and retain key personnel and an adequate labor supply and lack of good employee relations; information system security risks, data protection breaches and systems integration issues; changes in privacy and/or information security laws, policies and/or contractual arrangements; material litigation or adverse governmental actions; failure to maintain or protect our brand; changes in tax rates or international tax legislation; and risks associated with our indebtedness.</w:t>
      </w:r>
    </w:p>
    <w:p>
      <w:pPr>
        <w:spacing w:after="0" w:line="206" w:lineRule="exact"/>
        <w:rPr>
          <w:rFonts w:ascii="Arial" w:cs="Arial" w:eastAsia="Arial" w:hAnsi="Arial"/>
          <w:sz w:val="16"/>
          <w:szCs w:val="16"/>
          <w:color w:val="auto"/>
        </w:rPr>
      </w:pPr>
    </w:p>
    <w:p>
      <w:pPr>
        <w:ind w:left="1300" w:right="60" w:hanging="330"/>
        <w:spacing w:after="0" w:line="246"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common stock, including: the viability of an active, liquid, and orderly market for our common stock; volatility in the trading price of our common stock; concentration of control in our executive officers, directors and principal stockholders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205" w:lineRule="exact"/>
        <w:rPr>
          <w:rFonts w:ascii="Arial" w:cs="Arial" w:eastAsia="Arial" w:hAnsi="Arial"/>
          <w:sz w:val="16"/>
          <w:szCs w:val="16"/>
          <w:color w:val="auto"/>
        </w:rPr>
      </w:pPr>
    </w:p>
    <w:p>
      <w:pPr>
        <w:ind w:left="1300" w:right="140" w:hanging="330"/>
        <w:spacing w:after="0" w:line="256"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factors listed under “Item 1A. Risk Factors” in our most recent Annual Report on Form 10-K for the year ended October 31, 2021 and elsewhere in this report.</w:t>
      </w:r>
    </w:p>
    <w:p>
      <w:pPr>
        <w:spacing w:after="0" w:line="196" w:lineRule="exact"/>
        <w:rPr>
          <w:sz w:val="20"/>
          <w:szCs w:val="20"/>
          <w:color w:val="auto"/>
        </w:rPr>
      </w:pPr>
    </w:p>
    <w:p>
      <w:pPr>
        <w:ind w:right="20" w:firstLine="642"/>
        <w:spacing w:after="0" w:line="245" w:lineRule="auto"/>
        <w:rPr>
          <w:sz w:val="20"/>
          <w:szCs w:val="20"/>
          <w:color w:val="auto"/>
        </w:rPr>
      </w:pPr>
      <w:r>
        <w:rPr>
          <w:rFonts w:ascii="Arial" w:cs="Arial" w:eastAsia="Arial" w:hAnsi="Arial"/>
          <w:sz w:val="16"/>
          <w:szCs w:val="16"/>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2021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9" w:lineRule="exact"/>
        <w:rPr>
          <w:sz w:val="20"/>
          <w:szCs w:val="20"/>
          <w:color w:val="auto"/>
        </w:rPr>
      </w:pPr>
    </w:p>
    <w:p>
      <w:pPr>
        <w:ind w:right="100" w:firstLine="642"/>
        <w:spacing w:after="0" w:line="24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2" w:lineRule="exact"/>
        <w:rPr>
          <w:sz w:val="20"/>
          <w:szCs w:val="20"/>
          <w:color w:val="auto"/>
        </w:rPr>
      </w:pPr>
    </w:p>
    <w:p>
      <w:pPr>
        <w:ind w:right="60" w:firstLine="642"/>
        <w:spacing w:after="0" w:line="250" w:lineRule="auto"/>
        <w:rPr>
          <w:sz w:val="20"/>
          <w:szCs w:val="20"/>
          <w:color w:val="auto"/>
        </w:rPr>
      </w:pPr>
      <w:r>
        <w:rPr>
          <w:rFonts w:ascii="Arial" w:cs="Arial" w:eastAsia="Arial" w:hAnsi="Arial"/>
          <w:sz w:val="16"/>
          <w:szCs w:val="16"/>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1" w:lineRule="exact"/>
        <w:rPr>
          <w:sz w:val="20"/>
          <w:szCs w:val="20"/>
          <w:color w:val="auto"/>
        </w:rPr>
      </w:pPr>
    </w:p>
    <w:p>
      <w:pPr>
        <w:ind w:firstLine="642"/>
        <w:spacing w:after="0" w:line="250" w:lineRule="auto"/>
        <w:rPr>
          <w:sz w:val="20"/>
          <w:szCs w:val="20"/>
          <w:color w:val="auto"/>
        </w:rPr>
      </w:pPr>
      <w:r>
        <w:rPr>
          <w:rFonts w:ascii="Arial" w:cs="Arial" w:eastAsia="Arial" w:hAnsi="Arial"/>
          <w:sz w:val="16"/>
          <w:szCs w:val="16"/>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201" w:lineRule="exact"/>
        <w:rPr>
          <w:sz w:val="20"/>
          <w:szCs w:val="20"/>
          <w:color w:val="auto"/>
        </w:rPr>
      </w:pPr>
    </w:p>
    <w:p>
      <w:pPr>
        <w:ind w:right="40" w:firstLine="642"/>
        <w:spacing w:after="0" w:line="250" w:lineRule="auto"/>
        <w:rPr>
          <w:sz w:val="20"/>
          <w:szCs w:val="20"/>
          <w:color w:val="auto"/>
        </w:rPr>
      </w:pPr>
      <w:r>
        <w:rPr>
          <w:rFonts w:ascii="Arial" w:cs="Arial" w:eastAsia="Arial" w:hAnsi="Arial"/>
          <w:sz w:val="16"/>
          <w:szCs w:val="16"/>
          <w:color w:val="auto"/>
        </w:rPr>
        <w:t>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w:t>
      </w: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not assert, to the fullest extent under applicable law, our rights, or that the applicable owner will not assert its rights, to these trademarks and tradenames.</w:t>
      </w:r>
    </w:p>
    <w:p>
      <w:pPr>
        <w:spacing w:after="0" w:line="217" w:lineRule="exact"/>
        <w:rPr>
          <w:sz w:val="20"/>
          <w:szCs w:val="20"/>
          <w:color w:val="auto"/>
        </w:rPr>
      </w:pPr>
    </w:p>
    <w:p>
      <w:pPr>
        <w:ind w:firstLine="642"/>
        <w:spacing w:after="0" w:line="248" w:lineRule="auto"/>
        <w:rPr>
          <w:sz w:val="20"/>
          <w:szCs w:val="20"/>
          <w:color w:val="auto"/>
        </w:rPr>
      </w:pPr>
      <w:r>
        <w:rPr>
          <w:rFonts w:ascii="Arial" w:cs="Arial" w:eastAsia="Arial" w:hAnsi="Arial"/>
          <w:sz w:val="16"/>
          <w:szCs w:val="16"/>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0"/>
        </w:trPr>
        <w:tc>
          <w:tcPr>
            <w:tcW w:w="860" w:type="dxa"/>
            <w:vAlign w:val="bottom"/>
          </w:tcPr>
          <w:p>
            <w:pPr>
              <w:spacing w:after="0"/>
              <w:rPr>
                <w:sz w:val="24"/>
                <w:szCs w:val="24"/>
                <w:color w:val="auto"/>
              </w:rPr>
            </w:pPr>
          </w:p>
        </w:tc>
        <w:tc>
          <w:tcPr>
            <w:tcW w:w="7060" w:type="dxa"/>
            <w:vAlign w:val="bottom"/>
          </w:tcPr>
          <w:p>
            <w:pPr>
              <w:jc w:val="center"/>
              <w:ind w:left="2393"/>
              <w:spacing w:after="0"/>
              <w:rPr>
                <w:sz w:val="20"/>
                <w:szCs w:val="20"/>
                <w:color w:val="auto"/>
              </w:rPr>
            </w:pPr>
            <w:r>
              <w:rPr>
                <w:rFonts w:ascii="Arial" w:cs="Arial" w:eastAsia="Arial" w:hAnsi="Arial"/>
                <w:sz w:val="25"/>
                <w:szCs w:val="25"/>
                <w:b w:val="1"/>
                <w:bCs w:val="1"/>
                <w:color w:val="auto"/>
                <w:w w:val="98"/>
              </w:rPr>
              <w:t>PART I- FINANCIAL INFORMATION</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8"/>
        </w:trPr>
        <w:tc>
          <w:tcPr>
            <w:tcW w:w="860" w:type="dxa"/>
            <w:vAlign w:val="bottom"/>
          </w:tcPr>
          <w:p>
            <w:pPr>
              <w:spacing w:after="0"/>
              <w:rPr>
                <w:sz w:val="20"/>
                <w:szCs w:val="20"/>
                <w:color w:val="auto"/>
              </w:rPr>
            </w:pPr>
            <w:r>
              <w:rPr>
                <w:rFonts w:ascii="Arial" w:cs="Arial" w:eastAsia="Arial" w:hAnsi="Arial"/>
                <w:sz w:val="25"/>
                <w:szCs w:val="25"/>
                <w:b w:val="1"/>
                <w:bCs w:val="1"/>
                <w:color w:val="auto"/>
              </w:rPr>
              <w:t>Item 1.</w:t>
            </w:r>
          </w:p>
        </w:tc>
        <w:tc>
          <w:tcPr>
            <w:tcW w:w="7060" w:type="dxa"/>
            <w:vAlign w:val="bottom"/>
          </w:tcPr>
          <w:p>
            <w:pPr>
              <w:ind w:left="220"/>
              <w:spacing w:after="0"/>
              <w:rPr>
                <w:sz w:val="20"/>
                <w:szCs w:val="20"/>
                <w:color w:val="auto"/>
              </w:rPr>
            </w:pPr>
            <w:r>
              <w:rPr>
                <w:rFonts w:ascii="Arial" w:cs="Arial" w:eastAsia="Arial" w:hAnsi="Arial"/>
                <w:sz w:val="25"/>
                <w:szCs w:val="25"/>
                <w:b w:val="1"/>
                <w:bCs w:val="1"/>
                <w:color w:val="auto"/>
              </w:rPr>
              <w:t>Financial Statements</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2"/>
        </w:trPr>
        <w:tc>
          <w:tcPr>
            <w:tcW w:w="860" w:type="dxa"/>
            <w:vAlign w:val="bottom"/>
          </w:tcPr>
          <w:p>
            <w:pPr>
              <w:spacing w:after="0"/>
              <w:rPr>
                <w:sz w:val="24"/>
                <w:szCs w:val="24"/>
                <w:color w:val="auto"/>
              </w:rPr>
            </w:pPr>
          </w:p>
        </w:tc>
        <w:tc>
          <w:tcPr>
            <w:tcW w:w="7060" w:type="dxa"/>
            <w:vAlign w:val="bottom"/>
          </w:tcPr>
          <w:p>
            <w:pPr>
              <w:jc w:val="center"/>
              <w:ind w:left="2373"/>
              <w:spacing w:after="0"/>
              <w:rPr>
                <w:sz w:val="20"/>
                <w:szCs w:val="20"/>
                <w:color w:val="auto"/>
              </w:rPr>
            </w:pPr>
            <w:r>
              <w:rPr>
                <w:rFonts w:ascii="Arial" w:cs="Arial" w:eastAsia="Arial" w:hAnsi="Arial"/>
                <w:sz w:val="20"/>
                <w:szCs w:val="20"/>
                <w:b w:val="1"/>
                <w:bCs w:val="1"/>
                <w:color w:val="auto"/>
                <w:w w:val="97"/>
              </w:rPr>
              <w:t>MISSION PRODUCE, INC.</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1"/>
        </w:trPr>
        <w:tc>
          <w:tcPr>
            <w:tcW w:w="860" w:type="dxa"/>
            <w:vAlign w:val="bottom"/>
          </w:tcPr>
          <w:p>
            <w:pPr>
              <w:spacing w:after="0"/>
              <w:rPr>
                <w:sz w:val="24"/>
                <w:szCs w:val="24"/>
                <w:color w:val="auto"/>
              </w:rPr>
            </w:pPr>
          </w:p>
        </w:tc>
        <w:tc>
          <w:tcPr>
            <w:tcW w:w="8760" w:type="dxa"/>
            <w:vAlign w:val="bottom"/>
            <w:gridSpan w:val="3"/>
          </w:tcPr>
          <w:p>
            <w:pPr>
              <w:jc w:val="center"/>
              <w:ind w:left="673"/>
              <w:spacing w:after="0"/>
              <w:rPr>
                <w:sz w:val="20"/>
                <w:szCs w:val="20"/>
                <w:color w:val="auto"/>
              </w:rPr>
            </w:pPr>
            <w:r>
              <w:rPr>
                <w:rFonts w:ascii="Arial" w:cs="Arial" w:eastAsia="Arial" w:hAnsi="Arial"/>
                <w:sz w:val="20"/>
                <w:szCs w:val="20"/>
                <w:b w:val="1"/>
                <w:bCs w:val="1"/>
                <w:color w:val="auto"/>
                <w:w w:val="97"/>
              </w:rPr>
              <w:t>CONDENSED CONSOLIDATED BALANCE SHEETS (UNAUDITED)</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6"/>
        </w:trPr>
        <w:tc>
          <w:tcPr>
            <w:tcW w:w="792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4"/>
        </w:trPr>
        <w:tc>
          <w:tcPr>
            <w:tcW w:w="7920" w:type="dxa"/>
            <w:vAlign w:val="bottom"/>
            <w:gridSpan w:val="2"/>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 except for shares)</w:t>
            </w:r>
          </w:p>
        </w:tc>
        <w:tc>
          <w:tcPr>
            <w:tcW w:w="340" w:type="dxa"/>
            <w:vAlign w:val="bottom"/>
            <w:shd w:val="clear" w:color="auto" w:fill="43C0B9"/>
          </w:tcPr>
          <w:p>
            <w:pPr>
              <w:spacing w:after="0"/>
              <w:rPr>
                <w:sz w:val="18"/>
                <w:szCs w:val="18"/>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January 31, 2022</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October 31, 2021</w:t>
            </w:r>
          </w:p>
        </w:tc>
      </w:tr>
      <w:tr>
        <w:trPr>
          <w:trHeight w:val="214"/>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70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920" w:type="dxa"/>
            <w:vAlign w:val="bottom"/>
            <w:gridSpan w:val="2"/>
            <w:shd w:val="clear" w:color="auto" w:fill="DBDBDB"/>
          </w:tcPr>
          <w:p>
            <w:pPr>
              <w:ind w:left="4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25.3</w:t>
            </w:r>
          </w:p>
        </w:tc>
        <w:tc>
          <w:tcPr>
            <w:tcW w:w="30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84.5</w:t>
            </w:r>
          </w:p>
        </w:tc>
      </w:tr>
      <w:tr>
        <w:trPr>
          <w:trHeight w:val="208"/>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20"/>
        </w:trPr>
        <w:tc>
          <w:tcPr>
            <w:tcW w:w="7920" w:type="dxa"/>
            <w:vAlign w:val="bottom"/>
            <w:gridSpan w:val="2"/>
            <w:shd w:val="clear" w:color="auto" w:fill="DBDBDB"/>
          </w:tcPr>
          <w:p>
            <w:pPr>
              <w:ind w:left="46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08"/>
        </w:trPr>
        <w:tc>
          <w:tcPr>
            <w:tcW w:w="86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4"/>
                <w:szCs w:val="14"/>
                <w:color w:val="auto"/>
              </w:rPr>
              <w:t>Trade, net of allowances of $0.1 and $0.2, respectively</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101.2</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73.8</w:t>
            </w:r>
          </w:p>
        </w:tc>
      </w:tr>
      <w:tr>
        <w:trPr>
          <w:trHeight w:val="220"/>
        </w:trPr>
        <w:tc>
          <w:tcPr>
            <w:tcW w:w="860" w:type="dxa"/>
            <w:vAlign w:val="bottom"/>
            <w:shd w:val="clear" w:color="auto" w:fill="DBDBDB"/>
          </w:tcPr>
          <w:p>
            <w:pPr>
              <w:spacing w:after="0"/>
              <w:rPr>
                <w:sz w:val="19"/>
                <w:szCs w:val="19"/>
                <w:color w:val="auto"/>
              </w:rPr>
            </w:pPr>
          </w:p>
        </w:tc>
        <w:tc>
          <w:tcPr>
            <w:tcW w:w="7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Grower and fruit advances</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3.5</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0.6</w:t>
            </w:r>
          </w:p>
        </w:tc>
      </w:tr>
      <w:tr>
        <w:trPr>
          <w:trHeight w:val="208"/>
        </w:trPr>
        <w:tc>
          <w:tcPr>
            <w:tcW w:w="86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4"/>
                <w:szCs w:val="14"/>
                <w:color w:val="auto"/>
              </w:rPr>
              <w:t>Miscellaneous receivables</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9.2</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20"/>
        </w:trPr>
        <w:tc>
          <w:tcPr>
            <w:tcW w:w="7920" w:type="dxa"/>
            <w:vAlign w:val="bottom"/>
            <w:gridSpan w:val="2"/>
            <w:shd w:val="clear" w:color="auto" w:fill="DBDBDB"/>
          </w:tcPr>
          <w:p>
            <w:pPr>
              <w:ind w:left="46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79.3</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48.2</w:t>
            </w:r>
          </w:p>
        </w:tc>
      </w:tr>
      <w:tr>
        <w:trPr>
          <w:trHeight w:val="208"/>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11.3</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20"/>
        </w:trPr>
        <w:tc>
          <w:tcPr>
            <w:tcW w:w="7920" w:type="dxa"/>
            <w:vAlign w:val="bottom"/>
            <w:gridSpan w:val="2"/>
            <w:shd w:val="clear" w:color="auto" w:fill="DBDBDB"/>
          </w:tcPr>
          <w:p>
            <w:pPr>
              <w:ind w:left="460"/>
              <w:spacing w:after="0"/>
              <w:rPr>
                <w:sz w:val="20"/>
                <w:szCs w:val="20"/>
                <w:color w:val="auto"/>
              </w:rPr>
            </w:pPr>
            <w:r>
              <w:rPr>
                <w:rFonts w:ascii="Arial" w:cs="Arial" w:eastAsia="Arial" w:hAnsi="Arial"/>
                <w:sz w:val="14"/>
                <w:szCs w:val="14"/>
                <w:color w:val="auto"/>
              </w:rPr>
              <w:t>Loans to equity method investees</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2.1</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w:t>
            </w:r>
          </w:p>
        </w:tc>
      </w:tr>
      <w:tr>
        <w:trPr>
          <w:trHeight w:val="208"/>
        </w:trPr>
        <w:tc>
          <w:tcPr>
            <w:tcW w:w="79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Income taxes receivable</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10.9</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13"/>
        </w:trPr>
        <w:tc>
          <w:tcPr>
            <w:tcW w:w="860" w:type="dxa"/>
            <w:vAlign w:val="bottom"/>
            <w:shd w:val="clear" w:color="auto" w:fill="DBDBDB"/>
          </w:tcPr>
          <w:p>
            <w:pPr>
              <w:spacing w:after="0"/>
              <w:rPr>
                <w:sz w:val="18"/>
                <w:szCs w:val="18"/>
                <w:color w:val="auto"/>
              </w:rPr>
            </w:pPr>
          </w:p>
        </w:tc>
        <w:tc>
          <w:tcPr>
            <w:tcW w:w="7060" w:type="dxa"/>
            <w:vAlign w:val="bottom"/>
            <w:shd w:val="clear" w:color="auto" w:fill="DBDBDB"/>
          </w:tcPr>
          <w:p>
            <w:pPr>
              <w:ind w:left="440"/>
              <w:spacing w:after="0"/>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245.7</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247.1</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436.1</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424.2</w:t>
            </w:r>
          </w:p>
        </w:tc>
      </w:tr>
      <w:tr>
        <w:trPr>
          <w:trHeight w:val="220"/>
        </w:trPr>
        <w:tc>
          <w:tcPr>
            <w:tcW w:w="7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42.7</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43.9</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Equity method investees</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51.9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52.7</w:t>
            </w:r>
          </w:p>
        </w:tc>
      </w:tr>
      <w:tr>
        <w:trPr>
          <w:trHeight w:val="220"/>
        </w:trPr>
        <w:tc>
          <w:tcPr>
            <w:tcW w:w="7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Loans to equity method investees</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1.9</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Deferred income tax assets, net</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20"/>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Goodwill</w:t>
            </w:r>
          </w:p>
        </w:tc>
        <w:tc>
          <w:tcPr>
            <w:tcW w:w="70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76.4</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76.4</w:t>
            </w:r>
          </w:p>
        </w:tc>
      </w:tr>
      <w:tr>
        <w:trPr>
          <w:trHeight w:val="208"/>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assets</w:t>
            </w:r>
          </w:p>
        </w:tc>
        <w:tc>
          <w:tcPr>
            <w:tcW w:w="7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18.7</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r>
      <w:tr>
        <w:trPr>
          <w:trHeight w:val="207"/>
        </w:trPr>
        <w:tc>
          <w:tcPr>
            <w:tcW w:w="8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Total assets</w:t>
            </w:r>
          </w:p>
        </w:tc>
        <w:tc>
          <w:tcPr>
            <w:tcW w:w="7060" w:type="dxa"/>
            <w:vAlign w:val="bottom"/>
            <w:tcBorders>
              <w:bottom w:val="single" w:sz="8" w:color="auto"/>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881.0</w:t>
            </w:r>
          </w:p>
        </w:tc>
        <w:tc>
          <w:tcPr>
            <w:tcW w:w="30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873.5</w:t>
            </w:r>
          </w:p>
        </w:tc>
      </w:tr>
      <w:tr>
        <w:trPr>
          <w:trHeight w:val="213"/>
        </w:trPr>
        <w:tc>
          <w:tcPr>
            <w:tcW w:w="8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7920" w:type="dxa"/>
            <w:vAlign w:val="bottom"/>
            <w:gridSpan w:val="2"/>
            <w:shd w:val="clear" w:color="auto" w:fill="DBDBDB"/>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08"/>
        </w:trPr>
        <w:tc>
          <w:tcPr>
            <w:tcW w:w="8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920" w:type="dxa"/>
            <w:vAlign w:val="bottom"/>
            <w:gridSpan w:val="2"/>
            <w:shd w:val="clear" w:color="auto" w:fill="DBDBDB"/>
          </w:tcPr>
          <w:p>
            <w:pPr>
              <w:ind w:left="4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21.5</w:t>
            </w:r>
          </w:p>
        </w:tc>
        <w:tc>
          <w:tcPr>
            <w:tcW w:w="30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22.8</w:t>
            </w:r>
          </w:p>
        </w:tc>
      </w:tr>
      <w:tr>
        <w:trPr>
          <w:trHeight w:val="208"/>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41.0</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220"/>
        </w:trPr>
        <w:tc>
          <w:tcPr>
            <w:tcW w:w="7920" w:type="dxa"/>
            <w:vAlign w:val="bottom"/>
            <w:gridSpan w:val="2"/>
            <w:shd w:val="clear" w:color="auto" w:fill="DBDBDB"/>
          </w:tcPr>
          <w:p>
            <w:pPr>
              <w:ind w:left="460"/>
              <w:spacing w:after="0"/>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1.8</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w:t>
            </w:r>
          </w:p>
        </w:tc>
      </w:tr>
      <w:tr>
        <w:trPr>
          <w:trHeight w:val="208"/>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Grower payables</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36.9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20"/>
        </w:trPr>
        <w:tc>
          <w:tcPr>
            <w:tcW w:w="7920" w:type="dxa"/>
            <w:vAlign w:val="bottom"/>
            <w:gridSpan w:val="2"/>
            <w:shd w:val="clear" w:color="auto" w:fill="DBDBDB"/>
          </w:tcPr>
          <w:p>
            <w:pPr>
              <w:ind w:left="460"/>
              <w:spacing w:after="0"/>
              <w:rPr>
                <w:sz w:val="20"/>
                <w:szCs w:val="20"/>
                <w:color w:val="auto"/>
              </w:rPr>
            </w:pPr>
            <w:r>
              <w:rPr>
                <w:rFonts w:ascii="Arial" w:cs="Arial" w:eastAsia="Arial" w:hAnsi="Arial"/>
                <w:sz w:val="14"/>
                <w:szCs w:val="14"/>
                <w:color w:val="auto"/>
              </w:rPr>
              <w:t>Long-term debt—current portion</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8.8</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w:t>
            </w:r>
          </w:p>
        </w:tc>
      </w:tr>
      <w:tr>
        <w:trPr>
          <w:trHeight w:val="208"/>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Operating leases—current portion</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4"/>
        </w:trPr>
        <w:tc>
          <w:tcPr>
            <w:tcW w:w="7920" w:type="dxa"/>
            <w:vAlign w:val="bottom"/>
            <w:tcBorders>
              <w:bottom w:val="single" w:sz="8" w:color="auto"/>
            </w:tcBorders>
            <w:gridSpan w:val="2"/>
            <w:shd w:val="clear" w:color="auto" w:fill="DBDBDB"/>
          </w:tcPr>
          <w:p>
            <w:pPr>
              <w:ind w:left="460"/>
              <w:spacing w:after="0"/>
              <w:rPr>
                <w:sz w:val="20"/>
                <w:szCs w:val="20"/>
                <w:color w:val="auto"/>
              </w:rPr>
            </w:pPr>
            <w:r>
              <w:rPr>
                <w:rFonts w:ascii="Arial" w:cs="Arial" w:eastAsia="Arial" w:hAnsi="Arial"/>
                <w:sz w:val="14"/>
                <w:szCs w:val="14"/>
                <w:color w:val="auto"/>
              </w:rPr>
              <w:t>Finance leases—current portion</w:t>
            </w:r>
          </w:p>
        </w:tc>
        <w:tc>
          <w:tcPr>
            <w:tcW w:w="34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860" w:type="dxa"/>
            <w:vAlign w:val="bottom"/>
          </w:tcPr>
          <w:p>
            <w:pPr>
              <w:spacing w:after="0"/>
              <w:rPr>
                <w:sz w:val="18"/>
                <w:szCs w:val="18"/>
                <w:color w:val="auto"/>
              </w:rPr>
            </w:pPr>
          </w:p>
        </w:tc>
        <w:tc>
          <w:tcPr>
            <w:tcW w:w="706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115.1</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89.2</w:t>
            </w:r>
          </w:p>
        </w:tc>
      </w:tr>
      <w:tr>
        <w:trPr>
          <w:trHeight w:val="220"/>
        </w:trPr>
        <w:tc>
          <w:tcPr>
            <w:tcW w:w="7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Long-term debt, net of current portion</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152.9</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155.1</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Operating leases, net of current portion</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41.6</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220"/>
        </w:trPr>
        <w:tc>
          <w:tcPr>
            <w:tcW w:w="7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Finance leases, net of current portion</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1.9</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Income taxes payable</w:t>
            </w:r>
          </w:p>
        </w:tc>
        <w:tc>
          <w:tcPr>
            <w:tcW w:w="340" w:type="dxa"/>
            <w:vAlign w:val="bottom"/>
          </w:tcPr>
          <w:p>
            <w:pPr>
              <w:spacing w:after="0"/>
              <w:rPr>
                <w:sz w:val="18"/>
                <w:szCs w:val="18"/>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20"/>
        </w:trPr>
        <w:tc>
          <w:tcPr>
            <w:tcW w:w="7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Deferred income tax liabilities, net</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26.8</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26.8</w:t>
            </w:r>
          </w:p>
        </w:tc>
      </w:tr>
      <w:tr>
        <w:trPr>
          <w:trHeight w:val="208"/>
        </w:trPr>
        <w:tc>
          <w:tcPr>
            <w:tcW w:w="7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17.9</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13"/>
        </w:trPr>
        <w:tc>
          <w:tcPr>
            <w:tcW w:w="7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Total liabilities</w:t>
            </w: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359.7</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339.3</w:t>
            </w:r>
          </w:p>
        </w:tc>
      </w:tr>
      <w:tr>
        <w:trPr>
          <w:trHeight w:val="208"/>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Commitments and contingencies (Note 5)</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Shareholders' Equity</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192"/>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Common stock ($0.001 par value, 1,000,000,000 shares authorized; 70,631,525 shares issued and outstanding as of</w:t>
            </w:r>
          </w:p>
        </w:tc>
        <w:tc>
          <w:tcPr>
            <w:tcW w:w="340" w:type="dxa"/>
            <w:vAlign w:val="bottom"/>
          </w:tcPr>
          <w:p>
            <w:pPr>
              <w:spacing w:after="0"/>
              <w:rPr>
                <w:sz w:val="16"/>
                <w:szCs w:val="16"/>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77"/>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both January 31, 2022 and October 31, 2021)</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0"/>
        </w:trPr>
        <w:tc>
          <w:tcPr>
            <w:tcW w:w="7920" w:type="dxa"/>
            <w:vAlign w:val="bottom"/>
            <w:gridSpan w:val="2"/>
            <w:shd w:val="clear" w:color="auto" w:fill="DBDBDB"/>
          </w:tcPr>
          <w:p>
            <w:pPr>
              <w:ind w:left="46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226.4</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225.6</w:t>
            </w:r>
          </w:p>
        </w:tc>
      </w:tr>
      <w:tr>
        <w:trPr>
          <w:trHeight w:val="208"/>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(0.8)</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4"/>
        </w:trPr>
        <w:tc>
          <w:tcPr>
            <w:tcW w:w="7920" w:type="dxa"/>
            <w:vAlign w:val="bottom"/>
            <w:tcBorders>
              <w:bottom w:val="single" w:sz="8" w:color="auto"/>
            </w:tcBorders>
            <w:gridSpan w:val="2"/>
            <w:shd w:val="clear" w:color="auto" w:fill="DBDBDB"/>
          </w:tcPr>
          <w:p>
            <w:pPr>
              <w:ind w:left="460"/>
              <w:spacing w:after="0"/>
              <w:rPr>
                <w:sz w:val="20"/>
                <w:szCs w:val="20"/>
                <w:color w:val="auto"/>
              </w:rPr>
            </w:pPr>
            <w:r>
              <w:rPr>
                <w:rFonts w:ascii="Arial" w:cs="Arial" w:eastAsia="Arial" w:hAnsi="Arial"/>
                <w:sz w:val="14"/>
                <w:szCs w:val="14"/>
                <w:color w:val="auto"/>
              </w:rPr>
              <w:t>Retained earnings</w:t>
            </w:r>
          </w:p>
        </w:tc>
        <w:tc>
          <w:tcPr>
            <w:tcW w:w="34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295.6</w:t>
            </w:r>
          </w:p>
        </w:tc>
        <w:tc>
          <w:tcPr>
            <w:tcW w:w="3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309.0</w:t>
            </w:r>
          </w:p>
        </w:tc>
      </w:tr>
      <w:tr>
        <w:trPr>
          <w:trHeight w:val="207"/>
        </w:trPr>
        <w:tc>
          <w:tcPr>
            <w:tcW w:w="86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Total shareholders' equity</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521.3</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w:t>
            </w:r>
          </w:p>
        </w:tc>
      </w:tr>
      <w:tr>
        <w:trPr>
          <w:trHeight w:val="207"/>
        </w:trPr>
        <w:tc>
          <w:tcPr>
            <w:tcW w:w="792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34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881.0</w:t>
            </w:r>
          </w:p>
        </w:tc>
        <w:tc>
          <w:tcPr>
            <w:tcW w:w="30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873.5</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240"/>
          </w:cols>
          <w:pgMar w:left="320" w:top="860"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MISSION PRODUCE,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(LOSS) INCOME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00" w:type="dxa"/>
            <w:vAlign w:val="bottom"/>
            <w:shd w:val="clear" w:color="auto" w:fill="43C0B9"/>
          </w:tcPr>
          <w:p>
            <w:pPr>
              <w:spacing w:after="0"/>
              <w:rPr>
                <w:sz w:val="15"/>
                <w:szCs w:val="15"/>
                <w:color w:val="auto"/>
              </w:rPr>
            </w:pPr>
          </w:p>
        </w:tc>
        <w:tc>
          <w:tcPr>
            <w:tcW w:w="500" w:type="dxa"/>
            <w:vAlign w:val="bottom"/>
            <w:shd w:val="clear" w:color="auto" w:fill="43C0B9"/>
          </w:tcPr>
          <w:p>
            <w:pPr>
              <w:spacing w:after="0"/>
              <w:rPr>
                <w:sz w:val="15"/>
                <w:szCs w:val="15"/>
                <w:color w:val="auto"/>
              </w:rPr>
            </w:pPr>
          </w:p>
        </w:tc>
        <w:tc>
          <w:tcPr>
            <w:tcW w:w="2060" w:type="dxa"/>
            <w:vAlign w:val="bottom"/>
            <w:gridSpan w:val="2"/>
            <w:shd w:val="clear" w:color="auto" w:fill="43C0B9"/>
          </w:tcPr>
          <w:p>
            <w:pPr>
              <w:jc w:val="right"/>
              <w:ind w:right="169"/>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43C0B9"/>
          </w:tcPr>
          <w:p>
            <w:pPr>
              <w:spacing w:after="0"/>
              <w:rPr>
                <w:sz w:val="15"/>
                <w:szCs w:val="15"/>
                <w:color w:val="auto"/>
              </w:rPr>
            </w:pPr>
          </w:p>
        </w:tc>
      </w:tr>
      <w:tr>
        <w:trPr>
          <w:trHeight w:val="189"/>
        </w:trPr>
        <w:tc>
          <w:tcPr>
            <w:tcW w:w="8000" w:type="dxa"/>
            <w:vAlign w:val="bottom"/>
            <w:shd w:val="clear" w:color="auto" w:fill="43C0B9"/>
          </w:tcPr>
          <w:p>
            <w:pPr>
              <w:spacing w:after="0"/>
              <w:rPr>
                <w:sz w:val="16"/>
                <w:szCs w:val="16"/>
                <w:color w:val="auto"/>
              </w:rPr>
            </w:pPr>
          </w:p>
        </w:tc>
        <w:tc>
          <w:tcPr>
            <w:tcW w:w="500" w:type="dxa"/>
            <w:vAlign w:val="bottom"/>
            <w:shd w:val="clear" w:color="auto" w:fill="43C0B9"/>
          </w:tcPr>
          <w:p>
            <w:pPr>
              <w:spacing w:after="0"/>
              <w:rPr>
                <w:sz w:val="16"/>
                <w:szCs w:val="16"/>
                <w:color w:val="auto"/>
              </w:rPr>
            </w:pPr>
          </w:p>
        </w:tc>
        <w:tc>
          <w:tcPr>
            <w:tcW w:w="2060" w:type="dxa"/>
            <w:vAlign w:val="bottom"/>
            <w:gridSpan w:val="2"/>
            <w:shd w:val="clear" w:color="auto" w:fill="43C0B9"/>
          </w:tcPr>
          <w:p>
            <w:pPr>
              <w:jc w:val="right"/>
              <w:ind w:right="469"/>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43C0B9"/>
          </w:tcPr>
          <w:p>
            <w:pPr>
              <w:spacing w:after="0"/>
              <w:rPr>
                <w:sz w:val="16"/>
                <w:szCs w:val="16"/>
                <w:color w:val="auto"/>
              </w:rPr>
            </w:pPr>
          </w:p>
        </w:tc>
      </w:tr>
      <w:tr>
        <w:trPr>
          <w:trHeight w:val="239"/>
        </w:trPr>
        <w:tc>
          <w:tcPr>
            <w:tcW w:w="800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 except for per share amounts)</w:t>
            </w:r>
          </w:p>
        </w:tc>
        <w:tc>
          <w:tcPr>
            <w:tcW w:w="500" w:type="dxa"/>
            <w:vAlign w:val="bottom"/>
            <w:shd w:val="clear" w:color="auto" w:fill="43C0B9"/>
          </w:tcPr>
          <w:p>
            <w:pPr>
              <w:spacing w:after="0"/>
              <w:rPr>
                <w:sz w:val="20"/>
                <w:szCs w:val="20"/>
                <w:color w:val="auto"/>
              </w:rPr>
            </w:pPr>
          </w:p>
        </w:tc>
        <w:tc>
          <w:tcPr>
            <w:tcW w:w="1120" w:type="dxa"/>
            <w:vAlign w:val="bottom"/>
            <w:shd w:val="clear" w:color="auto" w:fill="43C0B9"/>
          </w:tcPr>
          <w:p>
            <w:pPr>
              <w:jc w:val="right"/>
              <w:ind w:right="89"/>
              <w:spacing w:after="0"/>
              <w:rPr>
                <w:sz w:val="20"/>
                <w:szCs w:val="20"/>
                <w:color w:val="auto"/>
              </w:rPr>
            </w:pPr>
            <w:r>
              <w:rPr>
                <w:rFonts w:ascii="Arial" w:cs="Arial" w:eastAsia="Arial" w:hAnsi="Arial"/>
                <w:sz w:val="14"/>
                <w:szCs w:val="14"/>
                <w:b w:val="1"/>
                <w:bCs w:val="1"/>
                <w:color w:val="FFFFFF"/>
              </w:rPr>
              <w:t>2022</w:t>
            </w:r>
          </w:p>
        </w:tc>
        <w:tc>
          <w:tcPr>
            <w:tcW w:w="940" w:type="dxa"/>
            <w:vAlign w:val="bottom"/>
            <w:shd w:val="clear" w:color="auto" w:fill="43C0B9"/>
          </w:tcPr>
          <w:p>
            <w:pPr>
              <w:spacing w:after="0"/>
              <w:rPr>
                <w:sz w:val="20"/>
                <w:szCs w:val="20"/>
                <w:color w:val="auto"/>
              </w:rPr>
            </w:pPr>
          </w:p>
        </w:tc>
        <w:tc>
          <w:tcPr>
            <w:tcW w:w="68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8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500" w:type="dxa"/>
            <w:vAlign w:val="bottom"/>
            <w:shd w:val="clear" w:color="auto" w:fill="DBDBDB"/>
          </w:tcPr>
          <w:p>
            <w:pPr>
              <w:jc w:val="right"/>
              <w:ind w:right="3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216.6</w:t>
            </w:r>
          </w:p>
        </w:tc>
        <w:tc>
          <w:tcPr>
            <w:tcW w:w="940" w:type="dxa"/>
            <w:vAlign w:val="bottom"/>
            <w:shd w:val="clear" w:color="auto" w:fill="DBDBDB"/>
          </w:tcPr>
          <w:p>
            <w:pPr>
              <w:jc w:val="right"/>
              <w:ind w:right="729"/>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173.2</w:t>
            </w:r>
          </w:p>
        </w:tc>
      </w:tr>
      <w:tr>
        <w:trPr>
          <w:trHeight w:val="20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216.1</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w:t>
            </w:r>
          </w:p>
        </w:tc>
      </w:tr>
      <w:tr>
        <w:trPr>
          <w:trHeight w:val="213"/>
        </w:trPr>
        <w:tc>
          <w:tcPr>
            <w:tcW w:w="8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50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0.5</w:t>
            </w:r>
          </w:p>
        </w:tc>
        <w:tc>
          <w:tcPr>
            <w:tcW w:w="9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22.7</w:t>
            </w:r>
          </w:p>
        </w:tc>
      </w:tr>
      <w:tr>
        <w:trPr>
          <w:trHeight w:val="20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18.7</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213"/>
        </w:trPr>
        <w:tc>
          <w:tcPr>
            <w:tcW w:w="8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(loss) income</w:t>
            </w:r>
          </w:p>
        </w:tc>
        <w:tc>
          <w:tcPr>
            <w:tcW w:w="5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(18.2)</w:t>
            </w:r>
          </w:p>
        </w:tc>
        <w:tc>
          <w:tcPr>
            <w:tcW w:w="9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w:t>
            </w:r>
          </w:p>
        </w:tc>
      </w:tr>
      <w:tr>
        <w:trPr>
          <w:trHeight w:val="208"/>
        </w:trPr>
        <w:tc>
          <w:tcPr>
            <w:tcW w:w="80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(0.9)</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20"/>
        </w:trPr>
        <w:tc>
          <w:tcPr>
            <w:tcW w:w="8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1.6</w:t>
            </w:r>
          </w:p>
        </w:tc>
        <w:tc>
          <w:tcPr>
            <w:tcW w:w="94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w:t>
            </w:r>
          </w:p>
        </w:tc>
      </w:tr>
      <w:tr>
        <w:trPr>
          <w:trHeight w:val="20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(Loss) income before income taxes</w:t>
            </w:r>
          </w:p>
        </w:tc>
        <w:tc>
          <w:tcPr>
            <w:tcW w:w="5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(15.9)</w:t>
            </w:r>
          </w:p>
        </w:tc>
        <w:tc>
          <w:tcPr>
            <w:tcW w:w="9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9.5</w:t>
            </w:r>
          </w:p>
        </w:tc>
      </w:tr>
      <w:tr>
        <w:trPr>
          <w:trHeight w:val="20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207"/>
        </w:trPr>
        <w:tc>
          <w:tcPr>
            <w:tcW w:w="80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Net (loss) income</w:t>
            </w:r>
          </w:p>
        </w:tc>
        <w:tc>
          <w:tcPr>
            <w:tcW w:w="50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(13.4)</w:t>
            </w:r>
          </w:p>
        </w:tc>
        <w:tc>
          <w:tcPr>
            <w:tcW w:w="940" w:type="dxa"/>
            <w:vAlign w:val="bottom"/>
            <w:tcBorders>
              <w:bottom w:val="single" w:sz="8" w:color="auto"/>
            </w:tcBorders>
            <w:shd w:val="clear" w:color="auto" w:fill="DBDBDB"/>
          </w:tcPr>
          <w:p>
            <w:pPr>
              <w:jc w:val="right"/>
              <w:ind w:right="7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w:t>
            </w:r>
          </w:p>
        </w:tc>
      </w:tr>
      <w:tr>
        <w:trPr>
          <w:trHeight w:val="200"/>
        </w:trPr>
        <w:tc>
          <w:tcPr>
            <w:tcW w:w="8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4"/>
        </w:trPr>
        <w:tc>
          <w:tcPr>
            <w:tcW w:w="8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(loss) income per share:</w:t>
            </w:r>
          </w:p>
        </w:tc>
        <w:tc>
          <w:tcPr>
            <w:tcW w:w="5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r>
      <w:tr>
        <w:trPr>
          <w:trHeight w:val="208"/>
        </w:trPr>
        <w:tc>
          <w:tcPr>
            <w:tcW w:w="8000" w:type="dxa"/>
            <w:vAlign w:val="bottom"/>
          </w:tcPr>
          <w:p>
            <w:pPr>
              <w:ind w:left="340"/>
              <w:spacing w:after="0"/>
              <w:rPr>
                <w:sz w:val="20"/>
                <w:szCs w:val="20"/>
                <w:color w:val="auto"/>
              </w:rPr>
            </w:pPr>
            <w:r>
              <w:rPr>
                <w:rFonts w:ascii="Arial" w:cs="Arial" w:eastAsia="Arial" w:hAnsi="Arial"/>
                <w:sz w:val="14"/>
                <w:szCs w:val="14"/>
                <w:color w:val="auto"/>
              </w:rPr>
              <w:t>Basic</w:t>
            </w:r>
          </w:p>
        </w:tc>
        <w:tc>
          <w:tcPr>
            <w:tcW w:w="5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(0.19)</w:t>
            </w:r>
          </w:p>
        </w:tc>
        <w:tc>
          <w:tcPr>
            <w:tcW w:w="94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0"/>
        </w:trPr>
        <w:tc>
          <w:tcPr>
            <w:tcW w:w="8000" w:type="dxa"/>
            <w:vAlign w:val="bottom"/>
            <w:shd w:val="clear" w:color="auto" w:fill="DBDBDB"/>
          </w:tcPr>
          <w:p>
            <w:pPr>
              <w:ind w:left="340"/>
              <w:spacing w:after="0"/>
              <w:rPr>
                <w:sz w:val="20"/>
                <w:szCs w:val="20"/>
                <w:color w:val="auto"/>
              </w:rPr>
            </w:pPr>
            <w:r>
              <w:rPr>
                <w:rFonts w:ascii="Arial" w:cs="Arial" w:eastAsia="Arial" w:hAnsi="Arial"/>
                <w:sz w:val="14"/>
                <w:szCs w:val="14"/>
                <w:color w:val="auto"/>
              </w:rPr>
              <w:t>Diluted</w:t>
            </w:r>
          </w:p>
        </w:tc>
        <w:tc>
          <w:tcPr>
            <w:tcW w:w="500" w:type="dxa"/>
            <w:vAlign w:val="bottom"/>
            <w:shd w:val="clear" w:color="auto" w:fill="DBDBDB"/>
          </w:tcPr>
          <w:p>
            <w:pPr>
              <w:jc w:val="right"/>
              <w:ind w:right="3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(0.19)</w:t>
            </w:r>
          </w:p>
        </w:tc>
        <w:tc>
          <w:tcPr>
            <w:tcW w:w="940" w:type="dxa"/>
            <w:vAlign w:val="bottom"/>
            <w:shd w:val="clear" w:color="auto" w:fill="DBDBDB"/>
          </w:tcPr>
          <w:p>
            <w:pPr>
              <w:jc w:val="right"/>
              <w:ind w:right="729"/>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0.03</w:t>
            </w:r>
          </w:p>
        </w:tc>
      </w:tr>
      <w:tr>
        <w:trPr>
          <w:trHeight w:val="214"/>
        </w:trPr>
        <w:tc>
          <w:tcPr>
            <w:tcW w:w="8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8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5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r>
      <w:tr>
        <w:trPr>
          <w:trHeight w:val="208"/>
        </w:trPr>
        <w:tc>
          <w:tcPr>
            <w:tcW w:w="80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Foreign currency translation adjustments</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07"/>
        </w:trPr>
        <w:tc>
          <w:tcPr>
            <w:tcW w:w="80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Comprehensive (loss) income</w:t>
            </w:r>
          </w:p>
        </w:tc>
        <w:tc>
          <w:tcPr>
            <w:tcW w:w="50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(13.7)</w:t>
            </w:r>
          </w:p>
        </w:tc>
        <w:tc>
          <w:tcPr>
            <w:tcW w:w="940" w:type="dxa"/>
            <w:vAlign w:val="bottom"/>
            <w:tcBorders>
              <w:bottom w:val="single" w:sz="8" w:color="auto"/>
            </w:tcBorders>
            <w:shd w:val="clear" w:color="auto" w:fill="DBDBDB"/>
          </w:tcPr>
          <w:p>
            <w:pPr>
              <w:jc w:val="right"/>
              <w:ind w:right="7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5083175</wp:posOffset>
            </wp:positionH>
            <wp:positionV relativeFrom="paragraph">
              <wp:posOffset>-2776220</wp:posOffset>
            </wp:positionV>
            <wp:extent cx="205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6" w:name="page7"/>
    <w:bookmarkEnd w:id="6"/>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MISSION PRODUCE,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SHAREHOLDERS’ EQUITY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395"/>
        </w:trPr>
        <w:tc>
          <w:tcPr>
            <w:tcW w:w="2900" w:type="dxa"/>
            <w:vAlign w:val="bottom"/>
            <w:shd w:val="clear" w:color="auto" w:fill="43C0B9"/>
          </w:tcPr>
          <w:p>
            <w:pPr>
              <w:spacing w:after="0"/>
              <w:rPr>
                <w:sz w:val="24"/>
                <w:szCs w:val="24"/>
                <w:color w:val="auto"/>
              </w:rPr>
            </w:pPr>
          </w:p>
        </w:tc>
        <w:tc>
          <w:tcPr>
            <w:tcW w:w="1660" w:type="dxa"/>
            <w:vAlign w:val="bottom"/>
            <w:gridSpan w:val="2"/>
            <w:vMerge w:val="restart"/>
            <w:shd w:val="clear" w:color="auto" w:fill="43C0B9"/>
          </w:tcPr>
          <w:p>
            <w:pPr>
              <w:jc w:val="right"/>
              <w:ind w:right="18"/>
              <w:spacing w:after="0"/>
              <w:rPr>
                <w:sz w:val="20"/>
                <w:szCs w:val="20"/>
                <w:color w:val="auto"/>
              </w:rPr>
            </w:pPr>
            <w:r>
              <w:rPr>
                <w:rFonts w:ascii="Arial" w:cs="Arial" w:eastAsia="Arial" w:hAnsi="Arial"/>
                <w:sz w:val="12"/>
                <w:szCs w:val="12"/>
                <w:b w:val="1"/>
                <w:bCs w:val="1"/>
                <w:color w:val="FFFFFF"/>
              </w:rPr>
              <w:t>Common stock</w:t>
            </w:r>
          </w:p>
        </w:tc>
        <w:tc>
          <w:tcPr>
            <w:tcW w:w="620" w:type="dxa"/>
            <w:vAlign w:val="bottom"/>
            <w:shd w:val="clear" w:color="auto" w:fill="43C0B9"/>
          </w:tcPr>
          <w:p>
            <w:pPr>
              <w:spacing w:after="0"/>
              <w:rPr>
                <w:sz w:val="24"/>
                <w:szCs w:val="24"/>
                <w:color w:val="auto"/>
              </w:rPr>
            </w:pPr>
          </w:p>
        </w:tc>
        <w:tc>
          <w:tcPr>
            <w:tcW w:w="160" w:type="dxa"/>
            <w:vAlign w:val="bottom"/>
            <w:shd w:val="clear" w:color="auto" w:fill="43C0B9"/>
          </w:tcPr>
          <w:p>
            <w:pPr>
              <w:spacing w:after="0"/>
              <w:rPr>
                <w:sz w:val="24"/>
                <w:szCs w:val="24"/>
                <w:color w:val="auto"/>
              </w:rPr>
            </w:pPr>
          </w:p>
        </w:tc>
        <w:tc>
          <w:tcPr>
            <w:tcW w:w="1080" w:type="dxa"/>
            <w:vAlign w:val="bottom"/>
            <w:shd w:val="clear" w:color="auto" w:fill="43C0B9"/>
          </w:tcPr>
          <w:p>
            <w:pPr>
              <w:spacing w:after="0"/>
              <w:rPr>
                <w:sz w:val="24"/>
                <w:szCs w:val="24"/>
                <w:color w:val="auto"/>
              </w:rPr>
            </w:pPr>
          </w:p>
        </w:tc>
        <w:tc>
          <w:tcPr>
            <w:tcW w:w="100" w:type="dxa"/>
            <w:vAlign w:val="bottom"/>
            <w:shd w:val="clear" w:color="auto" w:fill="43C0B9"/>
          </w:tcPr>
          <w:p>
            <w:pPr>
              <w:spacing w:after="0"/>
              <w:rPr>
                <w:sz w:val="24"/>
                <w:szCs w:val="24"/>
                <w:color w:val="auto"/>
              </w:rPr>
            </w:pPr>
          </w:p>
        </w:tc>
        <w:tc>
          <w:tcPr>
            <w:tcW w:w="1120" w:type="dxa"/>
            <w:vAlign w:val="bottom"/>
            <w:shd w:val="clear" w:color="auto" w:fill="43C0B9"/>
          </w:tcPr>
          <w:p>
            <w:pPr>
              <w:spacing w:after="0"/>
              <w:rPr>
                <w:sz w:val="24"/>
                <w:szCs w:val="24"/>
                <w:color w:val="auto"/>
              </w:rPr>
            </w:pPr>
          </w:p>
        </w:tc>
        <w:tc>
          <w:tcPr>
            <w:tcW w:w="1200" w:type="dxa"/>
            <w:vAlign w:val="bottom"/>
            <w:gridSpan w:val="2"/>
            <w:shd w:val="clear" w:color="auto" w:fill="43C0B9"/>
          </w:tcPr>
          <w:p>
            <w:pPr>
              <w:jc w:val="right"/>
              <w:spacing w:after="0"/>
              <w:rPr>
                <w:sz w:val="20"/>
                <w:szCs w:val="20"/>
                <w:color w:val="auto"/>
              </w:rPr>
            </w:pPr>
            <w:r>
              <w:rPr>
                <w:rFonts w:ascii="Arial" w:cs="Arial" w:eastAsia="Arial" w:hAnsi="Arial"/>
                <w:sz w:val="12"/>
                <w:szCs w:val="12"/>
                <w:b w:val="1"/>
                <w:bCs w:val="1"/>
                <w:color w:val="FFFFFF"/>
              </w:rPr>
              <w:t>Accumulated other</w:t>
            </w:r>
          </w:p>
        </w:tc>
        <w:tc>
          <w:tcPr>
            <w:tcW w:w="80" w:type="dxa"/>
            <w:vAlign w:val="bottom"/>
            <w:shd w:val="clear" w:color="auto" w:fill="43C0B9"/>
          </w:tcPr>
          <w:p>
            <w:pPr>
              <w:spacing w:after="0"/>
              <w:rPr>
                <w:sz w:val="24"/>
                <w:szCs w:val="24"/>
                <w:color w:val="auto"/>
              </w:rPr>
            </w:pPr>
          </w:p>
        </w:tc>
        <w:tc>
          <w:tcPr>
            <w:tcW w:w="1120" w:type="dxa"/>
            <w:vAlign w:val="bottom"/>
            <w:shd w:val="clear" w:color="auto" w:fill="43C0B9"/>
          </w:tcPr>
          <w:p>
            <w:pPr>
              <w:spacing w:after="0"/>
              <w:rPr>
                <w:sz w:val="24"/>
                <w:szCs w:val="24"/>
                <w:color w:val="auto"/>
              </w:rPr>
            </w:pPr>
          </w:p>
        </w:tc>
        <w:tc>
          <w:tcPr>
            <w:tcW w:w="460" w:type="dxa"/>
            <w:vAlign w:val="bottom"/>
            <w:shd w:val="clear" w:color="auto" w:fill="43C0B9"/>
          </w:tcPr>
          <w:p>
            <w:pPr>
              <w:spacing w:after="0"/>
              <w:rPr>
                <w:sz w:val="24"/>
                <w:szCs w:val="24"/>
                <w:color w:val="auto"/>
              </w:rPr>
            </w:pPr>
          </w:p>
        </w:tc>
        <w:tc>
          <w:tcPr>
            <w:tcW w:w="740" w:type="dxa"/>
            <w:vAlign w:val="bottom"/>
            <w:shd w:val="clear" w:color="auto" w:fill="43C0B9"/>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900" w:type="dxa"/>
            <w:vAlign w:val="bottom"/>
            <w:shd w:val="clear" w:color="auto" w:fill="43C0B9"/>
          </w:tcPr>
          <w:p>
            <w:pPr>
              <w:spacing w:after="0"/>
              <w:rPr>
                <w:sz w:val="8"/>
                <w:szCs w:val="8"/>
                <w:color w:val="auto"/>
              </w:rPr>
            </w:pPr>
          </w:p>
        </w:tc>
        <w:tc>
          <w:tcPr>
            <w:tcW w:w="1660" w:type="dxa"/>
            <w:vAlign w:val="bottom"/>
            <w:gridSpan w:val="2"/>
            <w:vMerge w:val="continue"/>
            <w:shd w:val="clear" w:color="auto" w:fill="43C0B9"/>
          </w:tcPr>
          <w:p>
            <w:pPr>
              <w:spacing w:after="0"/>
              <w:rPr>
                <w:sz w:val="8"/>
                <w:szCs w:val="8"/>
                <w:color w:val="auto"/>
              </w:rPr>
            </w:pPr>
          </w:p>
        </w:tc>
        <w:tc>
          <w:tcPr>
            <w:tcW w:w="620" w:type="dxa"/>
            <w:vAlign w:val="bottom"/>
            <w:shd w:val="clear" w:color="auto" w:fill="43C0B9"/>
          </w:tcPr>
          <w:p>
            <w:pPr>
              <w:spacing w:after="0"/>
              <w:rPr>
                <w:sz w:val="8"/>
                <w:szCs w:val="8"/>
                <w:color w:val="auto"/>
              </w:rPr>
            </w:pPr>
          </w:p>
        </w:tc>
        <w:tc>
          <w:tcPr>
            <w:tcW w:w="160" w:type="dxa"/>
            <w:vAlign w:val="bottom"/>
            <w:shd w:val="clear" w:color="auto" w:fill="43C0B9"/>
          </w:tcPr>
          <w:p>
            <w:pPr>
              <w:spacing w:after="0"/>
              <w:rPr>
                <w:sz w:val="8"/>
                <w:szCs w:val="8"/>
                <w:color w:val="auto"/>
              </w:rPr>
            </w:pPr>
          </w:p>
        </w:tc>
        <w:tc>
          <w:tcPr>
            <w:tcW w:w="1080" w:type="dxa"/>
            <w:vAlign w:val="bottom"/>
            <w:vMerge w:val="restart"/>
            <w:shd w:val="clear" w:color="auto" w:fill="43C0B9"/>
          </w:tcPr>
          <w:p>
            <w:pPr>
              <w:jc w:val="right"/>
              <w:spacing w:after="0"/>
              <w:rPr>
                <w:sz w:val="20"/>
                <w:szCs w:val="20"/>
                <w:color w:val="auto"/>
              </w:rPr>
            </w:pPr>
            <w:r>
              <w:rPr>
                <w:rFonts w:ascii="Arial" w:cs="Arial" w:eastAsia="Arial" w:hAnsi="Arial"/>
                <w:sz w:val="12"/>
                <w:szCs w:val="12"/>
                <w:b w:val="1"/>
                <w:bCs w:val="1"/>
                <w:color w:val="FFFFFF"/>
              </w:rPr>
              <w:t>Additional paid-in</w:t>
            </w:r>
          </w:p>
        </w:tc>
        <w:tc>
          <w:tcPr>
            <w:tcW w:w="100" w:type="dxa"/>
            <w:vAlign w:val="bottom"/>
            <w:shd w:val="clear" w:color="auto" w:fill="43C0B9"/>
          </w:tcPr>
          <w:p>
            <w:pPr>
              <w:spacing w:after="0"/>
              <w:rPr>
                <w:sz w:val="8"/>
                <w:szCs w:val="8"/>
                <w:color w:val="auto"/>
              </w:rPr>
            </w:pPr>
          </w:p>
        </w:tc>
        <w:tc>
          <w:tcPr>
            <w:tcW w:w="1120" w:type="dxa"/>
            <w:vAlign w:val="bottom"/>
            <w:vMerge w:val="restart"/>
            <w:shd w:val="clear" w:color="auto" w:fill="43C0B9"/>
          </w:tcPr>
          <w:p>
            <w:pPr>
              <w:jc w:val="right"/>
              <w:spacing w:after="0"/>
              <w:rPr>
                <w:sz w:val="20"/>
                <w:szCs w:val="20"/>
                <w:color w:val="auto"/>
              </w:rPr>
            </w:pPr>
            <w:r>
              <w:rPr>
                <w:rFonts w:ascii="Arial" w:cs="Arial" w:eastAsia="Arial" w:hAnsi="Arial"/>
                <w:sz w:val="12"/>
                <w:szCs w:val="12"/>
                <w:b w:val="1"/>
                <w:bCs w:val="1"/>
                <w:color w:val="FFFFFF"/>
              </w:rPr>
              <w:t>Notes receivable</w:t>
            </w:r>
          </w:p>
        </w:tc>
        <w:tc>
          <w:tcPr>
            <w:tcW w:w="160" w:type="dxa"/>
            <w:vAlign w:val="bottom"/>
            <w:shd w:val="clear" w:color="auto" w:fill="43C0B9"/>
          </w:tcPr>
          <w:p>
            <w:pPr>
              <w:spacing w:after="0"/>
              <w:rPr>
                <w:sz w:val="8"/>
                <w:szCs w:val="8"/>
                <w:color w:val="auto"/>
              </w:rPr>
            </w:pPr>
          </w:p>
        </w:tc>
        <w:tc>
          <w:tcPr>
            <w:tcW w:w="1040" w:type="dxa"/>
            <w:vAlign w:val="bottom"/>
            <w:vMerge w:val="restart"/>
            <w:shd w:val="clear" w:color="auto" w:fill="43C0B9"/>
          </w:tcPr>
          <w:p>
            <w:pPr>
              <w:jc w:val="right"/>
              <w:spacing w:after="0"/>
              <w:rPr>
                <w:sz w:val="20"/>
                <w:szCs w:val="20"/>
                <w:color w:val="auto"/>
              </w:rPr>
            </w:pPr>
            <w:r>
              <w:rPr>
                <w:rFonts w:ascii="Arial" w:cs="Arial" w:eastAsia="Arial" w:hAnsi="Arial"/>
                <w:sz w:val="12"/>
                <w:szCs w:val="12"/>
                <w:b w:val="1"/>
                <w:bCs w:val="1"/>
                <w:color w:val="FFFFFF"/>
              </w:rPr>
              <w:t>comprehensive</w:t>
            </w:r>
          </w:p>
        </w:tc>
        <w:tc>
          <w:tcPr>
            <w:tcW w:w="80" w:type="dxa"/>
            <w:vAlign w:val="bottom"/>
            <w:shd w:val="clear" w:color="auto" w:fill="43C0B9"/>
          </w:tcPr>
          <w:p>
            <w:pPr>
              <w:spacing w:after="0"/>
              <w:rPr>
                <w:sz w:val="8"/>
                <w:szCs w:val="8"/>
                <w:color w:val="auto"/>
              </w:rPr>
            </w:pPr>
          </w:p>
        </w:tc>
        <w:tc>
          <w:tcPr>
            <w:tcW w:w="1120" w:type="dxa"/>
            <w:vAlign w:val="bottom"/>
            <w:shd w:val="clear" w:color="auto" w:fill="43C0B9"/>
          </w:tcPr>
          <w:p>
            <w:pPr>
              <w:spacing w:after="0"/>
              <w:rPr>
                <w:sz w:val="8"/>
                <w:szCs w:val="8"/>
                <w:color w:val="auto"/>
              </w:rPr>
            </w:pPr>
          </w:p>
        </w:tc>
        <w:tc>
          <w:tcPr>
            <w:tcW w:w="1200" w:type="dxa"/>
            <w:vAlign w:val="bottom"/>
            <w:gridSpan w:val="2"/>
            <w:vMerge w:val="restart"/>
            <w:shd w:val="clear" w:color="auto" w:fill="43C0B9"/>
          </w:tcPr>
          <w:p>
            <w:pPr>
              <w:jc w:val="right"/>
              <w:spacing w:after="0"/>
              <w:rPr>
                <w:sz w:val="20"/>
                <w:szCs w:val="20"/>
                <w:color w:val="auto"/>
              </w:rPr>
            </w:pPr>
            <w:r>
              <w:rPr>
                <w:rFonts w:ascii="Arial" w:cs="Arial" w:eastAsia="Arial" w:hAnsi="Arial"/>
                <w:sz w:val="12"/>
                <w:szCs w:val="12"/>
                <w:b w:val="1"/>
                <w:bCs w:val="1"/>
                <w:color w:val="FFFFFF"/>
              </w:rPr>
              <w:t>Total shareholders'</w:t>
            </w:r>
          </w:p>
        </w:tc>
        <w:tc>
          <w:tcPr>
            <w:tcW w:w="0" w:type="dxa"/>
            <w:vAlign w:val="bottom"/>
          </w:tcPr>
          <w:p>
            <w:pPr>
              <w:spacing w:after="0"/>
              <w:rPr>
                <w:sz w:val="1"/>
                <w:szCs w:val="1"/>
                <w:color w:val="auto"/>
              </w:rPr>
            </w:pPr>
          </w:p>
        </w:tc>
      </w:tr>
      <w:tr>
        <w:trPr>
          <w:trHeight w:val="51"/>
        </w:trPr>
        <w:tc>
          <w:tcPr>
            <w:tcW w:w="2900" w:type="dxa"/>
            <w:vAlign w:val="bottom"/>
            <w:shd w:val="clear" w:color="auto" w:fill="43C0B9"/>
          </w:tcPr>
          <w:p>
            <w:pPr>
              <w:spacing w:after="0"/>
              <w:rPr>
                <w:sz w:val="4"/>
                <w:szCs w:val="4"/>
                <w:color w:val="auto"/>
              </w:rPr>
            </w:pPr>
          </w:p>
        </w:tc>
        <w:tc>
          <w:tcPr>
            <w:tcW w:w="1140" w:type="dxa"/>
            <w:vAlign w:val="bottom"/>
            <w:shd w:val="clear" w:color="auto" w:fill="43C0B9"/>
          </w:tcPr>
          <w:p>
            <w:pPr>
              <w:spacing w:after="0"/>
              <w:rPr>
                <w:sz w:val="4"/>
                <w:szCs w:val="4"/>
                <w:color w:val="auto"/>
              </w:rPr>
            </w:pPr>
          </w:p>
        </w:tc>
        <w:tc>
          <w:tcPr>
            <w:tcW w:w="520" w:type="dxa"/>
            <w:vAlign w:val="bottom"/>
            <w:shd w:val="clear" w:color="auto" w:fill="43C0B9"/>
          </w:tcPr>
          <w:p>
            <w:pPr>
              <w:spacing w:after="0"/>
              <w:rPr>
                <w:sz w:val="4"/>
                <w:szCs w:val="4"/>
                <w:color w:val="auto"/>
              </w:rPr>
            </w:pPr>
          </w:p>
        </w:tc>
        <w:tc>
          <w:tcPr>
            <w:tcW w:w="620" w:type="dxa"/>
            <w:vAlign w:val="bottom"/>
            <w:shd w:val="clear" w:color="auto" w:fill="43C0B9"/>
          </w:tcPr>
          <w:p>
            <w:pPr>
              <w:spacing w:after="0"/>
              <w:rPr>
                <w:sz w:val="4"/>
                <w:szCs w:val="4"/>
                <w:color w:val="auto"/>
              </w:rPr>
            </w:pPr>
          </w:p>
        </w:tc>
        <w:tc>
          <w:tcPr>
            <w:tcW w:w="160" w:type="dxa"/>
            <w:vAlign w:val="bottom"/>
            <w:shd w:val="clear" w:color="auto" w:fill="43C0B9"/>
          </w:tcPr>
          <w:p>
            <w:pPr>
              <w:spacing w:after="0"/>
              <w:rPr>
                <w:sz w:val="4"/>
                <w:szCs w:val="4"/>
                <w:color w:val="auto"/>
              </w:rPr>
            </w:pPr>
          </w:p>
        </w:tc>
        <w:tc>
          <w:tcPr>
            <w:tcW w:w="1080" w:type="dxa"/>
            <w:vAlign w:val="bottom"/>
            <w:vMerge w:val="continue"/>
            <w:shd w:val="clear" w:color="auto" w:fill="43C0B9"/>
          </w:tcPr>
          <w:p>
            <w:pPr>
              <w:spacing w:after="0"/>
              <w:rPr>
                <w:sz w:val="4"/>
                <w:szCs w:val="4"/>
                <w:color w:val="auto"/>
              </w:rPr>
            </w:pPr>
          </w:p>
        </w:tc>
        <w:tc>
          <w:tcPr>
            <w:tcW w:w="100" w:type="dxa"/>
            <w:vAlign w:val="bottom"/>
            <w:shd w:val="clear" w:color="auto" w:fill="43C0B9"/>
          </w:tcPr>
          <w:p>
            <w:pPr>
              <w:spacing w:after="0"/>
              <w:rPr>
                <w:sz w:val="4"/>
                <w:szCs w:val="4"/>
                <w:color w:val="auto"/>
              </w:rPr>
            </w:pPr>
          </w:p>
        </w:tc>
        <w:tc>
          <w:tcPr>
            <w:tcW w:w="1120" w:type="dxa"/>
            <w:vAlign w:val="bottom"/>
            <w:vMerge w:val="continue"/>
            <w:shd w:val="clear" w:color="auto" w:fill="43C0B9"/>
          </w:tcPr>
          <w:p>
            <w:pPr>
              <w:spacing w:after="0"/>
              <w:rPr>
                <w:sz w:val="4"/>
                <w:szCs w:val="4"/>
                <w:color w:val="auto"/>
              </w:rPr>
            </w:pPr>
          </w:p>
        </w:tc>
        <w:tc>
          <w:tcPr>
            <w:tcW w:w="160" w:type="dxa"/>
            <w:vAlign w:val="bottom"/>
            <w:shd w:val="clear" w:color="auto" w:fill="43C0B9"/>
          </w:tcPr>
          <w:p>
            <w:pPr>
              <w:spacing w:after="0"/>
              <w:rPr>
                <w:sz w:val="4"/>
                <w:szCs w:val="4"/>
                <w:color w:val="auto"/>
              </w:rPr>
            </w:pPr>
          </w:p>
        </w:tc>
        <w:tc>
          <w:tcPr>
            <w:tcW w:w="1040" w:type="dxa"/>
            <w:vAlign w:val="bottom"/>
            <w:vMerge w:val="continue"/>
            <w:shd w:val="clear" w:color="auto" w:fill="43C0B9"/>
          </w:tcPr>
          <w:p>
            <w:pPr>
              <w:spacing w:after="0"/>
              <w:rPr>
                <w:sz w:val="4"/>
                <w:szCs w:val="4"/>
                <w:color w:val="auto"/>
              </w:rPr>
            </w:pPr>
          </w:p>
        </w:tc>
        <w:tc>
          <w:tcPr>
            <w:tcW w:w="80" w:type="dxa"/>
            <w:vAlign w:val="bottom"/>
            <w:shd w:val="clear" w:color="auto" w:fill="43C0B9"/>
          </w:tcPr>
          <w:p>
            <w:pPr>
              <w:spacing w:after="0"/>
              <w:rPr>
                <w:sz w:val="4"/>
                <w:szCs w:val="4"/>
                <w:color w:val="auto"/>
              </w:rPr>
            </w:pPr>
          </w:p>
        </w:tc>
        <w:tc>
          <w:tcPr>
            <w:tcW w:w="1120" w:type="dxa"/>
            <w:vAlign w:val="bottom"/>
            <w:shd w:val="clear" w:color="auto" w:fill="43C0B9"/>
          </w:tcPr>
          <w:p>
            <w:pPr>
              <w:spacing w:after="0"/>
              <w:rPr>
                <w:sz w:val="4"/>
                <w:szCs w:val="4"/>
                <w:color w:val="auto"/>
              </w:rPr>
            </w:pPr>
          </w:p>
        </w:tc>
        <w:tc>
          <w:tcPr>
            <w:tcW w:w="1200" w:type="dxa"/>
            <w:vAlign w:val="bottom"/>
            <w:gridSpan w:val="2"/>
            <w:vMerge w:val="continue"/>
            <w:shd w:val="clear" w:color="auto" w:fill="43C0B9"/>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900" w:type="dxa"/>
            <w:vAlign w:val="bottom"/>
            <w:shd w:val="clear" w:color="auto" w:fill="43C0B9"/>
          </w:tcPr>
          <w:p>
            <w:pPr>
              <w:ind w:left="20"/>
              <w:spacing w:after="0"/>
              <w:rPr>
                <w:sz w:val="20"/>
                <w:szCs w:val="20"/>
                <w:color w:val="auto"/>
              </w:rPr>
            </w:pPr>
            <w:r>
              <w:rPr>
                <w:rFonts w:ascii="Arial" w:cs="Arial" w:eastAsia="Arial" w:hAnsi="Arial"/>
                <w:sz w:val="12"/>
                <w:szCs w:val="12"/>
                <w:b w:val="1"/>
                <w:bCs w:val="1"/>
                <w:color w:val="FFFFFF"/>
              </w:rPr>
              <w:t>(In millions, except for shares)</w:t>
            </w:r>
          </w:p>
        </w:tc>
        <w:tc>
          <w:tcPr>
            <w:tcW w:w="114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Shares</w:t>
            </w:r>
          </w:p>
        </w:tc>
        <w:tc>
          <w:tcPr>
            <w:tcW w:w="520" w:type="dxa"/>
            <w:vAlign w:val="bottom"/>
            <w:shd w:val="clear" w:color="auto" w:fill="43C0B9"/>
          </w:tcPr>
          <w:p>
            <w:pPr>
              <w:spacing w:after="0"/>
              <w:rPr>
                <w:sz w:val="16"/>
                <w:szCs w:val="16"/>
                <w:color w:val="auto"/>
              </w:rPr>
            </w:pPr>
          </w:p>
        </w:tc>
        <w:tc>
          <w:tcPr>
            <w:tcW w:w="62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Amount</w:t>
            </w:r>
          </w:p>
        </w:tc>
        <w:tc>
          <w:tcPr>
            <w:tcW w:w="160" w:type="dxa"/>
            <w:vAlign w:val="bottom"/>
            <w:shd w:val="clear" w:color="auto" w:fill="43C0B9"/>
          </w:tcPr>
          <w:p>
            <w:pPr>
              <w:spacing w:after="0"/>
              <w:rPr>
                <w:sz w:val="16"/>
                <w:szCs w:val="16"/>
                <w:color w:val="auto"/>
              </w:rPr>
            </w:pPr>
          </w:p>
        </w:tc>
        <w:tc>
          <w:tcPr>
            <w:tcW w:w="108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capital</w:t>
            </w:r>
          </w:p>
        </w:tc>
        <w:tc>
          <w:tcPr>
            <w:tcW w:w="100" w:type="dxa"/>
            <w:vAlign w:val="bottom"/>
            <w:shd w:val="clear" w:color="auto" w:fill="43C0B9"/>
          </w:tcPr>
          <w:p>
            <w:pPr>
              <w:spacing w:after="0"/>
              <w:rPr>
                <w:sz w:val="16"/>
                <w:szCs w:val="16"/>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from shareholders</w:t>
            </w:r>
          </w:p>
        </w:tc>
        <w:tc>
          <w:tcPr>
            <w:tcW w:w="160" w:type="dxa"/>
            <w:vAlign w:val="bottom"/>
            <w:shd w:val="clear" w:color="auto" w:fill="43C0B9"/>
          </w:tcPr>
          <w:p>
            <w:pPr>
              <w:spacing w:after="0"/>
              <w:rPr>
                <w:sz w:val="16"/>
                <w:szCs w:val="16"/>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loss</w:t>
            </w:r>
          </w:p>
        </w:tc>
        <w:tc>
          <w:tcPr>
            <w:tcW w:w="80" w:type="dxa"/>
            <w:vAlign w:val="bottom"/>
            <w:shd w:val="clear" w:color="auto" w:fill="43C0B9"/>
          </w:tcPr>
          <w:p>
            <w:pPr>
              <w:spacing w:after="0"/>
              <w:rPr>
                <w:sz w:val="16"/>
                <w:szCs w:val="16"/>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Retained earnings</w:t>
            </w:r>
          </w:p>
        </w:tc>
        <w:tc>
          <w:tcPr>
            <w:tcW w:w="460" w:type="dxa"/>
            <w:vAlign w:val="bottom"/>
            <w:shd w:val="clear" w:color="auto" w:fill="43C0B9"/>
          </w:tcPr>
          <w:p>
            <w:pPr>
              <w:spacing w:after="0"/>
              <w:rPr>
                <w:sz w:val="16"/>
                <w:szCs w:val="16"/>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81"/>
        </w:trPr>
        <w:tc>
          <w:tcPr>
            <w:tcW w:w="2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October 31, 2020</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70,550,922</w:t>
            </w:r>
          </w:p>
        </w:tc>
        <w:tc>
          <w:tcPr>
            <w:tcW w:w="520" w:type="dxa"/>
            <w:vAlign w:val="bottom"/>
            <w:tcBorders>
              <w:bottom w:val="single" w:sz="8" w:color="DBDBDB"/>
            </w:tcBorders>
            <w:shd w:val="clear" w:color="auto" w:fill="DBDBDB"/>
          </w:tcPr>
          <w:p>
            <w:pPr>
              <w:jc w:val="right"/>
              <w:ind w:right="378"/>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0.1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222.8</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16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251.2</w:t>
            </w:r>
          </w:p>
        </w:tc>
        <w:tc>
          <w:tcPr>
            <w:tcW w:w="460" w:type="dxa"/>
            <w:vAlign w:val="bottom"/>
            <w:tcBorders>
              <w:bottom w:val="single" w:sz="8" w:color="DBDBDB"/>
            </w:tcBorders>
            <w:shd w:val="clear" w:color="auto" w:fill="DBDBDB"/>
          </w:tcPr>
          <w:p>
            <w:pPr>
              <w:jc w:val="right"/>
              <w:ind w:right="318"/>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473.5</w:t>
            </w: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4"/>
                <w:szCs w:val="14"/>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31"/>
        </w:trPr>
        <w:tc>
          <w:tcPr>
            <w:tcW w:w="2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Repayment of stock option notes receivable</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DBDBDB"/>
            </w:tcBorders>
            <w:shd w:val="clear" w:color="auto" w:fill="DBDBDB"/>
          </w:tcPr>
          <w:p>
            <w:pPr>
              <w:spacing w:after="0"/>
              <w:rPr>
                <w:sz w:val="15"/>
                <w:szCs w:val="15"/>
                <w:color w:val="auto"/>
              </w:rPr>
            </w:pPr>
          </w:p>
        </w:tc>
        <w:tc>
          <w:tcPr>
            <w:tcW w:w="62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2"/>
                <w:szCs w:val="12"/>
                <w:color w:val="auto"/>
              </w:rPr>
              <w:t>0.1</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2.2</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31"/>
        </w:trPr>
        <w:tc>
          <w:tcPr>
            <w:tcW w:w="2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income</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8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63"/>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2021</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70,550,922</w:t>
            </w:r>
          </w:p>
        </w:tc>
        <w:tc>
          <w:tcPr>
            <w:tcW w:w="520" w:type="dxa"/>
            <w:vAlign w:val="bottom"/>
            <w:tcBorders>
              <w:top w:val="single" w:sz="8" w:color="auto"/>
            </w:tcBorders>
          </w:tcPr>
          <w:p>
            <w:pPr>
              <w:jc w:val="right"/>
              <w:ind w:right="378"/>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0.1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223.6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253.4</w:t>
            </w:r>
          </w:p>
        </w:tc>
        <w:tc>
          <w:tcPr>
            <w:tcW w:w="460" w:type="dxa"/>
            <w:vAlign w:val="bottom"/>
            <w:tcBorders>
              <w:top w:val="single" w:sz="8" w:color="auto"/>
            </w:tcBorders>
          </w:tcPr>
          <w:p>
            <w:pPr>
              <w:jc w:val="right"/>
              <w:ind w:right="318"/>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477.1</w:t>
            </w:r>
          </w:p>
        </w:tc>
        <w:tc>
          <w:tcPr>
            <w:tcW w:w="0" w:type="dxa"/>
            <w:vAlign w:val="bottom"/>
          </w:tcPr>
          <w:p>
            <w:pPr>
              <w:spacing w:after="0"/>
              <w:rPr>
                <w:sz w:val="1"/>
                <w:szCs w:val="1"/>
                <w:color w:val="auto"/>
              </w:rPr>
            </w:pPr>
          </w:p>
        </w:tc>
      </w:tr>
      <w:tr>
        <w:trPr>
          <w:trHeight w:val="31"/>
        </w:trPr>
        <w:tc>
          <w:tcPr>
            <w:tcW w:w="2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9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rPr>
                <w:sz w:val="20"/>
                <w:szCs w:val="20"/>
                <w:color w:val="auto"/>
              </w:rPr>
            </w:pPr>
            <w:r>
              <w:rPr>
                <w:rFonts w:ascii="Arial" w:cs="Arial" w:eastAsia="Arial" w:hAnsi="Arial"/>
                <w:sz w:val="12"/>
                <w:szCs w:val="12"/>
                <w:color w:val="auto"/>
              </w:rPr>
              <w:t>Balance at October 31, 2021</w:t>
            </w:r>
          </w:p>
        </w:tc>
        <w:tc>
          <w:tcPr>
            <w:tcW w:w="1140" w:type="dxa"/>
            <w:vAlign w:val="bottom"/>
          </w:tcPr>
          <w:p>
            <w:pPr>
              <w:jc w:val="right"/>
              <w:spacing w:after="0"/>
              <w:rPr>
                <w:sz w:val="20"/>
                <w:szCs w:val="20"/>
                <w:color w:val="auto"/>
              </w:rPr>
            </w:pPr>
            <w:r>
              <w:rPr>
                <w:rFonts w:ascii="Arial" w:cs="Arial" w:eastAsia="Arial" w:hAnsi="Arial"/>
                <w:sz w:val="12"/>
                <w:szCs w:val="12"/>
                <w:color w:val="auto"/>
              </w:rPr>
              <w:t>70,631,525</w:t>
            </w:r>
          </w:p>
        </w:tc>
        <w:tc>
          <w:tcPr>
            <w:tcW w:w="520" w:type="dxa"/>
            <w:vAlign w:val="bottom"/>
          </w:tcPr>
          <w:p>
            <w:pPr>
              <w:jc w:val="right"/>
              <w:ind w:right="378"/>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0.1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225.6</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(0.5)</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309.0</w:t>
            </w:r>
          </w:p>
        </w:tc>
        <w:tc>
          <w:tcPr>
            <w:tcW w:w="460" w:type="dxa"/>
            <w:vAlign w:val="bottom"/>
          </w:tcPr>
          <w:p>
            <w:pPr>
              <w:jc w:val="right"/>
              <w:ind w:right="318"/>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534.2</w:t>
            </w:r>
          </w:p>
        </w:tc>
        <w:tc>
          <w:tcPr>
            <w:tcW w:w="0" w:type="dxa"/>
            <w:vAlign w:val="bottom"/>
          </w:tcPr>
          <w:p>
            <w:pPr>
              <w:spacing w:after="0"/>
              <w:rPr>
                <w:sz w:val="1"/>
                <w:szCs w:val="1"/>
                <w:color w:val="auto"/>
              </w:rPr>
            </w:pPr>
          </w:p>
        </w:tc>
      </w:tr>
      <w:tr>
        <w:trPr>
          <w:trHeight w:val="31"/>
        </w:trPr>
        <w:tc>
          <w:tcPr>
            <w:tcW w:w="2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Stock-based compensation</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DBDBDB"/>
            </w:tcBorders>
            <w:shd w:val="clear" w:color="auto" w:fill="DBDBDB"/>
          </w:tcPr>
          <w:p>
            <w:pPr>
              <w:spacing w:after="0"/>
              <w:rPr>
                <w:sz w:val="15"/>
                <w:szCs w:val="15"/>
                <w:color w:val="auto"/>
              </w:rPr>
            </w:pPr>
          </w:p>
        </w:tc>
        <w:tc>
          <w:tcPr>
            <w:tcW w:w="62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0.8</w:t>
            </w:r>
          </w:p>
        </w:tc>
        <w:tc>
          <w:tcPr>
            <w:tcW w:w="10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(13.4)</w:t>
            </w: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31"/>
        </w:trPr>
        <w:tc>
          <w:tcPr>
            <w:tcW w:w="2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loss</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(0.3)</w:t>
            </w:r>
          </w:p>
        </w:tc>
        <w:tc>
          <w:tcPr>
            <w:tcW w:w="8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63"/>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2022</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70,631,525</w:t>
            </w:r>
          </w:p>
        </w:tc>
        <w:tc>
          <w:tcPr>
            <w:tcW w:w="520" w:type="dxa"/>
            <w:vAlign w:val="bottom"/>
            <w:tcBorders>
              <w:top w:val="single" w:sz="8" w:color="auto"/>
            </w:tcBorders>
          </w:tcPr>
          <w:p>
            <w:pPr>
              <w:jc w:val="right"/>
              <w:ind w:right="378"/>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0.1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226.4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295.6</w:t>
            </w:r>
          </w:p>
        </w:tc>
        <w:tc>
          <w:tcPr>
            <w:tcW w:w="460" w:type="dxa"/>
            <w:vAlign w:val="bottom"/>
            <w:tcBorders>
              <w:top w:val="single" w:sz="8" w:color="auto"/>
            </w:tcBorders>
          </w:tcPr>
          <w:p>
            <w:pPr>
              <w:jc w:val="right"/>
              <w:ind w:right="318"/>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521.3</w:t>
            </w:r>
          </w:p>
        </w:tc>
        <w:tc>
          <w:tcPr>
            <w:tcW w:w="0" w:type="dxa"/>
            <w:vAlign w:val="bottom"/>
          </w:tcPr>
          <w:p>
            <w:pPr>
              <w:spacing w:after="0"/>
              <w:rPr>
                <w:sz w:val="1"/>
                <w:szCs w:val="1"/>
                <w:color w:val="auto"/>
              </w:rPr>
            </w:pPr>
          </w:p>
        </w:tc>
      </w:tr>
      <w:tr>
        <w:trPr>
          <w:trHeight w:val="31"/>
        </w:trPr>
        <w:tc>
          <w:tcPr>
            <w:tcW w:w="2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-1689100</wp:posOffset>
            </wp:positionV>
            <wp:extent cx="1409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MISSION PRODUCE, INC.</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CONDENSED CONSOLIDATED STATEMENTS OF CASH FLOW (UNAUDITED)</w:t>
      </w:r>
    </w:p>
    <w:p>
      <w:pPr>
        <w:sectPr>
          <w:pgSz w:w="11900" w:h="16838" w:orient="portrait"/>
          <w:cols w:equalWidth="0" w:num="1">
            <w:col w:w="11220"/>
          </w:cols>
          <w:pgMar w:left="320" w:top="1440" w:right="359" w:bottom="1440" w:gutter="0" w:footer="0" w:header="0"/>
        </w:sectPr>
      </w:pP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7560" w:type="dxa"/>
            <w:vAlign w:val="bottom"/>
            <w:shd w:val="clear" w:color="auto" w:fill="43C0B9"/>
          </w:tcPr>
          <w:p>
            <w:pPr>
              <w:spacing w:after="0"/>
              <w:rPr>
                <w:sz w:val="13"/>
                <w:szCs w:val="13"/>
                <w:color w:val="auto"/>
              </w:rPr>
            </w:pPr>
          </w:p>
        </w:tc>
        <w:tc>
          <w:tcPr>
            <w:tcW w:w="560" w:type="dxa"/>
            <w:vAlign w:val="bottom"/>
            <w:shd w:val="clear" w:color="auto" w:fill="43C0B9"/>
          </w:tcPr>
          <w:p>
            <w:pPr>
              <w:spacing w:after="0"/>
              <w:rPr>
                <w:sz w:val="13"/>
                <w:szCs w:val="13"/>
                <w:color w:val="auto"/>
              </w:rPr>
            </w:pPr>
          </w:p>
        </w:tc>
        <w:tc>
          <w:tcPr>
            <w:tcW w:w="2020" w:type="dxa"/>
            <w:vAlign w:val="bottom"/>
            <w:gridSpan w:val="2"/>
            <w:shd w:val="clear" w:color="auto" w:fill="43C0B9"/>
          </w:tcPr>
          <w:p>
            <w:pPr>
              <w:jc w:val="right"/>
              <w:ind w:right="238"/>
              <w:spacing w:after="0"/>
              <w:rPr>
                <w:sz w:val="20"/>
                <w:szCs w:val="20"/>
                <w:color w:val="auto"/>
              </w:rPr>
            </w:pPr>
            <w:r>
              <w:rPr>
                <w:rFonts w:ascii="Arial" w:cs="Arial" w:eastAsia="Arial" w:hAnsi="Arial"/>
                <w:sz w:val="12"/>
                <w:szCs w:val="12"/>
                <w:b w:val="1"/>
                <w:bCs w:val="1"/>
                <w:color w:val="FFFFFF"/>
              </w:rPr>
              <w:t>Three Months Ended</w:t>
            </w:r>
          </w:p>
        </w:tc>
        <w:tc>
          <w:tcPr>
            <w:tcW w:w="720" w:type="dxa"/>
            <w:vAlign w:val="bottom"/>
            <w:shd w:val="clear" w:color="auto" w:fill="43C0B9"/>
          </w:tcPr>
          <w:p>
            <w:pPr>
              <w:spacing w:after="0"/>
              <w:rPr>
                <w:sz w:val="13"/>
                <w:szCs w:val="13"/>
                <w:color w:val="auto"/>
              </w:rPr>
            </w:pPr>
          </w:p>
        </w:tc>
      </w:tr>
      <w:tr>
        <w:trPr>
          <w:trHeight w:val="163"/>
        </w:trPr>
        <w:tc>
          <w:tcPr>
            <w:tcW w:w="756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2020" w:type="dxa"/>
            <w:vAlign w:val="bottom"/>
            <w:gridSpan w:val="2"/>
            <w:shd w:val="clear" w:color="auto" w:fill="43C0B9"/>
          </w:tcPr>
          <w:p>
            <w:pPr>
              <w:jc w:val="right"/>
              <w:ind w:right="518"/>
              <w:spacing w:after="0"/>
              <w:rPr>
                <w:sz w:val="20"/>
                <w:szCs w:val="20"/>
                <w:color w:val="auto"/>
              </w:rPr>
            </w:pPr>
            <w:r>
              <w:rPr>
                <w:rFonts w:ascii="Arial" w:cs="Arial" w:eastAsia="Arial" w:hAnsi="Arial"/>
                <w:sz w:val="12"/>
                <w:szCs w:val="12"/>
                <w:b w:val="1"/>
                <w:bCs w:val="1"/>
                <w:color w:val="FFFFFF"/>
              </w:rPr>
              <w:t>January 31,</w:t>
            </w:r>
          </w:p>
        </w:tc>
        <w:tc>
          <w:tcPr>
            <w:tcW w:w="720" w:type="dxa"/>
            <w:vAlign w:val="bottom"/>
            <w:shd w:val="clear" w:color="auto" w:fill="43C0B9"/>
          </w:tcPr>
          <w:p>
            <w:pPr>
              <w:spacing w:after="0"/>
              <w:rPr>
                <w:sz w:val="14"/>
                <w:szCs w:val="14"/>
                <w:color w:val="auto"/>
              </w:rPr>
            </w:pPr>
          </w:p>
        </w:tc>
      </w:tr>
      <w:tr>
        <w:trPr>
          <w:trHeight w:val="245"/>
        </w:trPr>
        <w:tc>
          <w:tcPr>
            <w:tcW w:w="7560" w:type="dxa"/>
            <w:vAlign w:val="bottom"/>
            <w:shd w:val="clear" w:color="auto" w:fill="43C0B9"/>
          </w:tcPr>
          <w:p>
            <w:pPr>
              <w:ind w:left="20"/>
              <w:spacing w:after="0"/>
              <w:rPr>
                <w:sz w:val="20"/>
                <w:szCs w:val="20"/>
                <w:color w:val="auto"/>
              </w:rPr>
            </w:pPr>
            <w:r>
              <w:rPr>
                <w:rFonts w:ascii="Arial" w:cs="Arial" w:eastAsia="Arial" w:hAnsi="Arial"/>
                <w:sz w:val="12"/>
                <w:szCs w:val="12"/>
                <w:b w:val="1"/>
                <w:bCs w:val="1"/>
                <w:color w:val="FFFFFF"/>
              </w:rPr>
              <w:t>(In millions)</w:t>
            </w:r>
          </w:p>
        </w:tc>
        <w:tc>
          <w:tcPr>
            <w:tcW w:w="560" w:type="dxa"/>
            <w:vAlign w:val="bottom"/>
            <w:shd w:val="clear" w:color="auto" w:fill="43C0B9"/>
          </w:tcPr>
          <w:p>
            <w:pPr>
              <w:spacing w:after="0"/>
              <w:rPr>
                <w:sz w:val="21"/>
                <w:szCs w:val="21"/>
                <w:color w:val="auto"/>
              </w:rPr>
            </w:pPr>
          </w:p>
        </w:tc>
        <w:tc>
          <w:tcPr>
            <w:tcW w:w="1080" w:type="dxa"/>
            <w:vAlign w:val="bottom"/>
            <w:shd w:val="clear" w:color="auto" w:fill="43C0B9"/>
          </w:tcPr>
          <w:p>
            <w:pPr>
              <w:jc w:val="right"/>
              <w:ind w:right="138"/>
              <w:spacing w:after="0"/>
              <w:rPr>
                <w:sz w:val="20"/>
                <w:szCs w:val="20"/>
                <w:color w:val="auto"/>
              </w:rPr>
            </w:pPr>
            <w:r>
              <w:rPr>
                <w:rFonts w:ascii="Arial" w:cs="Arial" w:eastAsia="Arial" w:hAnsi="Arial"/>
                <w:sz w:val="12"/>
                <w:szCs w:val="12"/>
                <w:b w:val="1"/>
                <w:bCs w:val="1"/>
                <w:color w:val="FFFFFF"/>
              </w:rPr>
              <w:t>2022</w:t>
            </w:r>
          </w:p>
        </w:tc>
        <w:tc>
          <w:tcPr>
            <w:tcW w:w="940" w:type="dxa"/>
            <w:vAlign w:val="bottom"/>
            <w:shd w:val="clear" w:color="auto" w:fill="43C0B9"/>
          </w:tcPr>
          <w:p>
            <w:pPr>
              <w:spacing w:after="0"/>
              <w:rPr>
                <w:sz w:val="21"/>
                <w:szCs w:val="21"/>
                <w:color w:val="auto"/>
              </w:rPr>
            </w:pPr>
          </w:p>
        </w:tc>
        <w:tc>
          <w:tcPr>
            <w:tcW w:w="720" w:type="dxa"/>
            <w:vAlign w:val="bottom"/>
            <w:shd w:val="clear" w:color="auto" w:fill="43C0B9"/>
          </w:tcPr>
          <w:p>
            <w:pPr>
              <w:jc w:val="right"/>
              <w:ind w:right="58"/>
              <w:spacing w:after="0"/>
              <w:rPr>
                <w:sz w:val="20"/>
                <w:szCs w:val="20"/>
                <w:color w:val="auto"/>
              </w:rPr>
            </w:pPr>
            <w:r>
              <w:rPr>
                <w:rFonts w:ascii="Arial" w:cs="Arial" w:eastAsia="Arial" w:hAnsi="Arial"/>
                <w:sz w:val="12"/>
                <w:szCs w:val="12"/>
                <w:b w:val="1"/>
                <w:bCs w:val="1"/>
                <w:color w:val="FFFFFF"/>
              </w:rPr>
              <w:t>2021</w:t>
            </w: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spacing w:after="0"/>
              <w:rPr>
                <w:sz w:val="15"/>
                <w:szCs w:val="15"/>
                <w:color w:val="auto"/>
              </w:rPr>
            </w:pPr>
          </w:p>
        </w:tc>
      </w:tr>
      <w:tr>
        <w:trPr>
          <w:trHeight w:val="170"/>
        </w:trPr>
        <w:tc>
          <w:tcPr>
            <w:tcW w:w="756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560" w:type="dxa"/>
            <w:vAlign w:val="bottom"/>
          </w:tcPr>
          <w:p>
            <w:pPr>
              <w:jc w:val="right"/>
              <w:ind w:right="39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(13.4)</w:t>
            </w:r>
          </w:p>
        </w:tc>
        <w:tc>
          <w:tcPr>
            <w:tcW w:w="940" w:type="dxa"/>
            <w:vAlign w:val="bottom"/>
          </w:tcPr>
          <w:p>
            <w:pPr>
              <w:jc w:val="right"/>
              <w:ind w:right="69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Adjustments to reconcile net (loss) income to net cash used in operating activities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spacing w:after="0"/>
              <w:rPr>
                <w:sz w:val="15"/>
                <w:szCs w:val="15"/>
                <w:color w:val="auto"/>
              </w:rPr>
            </w:pP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Depreciation and amortization</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4.5</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Amortization of debt issuance costs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2"/>
                <w:szCs w:val="12"/>
                <w:color w:val="auto"/>
              </w:rPr>
              <w:t>0.1</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Noncash lease expense</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1.2</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Equity method income</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(1.6)</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Stock-based compensation</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0.8</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0.8</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Dividends received from equity method investees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2"/>
                <w:szCs w:val="12"/>
                <w:color w:val="auto"/>
              </w:rPr>
              <w:t>2.2</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Losses (gains) on asset impairment, disposals and sales, net of insurance recoveries</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0.1</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Deferred income taxes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4.9</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Unrealized (gains) losses on derivative financial instruments</w:t>
            </w:r>
          </w:p>
        </w:tc>
        <w:tc>
          <w:tcPr>
            <w:tcW w:w="56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(0.8)</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Effect on cash of changes in operating assets and liabilities: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spacing w:after="0"/>
              <w:rPr>
                <w:sz w:val="15"/>
                <w:szCs w:val="15"/>
                <w:color w:val="auto"/>
              </w:rPr>
            </w:pP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Trade accounts receivable</w:t>
            </w:r>
          </w:p>
        </w:tc>
        <w:tc>
          <w:tcPr>
            <w:tcW w:w="56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(27.6)</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(12.6)</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Grower fruit advances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(2.9)</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0.2</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Miscellaneous receivables</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3.1</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Inventory</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(29.8)</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(10.2)</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Prepaid expenses and other current assets</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0.1</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Income taxes receivable</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(4.2)</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1.2</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Other assets</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0.6</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Accounts payable and accrued expenses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2"/>
                <w:szCs w:val="12"/>
                <w:color w:val="auto"/>
              </w:rPr>
              <w:t>13.3</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4.8</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Income taxes payable</w:t>
            </w:r>
          </w:p>
        </w:tc>
        <w:tc>
          <w:tcPr>
            <w:tcW w:w="56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(0.1)</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Grower payables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2"/>
                <w:szCs w:val="12"/>
                <w:color w:val="auto"/>
              </w:rPr>
              <w:t>15.1</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(0.2)</w:t>
            </w:r>
          </w:p>
        </w:tc>
      </w:tr>
      <w:tr>
        <w:trPr>
          <w:trHeight w:val="170"/>
        </w:trPr>
        <w:tc>
          <w:tcPr>
            <w:tcW w:w="7560" w:type="dxa"/>
            <w:vAlign w:val="bottom"/>
          </w:tcPr>
          <w:p>
            <w:pPr>
              <w:ind w:left="460"/>
              <w:spacing w:after="0"/>
              <w:rPr>
                <w:sz w:val="20"/>
                <w:szCs w:val="20"/>
                <w:color w:val="auto"/>
              </w:rPr>
            </w:pPr>
            <w:r>
              <w:rPr>
                <w:rFonts w:ascii="Arial" w:cs="Arial" w:eastAsia="Arial" w:hAnsi="Arial"/>
                <w:sz w:val="12"/>
                <w:szCs w:val="12"/>
                <w:color w:val="auto"/>
              </w:rPr>
              <w:t>Operating lease liabilities</w:t>
            </w:r>
          </w:p>
        </w:tc>
        <w:tc>
          <w:tcPr>
            <w:tcW w:w="56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(0.7)</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6"/>
        </w:trPr>
        <w:tc>
          <w:tcPr>
            <w:tcW w:w="75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2"/>
                <w:szCs w:val="12"/>
                <w:color w:val="auto"/>
              </w:rPr>
              <w:t>Other long-term liabilities</w:t>
            </w:r>
          </w:p>
        </w:tc>
        <w:tc>
          <w:tcPr>
            <w:tcW w:w="56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(1.4)</w:t>
            </w:r>
          </w:p>
        </w:tc>
        <w:tc>
          <w:tcPr>
            <w:tcW w:w="94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r>
      <w:tr>
        <w:trPr>
          <w:trHeight w:val="163"/>
        </w:trPr>
        <w:tc>
          <w:tcPr>
            <w:tcW w:w="75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Net cash used in operating activities</w:t>
            </w:r>
          </w:p>
        </w:tc>
        <w:tc>
          <w:tcPr>
            <w:tcW w:w="560" w:type="dxa"/>
            <w:vAlign w:val="bottom"/>
            <w:tcBorders>
              <w:top w:val="single" w:sz="8" w:color="auto"/>
            </w:tcBorders>
          </w:tcPr>
          <w:p>
            <w:pPr>
              <w:jc w:val="right"/>
              <w:ind w:right="398"/>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(41.4)</w:t>
            </w:r>
          </w:p>
        </w:tc>
        <w:tc>
          <w:tcPr>
            <w:tcW w:w="940" w:type="dxa"/>
            <w:vAlign w:val="bottom"/>
            <w:tcBorders>
              <w:top w:val="single" w:sz="8" w:color="auto"/>
            </w:tcBorders>
          </w:tcPr>
          <w:p>
            <w:pPr>
              <w:jc w:val="right"/>
              <w:ind w:right="698"/>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(9.7)</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spacing w:after="0"/>
              <w:rPr>
                <w:sz w:val="15"/>
                <w:szCs w:val="15"/>
                <w:color w:val="auto"/>
              </w:rPr>
            </w:pPr>
          </w:p>
        </w:tc>
      </w:tr>
      <w:tr>
        <w:trPr>
          <w:trHeight w:val="170"/>
        </w:trPr>
        <w:tc>
          <w:tcPr>
            <w:tcW w:w="7560" w:type="dxa"/>
            <w:vAlign w:val="bottom"/>
          </w:tcPr>
          <w:p>
            <w:pPr>
              <w:ind w:left="20"/>
              <w:spacing w:after="0"/>
              <w:rPr>
                <w:sz w:val="20"/>
                <w:szCs w:val="20"/>
                <w:color w:val="auto"/>
              </w:rPr>
            </w:pPr>
            <w:r>
              <w:rPr>
                <w:rFonts w:ascii="Arial" w:cs="Arial" w:eastAsia="Arial" w:hAnsi="Arial"/>
                <w:sz w:val="12"/>
                <w:szCs w:val="12"/>
                <w:color w:val="auto"/>
              </w:rPr>
              <w:t>Purchases of property and equipment</w:t>
            </w:r>
          </w:p>
        </w:tc>
        <w:tc>
          <w:tcPr>
            <w:tcW w:w="56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(20.9)</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(22.4)</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Proceeds from sale of property, plant and equipment</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w:t>
            </w:r>
          </w:p>
        </w:tc>
      </w:tr>
      <w:tr>
        <w:trPr>
          <w:trHeight w:val="170"/>
        </w:trPr>
        <w:tc>
          <w:tcPr>
            <w:tcW w:w="7560" w:type="dxa"/>
            <w:vAlign w:val="bottom"/>
          </w:tcPr>
          <w:p>
            <w:pPr>
              <w:ind w:left="20"/>
              <w:spacing w:after="0"/>
              <w:rPr>
                <w:sz w:val="20"/>
                <w:szCs w:val="20"/>
                <w:color w:val="auto"/>
              </w:rPr>
            </w:pPr>
            <w:r>
              <w:rPr>
                <w:rFonts w:ascii="Arial" w:cs="Arial" w:eastAsia="Arial" w:hAnsi="Arial"/>
                <w:sz w:val="12"/>
                <w:szCs w:val="12"/>
                <w:color w:val="auto"/>
              </w:rPr>
              <w:t>Investment in equity method investees</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Loan repayments from equity method investees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2"/>
                <w:szCs w:val="12"/>
                <w:color w:val="auto"/>
              </w:rPr>
              <w:t>1.0</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70"/>
        </w:trPr>
        <w:tc>
          <w:tcPr>
            <w:tcW w:w="7560" w:type="dxa"/>
            <w:vAlign w:val="bottom"/>
          </w:tcPr>
          <w:p>
            <w:pPr>
              <w:ind w:left="20"/>
              <w:spacing w:after="0"/>
              <w:rPr>
                <w:sz w:val="20"/>
                <w:szCs w:val="20"/>
                <w:color w:val="auto"/>
              </w:rPr>
            </w:pPr>
            <w:r>
              <w:rPr>
                <w:rFonts w:ascii="Arial" w:cs="Arial" w:eastAsia="Arial" w:hAnsi="Arial"/>
                <w:sz w:val="12"/>
                <w:szCs w:val="12"/>
                <w:color w:val="auto"/>
              </w:rPr>
              <w:t>Other</w:t>
            </w:r>
          </w:p>
        </w:tc>
        <w:tc>
          <w:tcPr>
            <w:tcW w:w="56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(0.2)</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31"/>
        </w:trPr>
        <w:tc>
          <w:tcPr>
            <w:tcW w:w="7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cash used in investing activities</w:t>
            </w:r>
          </w:p>
        </w:tc>
        <w:tc>
          <w:tcPr>
            <w:tcW w:w="560" w:type="dxa"/>
            <w:vAlign w:val="bottom"/>
            <w:tcBorders>
              <w:bottom w:val="single" w:sz="8" w:color="DBDBDB"/>
            </w:tcBorders>
            <w:shd w:val="clear" w:color="auto" w:fill="DBDBDB"/>
          </w:tcPr>
          <w:p>
            <w:pPr>
              <w:jc w:val="right"/>
              <w:ind w:right="39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(20.1)</w:t>
            </w:r>
          </w:p>
        </w:tc>
        <w:tc>
          <w:tcPr>
            <w:tcW w:w="940" w:type="dxa"/>
            <w:vAlign w:val="bottom"/>
            <w:tcBorders>
              <w:bottom w:val="single" w:sz="8" w:color="DBDBDB"/>
            </w:tcBorders>
            <w:shd w:val="clear" w:color="auto" w:fill="DBDBDB"/>
          </w:tcPr>
          <w:p>
            <w:pPr>
              <w:jc w:val="right"/>
              <w:ind w:right="69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(20.6)</w:t>
            </w:r>
          </w:p>
        </w:tc>
      </w:tr>
      <w:tr>
        <w:trPr>
          <w:trHeight w:val="170"/>
        </w:trPr>
        <w:tc>
          <w:tcPr>
            <w:tcW w:w="756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1"/>
        </w:trPr>
        <w:tc>
          <w:tcPr>
            <w:tcW w:w="7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Principal payments on long-term debt obligations</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(2.2)</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w:t>
            </w:r>
          </w:p>
        </w:tc>
      </w:tr>
      <w:tr>
        <w:trPr>
          <w:trHeight w:val="170"/>
        </w:trPr>
        <w:tc>
          <w:tcPr>
            <w:tcW w:w="7560" w:type="dxa"/>
            <w:vAlign w:val="bottom"/>
          </w:tcPr>
          <w:p>
            <w:pPr>
              <w:ind w:left="20"/>
              <w:spacing w:after="0"/>
              <w:rPr>
                <w:sz w:val="20"/>
                <w:szCs w:val="20"/>
                <w:color w:val="auto"/>
              </w:rPr>
            </w:pPr>
            <w:r>
              <w:rPr>
                <w:rFonts w:ascii="Arial" w:cs="Arial" w:eastAsia="Arial" w:hAnsi="Arial"/>
                <w:sz w:val="12"/>
                <w:szCs w:val="12"/>
                <w:color w:val="auto"/>
              </w:rPr>
              <w:t>Principal payments on finance lease obligations</w:t>
            </w:r>
          </w:p>
        </w:tc>
        <w:tc>
          <w:tcPr>
            <w:tcW w:w="560" w:type="dxa"/>
            <w:vAlign w:val="bottom"/>
          </w:tcPr>
          <w:p>
            <w:pPr>
              <w:spacing w:after="0"/>
              <w:rPr>
                <w:sz w:val="14"/>
                <w:szCs w:val="14"/>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(0.3)</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(0.3)</w:t>
            </w:r>
          </w:p>
        </w:tc>
      </w:tr>
      <w:tr>
        <w:trPr>
          <w:trHeight w:val="31"/>
        </w:trPr>
        <w:tc>
          <w:tcPr>
            <w:tcW w:w="7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cash used in financing activities</w:t>
            </w:r>
          </w:p>
        </w:tc>
        <w:tc>
          <w:tcPr>
            <w:tcW w:w="560" w:type="dxa"/>
            <w:vAlign w:val="bottom"/>
            <w:tcBorders>
              <w:bottom w:val="single" w:sz="8" w:color="DBDBDB"/>
            </w:tcBorders>
            <w:shd w:val="clear" w:color="auto" w:fill="DBDBDB"/>
          </w:tcPr>
          <w:p>
            <w:pPr>
              <w:jc w:val="right"/>
              <w:ind w:right="39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(2.5)</w:t>
            </w:r>
          </w:p>
        </w:tc>
        <w:tc>
          <w:tcPr>
            <w:tcW w:w="940" w:type="dxa"/>
            <w:vAlign w:val="bottom"/>
            <w:tcBorders>
              <w:bottom w:val="single" w:sz="8" w:color="DBDBDB"/>
            </w:tcBorders>
            <w:shd w:val="clear" w:color="auto" w:fill="DBDBDB"/>
          </w:tcPr>
          <w:p>
            <w:pPr>
              <w:jc w:val="right"/>
              <w:ind w:right="69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(2.5)</w:t>
            </w:r>
          </w:p>
        </w:tc>
      </w:tr>
      <w:tr>
        <w:trPr>
          <w:trHeight w:val="170"/>
        </w:trPr>
        <w:tc>
          <w:tcPr>
            <w:tcW w:w="7560" w:type="dxa"/>
            <w:vAlign w:val="bottom"/>
          </w:tcPr>
          <w:p>
            <w:pPr>
              <w:ind w:left="20"/>
              <w:spacing w:after="0"/>
              <w:rPr>
                <w:sz w:val="20"/>
                <w:szCs w:val="20"/>
                <w:color w:val="auto"/>
              </w:rPr>
            </w:pPr>
            <w:r>
              <w:rPr>
                <w:rFonts w:ascii="Arial" w:cs="Arial" w:eastAsia="Arial" w:hAnsi="Arial"/>
                <w:sz w:val="12"/>
                <w:szCs w:val="12"/>
                <w:color w:val="auto"/>
              </w:rPr>
              <w:t>Effect of exchange rate changes on cash</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31"/>
        </w:trPr>
        <w:tc>
          <w:tcPr>
            <w:tcW w:w="7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decrease in cash, cash equivalents and restricted cash</w:t>
            </w:r>
          </w:p>
        </w:tc>
        <w:tc>
          <w:tcPr>
            <w:tcW w:w="5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(64.0)</w:t>
            </w:r>
          </w:p>
        </w:tc>
        <w:tc>
          <w:tcPr>
            <w:tcW w:w="94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(32.7)</w:t>
            </w:r>
          </w:p>
        </w:tc>
      </w:tr>
      <w:tr>
        <w:trPr>
          <w:trHeight w:val="170"/>
        </w:trPr>
        <w:tc>
          <w:tcPr>
            <w:tcW w:w="7560" w:type="dxa"/>
            <w:vAlign w:val="bottom"/>
          </w:tcPr>
          <w:p>
            <w:pPr>
              <w:ind w:left="20"/>
              <w:spacing w:after="0"/>
              <w:rPr>
                <w:sz w:val="20"/>
                <w:szCs w:val="20"/>
                <w:color w:val="auto"/>
              </w:rPr>
            </w:pPr>
            <w:r>
              <w:rPr>
                <w:rFonts w:ascii="Arial" w:cs="Arial" w:eastAsia="Arial" w:hAnsi="Arial"/>
                <w:sz w:val="12"/>
                <w:szCs w:val="12"/>
                <w:color w:val="auto"/>
              </w:rPr>
              <w:t>Cash, cash equivalents and restricted cash, beginning of period</w:t>
            </w:r>
          </w:p>
        </w:tc>
        <w:tc>
          <w:tcPr>
            <w:tcW w:w="56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92.2</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127.0</w:t>
            </w:r>
          </w:p>
        </w:tc>
      </w:tr>
      <w:tr>
        <w:trPr>
          <w:trHeight w:val="31"/>
        </w:trPr>
        <w:tc>
          <w:tcPr>
            <w:tcW w:w="7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Cash, cash equivalents and restricted cash, end of period</w:t>
            </w:r>
          </w:p>
        </w:tc>
        <w:tc>
          <w:tcPr>
            <w:tcW w:w="560" w:type="dxa"/>
            <w:vAlign w:val="bottom"/>
            <w:tcBorders>
              <w:bottom w:val="single" w:sz="8" w:color="DBDBDB"/>
            </w:tcBorders>
            <w:shd w:val="clear" w:color="auto" w:fill="DBDBDB"/>
          </w:tcPr>
          <w:p>
            <w:pPr>
              <w:jc w:val="right"/>
              <w:ind w:right="39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2"/>
                <w:szCs w:val="12"/>
                <w:color w:val="auto"/>
              </w:rPr>
              <w:t>28.2</w:t>
            </w:r>
          </w:p>
        </w:tc>
        <w:tc>
          <w:tcPr>
            <w:tcW w:w="940" w:type="dxa"/>
            <w:vAlign w:val="bottom"/>
            <w:tcBorders>
              <w:bottom w:val="single" w:sz="8" w:color="DBDBDB"/>
            </w:tcBorders>
            <w:shd w:val="clear" w:color="auto" w:fill="DBDBDB"/>
          </w:tcPr>
          <w:p>
            <w:pPr>
              <w:jc w:val="right"/>
              <w:ind w:right="69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94.3</w:t>
            </w:r>
          </w:p>
        </w:tc>
      </w:tr>
      <w:tr>
        <w:trPr>
          <w:trHeight w:val="20"/>
        </w:trPr>
        <w:tc>
          <w:tcPr>
            <w:tcW w:w="7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-5408930</wp:posOffset>
            </wp:positionV>
            <wp:extent cx="20974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109"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3551" w:lineRule="exact"/>
        <w:rPr>
          <w:sz w:val="20"/>
          <w:szCs w:val="20"/>
          <w:color w:val="auto"/>
        </w:rPr>
      </w:pPr>
    </w:p>
    <w:p>
      <w:pPr>
        <w:sectPr>
          <w:pgSz w:w="11900" w:h="16838" w:orient="portrait"/>
          <w:cols w:equalWidth="0" w:num="2">
            <w:col w:w="10900" w:space="20"/>
            <w:col w:w="300"/>
          </w:cols>
          <w:pgMar w:left="320" w:top="1440" w:right="359" w:bottom="1440" w:gutter="0" w:footer="0" w:header="0"/>
          <w:type w:val="continuous"/>
        </w:sectPr>
      </w:pPr>
    </w:p>
    <w:tbl>
      <w:tblPr>
        <w:tblLayout w:type="fixed"/>
        <w:tblInd w:w="40" w:type="dxa"/>
        <w:tblCellMar>
          <w:top w:w="0" w:type="dxa"/>
          <w:left w:w="0" w:type="dxa"/>
          <w:bottom w:w="0" w:type="dxa"/>
          <w:right w:w="0" w:type="dxa"/>
        </w:tblCellMar>
      </w:tblPr>
      <w:tr>
        <w:trPr>
          <w:trHeight w:val="201"/>
        </w:trPr>
        <w:tc>
          <w:tcPr>
            <w:tcW w:w="726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Summary of cash, cash equivalents and restricted cash reported within the condensed consolidated balance sheets:</w:t>
            </w:r>
          </w:p>
        </w:tc>
        <w:tc>
          <w:tcPr>
            <w:tcW w:w="9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r>
      <w:tr>
        <w:trPr>
          <w:trHeight w:val="170"/>
        </w:trPr>
        <w:tc>
          <w:tcPr>
            <w:tcW w:w="726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980" w:type="dxa"/>
            <w:vAlign w:val="bottom"/>
          </w:tcPr>
          <w:p>
            <w:pPr>
              <w:jc w:val="right"/>
              <w:ind w:right="51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25.3</w:t>
            </w:r>
          </w:p>
        </w:tc>
        <w:tc>
          <w:tcPr>
            <w:tcW w:w="780" w:type="dxa"/>
            <w:vAlign w:val="bottom"/>
          </w:tcPr>
          <w:p>
            <w:pPr>
              <w:jc w:val="right"/>
              <w:ind w:right="518"/>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91.1</w:t>
            </w:r>
          </w:p>
        </w:tc>
      </w:tr>
      <w:tr>
        <w:trPr>
          <w:trHeight w:val="31"/>
        </w:trPr>
        <w:tc>
          <w:tcPr>
            <w:tcW w:w="7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1"/>
        </w:trPr>
        <w:tc>
          <w:tcPr>
            <w:tcW w:w="7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Restricted cash</w:t>
            </w:r>
          </w:p>
        </w:tc>
        <w:tc>
          <w:tcPr>
            <w:tcW w:w="98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12"/>
                <w:szCs w:val="12"/>
                <w:color w:val="auto"/>
              </w:rPr>
              <w:t>2.9</w:t>
            </w:r>
          </w:p>
        </w:tc>
        <w:tc>
          <w:tcPr>
            <w:tcW w:w="7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w:t>
            </w:r>
          </w:p>
        </w:tc>
      </w:tr>
      <w:tr>
        <w:trPr>
          <w:trHeight w:val="170"/>
        </w:trPr>
        <w:tc>
          <w:tcPr>
            <w:tcW w:w="7260" w:type="dxa"/>
            <w:vAlign w:val="bottom"/>
          </w:tcPr>
          <w:p>
            <w:pPr>
              <w:ind w:left="20"/>
              <w:spacing w:after="0"/>
              <w:rPr>
                <w:sz w:val="20"/>
                <w:szCs w:val="20"/>
                <w:color w:val="auto"/>
              </w:rPr>
            </w:pPr>
            <w:r>
              <w:rPr>
                <w:rFonts w:ascii="Arial" w:cs="Arial" w:eastAsia="Arial" w:hAnsi="Arial"/>
                <w:sz w:val="12"/>
                <w:szCs w:val="12"/>
                <w:color w:val="auto"/>
              </w:rPr>
              <w:t>Restricted cash included in other assets</w:t>
            </w:r>
          </w:p>
        </w:tc>
        <w:tc>
          <w:tcPr>
            <w:tcW w:w="98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31"/>
        </w:trPr>
        <w:tc>
          <w:tcPr>
            <w:tcW w:w="7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4"/>
        </w:trPr>
        <w:tc>
          <w:tcPr>
            <w:tcW w:w="7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Total cash, cash equivalents, and restricted cash shown in the condensed consolidated statements of cash flows</w:t>
            </w:r>
          </w:p>
        </w:tc>
        <w:tc>
          <w:tcPr>
            <w:tcW w:w="980" w:type="dxa"/>
            <w:vAlign w:val="bottom"/>
            <w:tcBorders>
              <w:bottom w:val="single" w:sz="8" w:color="DBDBDB"/>
            </w:tcBorders>
            <w:shd w:val="clear" w:color="auto" w:fill="DBDBDB"/>
          </w:tcPr>
          <w:p>
            <w:pPr>
              <w:jc w:val="right"/>
              <w:ind w:right="51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jc w:val="right"/>
              <w:ind w:right="58"/>
              <w:spacing w:after="0"/>
              <w:rPr>
                <w:sz w:val="20"/>
                <w:szCs w:val="20"/>
                <w:color w:val="auto"/>
              </w:rPr>
            </w:pPr>
            <w:r>
              <w:rPr>
                <w:rFonts w:ascii="Arial" w:cs="Arial" w:eastAsia="Arial" w:hAnsi="Arial"/>
                <w:sz w:val="12"/>
                <w:szCs w:val="12"/>
                <w:color w:val="auto"/>
              </w:rPr>
              <w:t>28.2</w:t>
            </w:r>
          </w:p>
        </w:tc>
        <w:tc>
          <w:tcPr>
            <w:tcW w:w="780" w:type="dxa"/>
            <w:vAlign w:val="bottom"/>
            <w:tcBorders>
              <w:bottom w:val="single" w:sz="8" w:color="DBDBDB"/>
            </w:tcBorders>
            <w:shd w:val="clear" w:color="auto" w:fill="DBDBDB"/>
          </w:tcPr>
          <w:p>
            <w:pPr>
              <w:jc w:val="right"/>
              <w:ind w:right="51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94.3</w:t>
            </w:r>
          </w:p>
        </w:tc>
      </w:tr>
      <w:tr>
        <w:trPr>
          <w:trHeight w:val="20"/>
        </w:trPr>
        <w:tc>
          <w:tcPr>
            <w:tcW w:w="7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28" w:lineRule="exact"/>
        <w:rPr>
          <w:sz w:val="20"/>
          <w:szCs w:val="20"/>
          <w:color w:val="auto"/>
        </w:rPr>
      </w:pPr>
    </w:p>
    <w:p>
      <w:pPr>
        <w:ind w:left="160" w:hanging="153"/>
        <w:spacing w:after="0" w:line="220" w:lineRule="auto"/>
        <w:tabs>
          <w:tab w:leader="none" w:pos="165"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Prior period amounts differ from those previously reported due to the adoption of ASC 842, Leases, effective November 1, 2020, which was first presented in our annual report on Form-10K for the year ended October 31, 2021.</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25"/>
          <w:szCs w:val="25"/>
          <w:b w:val="1"/>
          <w:bCs w:val="1"/>
          <w:color w:val="43C0B9"/>
        </w:rPr>
        <w:t>MISSION PRODUCE, INC.</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hanging="433"/>
        <w:spacing w:after="0"/>
        <w:tabs>
          <w:tab w:leader="none" w:pos="4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37" w:lineRule="exact"/>
        <w:rPr>
          <w:sz w:val="20"/>
          <w:szCs w:val="20"/>
          <w:color w:val="auto"/>
        </w:rPr>
      </w:pPr>
    </w:p>
    <w:p>
      <w:pPr>
        <w:ind w:right="40" w:firstLine="642"/>
        <w:spacing w:after="0" w:line="247" w:lineRule="auto"/>
        <w:rPr>
          <w:sz w:val="20"/>
          <w:szCs w:val="20"/>
          <w:color w:val="auto"/>
        </w:rPr>
      </w:pPr>
      <w:r>
        <w:rPr>
          <w:rFonts w:ascii="Arial" w:cs="Arial" w:eastAsia="Arial" w:hAnsi="Arial"/>
          <w:sz w:val="16"/>
          <w:szCs w:val="16"/>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for distribution to domestic and international markets. We report our results of operations in two operating segments: Marketing and Distribution and International Farming (see Note 10).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consolidation</w:t>
      </w:r>
    </w:p>
    <w:p>
      <w:pPr>
        <w:spacing w:after="0" w:line="237" w:lineRule="exact"/>
        <w:rPr>
          <w:sz w:val="20"/>
          <w:szCs w:val="20"/>
          <w:color w:val="auto"/>
        </w:rPr>
      </w:pPr>
    </w:p>
    <w:p>
      <w:pPr>
        <w:ind w:firstLine="642"/>
        <w:spacing w:after="0" w:line="246" w:lineRule="auto"/>
        <w:rPr>
          <w:sz w:val="20"/>
          <w:szCs w:val="20"/>
          <w:color w:val="auto"/>
        </w:rPr>
      </w:pPr>
      <w:r>
        <w:rPr>
          <w:rFonts w:ascii="Arial" w:cs="Arial" w:eastAsia="Arial" w:hAnsi="Arial"/>
          <w:sz w:val="16"/>
          <w:szCs w:val="16"/>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2021.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37" w:lineRule="exact"/>
        <w:rPr>
          <w:sz w:val="20"/>
          <w:szCs w:val="20"/>
          <w:color w:val="auto"/>
        </w:rPr>
      </w:pPr>
    </w:p>
    <w:p>
      <w:pPr>
        <w:ind w:right="20" w:firstLine="642"/>
        <w:spacing w:after="0" w:line="246"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2020-04, Reference Rate Reform, and a subsequent update following, which provides optional expedients and exceptions for applying GAAP principles to contracts, hedging relationships, and other transactions affected by reference rate reform if certain criteria are met. The amendments in this ASU apply only to contracts, hedging relationships, and other transactions that reference LIBOR or another reference rate expected to be discontinued as a result of reference rate reform. The optional expedients in this ASU are available for adoption as of March 12, 2020 through December 31, 2022. The Company is evaluating the impact of electing the adoption of this ASU on our financial condition, results of operations and cash flows.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00" w:type="dxa"/>
            <w:vAlign w:val="bottom"/>
          </w:tcPr>
          <w:p>
            <w:pPr>
              <w:spacing w:after="0"/>
              <w:rPr>
                <w:sz w:val="20"/>
                <w:szCs w:val="20"/>
                <w:color w:val="auto"/>
              </w:rPr>
            </w:pPr>
            <w:r>
              <w:rPr>
                <w:rFonts w:ascii="Arial" w:cs="Arial" w:eastAsia="Arial" w:hAnsi="Arial"/>
                <w:sz w:val="20"/>
                <w:szCs w:val="20"/>
                <w:b w:val="1"/>
                <w:bCs w:val="1"/>
                <w:color w:val="auto"/>
              </w:rPr>
              <w:t>2.</w:t>
            </w:r>
          </w:p>
        </w:tc>
        <w:tc>
          <w:tcPr>
            <w:tcW w:w="5500" w:type="dxa"/>
            <w:vAlign w:val="bottom"/>
          </w:tcPr>
          <w:p>
            <w:pPr>
              <w:ind w:left="140"/>
              <w:spacing w:after="0"/>
              <w:rPr>
                <w:sz w:val="20"/>
                <w:szCs w:val="20"/>
                <w:color w:val="auto"/>
              </w:rPr>
            </w:pPr>
            <w:r>
              <w:rPr>
                <w:rFonts w:ascii="Arial" w:cs="Arial" w:eastAsia="Arial" w:hAnsi="Arial"/>
                <w:sz w:val="20"/>
                <w:szCs w:val="20"/>
                <w:b w:val="1"/>
                <w:bCs w:val="1"/>
                <w:color w:val="auto"/>
              </w:rPr>
              <w:t>Inventory</w:t>
            </w:r>
          </w:p>
        </w:tc>
        <w:tc>
          <w:tcPr>
            <w:tcW w:w="2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05"/>
        </w:trPr>
        <w:tc>
          <w:tcPr>
            <w:tcW w:w="300" w:type="dxa"/>
            <w:vAlign w:val="bottom"/>
          </w:tcPr>
          <w:p>
            <w:pPr>
              <w:spacing w:after="0"/>
              <w:rPr>
                <w:sz w:val="24"/>
                <w:szCs w:val="24"/>
                <w:color w:val="auto"/>
              </w:rPr>
            </w:pPr>
          </w:p>
        </w:tc>
        <w:tc>
          <w:tcPr>
            <w:tcW w:w="5500" w:type="dxa"/>
            <w:vAlign w:val="bottom"/>
          </w:tcPr>
          <w:p>
            <w:pPr>
              <w:ind w:left="340"/>
              <w:spacing w:after="0"/>
              <w:rPr>
                <w:sz w:val="20"/>
                <w:szCs w:val="20"/>
                <w:color w:val="auto"/>
              </w:rPr>
            </w:pPr>
            <w:r>
              <w:rPr>
                <w:rFonts w:ascii="Arial" w:cs="Arial" w:eastAsia="Arial" w:hAnsi="Arial"/>
                <w:sz w:val="16"/>
                <w:szCs w:val="16"/>
                <w:color w:val="auto"/>
              </w:rPr>
              <w:t>Major classes of inventory were as follows:</w:t>
            </w: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0"/>
        </w:trPr>
        <w:tc>
          <w:tcPr>
            <w:tcW w:w="5800" w:type="dxa"/>
            <w:vAlign w:val="bottom"/>
            <w:gridSpan w:val="2"/>
          </w:tcPr>
          <w:p>
            <w:pPr>
              <w:spacing w:after="0"/>
              <w:rPr>
                <w:sz w:val="22"/>
                <w:szCs w:val="22"/>
                <w:color w:val="auto"/>
              </w:rPr>
            </w:pPr>
          </w:p>
        </w:tc>
        <w:tc>
          <w:tcPr>
            <w:tcW w:w="2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4"/>
        </w:trPr>
        <w:tc>
          <w:tcPr>
            <w:tcW w:w="5800" w:type="dxa"/>
            <w:vAlign w:val="bottom"/>
            <w:gridSpan w:val="2"/>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2360" w:type="dxa"/>
            <w:vAlign w:val="bottom"/>
            <w:shd w:val="clear" w:color="auto" w:fill="43C0B9"/>
          </w:tcPr>
          <w:p>
            <w:pPr>
              <w:spacing w:after="0"/>
              <w:rPr>
                <w:sz w:val="18"/>
                <w:szCs w:val="18"/>
                <w:color w:val="auto"/>
              </w:rPr>
            </w:pPr>
          </w:p>
        </w:tc>
        <w:tc>
          <w:tcPr>
            <w:tcW w:w="138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January 31, 2022</w:t>
            </w:r>
          </w:p>
        </w:tc>
        <w:tc>
          <w:tcPr>
            <w:tcW w:w="320" w:type="dxa"/>
            <w:vAlign w:val="bottom"/>
            <w:shd w:val="clear" w:color="auto" w:fill="43C0B9"/>
          </w:tcPr>
          <w:p>
            <w:pPr>
              <w:spacing w:after="0"/>
              <w:rPr>
                <w:sz w:val="18"/>
                <w:szCs w:val="18"/>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October 31, 2021</w:t>
            </w:r>
          </w:p>
        </w:tc>
      </w:tr>
      <w:tr>
        <w:trPr>
          <w:trHeight w:val="214"/>
        </w:trPr>
        <w:tc>
          <w:tcPr>
            <w:tcW w:w="58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Finished goods</w:t>
            </w:r>
          </w:p>
        </w:tc>
        <w:tc>
          <w:tcPr>
            <w:tcW w:w="236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41.6</w:t>
            </w:r>
          </w:p>
        </w:tc>
        <w:tc>
          <w:tcPr>
            <w:tcW w:w="32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22.5</w:t>
            </w:r>
          </w:p>
        </w:tc>
      </w:tr>
      <w:tr>
        <w:trPr>
          <w:trHeight w:val="208"/>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2360" w:type="dxa"/>
            <w:vAlign w:val="bottom"/>
          </w:tcPr>
          <w:p>
            <w:pPr>
              <w:spacing w:after="0"/>
              <w:rPr>
                <w:sz w:val="18"/>
                <w:szCs w:val="18"/>
                <w:color w:val="auto"/>
              </w:rPr>
            </w:pP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23.1</w:t>
            </w:r>
          </w:p>
        </w:tc>
        <w:tc>
          <w:tcPr>
            <w:tcW w:w="320" w:type="dxa"/>
            <w:vAlign w:val="bottom"/>
          </w:tcPr>
          <w:p>
            <w:pPr>
              <w:spacing w:after="0"/>
              <w:rPr>
                <w:sz w:val="18"/>
                <w:szCs w:val="18"/>
                <w:color w:val="auto"/>
              </w:rPr>
            </w:pP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11.9</w:t>
            </w:r>
          </w:p>
        </w:tc>
      </w:tr>
      <w:tr>
        <w:trPr>
          <w:trHeight w:val="214"/>
        </w:trPr>
        <w:tc>
          <w:tcPr>
            <w:tcW w:w="580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4"/>
                <w:szCs w:val="14"/>
                <w:color w:val="auto"/>
              </w:rPr>
              <w:t>Packaging and supplies</w:t>
            </w:r>
          </w:p>
        </w:tc>
        <w:tc>
          <w:tcPr>
            <w:tcW w:w="236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14.6</w:t>
            </w:r>
          </w:p>
        </w:tc>
        <w:tc>
          <w:tcPr>
            <w:tcW w:w="3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13.8</w:t>
            </w:r>
          </w:p>
        </w:tc>
      </w:tr>
      <w:tr>
        <w:trPr>
          <w:trHeight w:val="207"/>
        </w:trPr>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23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79.3</w:t>
            </w:r>
          </w:p>
        </w:tc>
        <w:tc>
          <w:tcPr>
            <w:tcW w:w="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48.2</w:t>
            </w:r>
          </w:p>
        </w:tc>
      </w:tr>
    </w:tbl>
    <w:p>
      <w:pPr>
        <w:spacing w:after="0" w:line="200" w:lineRule="exact"/>
        <w:rPr>
          <w:sz w:val="20"/>
          <w:szCs w:val="20"/>
          <w:color w:val="auto"/>
        </w:rPr>
      </w:pPr>
    </w:p>
    <w:p>
      <w:pPr>
        <w:spacing w:after="0" w:line="307" w:lineRule="exact"/>
        <w:rPr>
          <w:sz w:val="20"/>
          <w:szCs w:val="20"/>
          <w:color w:val="auto"/>
        </w:rPr>
      </w:pPr>
    </w:p>
    <w:p>
      <w:pPr>
        <w:ind w:left="380" w:hanging="373"/>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Details of Certain Account Balances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3340" w:type="dxa"/>
            <w:vAlign w:val="bottom"/>
            <w:shd w:val="clear" w:color="auto" w:fill="43C0B9"/>
          </w:tcPr>
          <w:p>
            <w:pPr>
              <w:spacing w:after="0"/>
              <w:rPr>
                <w:sz w:val="18"/>
                <w:szCs w:val="18"/>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January 31, 2022</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October 31, 2021</w:t>
            </w:r>
          </w:p>
        </w:tc>
      </w:tr>
      <w:tr>
        <w:trPr>
          <w:trHeight w:val="214"/>
        </w:trPr>
        <w:tc>
          <w:tcPr>
            <w:tcW w:w="4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Employee-related</w:t>
            </w:r>
          </w:p>
        </w:tc>
        <w:tc>
          <w:tcPr>
            <w:tcW w:w="3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10.5</w:t>
            </w:r>
          </w:p>
        </w:tc>
        <w:tc>
          <w:tcPr>
            <w:tcW w:w="30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14.6</w:t>
            </w:r>
          </w:p>
        </w:tc>
      </w:tr>
      <w:tr>
        <w:trPr>
          <w:trHeight w:val="208"/>
        </w:trPr>
        <w:tc>
          <w:tcPr>
            <w:tcW w:w="4900" w:type="dxa"/>
            <w:vAlign w:val="bottom"/>
          </w:tcPr>
          <w:p>
            <w:pPr>
              <w:ind w:left="20"/>
              <w:spacing w:after="0"/>
              <w:rPr>
                <w:sz w:val="20"/>
                <w:szCs w:val="20"/>
                <w:color w:val="auto"/>
              </w:rPr>
            </w:pPr>
            <w:r>
              <w:rPr>
                <w:rFonts w:ascii="Arial" w:cs="Arial" w:eastAsia="Arial" w:hAnsi="Arial"/>
                <w:sz w:val="14"/>
                <w:szCs w:val="14"/>
                <w:color w:val="auto"/>
              </w:rPr>
              <w:t>Freight</w:t>
            </w:r>
          </w:p>
        </w:tc>
        <w:tc>
          <w:tcPr>
            <w:tcW w:w="3340" w:type="dxa"/>
            <w:vAlign w:val="bottom"/>
          </w:tcPr>
          <w:p>
            <w:pPr>
              <w:spacing w:after="0"/>
              <w:rPr>
                <w:sz w:val="18"/>
                <w:szCs w:val="18"/>
                <w:color w:val="auto"/>
              </w:rPr>
            </w:pP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30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3.9</w:t>
            </w:r>
          </w:p>
        </w:tc>
      </w:tr>
      <w:tr>
        <w:trPr>
          <w:trHeight w:val="220"/>
        </w:trPr>
        <w:tc>
          <w:tcPr>
            <w:tcW w:w="4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rate swaps</w:t>
            </w:r>
          </w:p>
        </w:tc>
        <w:tc>
          <w:tcPr>
            <w:tcW w:w="3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1.5</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2.1</w:t>
            </w:r>
          </w:p>
        </w:tc>
      </w:tr>
      <w:tr>
        <w:trPr>
          <w:trHeight w:val="208"/>
        </w:trPr>
        <w:tc>
          <w:tcPr>
            <w:tcW w:w="4900" w:type="dxa"/>
            <w:vAlign w:val="bottom"/>
          </w:tcPr>
          <w:p>
            <w:pPr>
              <w:ind w:left="20"/>
              <w:spacing w:after="0"/>
              <w:rPr>
                <w:sz w:val="20"/>
                <w:szCs w:val="20"/>
                <w:color w:val="auto"/>
              </w:rPr>
            </w:pPr>
            <w:r>
              <w:rPr>
                <w:rFonts w:ascii="Arial" w:cs="Arial" w:eastAsia="Arial" w:hAnsi="Arial"/>
                <w:sz w:val="14"/>
                <w:szCs w:val="14"/>
                <w:color w:val="auto"/>
              </w:rPr>
              <w:t>Construction-in-progress</w:t>
            </w:r>
          </w:p>
        </w:tc>
        <w:tc>
          <w:tcPr>
            <w:tcW w:w="3340" w:type="dxa"/>
            <w:vAlign w:val="bottom"/>
          </w:tcPr>
          <w:p>
            <w:pPr>
              <w:spacing w:after="0"/>
              <w:rPr>
                <w:sz w:val="18"/>
                <w:szCs w:val="18"/>
                <w:color w:val="auto"/>
              </w:rPr>
            </w:pP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0.2</w:t>
            </w:r>
          </w:p>
        </w:tc>
      </w:tr>
      <w:tr>
        <w:trPr>
          <w:trHeight w:val="220"/>
        </w:trPr>
        <w:tc>
          <w:tcPr>
            <w:tcW w:w="4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Outside fruit purchase</w:t>
            </w:r>
          </w:p>
        </w:tc>
        <w:tc>
          <w:tcPr>
            <w:tcW w:w="3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9.6</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2.2</w:t>
            </w:r>
          </w:p>
        </w:tc>
      </w:tr>
      <w:tr>
        <w:trPr>
          <w:trHeight w:val="208"/>
        </w:trPr>
        <w:tc>
          <w:tcPr>
            <w:tcW w:w="4900" w:type="dxa"/>
            <w:vAlign w:val="bottom"/>
          </w:tcPr>
          <w:p>
            <w:pPr>
              <w:ind w:left="20"/>
              <w:spacing w:after="0"/>
              <w:rPr>
                <w:sz w:val="20"/>
                <w:szCs w:val="20"/>
                <w:color w:val="auto"/>
              </w:rPr>
            </w:pPr>
            <w:r>
              <w:rPr>
                <w:rFonts w:ascii="Arial" w:cs="Arial" w:eastAsia="Arial" w:hAnsi="Arial"/>
                <w:sz w:val="14"/>
                <w:szCs w:val="14"/>
                <w:color w:val="auto"/>
              </w:rPr>
              <w:t>VAT and local taxes payable</w:t>
            </w:r>
          </w:p>
        </w:tc>
        <w:tc>
          <w:tcPr>
            <w:tcW w:w="3340" w:type="dxa"/>
            <w:vAlign w:val="bottom"/>
          </w:tcPr>
          <w:p>
            <w:pPr>
              <w:spacing w:after="0"/>
              <w:rPr>
                <w:sz w:val="18"/>
                <w:szCs w:val="18"/>
                <w:color w:val="auto"/>
              </w:rPr>
            </w:pP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w:t>
            </w:r>
          </w:p>
        </w:tc>
      </w:tr>
      <w:tr>
        <w:trPr>
          <w:trHeight w:val="220"/>
        </w:trPr>
        <w:tc>
          <w:tcPr>
            <w:tcW w:w="4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Legal settlement</w:t>
            </w:r>
          </w:p>
        </w:tc>
        <w:tc>
          <w:tcPr>
            <w:tcW w:w="334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0.8</w:t>
            </w:r>
          </w:p>
        </w:tc>
        <w:tc>
          <w:tcPr>
            <w:tcW w:w="3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0.8</w:t>
            </w:r>
          </w:p>
        </w:tc>
      </w:tr>
      <w:tr>
        <w:trPr>
          <w:trHeight w:val="20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3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6.0</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r>
      <w:tr>
        <w:trPr>
          <w:trHeight w:val="207"/>
        </w:trPr>
        <w:tc>
          <w:tcPr>
            <w:tcW w:w="49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Accrued expenses</w:t>
            </w:r>
          </w:p>
        </w:tc>
        <w:tc>
          <w:tcPr>
            <w:tcW w:w="334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41.0</w:t>
            </w:r>
          </w:p>
        </w:tc>
        <w:tc>
          <w:tcPr>
            <w:tcW w:w="30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28.8</w:t>
            </w:r>
          </w:p>
        </w:tc>
      </w:tr>
    </w:tbl>
    <w:p>
      <w:pPr>
        <w:spacing w:after="0" w:line="200" w:lineRule="exact"/>
        <w:rPr>
          <w:sz w:val="20"/>
          <w:szCs w:val="20"/>
          <w:color w:val="auto"/>
        </w:rPr>
      </w:pPr>
    </w:p>
    <w:p>
      <w:pPr>
        <w:sectPr>
          <w:pgSz w:w="11900" w:h="16838" w:orient="portrait"/>
          <w:cols w:equalWidth="0" w:num="1">
            <w:col w:w="11220"/>
          </w:cols>
          <w:pgMar w:left="320" w:top="111" w:right="359" w:bottom="1440" w:gutter="0" w:footer="0" w:header="0"/>
        </w:sectPr>
      </w:pPr>
    </w:p>
    <w:p>
      <w:pPr>
        <w:spacing w:after="0" w:line="350"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5"/>
          <w:szCs w:val="25"/>
          <w:b w:val="1"/>
          <w:bCs w:val="1"/>
          <w:color w:val="43C0B9"/>
        </w:rPr>
        <w:t>MISSION PRODUCE,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2080" w:type="dxa"/>
            <w:vAlign w:val="bottom"/>
            <w:gridSpan w:val="2"/>
            <w:shd w:val="clear" w:color="auto" w:fill="43C0B9"/>
          </w:tcPr>
          <w:p>
            <w:pPr>
              <w:jc w:val="right"/>
              <w:ind w:right="189"/>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43C0B9"/>
          </w:tcPr>
          <w:p>
            <w:pPr>
              <w:spacing w:after="0"/>
              <w:rPr>
                <w:sz w:val="15"/>
                <w:szCs w:val="15"/>
                <w:color w:val="auto"/>
              </w:rPr>
            </w:pPr>
          </w:p>
        </w:tc>
      </w:tr>
      <w:tr>
        <w:trPr>
          <w:trHeight w:val="189"/>
        </w:trPr>
        <w:tc>
          <w:tcPr>
            <w:tcW w:w="7800" w:type="dxa"/>
            <w:vAlign w:val="bottom"/>
            <w:shd w:val="clear" w:color="auto" w:fill="43C0B9"/>
          </w:tcPr>
          <w:p>
            <w:pPr>
              <w:spacing w:after="0"/>
              <w:rPr>
                <w:sz w:val="16"/>
                <w:szCs w:val="16"/>
                <w:color w:val="auto"/>
              </w:rPr>
            </w:pPr>
          </w:p>
        </w:tc>
        <w:tc>
          <w:tcPr>
            <w:tcW w:w="680" w:type="dxa"/>
            <w:vAlign w:val="bottom"/>
            <w:shd w:val="clear" w:color="auto" w:fill="43C0B9"/>
          </w:tcPr>
          <w:p>
            <w:pPr>
              <w:spacing w:after="0"/>
              <w:rPr>
                <w:sz w:val="16"/>
                <w:szCs w:val="16"/>
                <w:color w:val="auto"/>
              </w:rPr>
            </w:pPr>
          </w:p>
        </w:tc>
        <w:tc>
          <w:tcPr>
            <w:tcW w:w="2080" w:type="dxa"/>
            <w:vAlign w:val="bottom"/>
            <w:gridSpan w:val="2"/>
            <w:shd w:val="clear" w:color="auto" w:fill="43C0B9"/>
          </w:tcPr>
          <w:p>
            <w:pPr>
              <w:jc w:val="right"/>
              <w:ind w:right="489"/>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43C0B9"/>
          </w:tcPr>
          <w:p>
            <w:pPr>
              <w:spacing w:after="0"/>
              <w:rPr>
                <w:sz w:val="16"/>
                <w:szCs w:val="16"/>
                <w:color w:val="auto"/>
              </w:rPr>
            </w:pPr>
          </w:p>
        </w:tc>
      </w:tr>
      <w:tr>
        <w:trPr>
          <w:trHeight w:val="239"/>
        </w:trPr>
        <w:tc>
          <w:tcPr>
            <w:tcW w:w="780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680" w:type="dxa"/>
            <w:vAlign w:val="bottom"/>
            <w:shd w:val="clear" w:color="auto" w:fill="43C0B9"/>
          </w:tcPr>
          <w:p>
            <w:pPr>
              <w:spacing w:after="0"/>
              <w:rPr>
                <w:sz w:val="20"/>
                <w:szCs w:val="20"/>
                <w:color w:val="auto"/>
              </w:rPr>
            </w:pPr>
          </w:p>
        </w:tc>
        <w:tc>
          <w:tcPr>
            <w:tcW w:w="1100" w:type="dxa"/>
            <w:vAlign w:val="bottom"/>
            <w:shd w:val="clear" w:color="auto" w:fill="43C0B9"/>
          </w:tcPr>
          <w:p>
            <w:pPr>
              <w:jc w:val="right"/>
              <w:ind w:right="109"/>
              <w:spacing w:after="0"/>
              <w:rPr>
                <w:sz w:val="20"/>
                <w:szCs w:val="20"/>
                <w:color w:val="auto"/>
              </w:rPr>
            </w:pPr>
            <w:r>
              <w:rPr>
                <w:rFonts w:ascii="Arial" w:cs="Arial" w:eastAsia="Arial" w:hAnsi="Arial"/>
                <w:sz w:val="14"/>
                <w:szCs w:val="14"/>
                <w:b w:val="1"/>
                <w:bCs w:val="1"/>
                <w:color w:val="FFFFFF"/>
              </w:rPr>
              <w:t>2022</w:t>
            </w:r>
          </w:p>
        </w:tc>
        <w:tc>
          <w:tcPr>
            <w:tcW w:w="980" w:type="dxa"/>
            <w:vAlign w:val="bottom"/>
            <w:shd w:val="clear" w:color="auto" w:fill="43C0B9"/>
          </w:tcPr>
          <w:p>
            <w:pPr>
              <w:spacing w:after="0"/>
              <w:rPr>
                <w:sz w:val="20"/>
                <w:szCs w:val="20"/>
                <w:color w:val="auto"/>
              </w:rPr>
            </w:pPr>
          </w:p>
        </w:tc>
        <w:tc>
          <w:tcPr>
            <w:tcW w:w="68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Gains on derivative financial instruments</w:t>
            </w:r>
          </w:p>
        </w:tc>
        <w:tc>
          <w:tcPr>
            <w:tcW w:w="680" w:type="dxa"/>
            <w:vAlign w:val="bottom"/>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0.8</w:t>
            </w:r>
          </w:p>
        </w:tc>
        <w:tc>
          <w:tcPr>
            <w:tcW w:w="980" w:type="dxa"/>
            <w:vAlign w:val="bottom"/>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800" w:type="dxa"/>
            <w:vAlign w:val="bottom"/>
          </w:tcPr>
          <w:p>
            <w:pPr>
              <w:ind w:left="20"/>
              <w:spacing w:after="0"/>
              <w:rPr>
                <w:sz w:val="20"/>
                <w:szCs w:val="20"/>
                <w:color w:val="auto"/>
              </w:rPr>
            </w:pPr>
            <w:r>
              <w:rPr>
                <w:rFonts w:ascii="Arial" w:cs="Arial" w:eastAsia="Arial" w:hAnsi="Arial"/>
                <w:sz w:val="14"/>
                <w:szCs w:val="14"/>
                <w:color w:val="auto"/>
              </w:rPr>
              <w:t>Foreign currency transaction gain (loss)</w:t>
            </w:r>
          </w:p>
        </w:tc>
        <w:tc>
          <w:tcPr>
            <w:tcW w:w="680" w:type="dxa"/>
            <w:vAlign w:val="bottom"/>
          </w:tcPr>
          <w:p>
            <w:pPr>
              <w:spacing w:after="0"/>
              <w:rPr>
                <w:sz w:val="18"/>
                <w:szCs w:val="18"/>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0.5</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20"/>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income</w:t>
            </w:r>
          </w:p>
        </w:tc>
        <w:tc>
          <w:tcPr>
            <w:tcW w:w="6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0.1</w:t>
            </w:r>
          </w:p>
        </w:tc>
        <w:tc>
          <w:tcPr>
            <w:tcW w:w="9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208"/>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78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Other income</w:t>
            </w:r>
          </w:p>
        </w:tc>
        <w:tc>
          <w:tcPr>
            <w:tcW w:w="68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1.6</w:t>
            </w:r>
          </w:p>
        </w:tc>
        <w:tc>
          <w:tcPr>
            <w:tcW w:w="980" w:type="dxa"/>
            <w:vAlign w:val="bottom"/>
            <w:tcBorders>
              <w:bottom w:val="single" w:sz="8" w:color="auto"/>
            </w:tcBorders>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-840105</wp:posOffset>
            </wp:positionV>
            <wp:extent cx="2080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26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4.</w:t>
        <w:tab/>
        <w:t>Debt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Long-term debt under our credit facility with Bank of America (“BoA”) Merrill Lynch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320" w:type="dxa"/>
            <w:vAlign w:val="bottom"/>
            <w:shd w:val="clear" w:color="auto" w:fill="43C0B9"/>
          </w:tcPr>
          <w:p>
            <w:pPr>
              <w:spacing w:after="0"/>
              <w:rPr>
                <w:sz w:val="18"/>
                <w:szCs w:val="18"/>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January 31, 2022</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October 31, 2021</w:t>
            </w:r>
          </w:p>
        </w:tc>
      </w:tr>
      <w:tr>
        <w:trPr>
          <w:trHeight w:val="192"/>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Revolving line of credit. The interest rate is variable, based on LIBOR plus a spread that varies with the Company’s leverage</w:t>
            </w:r>
          </w:p>
        </w:tc>
        <w:tc>
          <w:tcPr>
            <w:tcW w:w="32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ratio. As of January 31, 2022 and October 31, 2021, the interest rate was 1.86% and 1.84%, respectively. Interest is payable</w:t>
            </w:r>
          </w:p>
        </w:tc>
        <w:tc>
          <w:tcPr>
            <w:tcW w:w="32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r>
      <w:tr>
        <w:trPr>
          <w:trHeight w:val="183"/>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monthly and principal is due in full in October 2023.</w:t>
            </w:r>
          </w:p>
        </w:tc>
        <w:tc>
          <w:tcPr>
            <w:tcW w:w="32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192"/>
        </w:trPr>
        <w:tc>
          <w:tcPr>
            <w:tcW w:w="794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LIBOR plus a spread that varies with the Company’s leverage</w:t>
            </w:r>
          </w:p>
        </w:tc>
        <w:tc>
          <w:tcPr>
            <w:tcW w:w="320" w:type="dxa"/>
            <w:vAlign w:val="bottom"/>
          </w:tcPr>
          <w:p>
            <w:pPr>
              <w:spacing w:after="0"/>
              <w:rPr>
                <w:sz w:val="16"/>
                <w:szCs w:val="16"/>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88.1</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90.0</w:t>
            </w:r>
          </w:p>
        </w:tc>
      </w:tr>
      <w:tr>
        <w:trPr>
          <w:trHeight w:val="160"/>
        </w:trPr>
        <w:tc>
          <w:tcPr>
            <w:tcW w:w="7940" w:type="dxa"/>
            <w:vAlign w:val="bottom"/>
          </w:tcPr>
          <w:p>
            <w:pPr>
              <w:ind w:left="20"/>
              <w:spacing w:after="0"/>
              <w:rPr>
                <w:sz w:val="20"/>
                <w:szCs w:val="20"/>
                <w:color w:val="auto"/>
              </w:rPr>
            </w:pPr>
            <w:r>
              <w:rPr>
                <w:rFonts w:ascii="Arial" w:cs="Arial" w:eastAsia="Arial" w:hAnsi="Arial"/>
                <w:sz w:val="14"/>
                <w:szCs w:val="14"/>
                <w:color w:val="auto"/>
              </w:rPr>
              <w:t>ratio. As of January 31, 2022 and October 31, 2021, the interest rate was 1.86% and 1.84%, respectively. Interest is payable</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7"/>
        </w:trPr>
        <w:tc>
          <w:tcPr>
            <w:tcW w:w="7940" w:type="dxa"/>
            <w:vAlign w:val="bottom"/>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2023.</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8"/>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Senior term loan (A-2). The interest rate is variable, based on LIBOR plus a spread that varies with the Company’s leverage</w:t>
            </w:r>
          </w:p>
        </w:tc>
        <w:tc>
          <w:tcPr>
            <w:tcW w:w="3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72.6</w:t>
            </w:r>
          </w:p>
        </w:tc>
        <w:tc>
          <w:tcPr>
            <w:tcW w:w="3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72.8</w:t>
            </w:r>
          </w:p>
        </w:tc>
      </w:tr>
      <w:tr>
        <w:trPr>
          <w:trHeight w:val="160"/>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ratio. As of January 31, 2022 and October 31, 2021, the interest rate was 2.36% and 2.34% respectively. Interest is payable</w:t>
            </w:r>
          </w:p>
        </w:tc>
        <w:tc>
          <w:tcPr>
            <w:tcW w:w="32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r>
      <w:tr>
        <w:trPr>
          <w:trHeight w:val="183"/>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2025.</w:t>
            </w:r>
          </w:p>
        </w:tc>
        <w:tc>
          <w:tcPr>
            <w:tcW w:w="32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192"/>
        </w:trPr>
        <w:tc>
          <w:tcPr>
            <w:tcW w:w="7940" w:type="dxa"/>
            <w:vAlign w:val="bottom"/>
          </w:tcPr>
          <w:p>
            <w:pPr>
              <w:ind w:left="20"/>
              <w:spacing w:after="0"/>
              <w:rPr>
                <w:sz w:val="20"/>
                <w:szCs w:val="20"/>
                <w:color w:val="auto"/>
              </w:rPr>
            </w:pPr>
            <w:r>
              <w:rPr>
                <w:rFonts w:ascii="Arial" w:cs="Arial" w:eastAsia="Arial" w:hAnsi="Arial"/>
                <w:sz w:val="14"/>
                <w:szCs w:val="14"/>
                <w:color w:val="auto"/>
              </w:rPr>
              <w:t>Note payable to BoA. Payable in monthly installments including interest at a rate of 3.96% as of both January 31, 2022 and</w:t>
            </w:r>
          </w:p>
        </w:tc>
        <w:tc>
          <w:tcPr>
            <w:tcW w:w="320" w:type="dxa"/>
            <w:vAlign w:val="bottom"/>
          </w:tcPr>
          <w:p>
            <w:pPr>
              <w:spacing w:after="0"/>
              <w:rPr>
                <w:sz w:val="16"/>
                <w:szCs w:val="16"/>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77"/>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October 31, 2021. Principal is due July 2024.</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13"/>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long-term debt</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162.0</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164.3</w:t>
            </w:r>
          </w:p>
        </w:tc>
      </w:tr>
      <w:tr>
        <w:trPr>
          <w:trHeight w:val="20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debt issuance costs</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13"/>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3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161.7</w:t>
            </w:r>
          </w:p>
        </w:tc>
        <w:tc>
          <w:tcPr>
            <w:tcW w:w="3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163.9</w:t>
            </w:r>
          </w:p>
        </w:tc>
      </w:tr>
      <w:tr>
        <w:trPr>
          <w:trHeight w:val="20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07"/>
        </w:trPr>
        <w:tc>
          <w:tcPr>
            <w:tcW w:w="79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current portion</w:t>
            </w:r>
          </w:p>
        </w:tc>
        <w:tc>
          <w:tcPr>
            <w:tcW w:w="32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152.9</w:t>
            </w:r>
          </w:p>
        </w:tc>
        <w:tc>
          <w:tcPr>
            <w:tcW w:w="30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155.1</w:t>
            </w:r>
          </w:p>
        </w:tc>
      </w:tr>
    </w:tbl>
    <w:p>
      <w:pPr>
        <w:spacing w:after="0" w:line="296" w:lineRule="exact"/>
        <w:rPr>
          <w:sz w:val="20"/>
          <w:szCs w:val="20"/>
          <w:color w:val="auto"/>
        </w:rPr>
      </w:pPr>
    </w:p>
    <w:p>
      <w:pPr>
        <w:ind w:right="200" w:firstLine="642"/>
        <w:spacing w:after="0" w:line="250" w:lineRule="auto"/>
        <w:rPr>
          <w:sz w:val="20"/>
          <w:szCs w:val="20"/>
          <w:color w:val="auto"/>
        </w:rPr>
      </w:pPr>
      <w:r>
        <w:rPr>
          <w:rFonts w:ascii="Arial" w:cs="Arial" w:eastAsia="Arial" w:hAnsi="Arial"/>
          <w:sz w:val="16"/>
          <w:szCs w:val="16"/>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January 31, 2022, the Company was in compliance with all covenants of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has four separate interest rate swaps with a total notional amount of $100 million to hedge changes in the variable interest rate 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$100 million of principal value of the Company’s term loans. We account for the interest rate swaps in accordance with ASC 815, Derivatives and Hedging, as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amended, which requires the recognition of all derivative instruments as either assets or liabilities in the consolidated balance sheets and measurement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those instruments at fair value. The Company has not designated the interest rate swaps as cash flow hedges, and as a result under the accounting guidance,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fair value of the interest rate swaps have been recorded in other income in the condensed consolidated statements of comprehensive (loss)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income and changes in the liability are presented in net cash used in operating activities in the condensed consolidated statements of cash flow. Refer to Note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7 for more details.</w:t>
      </w:r>
    </w:p>
    <w:p>
      <w:pPr>
        <w:spacing w:after="0" w:line="200" w:lineRule="exact"/>
        <w:rPr>
          <w:sz w:val="20"/>
          <w:szCs w:val="20"/>
          <w:color w:val="auto"/>
        </w:rPr>
      </w:pPr>
    </w:p>
    <w:p>
      <w:pPr>
        <w:spacing w:after="0" w:line="229" w:lineRule="exact"/>
        <w:rPr>
          <w:sz w:val="20"/>
          <w:szCs w:val="20"/>
          <w:color w:val="auto"/>
        </w:rPr>
      </w:pPr>
    </w:p>
    <w:p>
      <w:pPr>
        <w:ind w:left="500" w:hanging="493"/>
        <w:spacing w:after="0"/>
        <w:tabs>
          <w:tab w:leader="none" w:pos="5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is involved from time to time in claims, proceedings, and litigation, including the following:</w:t>
      </w:r>
    </w:p>
    <w:p>
      <w:pPr>
        <w:spacing w:after="0" w:line="217" w:lineRule="exact"/>
        <w:rPr>
          <w:sz w:val="20"/>
          <w:szCs w:val="20"/>
          <w:color w:val="auto"/>
        </w:rPr>
      </w:pPr>
    </w:p>
    <w:p>
      <w:pPr>
        <w:ind w:right="80" w:firstLine="642"/>
        <w:spacing w:after="0" w:line="248" w:lineRule="auto"/>
        <w:rPr>
          <w:sz w:val="20"/>
          <w:szCs w:val="20"/>
          <w:color w:val="auto"/>
        </w:rPr>
      </w:pPr>
      <w:r>
        <w:rPr>
          <w:rFonts w:ascii="Arial" w:cs="Arial" w:eastAsia="Arial" w:hAnsi="Arial"/>
          <w:sz w:val="16"/>
          <w:szCs w:val="16"/>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5"/>
          <w:szCs w:val="25"/>
          <w:b w:val="1"/>
          <w:bCs w:val="1"/>
          <w:color w:val="43C0B9"/>
        </w:rPr>
        <w:t>MISSION PRODUCE,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condensed consolidated statements of comprehensive income during the three months ended April 30, 2021. This preliminary settlement is subject to approval by the applicable courts.</w:t>
      </w:r>
    </w:p>
    <w:p>
      <w:pPr>
        <w:spacing w:after="0" w:line="206" w:lineRule="exact"/>
        <w:rPr>
          <w:sz w:val="20"/>
          <w:szCs w:val="20"/>
          <w:color w:val="auto"/>
        </w:rPr>
      </w:pPr>
    </w:p>
    <w:p>
      <w:pPr>
        <w:ind w:right="40" w:firstLine="642"/>
        <w:spacing w:after="0" w:line="250" w:lineRule="auto"/>
        <w:rPr>
          <w:sz w:val="20"/>
          <w:szCs w:val="20"/>
          <w:color w:val="auto"/>
        </w:rPr>
      </w:pPr>
      <w:r>
        <w:rPr>
          <w:rFonts w:ascii="Arial" w:cs="Arial" w:eastAsia="Arial" w:hAnsi="Arial"/>
          <w:sz w:val="16"/>
          <w:szCs w:val="16"/>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171" w:lineRule="exact"/>
        <w:rPr>
          <w:sz w:val="20"/>
          <w:szCs w:val="20"/>
          <w:color w:val="auto"/>
        </w:rPr>
      </w:pPr>
    </w:p>
    <w:p>
      <w:pPr>
        <w:ind w:left="440" w:hanging="433"/>
        <w:spacing w:after="0"/>
        <w:tabs>
          <w:tab w:leader="none" w:pos="4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41" w:lineRule="exact"/>
        <w:rPr>
          <w:sz w:val="20"/>
          <w:szCs w:val="20"/>
          <w:color w:val="auto"/>
        </w:rPr>
      </w:pPr>
    </w:p>
    <w:p>
      <w:pPr>
        <w:ind w:right="280" w:firstLine="642"/>
        <w:spacing w:after="0" w:line="248" w:lineRule="auto"/>
        <w:rPr>
          <w:sz w:val="20"/>
          <w:szCs w:val="20"/>
          <w:color w:val="auto"/>
        </w:rPr>
      </w:pPr>
      <w:r>
        <w:rPr>
          <w:rFonts w:ascii="Arial" w:cs="Arial" w:eastAsia="Arial" w:hAnsi="Arial"/>
          <w:sz w:val="16"/>
          <w:szCs w:val="16"/>
          <w:color w:val="auto"/>
        </w:rPr>
        <w:t>The income tax (benefit) expense recorded for the three months ended January 31, 2022 and 2021,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changes in uncertain tax positions (“UTP”), and changes in tax law affecting the rate in future years.</w:t>
      </w:r>
    </w:p>
    <w:p>
      <w:pPr>
        <w:spacing w:after="0" w:line="202" w:lineRule="exact"/>
        <w:rPr>
          <w:sz w:val="20"/>
          <w:szCs w:val="20"/>
          <w:color w:val="auto"/>
        </w:rPr>
      </w:pPr>
    </w:p>
    <w:p>
      <w:pPr>
        <w:ind w:right="340" w:firstLine="642"/>
        <w:spacing w:after="0" w:line="247" w:lineRule="auto"/>
        <w:rPr>
          <w:sz w:val="20"/>
          <w:szCs w:val="20"/>
          <w:color w:val="auto"/>
        </w:rPr>
      </w:pPr>
      <w:r>
        <w:rPr>
          <w:rFonts w:ascii="Arial" w:cs="Arial" w:eastAsia="Arial" w:hAnsi="Arial"/>
          <w:sz w:val="16"/>
          <w:szCs w:val="16"/>
          <w:color w:val="auto"/>
        </w:rPr>
        <w:t>As of January 31, 2022, the Company had $13.7 million in UTP accrued, of which $7.6 million relates to interest and penalties, inclusive of inflationary adjustments. The period for assessing interest and penalties has expired. However, the Company continues to record certain statutory adjustments related to inflation. During the three months ended January 31, 2022, the Company recognized $0.1 million as income tax expense related to inflationary and other adjustments. Changes in the UTP related to changes in foreign exchange rates during the period are included in other income in the condensed consolidated statements of comprehensive (loss) income.</w:t>
      </w:r>
    </w:p>
    <w:p>
      <w:pPr>
        <w:spacing w:after="0" w:line="203" w:lineRule="exact"/>
        <w:rPr>
          <w:sz w:val="20"/>
          <w:szCs w:val="20"/>
          <w:color w:val="auto"/>
        </w:rPr>
      </w:pPr>
    </w:p>
    <w:p>
      <w:pPr>
        <w:ind w:right="140" w:firstLine="642"/>
        <w:spacing w:after="0" w:line="247" w:lineRule="auto"/>
        <w:rPr>
          <w:sz w:val="20"/>
          <w:szCs w:val="20"/>
          <w:color w:val="auto"/>
        </w:rPr>
      </w:pPr>
      <w:r>
        <w:rPr>
          <w:rFonts w:ascii="Arial" w:cs="Arial" w:eastAsia="Arial" w:hAnsi="Arial"/>
          <w:sz w:val="16"/>
          <w:szCs w:val="16"/>
          <w:color w:val="auto"/>
        </w:rPr>
        <w:t>Additionally, the Company recorded a discrete tax expense of $5.1 million during the three months ended January 31, 2021, related to the remeasurement of our deferred tax liabilities in Peru due to the enactment of tax rate changes for future years. On December 30, 2020, Peru enacted certain tax law changes effective January 1, 2021 that repealed existing tax laws which provided benefits to agribusiness entities. The new law will subject the Company to higher Peruvian tax rates than the current rate of 15% as follows: 20% for calendar years 2023 to 2024, 25% for calendar years 2025 to 2027, and 29.5% thereafter.</w:t>
      </w:r>
    </w:p>
    <w:p>
      <w:pPr>
        <w:spacing w:after="0" w:line="200" w:lineRule="exact"/>
        <w:rPr>
          <w:sz w:val="20"/>
          <w:szCs w:val="20"/>
          <w:color w:val="auto"/>
        </w:rPr>
      </w:pPr>
    </w:p>
    <w:p>
      <w:pPr>
        <w:spacing w:after="0" w:line="215" w:lineRule="exact"/>
        <w:rPr>
          <w:sz w:val="20"/>
          <w:szCs w:val="20"/>
          <w:color w:val="auto"/>
        </w:rPr>
      </w:pPr>
    </w:p>
    <w:p>
      <w:pPr>
        <w:ind w:left="440" w:hanging="433"/>
        <w:spacing w:after="0"/>
        <w:tabs>
          <w:tab w:leader="none" w:pos="4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241" w:lineRule="exact"/>
        <w:rPr>
          <w:sz w:val="20"/>
          <w:szCs w:val="20"/>
          <w:color w:val="auto"/>
        </w:rPr>
      </w:pPr>
    </w:p>
    <w:p>
      <w:pPr>
        <w:ind w:right="20" w:firstLine="642"/>
        <w:spacing w:after="0" w:line="256" w:lineRule="auto"/>
        <w:rPr>
          <w:sz w:val="20"/>
          <w:szCs w:val="20"/>
          <w:color w:val="auto"/>
        </w:rPr>
      </w:pPr>
      <w:r>
        <w:rPr>
          <w:rFonts w:ascii="Arial" w:cs="Arial" w:eastAsia="Arial" w:hAnsi="Arial"/>
          <w:sz w:val="16"/>
          <w:szCs w:val="16"/>
          <w:color w:val="auto"/>
        </w:rPr>
        <w:t>Financial assets and liabilities measured and recorded at fair value on a recurring basis included in the condensed consolidated balance sheets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shd w:val="clear" w:color="auto" w:fill="43C0B9"/>
          </w:tcPr>
          <w:p>
            <w:pPr>
              <w:spacing w:after="0"/>
              <w:rPr>
                <w:sz w:val="18"/>
                <w:szCs w:val="18"/>
                <w:color w:val="auto"/>
              </w:rPr>
            </w:pPr>
          </w:p>
        </w:tc>
        <w:tc>
          <w:tcPr>
            <w:tcW w:w="400" w:type="dxa"/>
            <w:vAlign w:val="bottom"/>
            <w:shd w:val="clear" w:color="auto" w:fill="43C0B9"/>
          </w:tcPr>
          <w:p>
            <w:pPr>
              <w:spacing w:after="0"/>
              <w:rPr>
                <w:sz w:val="18"/>
                <w:szCs w:val="18"/>
                <w:color w:val="auto"/>
              </w:rPr>
            </w:pPr>
          </w:p>
        </w:tc>
        <w:tc>
          <w:tcPr>
            <w:tcW w:w="700" w:type="dxa"/>
            <w:vAlign w:val="bottom"/>
            <w:shd w:val="clear" w:color="auto" w:fill="43C0B9"/>
          </w:tcPr>
          <w:p>
            <w:pPr>
              <w:spacing w:after="0"/>
              <w:rPr>
                <w:sz w:val="18"/>
                <w:szCs w:val="18"/>
                <w:color w:val="auto"/>
              </w:rPr>
            </w:pPr>
          </w:p>
        </w:tc>
        <w:tc>
          <w:tcPr>
            <w:tcW w:w="160" w:type="dxa"/>
            <w:vAlign w:val="bottom"/>
            <w:shd w:val="clear" w:color="auto" w:fill="43C0B9"/>
          </w:tcPr>
          <w:p>
            <w:pPr>
              <w:spacing w:after="0"/>
              <w:rPr>
                <w:sz w:val="18"/>
                <w:szCs w:val="18"/>
                <w:color w:val="auto"/>
              </w:rPr>
            </w:pPr>
          </w:p>
        </w:tc>
        <w:tc>
          <w:tcPr>
            <w:tcW w:w="2480" w:type="dxa"/>
            <w:vAlign w:val="bottom"/>
            <w:gridSpan w:val="3"/>
            <w:shd w:val="clear" w:color="auto" w:fill="43C0B9"/>
          </w:tcPr>
          <w:p>
            <w:pPr>
              <w:jc w:val="right"/>
              <w:ind w:right="689"/>
              <w:spacing w:after="0"/>
              <w:rPr>
                <w:sz w:val="20"/>
                <w:szCs w:val="20"/>
                <w:color w:val="auto"/>
              </w:rPr>
            </w:pPr>
            <w:r>
              <w:rPr>
                <w:rFonts w:ascii="Arial" w:cs="Arial" w:eastAsia="Arial" w:hAnsi="Arial"/>
                <w:sz w:val="14"/>
                <w:szCs w:val="14"/>
                <w:b w:val="1"/>
                <w:bCs w:val="1"/>
                <w:color w:val="FFFFFF"/>
              </w:rPr>
              <w:t>January 31, 2022</w:t>
            </w:r>
          </w:p>
        </w:tc>
        <w:tc>
          <w:tcPr>
            <w:tcW w:w="1560" w:type="dxa"/>
            <w:vAlign w:val="bottom"/>
            <w:shd w:val="clear" w:color="auto" w:fill="43C0B9"/>
          </w:tcPr>
          <w:p>
            <w:pPr>
              <w:spacing w:after="0"/>
              <w:rPr>
                <w:sz w:val="18"/>
                <w:szCs w:val="18"/>
                <w:color w:val="auto"/>
              </w:rPr>
            </w:pPr>
          </w:p>
        </w:tc>
        <w:tc>
          <w:tcPr>
            <w:tcW w:w="720" w:type="dxa"/>
            <w:vAlign w:val="bottom"/>
            <w:shd w:val="clear" w:color="auto" w:fill="43C0B9"/>
          </w:tcPr>
          <w:p>
            <w:pPr>
              <w:spacing w:after="0"/>
              <w:rPr>
                <w:sz w:val="18"/>
                <w:szCs w:val="18"/>
                <w:color w:val="auto"/>
              </w:rPr>
            </w:pPr>
          </w:p>
        </w:tc>
        <w:tc>
          <w:tcPr>
            <w:tcW w:w="140" w:type="dxa"/>
            <w:vAlign w:val="bottom"/>
            <w:shd w:val="clear" w:color="auto" w:fill="43C0B9"/>
          </w:tcPr>
          <w:p>
            <w:pPr>
              <w:spacing w:after="0"/>
              <w:rPr>
                <w:sz w:val="18"/>
                <w:szCs w:val="18"/>
                <w:color w:val="auto"/>
              </w:rPr>
            </w:pPr>
          </w:p>
        </w:tc>
        <w:tc>
          <w:tcPr>
            <w:tcW w:w="2500" w:type="dxa"/>
            <w:vAlign w:val="bottom"/>
            <w:gridSpan w:val="3"/>
            <w:shd w:val="clear" w:color="auto" w:fill="43C0B9"/>
          </w:tcPr>
          <w:p>
            <w:pPr>
              <w:jc w:val="center"/>
              <w:ind w:right="129"/>
              <w:spacing w:after="0"/>
              <w:rPr>
                <w:sz w:val="20"/>
                <w:szCs w:val="20"/>
                <w:color w:val="auto"/>
              </w:rPr>
            </w:pPr>
            <w:r>
              <w:rPr>
                <w:rFonts w:ascii="Arial" w:cs="Arial" w:eastAsia="Arial" w:hAnsi="Arial"/>
                <w:sz w:val="14"/>
                <w:szCs w:val="14"/>
                <w:b w:val="1"/>
                <w:bCs w:val="1"/>
                <w:color w:val="FFFFFF"/>
              </w:rPr>
              <w:t>October 31, 2021</w:t>
            </w:r>
          </w:p>
        </w:tc>
        <w:tc>
          <w:tcPr>
            <w:tcW w:w="1060" w:type="dxa"/>
            <w:vAlign w:val="bottom"/>
            <w:shd w:val="clear" w:color="auto" w:fill="43C0B9"/>
          </w:tcPr>
          <w:p>
            <w:pPr>
              <w:spacing w:after="0"/>
              <w:rPr>
                <w:sz w:val="18"/>
                <w:szCs w:val="18"/>
                <w:color w:val="auto"/>
              </w:rPr>
            </w:pPr>
          </w:p>
        </w:tc>
      </w:tr>
      <w:tr>
        <w:trPr>
          <w:trHeight w:val="192"/>
        </w:trPr>
        <w:tc>
          <w:tcPr>
            <w:tcW w:w="1520" w:type="dxa"/>
            <w:vAlign w:val="bottom"/>
            <w:shd w:val="clear" w:color="auto" w:fill="43C0B9"/>
          </w:tcPr>
          <w:p>
            <w:pPr>
              <w:spacing w:after="0"/>
              <w:rPr>
                <w:sz w:val="16"/>
                <w:szCs w:val="16"/>
                <w:color w:val="auto"/>
              </w:rPr>
            </w:pPr>
          </w:p>
        </w:tc>
        <w:tc>
          <w:tcPr>
            <w:tcW w:w="400" w:type="dxa"/>
            <w:vAlign w:val="bottom"/>
            <w:shd w:val="clear" w:color="auto" w:fill="43C0B9"/>
          </w:tcPr>
          <w:p>
            <w:pPr>
              <w:spacing w:after="0"/>
              <w:rPr>
                <w:sz w:val="16"/>
                <w:szCs w:val="16"/>
                <w:color w:val="auto"/>
              </w:rPr>
            </w:pPr>
          </w:p>
        </w:tc>
        <w:tc>
          <w:tcPr>
            <w:tcW w:w="700" w:type="dxa"/>
            <w:vAlign w:val="bottom"/>
            <w:shd w:val="clear" w:color="auto" w:fill="43C0B9"/>
          </w:tcPr>
          <w:p>
            <w:pPr>
              <w:spacing w:after="0"/>
              <w:rPr>
                <w:sz w:val="16"/>
                <w:szCs w:val="16"/>
                <w:color w:val="auto"/>
              </w:rPr>
            </w:pPr>
          </w:p>
        </w:tc>
        <w:tc>
          <w:tcPr>
            <w:tcW w:w="160" w:type="dxa"/>
            <w:vAlign w:val="bottom"/>
            <w:shd w:val="clear" w:color="auto" w:fill="43C0B9"/>
          </w:tcPr>
          <w:p>
            <w:pPr>
              <w:spacing w:after="0"/>
              <w:rPr>
                <w:sz w:val="16"/>
                <w:szCs w:val="16"/>
                <w:color w:val="auto"/>
              </w:rPr>
            </w:pPr>
          </w:p>
        </w:tc>
        <w:tc>
          <w:tcPr>
            <w:tcW w:w="1020" w:type="dxa"/>
            <w:vAlign w:val="bottom"/>
            <w:shd w:val="clear" w:color="auto" w:fill="43C0B9"/>
          </w:tcPr>
          <w:p>
            <w:pPr>
              <w:spacing w:after="0"/>
              <w:rPr>
                <w:sz w:val="16"/>
                <w:szCs w:val="16"/>
                <w:color w:val="auto"/>
              </w:rPr>
            </w:pPr>
          </w:p>
        </w:tc>
        <w:tc>
          <w:tcPr>
            <w:tcW w:w="260" w:type="dxa"/>
            <w:vAlign w:val="bottom"/>
            <w:shd w:val="clear" w:color="auto" w:fill="43C0B9"/>
          </w:tcPr>
          <w:p>
            <w:pPr>
              <w:spacing w:after="0"/>
              <w:rPr>
                <w:sz w:val="16"/>
                <w:szCs w:val="16"/>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Significant</w:t>
            </w:r>
          </w:p>
        </w:tc>
        <w:tc>
          <w:tcPr>
            <w:tcW w:w="1560" w:type="dxa"/>
            <w:vAlign w:val="bottom"/>
            <w:shd w:val="clear" w:color="auto" w:fill="43C0B9"/>
          </w:tcPr>
          <w:p>
            <w:pPr>
              <w:spacing w:after="0"/>
              <w:rPr>
                <w:sz w:val="16"/>
                <w:szCs w:val="16"/>
                <w:color w:val="auto"/>
              </w:rPr>
            </w:pPr>
          </w:p>
        </w:tc>
        <w:tc>
          <w:tcPr>
            <w:tcW w:w="72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1040" w:type="dxa"/>
            <w:vAlign w:val="bottom"/>
            <w:shd w:val="clear" w:color="auto" w:fill="43C0B9"/>
          </w:tcPr>
          <w:p>
            <w:pPr>
              <w:spacing w:after="0"/>
              <w:rPr>
                <w:sz w:val="16"/>
                <w:szCs w:val="16"/>
                <w:color w:val="auto"/>
              </w:rPr>
            </w:pPr>
          </w:p>
        </w:tc>
        <w:tc>
          <w:tcPr>
            <w:tcW w:w="260" w:type="dxa"/>
            <w:vAlign w:val="bottom"/>
            <w:shd w:val="clear" w:color="auto" w:fill="43C0B9"/>
          </w:tcPr>
          <w:p>
            <w:pPr>
              <w:spacing w:after="0"/>
              <w:rPr>
                <w:sz w:val="16"/>
                <w:szCs w:val="16"/>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Significant</w:t>
            </w:r>
          </w:p>
        </w:tc>
        <w:tc>
          <w:tcPr>
            <w:tcW w:w="1060" w:type="dxa"/>
            <w:vAlign w:val="bottom"/>
            <w:shd w:val="clear" w:color="auto" w:fill="43C0B9"/>
          </w:tcPr>
          <w:p>
            <w:pPr>
              <w:spacing w:after="0"/>
              <w:rPr>
                <w:sz w:val="16"/>
                <w:szCs w:val="16"/>
                <w:color w:val="auto"/>
              </w:rPr>
            </w:pPr>
          </w:p>
        </w:tc>
      </w:tr>
      <w:tr>
        <w:trPr>
          <w:trHeight w:val="160"/>
        </w:trPr>
        <w:tc>
          <w:tcPr>
            <w:tcW w:w="1520" w:type="dxa"/>
            <w:vAlign w:val="bottom"/>
            <w:shd w:val="clear" w:color="auto" w:fill="43C0B9"/>
          </w:tcPr>
          <w:p>
            <w:pPr>
              <w:spacing w:after="0"/>
              <w:rPr>
                <w:sz w:val="13"/>
                <w:szCs w:val="13"/>
                <w:color w:val="auto"/>
              </w:rPr>
            </w:pPr>
          </w:p>
        </w:tc>
        <w:tc>
          <w:tcPr>
            <w:tcW w:w="400" w:type="dxa"/>
            <w:vAlign w:val="bottom"/>
            <w:shd w:val="clear" w:color="auto" w:fill="43C0B9"/>
          </w:tcPr>
          <w:p>
            <w:pPr>
              <w:spacing w:after="0"/>
              <w:rPr>
                <w:sz w:val="13"/>
                <w:szCs w:val="13"/>
                <w:color w:val="auto"/>
              </w:rPr>
            </w:pPr>
          </w:p>
        </w:tc>
        <w:tc>
          <w:tcPr>
            <w:tcW w:w="700" w:type="dxa"/>
            <w:vAlign w:val="bottom"/>
            <w:shd w:val="clear" w:color="auto" w:fill="43C0B9"/>
          </w:tcPr>
          <w:p>
            <w:pPr>
              <w:spacing w:after="0"/>
              <w:rPr>
                <w:sz w:val="13"/>
                <w:szCs w:val="13"/>
                <w:color w:val="auto"/>
              </w:rPr>
            </w:pPr>
          </w:p>
        </w:tc>
        <w:tc>
          <w:tcPr>
            <w:tcW w:w="160" w:type="dxa"/>
            <w:vAlign w:val="bottom"/>
            <w:shd w:val="clear" w:color="auto" w:fill="43C0B9"/>
          </w:tcPr>
          <w:p>
            <w:pPr>
              <w:spacing w:after="0"/>
              <w:rPr>
                <w:sz w:val="13"/>
                <w:szCs w:val="13"/>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w w:val="98"/>
              </w:rPr>
              <w:t>Quoted Prices</w:t>
            </w:r>
          </w:p>
        </w:tc>
        <w:tc>
          <w:tcPr>
            <w:tcW w:w="260" w:type="dxa"/>
            <w:vAlign w:val="bottom"/>
            <w:shd w:val="clear" w:color="auto" w:fill="43C0B9"/>
          </w:tcPr>
          <w:p>
            <w:pPr>
              <w:spacing w:after="0"/>
              <w:rPr>
                <w:sz w:val="13"/>
                <w:szCs w:val="13"/>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Other</w:t>
            </w:r>
          </w:p>
        </w:tc>
        <w:tc>
          <w:tcPr>
            <w:tcW w:w="1560" w:type="dxa"/>
            <w:vAlign w:val="bottom"/>
            <w:shd w:val="clear" w:color="auto" w:fill="43C0B9"/>
          </w:tcPr>
          <w:p>
            <w:pPr>
              <w:jc w:val="right"/>
              <w:ind w:right="429"/>
              <w:spacing w:after="0"/>
              <w:rPr>
                <w:sz w:val="20"/>
                <w:szCs w:val="20"/>
                <w:color w:val="auto"/>
              </w:rPr>
            </w:pPr>
            <w:r>
              <w:rPr>
                <w:rFonts w:ascii="Arial" w:cs="Arial" w:eastAsia="Arial" w:hAnsi="Arial"/>
                <w:sz w:val="14"/>
                <w:szCs w:val="14"/>
                <w:b w:val="1"/>
                <w:bCs w:val="1"/>
                <w:color w:val="FFFFFF"/>
              </w:rPr>
              <w:t>Significant</w:t>
            </w:r>
          </w:p>
        </w:tc>
        <w:tc>
          <w:tcPr>
            <w:tcW w:w="720" w:type="dxa"/>
            <w:vAlign w:val="bottom"/>
            <w:shd w:val="clear" w:color="auto" w:fill="43C0B9"/>
          </w:tcPr>
          <w:p>
            <w:pPr>
              <w:spacing w:after="0"/>
              <w:rPr>
                <w:sz w:val="13"/>
                <w:szCs w:val="13"/>
                <w:color w:val="auto"/>
              </w:rPr>
            </w:pPr>
          </w:p>
        </w:tc>
        <w:tc>
          <w:tcPr>
            <w:tcW w:w="140" w:type="dxa"/>
            <w:vAlign w:val="bottom"/>
            <w:shd w:val="clear" w:color="auto" w:fill="43C0B9"/>
          </w:tcPr>
          <w:p>
            <w:pPr>
              <w:spacing w:after="0"/>
              <w:rPr>
                <w:sz w:val="13"/>
                <w:szCs w:val="13"/>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Quoted Prices</w:t>
            </w:r>
          </w:p>
        </w:tc>
        <w:tc>
          <w:tcPr>
            <w:tcW w:w="260" w:type="dxa"/>
            <w:vAlign w:val="bottom"/>
            <w:shd w:val="clear" w:color="auto" w:fill="43C0B9"/>
          </w:tcPr>
          <w:p>
            <w:pPr>
              <w:spacing w:after="0"/>
              <w:rPr>
                <w:sz w:val="13"/>
                <w:szCs w:val="13"/>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Other</w:t>
            </w:r>
          </w:p>
        </w:tc>
        <w:tc>
          <w:tcPr>
            <w:tcW w:w="10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Significant</w:t>
            </w:r>
          </w:p>
        </w:tc>
      </w:tr>
      <w:tr>
        <w:trPr>
          <w:trHeight w:val="160"/>
        </w:trPr>
        <w:tc>
          <w:tcPr>
            <w:tcW w:w="1520" w:type="dxa"/>
            <w:vAlign w:val="bottom"/>
            <w:shd w:val="clear" w:color="auto" w:fill="43C0B9"/>
          </w:tcPr>
          <w:p>
            <w:pPr>
              <w:spacing w:after="0"/>
              <w:rPr>
                <w:sz w:val="13"/>
                <w:szCs w:val="13"/>
                <w:color w:val="auto"/>
              </w:rPr>
            </w:pPr>
          </w:p>
        </w:tc>
        <w:tc>
          <w:tcPr>
            <w:tcW w:w="400" w:type="dxa"/>
            <w:vAlign w:val="bottom"/>
            <w:shd w:val="clear" w:color="auto" w:fill="43C0B9"/>
          </w:tcPr>
          <w:p>
            <w:pPr>
              <w:spacing w:after="0"/>
              <w:rPr>
                <w:sz w:val="13"/>
                <w:szCs w:val="13"/>
                <w:color w:val="auto"/>
              </w:rPr>
            </w:pPr>
          </w:p>
        </w:tc>
        <w:tc>
          <w:tcPr>
            <w:tcW w:w="700" w:type="dxa"/>
            <w:vAlign w:val="bottom"/>
            <w:shd w:val="clear" w:color="auto" w:fill="43C0B9"/>
          </w:tcPr>
          <w:p>
            <w:pPr>
              <w:spacing w:after="0"/>
              <w:rPr>
                <w:sz w:val="13"/>
                <w:szCs w:val="13"/>
                <w:color w:val="auto"/>
              </w:rPr>
            </w:pPr>
          </w:p>
        </w:tc>
        <w:tc>
          <w:tcPr>
            <w:tcW w:w="160" w:type="dxa"/>
            <w:vAlign w:val="bottom"/>
            <w:shd w:val="clear" w:color="auto" w:fill="43C0B9"/>
          </w:tcPr>
          <w:p>
            <w:pPr>
              <w:spacing w:after="0"/>
              <w:rPr>
                <w:sz w:val="13"/>
                <w:szCs w:val="13"/>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in Active</w:t>
            </w:r>
          </w:p>
        </w:tc>
        <w:tc>
          <w:tcPr>
            <w:tcW w:w="260" w:type="dxa"/>
            <w:vAlign w:val="bottom"/>
            <w:shd w:val="clear" w:color="auto" w:fill="43C0B9"/>
          </w:tcPr>
          <w:p>
            <w:pPr>
              <w:spacing w:after="0"/>
              <w:rPr>
                <w:sz w:val="13"/>
                <w:szCs w:val="13"/>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Observable</w:t>
            </w:r>
          </w:p>
        </w:tc>
        <w:tc>
          <w:tcPr>
            <w:tcW w:w="1560" w:type="dxa"/>
            <w:vAlign w:val="bottom"/>
            <w:shd w:val="clear" w:color="auto" w:fill="43C0B9"/>
          </w:tcPr>
          <w:p>
            <w:pPr>
              <w:jc w:val="right"/>
              <w:ind w:right="429"/>
              <w:spacing w:after="0"/>
              <w:rPr>
                <w:sz w:val="20"/>
                <w:szCs w:val="20"/>
                <w:color w:val="auto"/>
              </w:rPr>
            </w:pPr>
            <w:r>
              <w:rPr>
                <w:rFonts w:ascii="Arial" w:cs="Arial" w:eastAsia="Arial" w:hAnsi="Arial"/>
                <w:sz w:val="14"/>
                <w:szCs w:val="14"/>
                <w:b w:val="1"/>
                <w:bCs w:val="1"/>
                <w:color w:val="FFFFFF"/>
              </w:rPr>
              <w:t>Unobservable</w:t>
            </w:r>
          </w:p>
        </w:tc>
        <w:tc>
          <w:tcPr>
            <w:tcW w:w="720" w:type="dxa"/>
            <w:vAlign w:val="bottom"/>
            <w:shd w:val="clear" w:color="auto" w:fill="43C0B9"/>
          </w:tcPr>
          <w:p>
            <w:pPr>
              <w:spacing w:after="0"/>
              <w:rPr>
                <w:sz w:val="13"/>
                <w:szCs w:val="13"/>
                <w:color w:val="auto"/>
              </w:rPr>
            </w:pPr>
          </w:p>
        </w:tc>
        <w:tc>
          <w:tcPr>
            <w:tcW w:w="140" w:type="dxa"/>
            <w:vAlign w:val="bottom"/>
            <w:shd w:val="clear" w:color="auto" w:fill="43C0B9"/>
          </w:tcPr>
          <w:p>
            <w:pPr>
              <w:spacing w:after="0"/>
              <w:rPr>
                <w:sz w:val="13"/>
                <w:szCs w:val="13"/>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in Active</w:t>
            </w:r>
          </w:p>
        </w:tc>
        <w:tc>
          <w:tcPr>
            <w:tcW w:w="260" w:type="dxa"/>
            <w:vAlign w:val="bottom"/>
            <w:shd w:val="clear" w:color="auto" w:fill="43C0B9"/>
          </w:tcPr>
          <w:p>
            <w:pPr>
              <w:spacing w:after="0"/>
              <w:rPr>
                <w:sz w:val="13"/>
                <w:szCs w:val="13"/>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Observable</w:t>
            </w:r>
          </w:p>
        </w:tc>
        <w:tc>
          <w:tcPr>
            <w:tcW w:w="10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Unobservable</w:t>
            </w:r>
          </w:p>
        </w:tc>
      </w:tr>
      <w:tr>
        <w:trPr>
          <w:trHeight w:val="160"/>
        </w:trPr>
        <w:tc>
          <w:tcPr>
            <w:tcW w:w="1520" w:type="dxa"/>
            <w:vAlign w:val="bottom"/>
            <w:shd w:val="clear" w:color="auto" w:fill="43C0B9"/>
          </w:tcPr>
          <w:p>
            <w:pPr>
              <w:spacing w:after="0"/>
              <w:rPr>
                <w:sz w:val="13"/>
                <w:szCs w:val="13"/>
                <w:color w:val="auto"/>
              </w:rPr>
            </w:pPr>
          </w:p>
        </w:tc>
        <w:tc>
          <w:tcPr>
            <w:tcW w:w="400" w:type="dxa"/>
            <w:vAlign w:val="bottom"/>
            <w:shd w:val="clear" w:color="auto" w:fill="43C0B9"/>
          </w:tcPr>
          <w:p>
            <w:pPr>
              <w:spacing w:after="0"/>
              <w:rPr>
                <w:sz w:val="13"/>
                <w:szCs w:val="13"/>
                <w:color w:val="auto"/>
              </w:rPr>
            </w:pPr>
          </w:p>
        </w:tc>
        <w:tc>
          <w:tcPr>
            <w:tcW w:w="700" w:type="dxa"/>
            <w:vAlign w:val="bottom"/>
            <w:shd w:val="clear" w:color="auto" w:fill="43C0B9"/>
          </w:tcPr>
          <w:p>
            <w:pPr>
              <w:spacing w:after="0"/>
              <w:rPr>
                <w:sz w:val="13"/>
                <w:szCs w:val="13"/>
                <w:color w:val="auto"/>
              </w:rPr>
            </w:pPr>
          </w:p>
        </w:tc>
        <w:tc>
          <w:tcPr>
            <w:tcW w:w="160" w:type="dxa"/>
            <w:vAlign w:val="bottom"/>
            <w:shd w:val="clear" w:color="auto" w:fill="43C0B9"/>
          </w:tcPr>
          <w:p>
            <w:pPr>
              <w:spacing w:after="0"/>
              <w:rPr>
                <w:sz w:val="13"/>
                <w:szCs w:val="13"/>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Markets</w:t>
            </w:r>
          </w:p>
        </w:tc>
        <w:tc>
          <w:tcPr>
            <w:tcW w:w="260" w:type="dxa"/>
            <w:vAlign w:val="bottom"/>
            <w:shd w:val="clear" w:color="auto" w:fill="43C0B9"/>
          </w:tcPr>
          <w:p>
            <w:pPr>
              <w:spacing w:after="0"/>
              <w:rPr>
                <w:sz w:val="13"/>
                <w:szCs w:val="13"/>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Inputs</w:t>
            </w:r>
          </w:p>
        </w:tc>
        <w:tc>
          <w:tcPr>
            <w:tcW w:w="1560" w:type="dxa"/>
            <w:vAlign w:val="bottom"/>
            <w:shd w:val="clear" w:color="auto" w:fill="43C0B9"/>
          </w:tcPr>
          <w:p>
            <w:pPr>
              <w:jc w:val="right"/>
              <w:ind w:right="429"/>
              <w:spacing w:after="0"/>
              <w:rPr>
                <w:sz w:val="20"/>
                <w:szCs w:val="20"/>
                <w:color w:val="auto"/>
              </w:rPr>
            </w:pPr>
            <w:r>
              <w:rPr>
                <w:rFonts w:ascii="Arial" w:cs="Arial" w:eastAsia="Arial" w:hAnsi="Arial"/>
                <w:sz w:val="14"/>
                <w:szCs w:val="14"/>
                <w:b w:val="1"/>
                <w:bCs w:val="1"/>
                <w:color w:val="FFFFFF"/>
              </w:rPr>
              <w:t>Inputs</w:t>
            </w:r>
          </w:p>
        </w:tc>
        <w:tc>
          <w:tcPr>
            <w:tcW w:w="720" w:type="dxa"/>
            <w:vAlign w:val="bottom"/>
            <w:shd w:val="clear" w:color="auto" w:fill="43C0B9"/>
          </w:tcPr>
          <w:p>
            <w:pPr>
              <w:spacing w:after="0"/>
              <w:rPr>
                <w:sz w:val="13"/>
                <w:szCs w:val="13"/>
                <w:color w:val="auto"/>
              </w:rPr>
            </w:pPr>
          </w:p>
        </w:tc>
        <w:tc>
          <w:tcPr>
            <w:tcW w:w="140" w:type="dxa"/>
            <w:vAlign w:val="bottom"/>
            <w:shd w:val="clear" w:color="auto" w:fill="43C0B9"/>
          </w:tcPr>
          <w:p>
            <w:pPr>
              <w:spacing w:after="0"/>
              <w:rPr>
                <w:sz w:val="13"/>
                <w:szCs w:val="13"/>
                <w:color w:val="auto"/>
              </w:rPr>
            </w:pPr>
          </w:p>
        </w:tc>
        <w:tc>
          <w:tcPr>
            <w:tcW w:w="1040" w:type="dxa"/>
            <w:vAlign w:val="bottom"/>
            <w:shd w:val="clear" w:color="auto" w:fill="43C0B9"/>
          </w:tcPr>
          <w:p>
            <w:pPr>
              <w:jc w:val="right"/>
              <w:ind w:right="29"/>
              <w:spacing w:after="0"/>
              <w:rPr>
                <w:sz w:val="20"/>
                <w:szCs w:val="20"/>
                <w:color w:val="auto"/>
              </w:rPr>
            </w:pPr>
            <w:r>
              <w:rPr>
                <w:rFonts w:ascii="Arial" w:cs="Arial" w:eastAsia="Arial" w:hAnsi="Arial"/>
                <w:sz w:val="14"/>
                <w:szCs w:val="14"/>
                <w:b w:val="1"/>
                <w:bCs w:val="1"/>
                <w:color w:val="FFFFFF"/>
              </w:rPr>
              <w:t>Markets</w:t>
            </w:r>
          </w:p>
        </w:tc>
        <w:tc>
          <w:tcPr>
            <w:tcW w:w="260" w:type="dxa"/>
            <w:vAlign w:val="bottom"/>
            <w:shd w:val="clear" w:color="auto" w:fill="43C0B9"/>
          </w:tcPr>
          <w:p>
            <w:pPr>
              <w:spacing w:after="0"/>
              <w:rPr>
                <w:sz w:val="13"/>
                <w:szCs w:val="13"/>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Inputs</w:t>
            </w:r>
          </w:p>
        </w:tc>
        <w:tc>
          <w:tcPr>
            <w:tcW w:w="10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Inputs</w:t>
            </w:r>
          </w:p>
        </w:tc>
      </w:tr>
      <w:tr>
        <w:trPr>
          <w:trHeight w:val="201"/>
        </w:trPr>
        <w:tc>
          <w:tcPr>
            <w:tcW w:w="152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400" w:type="dxa"/>
            <w:vAlign w:val="bottom"/>
            <w:shd w:val="clear" w:color="auto" w:fill="43C0B9"/>
          </w:tcPr>
          <w:p>
            <w:pPr>
              <w:spacing w:after="0"/>
              <w:rPr>
                <w:sz w:val="17"/>
                <w:szCs w:val="17"/>
                <w:color w:val="auto"/>
              </w:rPr>
            </w:pPr>
          </w:p>
        </w:tc>
        <w:tc>
          <w:tcPr>
            <w:tcW w:w="700" w:type="dxa"/>
            <w:vAlign w:val="bottom"/>
            <w:shd w:val="clear" w:color="auto" w:fill="43C0B9"/>
          </w:tcPr>
          <w:p>
            <w:pPr>
              <w:jc w:val="center"/>
              <w:ind w:left="209"/>
              <w:spacing w:after="0"/>
              <w:rPr>
                <w:sz w:val="20"/>
                <w:szCs w:val="20"/>
                <w:color w:val="auto"/>
              </w:rPr>
            </w:pPr>
            <w:r>
              <w:rPr>
                <w:rFonts w:ascii="Arial" w:cs="Arial" w:eastAsia="Arial" w:hAnsi="Arial"/>
                <w:sz w:val="14"/>
                <w:szCs w:val="14"/>
                <w:b w:val="1"/>
                <w:bCs w:val="1"/>
                <w:color w:val="FFFFFF"/>
              </w:rPr>
              <w:t>Total</w:t>
            </w:r>
          </w:p>
        </w:tc>
        <w:tc>
          <w:tcPr>
            <w:tcW w:w="160" w:type="dxa"/>
            <w:vAlign w:val="bottom"/>
            <w:shd w:val="clear" w:color="auto" w:fill="43C0B9"/>
          </w:tcPr>
          <w:p>
            <w:pPr>
              <w:spacing w:after="0"/>
              <w:rPr>
                <w:sz w:val="17"/>
                <w:szCs w:val="17"/>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(Level 1)</w:t>
            </w:r>
          </w:p>
        </w:tc>
        <w:tc>
          <w:tcPr>
            <w:tcW w:w="260" w:type="dxa"/>
            <w:vAlign w:val="bottom"/>
            <w:shd w:val="clear" w:color="auto" w:fill="43C0B9"/>
          </w:tcPr>
          <w:p>
            <w:pPr>
              <w:spacing w:after="0"/>
              <w:rPr>
                <w:sz w:val="17"/>
                <w:szCs w:val="17"/>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(Level 2)</w:t>
            </w:r>
          </w:p>
        </w:tc>
        <w:tc>
          <w:tcPr>
            <w:tcW w:w="1560" w:type="dxa"/>
            <w:vAlign w:val="bottom"/>
            <w:shd w:val="clear" w:color="auto" w:fill="43C0B9"/>
          </w:tcPr>
          <w:p>
            <w:pPr>
              <w:jc w:val="right"/>
              <w:ind w:right="429"/>
              <w:spacing w:after="0"/>
              <w:rPr>
                <w:sz w:val="20"/>
                <w:szCs w:val="20"/>
                <w:color w:val="auto"/>
              </w:rPr>
            </w:pPr>
            <w:r>
              <w:rPr>
                <w:rFonts w:ascii="Arial" w:cs="Arial" w:eastAsia="Arial" w:hAnsi="Arial"/>
                <w:sz w:val="14"/>
                <w:szCs w:val="14"/>
                <w:b w:val="1"/>
                <w:bCs w:val="1"/>
                <w:color w:val="FFFFFF"/>
              </w:rPr>
              <w:t>(Level 3)</w:t>
            </w:r>
          </w:p>
        </w:tc>
        <w:tc>
          <w:tcPr>
            <w:tcW w:w="720" w:type="dxa"/>
            <w:vAlign w:val="bottom"/>
            <w:shd w:val="clear" w:color="auto" w:fill="43C0B9"/>
          </w:tcPr>
          <w:p>
            <w:pPr>
              <w:jc w:val="center"/>
              <w:ind w:left="189"/>
              <w:spacing w:after="0"/>
              <w:rPr>
                <w:sz w:val="20"/>
                <w:szCs w:val="20"/>
                <w:color w:val="auto"/>
              </w:rPr>
            </w:pPr>
            <w:r>
              <w:rPr>
                <w:rFonts w:ascii="Arial" w:cs="Arial" w:eastAsia="Arial" w:hAnsi="Arial"/>
                <w:sz w:val="14"/>
                <w:szCs w:val="14"/>
                <w:b w:val="1"/>
                <w:bCs w:val="1"/>
                <w:color w:val="FFFFFF"/>
              </w:rPr>
              <w:t>Total</w:t>
            </w:r>
          </w:p>
        </w:tc>
        <w:tc>
          <w:tcPr>
            <w:tcW w:w="140" w:type="dxa"/>
            <w:vAlign w:val="bottom"/>
            <w:shd w:val="clear" w:color="auto" w:fill="43C0B9"/>
          </w:tcPr>
          <w:p>
            <w:pPr>
              <w:spacing w:after="0"/>
              <w:rPr>
                <w:sz w:val="17"/>
                <w:szCs w:val="17"/>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(Level 1)</w:t>
            </w:r>
          </w:p>
        </w:tc>
        <w:tc>
          <w:tcPr>
            <w:tcW w:w="260" w:type="dxa"/>
            <w:vAlign w:val="bottom"/>
            <w:shd w:val="clear" w:color="auto" w:fill="43C0B9"/>
          </w:tcPr>
          <w:p>
            <w:pPr>
              <w:spacing w:after="0"/>
              <w:rPr>
                <w:sz w:val="17"/>
                <w:szCs w:val="17"/>
                <w:color w:val="auto"/>
              </w:rPr>
            </w:pPr>
          </w:p>
        </w:tc>
        <w:tc>
          <w:tcPr>
            <w:tcW w:w="1200" w:type="dxa"/>
            <w:vAlign w:val="bottom"/>
            <w:shd w:val="clear" w:color="auto" w:fill="43C0B9"/>
          </w:tcPr>
          <w:p>
            <w:pPr>
              <w:jc w:val="right"/>
              <w:ind w:right="229"/>
              <w:spacing w:after="0"/>
              <w:rPr>
                <w:sz w:val="20"/>
                <w:szCs w:val="20"/>
                <w:color w:val="auto"/>
              </w:rPr>
            </w:pPr>
            <w:r>
              <w:rPr>
                <w:rFonts w:ascii="Arial" w:cs="Arial" w:eastAsia="Arial" w:hAnsi="Arial"/>
                <w:sz w:val="14"/>
                <w:szCs w:val="14"/>
                <w:b w:val="1"/>
                <w:bCs w:val="1"/>
                <w:color w:val="FFFFFF"/>
              </w:rPr>
              <w:t>(Level 2)</w:t>
            </w:r>
          </w:p>
        </w:tc>
        <w:tc>
          <w:tcPr>
            <w:tcW w:w="10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(Level 3)</w:t>
            </w:r>
          </w:p>
        </w:tc>
      </w:tr>
      <w:tr>
        <w:trPr>
          <w:trHeight w:val="214"/>
        </w:trPr>
        <w:tc>
          <w:tcPr>
            <w:tcW w:w="15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4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08"/>
        </w:trPr>
        <w:tc>
          <w:tcPr>
            <w:tcW w:w="1520" w:type="dxa"/>
            <w:vAlign w:val="bottom"/>
          </w:tcPr>
          <w:p>
            <w:pPr>
              <w:ind w:left="140"/>
              <w:spacing w:after="0"/>
              <w:rPr>
                <w:sz w:val="20"/>
                <w:szCs w:val="20"/>
                <w:color w:val="auto"/>
              </w:rPr>
            </w:pPr>
            <w:r>
              <w:rPr>
                <w:rFonts w:ascii="Arial" w:cs="Arial" w:eastAsia="Arial" w:hAnsi="Arial"/>
                <w:sz w:val="14"/>
                <w:szCs w:val="14"/>
                <w:color w:val="auto"/>
              </w:rPr>
              <w:t>Mutual funds</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29"/>
              <w:spacing w:after="0"/>
              <w:rPr>
                <w:sz w:val="20"/>
                <w:szCs w:val="20"/>
                <w:color w:val="auto"/>
              </w:rPr>
            </w:pPr>
            <w:r>
              <w:rPr>
                <w:rFonts w:ascii="Arial" w:cs="Arial" w:eastAsia="Arial" w:hAnsi="Arial"/>
                <w:sz w:val="14"/>
                <w:szCs w:val="14"/>
                <w:color w:val="auto"/>
              </w:rPr>
              <w:t>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  $</w:t>
            </w:r>
          </w:p>
        </w:tc>
        <w:tc>
          <w:tcPr>
            <w:tcW w:w="1560" w:type="dxa"/>
            <w:vAlign w:val="bottom"/>
          </w:tcPr>
          <w:p>
            <w:pPr>
              <w:ind w:left="860"/>
              <w:spacing w:after="0"/>
              <w:rPr>
                <w:sz w:val="20"/>
                <w:szCs w:val="20"/>
                <w:color w:val="auto"/>
              </w:rPr>
            </w:pPr>
            <w:r>
              <w:rPr>
                <w:rFonts w:ascii="Arial" w:cs="Arial" w:eastAsia="Arial" w:hAnsi="Arial"/>
                <w:sz w:val="14"/>
                <w:szCs w:val="14"/>
                <w:color w:val="auto"/>
              </w:rPr>
              <w:t>—  $</w:t>
            </w:r>
          </w:p>
        </w:tc>
        <w:tc>
          <w:tcPr>
            <w:tcW w:w="720" w:type="dxa"/>
            <w:vAlign w:val="bottom"/>
          </w:tcPr>
          <w:p>
            <w:pPr>
              <w:jc w:val="center"/>
              <w:ind w:left="249"/>
              <w:spacing w:after="0"/>
              <w:rPr>
                <w:sz w:val="20"/>
                <w:szCs w:val="20"/>
                <w:color w:val="auto"/>
              </w:rPr>
            </w:pPr>
            <w:r>
              <w:rPr>
                <w:rFonts w:ascii="Arial" w:cs="Arial" w:eastAsia="Arial" w:hAnsi="Arial"/>
                <w:sz w:val="14"/>
                <w:szCs w:val="14"/>
                <w:color w:val="auto"/>
              </w:rPr>
              <w:t>1.2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5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192"/>
        </w:trPr>
        <w:tc>
          <w:tcPr>
            <w:tcW w:w="1520" w:type="dxa"/>
            <w:vAlign w:val="bottom"/>
          </w:tcPr>
          <w:p>
            <w:pPr>
              <w:ind w:left="140"/>
              <w:spacing w:after="0"/>
              <w:rPr>
                <w:sz w:val="20"/>
                <w:szCs w:val="20"/>
                <w:color w:val="auto"/>
              </w:rPr>
            </w:pPr>
            <w:r>
              <w:rPr>
                <w:rFonts w:ascii="Arial" w:cs="Arial" w:eastAsia="Arial" w:hAnsi="Arial"/>
                <w:sz w:val="14"/>
                <w:szCs w:val="14"/>
                <w:color w:val="auto"/>
              </w:rPr>
              <w:t>Interest rate swap</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7"/>
        </w:trPr>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liability</w:t>
            </w: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2.1</w:t>
            </w:r>
          </w:p>
        </w:tc>
        <w:tc>
          <w:tcPr>
            <w:tcW w:w="15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3.5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-1205230</wp:posOffset>
            </wp:positionV>
            <wp:extent cx="6174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105" cy="8255"/>
                    </a:xfrm>
                    <a:prstGeom prst="rect">
                      <a:avLst/>
                    </a:prstGeom>
                    <a:noFill/>
                  </pic:spPr>
                </pic:pic>
              </a:graphicData>
            </a:graphic>
          </wp:anchor>
        </w:drawing>
      </w:r>
    </w:p>
    <w:p>
      <w:pPr>
        <w:spacing w:after="0" w:line="289" w:lineRule="exact"/>
        <w:rPr>
          <w:sz w:val="20"/>
          <w:szCs w:val="20"/>
          <w:color w:val="auto"/>
        </w:rPr>
      </w:pPr>
    </w:p>
    <w:p>
      <w:pPr>
        <w:ind w:right="160" w:firstLine="642"/>
        <w:spacing w:after="0" w:line="256" w:lineRule="auto"/>
        <w:rPr>
          <w:sz w:val="20"/>
          <w:szCs w:val="20"/>
          <w:color w:val="auto"/>
        </w:rPr>
      </w:pPr>
      <w:r>
        <w:rPr>
          <w:rFonts w:ascii="Arial" w:cs="Arial" w:eastAsia="Arial" w:hAnsi="Arial"/>
          <w:sz w:val="16"/>
          <w:szCs w:val="16"/>
          <w:color w:val="auto"/>
        </w:rPr>
        <w:t>Our mutual fund investments relate to our deferred compensation plan, which are held in a Rabbi trust. The funds are measured at quoted prices in active markets, which is equivalent to their fair value.</w:t>
      </w:r>
    </w:p>
    <w:p>
      <w:pPr>
        <w:spacing w:after="0" w:line="196" w:lineRule="exact"/>
        <w:rPr>
          <w:sz w:val="20"/>
          <w:szCs w:val="20"/>
          <w:color w:val="auto"/>
        </w:rPr>
      </w:pPr>
    </w:p>
    <w:p>
      <w:pPr>
        <w:ind w:right="20" w:firstLine="642"/>
        <w:spacing w:after="0" w:line="245" w:lineRule="auto"/>
        <w:rPr>
          <w:sz w:val="20"/>
          <w:szCs w:val="20"/>
          <w:color w:val="auto"/>
        </w:rPr>
      </w:pPr>
      <w:r>
        <w:rPr>
          <w:rFonts w:ascii="Arial" w:cs="Arial" w:eastAsia="Arial" w:hAnsi="Arial"/>
          <w:sz w:val="16"/>
          <w:szCs w:val="16"/>
          <w:color w:val="auto"/>
        </w:rPr>
        <w:t>The fair value of interest rate swaps is determined using widely accepted valuation techniques, including discounted cash flow analysis, on the expected cash flows of each derivative.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January 31, 2022 and October 31, 2021, that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income in the condensed consolidated statements of comprehensive (loss) income.</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5"/>
          <w:szCs w:val="25"/>
          <w:b w:val="1"/>
          <w:bCs w:val="1"/>
          <w:color w:val="43C0B9"/>
        </w:rPr>
        <w:t>MISSION PRODUCE,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Earnings Per Share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40" w:type="dxa"/>
            <w:vAlign w:val="bottom"/>
            <w:shd w:val="clear" w:color="auto" w:fill="43C0B9"/>
          </w:tcPr>
          <w:p>
            <w:pPr>
              <w:spacing w:after="0"/>
              <w:rPr>
                <w:sz w:val="15"/>
                <w:szCs w:val="15"/>
                <w:color w:val="auto"/>
              </w:rPr>
            </w:pPr>
          </w:p>
        </w:tc>
        <w:tc>
          <w:tcPr>
            <w:tcW w:w="580" w:type="dxa"/>
            <w:vAlign w:val="bottom"/>
            <w:shd w:val="clear" w:color="auto" w:fill="43C0B9"/>
          </w:tcPr>
          <w:p>
            <w:pPr>
              <w:spacing w:after="0"/>
              <w:rPr>
                <w:sz w:val="15"/>
                <w:szCs w:val="15"/>
                <w:color w:val="auto"/>
              </w:rPr>
            </w:pPr>
          </w:p>
        </w:tc>
        <w:tc>
          <w:tcPr>
            <w:tcW w:w="1980" w:type="dxa"/>
            <w:vAlign w:val="bottom"/>
            <w:gridSpan w:val="2"/>
            <w:shd w:val="clear" w:color="auto" w:fill="43C0B9"/>
          </w:tcPr>
          <w:p>
            <w:pPr>
              <w:jc w:val="right"/>
              <w:ind w:right="9"/>
              <w:spacing w:after="0"/>
              <w:rPr>
                <w:sz w:val="20"/>
                <w:szCs w:val="20"/>
                <w:color w:val="auto"/>
              </w:rPr>
            </w:pPr>
            <w:r>
              <w:rPr>
                <w:rFonts w:ascii="Arial" w:cs="Arial" w:eastAsia="Arial" w:hAnsi="Arial"/>
                <w:sz w:val="14"/>
                <w:szCs w:val="14"/>
                <w:b w:val="1"/>
                <w:bCs w:val="1"/>
                <w:color w:val="FFFFFF"/>
              </w:rPr>
              <w:t>Three Months Ended</w:t>
            </w:r>
          </w:p>
        </w:tc>
        <w:tc>
          <w:tcPr>
            <w:tcW w:w="840" w:type="dxa"/>
            <w:vAlign w:val="bottom"/>
            <w:shd w:val="clear" w:color="auto" w:fill="43C0B9"/>
          </w:tcPr>
          <w:p>
            <w:pPr>
              <w:spacing w:after="0"/>
              <w:rPr>
                <w:sz w:val="15"/>
                <w:szCs w:val="15"/>
                <w:color w:val="auto"/>
              </w:rPr>
            </w:pPr>
          </w:p>
        </w:tc>
      </w:tr>
      <w:tr>
        <w:trPr>
          <w:trHeight w:val="189"/>
        </w:trPr>
        <w:tc>
          <w:tcPr>
            <w:tcW w:w="7840" w:type="dxa"/>
            <w:vAlign w:val="bottom"/>
            <w:shd w:val="clear" w:color="auto" w:fill="43C0B9"/>
          </w:tcPr>
          <w:p>
            <w:pPr>
              <w:spacing w:after="0"/>
              <w:rPr>
                <w:sz w:val="16"/>
                <w:szCs w:val="16"/>
                <w:color w:val="auto"/>
              </w:rPr>
            </w:pPr>
          </w:p>
        </w:tc>
        <w:tc>
          <w:tcPr>
            <w:tcW w:w="580" w:type="dxa"/>
            <w:vAlign w:val="bottom"/>
            <w:shd w:val="clear" w:color="auto" w:fill="43C0B9"/>
          </w:tcPr>
          <w:p>
            <w:pPr>
              <w:spacing w:after="0"/>
              <w:rPr>
                <w:sz w:val="16"/>
                <w:szCs w:val="16"/>
                <w:color w:val="auto"/>
              </w:rPr>
            </w:pPr>
          </w:p>
        </w:tc>
        <w:tc>
          <w:tcPr>
            <w:tcW w:w="1980" w:type="dxa"/>
            <w:vAlign w:val="bottom"/>
            <w:gridSpan w:val="2"/>
            <w:shd w:val="clear" w:color="auto" w:fill="43C0B9"/>
          </w:tcPr>
          <w:p>
            <w:pPr>
              <w:jc w:val="right"/>
              <w:ind w:right="329"/>
              <w:spacing w:after="0"/>
              <w:rPr>
                <w:sz w:val="20"/>
                <w:szCs w:val="20"/>
                <w:color w:val="auto"/>
              </w:rPr>
            </w:pPr>
            <w:r>
              <w:rPr>
                <w:rFonts w:ascii="Arial" w:cs="Arial" w:eastAsia="Arial" w:hAnsi="Arial"/>
                <w:sz w:val="14"/>
                <w:szCs w:val="14"/>
                <w:b w:val="1"/>
                <w:bCs w:val="1"/>
                <w:color w:val="FFFFFF"/>
              </w:rPr>
              <w:t>January 31,</w:t>
            </w:r>
          </w:p>
        </w:tc>
        <w:tc>
          <w:tcPr>
            <w:tcW w:w="840" w:type="dxa"/>
            <w:vAlign w:val="bottom"/>
            <w:shd w:val="clear" w:color="auto" w:fill="43C0B9"/>
          </w:tcPr>
          <w:p>
            <w:pPr>
              <w:spacing w:after="0"/>
              <w:rPr>
                <w:sz w:val="16"/>
                <w:szCs w:val="16"/>
                <w:color w:val="auto"/>
              </w:rPr>
            </w:pPr>
          </w:p>
        </w:tc>
      </w:tr>
      <w:tr>
        <w:trPr>
          <w:trHeight w:val="239"/>
        </w:trPr>
        <w:tc>
          <w:tcPr>
            <w:tcW w:w="7840" w:type="dxa"/>
            <w:vAlign w:val="bottom"/>
            <w:shd w:val="clear" w:color="auto" w:fill="43C0B9"/>
          </w:tcPr>
          <w:p>
            <w:pPr>
              <w:spacing w:after="0"/>
              <w:rPr>
                <w:sz w:val="20"/>
                <w:szCs w:val="20"/>
                <w:color w:val="auto"/>
              </w:rPr>
            </w:pPr>
          </w:p>
        </w:tc>
        <w:tc>
          <w:tcPr>
            <w:tcW w:w="580" w:type="dxa"/>
            <w:vAlign w:val="bottom"/>
            <w:shd w:val="clear" w:color="auto" w:fill="43C0B9"/>
          </w:tcPr>
          <w:p>
            <w:pPr>
              <w:spacing w:after="0"/>
              <w:rPr>
                <w:sz w:val="20"/>
                <w:szCs w:val="20"/>
                <w:color w:val="auto"/>
              </w:rPr>
            </w:pPr>
          </w:p>
        </w:tc>
        <w:tc>
          <w:tcPr>
            <w:tcW w:w="1200" w:type="dxa"/>
            <w:vAlign w:val="bottom"/>
            <w:shd w:val="clear" w:color="auto" w:fill="43C0B9"/>
          </w:tcPr>
          <w:p>
            <w:pPr>
              <w:jc w:val="right"/>
              <w:ind w:right="129"/>
              <w:spacing w:after="0"/>
              <w:rPr>
                <w:sz w:val="20"/>
                <w:szCs w:val="20"/>
                <w:color w:val="auto"/>
              </w:rPr>
            </w:pPr>
            <w:r>
              <w:rPr>
                <w:rFonts w:ascii="Arial" w:cs="Arial" w:eastAsia="Arial" w:hAnsi="Arial"/>
                <w:sz w:val="14"/>
                <w:szCs w:val="14"/>
                <w:b w:val="1"/>
                <w:bCs w:val="1"/>
                <w:color w:val="FFFFFF"/>
              </w:rPr>
              <w:t>2022</w:t>
            </w:r>
          </w:p>
        </w:tc>
        <w:tc>
          <w:tcPr>
            <w:tcW w:w="780" w:type="dxa"/>
            <w:vAlign w:val="bottom"/>
            <w:shd w:val="clear" w:color="auto" w:fill="43C0B9"/>
          </w:tcPr>
          <w:p>
            <w:pPr>
              <w:spacing w:after="0"/>
              <w:rPr>
                <w:sz w:val="20"/>
                <w:szCs w:val="20"/>
                <w:color w:val="auto"/>
              </w:rPr>
            </w:pPr>
          </w:p>
        </w:tc>
        <w:tc>
          <w:tcPr>
            <w:tcW w:w="84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8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Numerator:</w:t>
            </w:r>
          </w:p>
        </w:tc>
        <w:tc>
          <w:tcPr>
            <w:tcW w:w="5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r>
      <w:tr>
        <w:trPr>
          <w:trHeight w:val="208"/>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(loss) income available to shareholders (in millions)</w:t>
            </w:r>
          </w:p>
        </w:tc>
        <w:tc>
          <w:tcPr>
            <w:tcW w:w="5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(13.4)</w:t>
            </w:r>
          </w:p>
        </w:tc>
        <w:tc>
          <w:tcPr>
            <w:tcW w:w="7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13"/>
        </w:trPr>
        <w:tc>
          <w:tcPr>
            <w:tcW w:w="78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Denominator:</w:t>
            </w:r>
          </w:p>
        </w:tc>
        <w:tc>
          <w:tcPr>
            <w:tcW w:w="5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r>
      <w:tr>
        <w:trPr>
          <w:trHeight w:val="208"/>
        </w:trPr>
        <w:tc>
          <w:tcPr>
            <w:tcW w:w="7840" w:type="dxa"/>
            <w:vAlign w:val="bottom"/>
          </w:tcPr>
          <w:p>
            <w:pPr>
              <w:ind w:left="340"/>
              <w:spacing w:after="0"/>
              <w:rPr>
                <w:sz w:val="20"/>
                <w:szCs w:val="20"/>
                <w:color w:val="auto"/>
              </w:rPr>
            </w:pPr>
            <w:r>
              <w:rPr>
                <w:rFonts w:ascii="Arial" w:cs="Arial" w:eastAsia="Arial" w:hAnsi="Arial"/>
                <w:sz w:val="14"/>
                <w:szCs w:val="14"/>
                <w:color w:val="auto"/>
              </w:rPr>
              <w:t>Weighted average shares of common stock outstanding, used in computing basic earnings per share</w:t>
            </w:r>
          </w:p>
        </w:tc>
        <w:tc>
          <w:tcPr>
            <w:tcW w:w="580" w:type="dxa"/>
            <w:vAlign w:val="bottom"/>
          </w:tcPr>
          <w:p>
            <w:pPr>
              <w:spacing w:after="0"/>
              <w:rPr>
                <w:sz w:val="18"/>
                <w:szCs w:val="18"/>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70,631,525</w:t>
            </w: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70,550,922</w:t>
            </w:r>
          </w:p>
        </w:tc>
      </w:tr>
      <w:tr>
        <w:trPr>
          <w:trHeight w:val="220"/>
        </w:trPr>
        <w:tc>
          <w:tcPr>
            <w:tcW w:w="7840" w:type="dxa"/>
            <w:vAlign w:val="bottom"/>
            <w:shd w:val="clear" w:color="auto" w:fill="DBDBDB"/>
          </w:tcPr>
          <w:p>
            <w:pPr>
              <w:ind w:left="340"/>
              <w:spacing w:after="0"/>
              <w:rPr>
                <w:sz w:val="20"/>
                <w:szCs w:val="20"/>
                <w:color w:val="auto"/>
              </w:rPr>
            </w:pPr>
            <w:r>
              <w:rPr>
                <w:rFonts w:ascii="Arial" w:cs="Arial" w:eastAsia="Arial" w:hAnsi="Arial"/>
                <w:sz w:val="14"/>
                <w:szCs w:val="14"/>
                <w:color w:val="auto"/>
              </w:rPr>
              <w:t>Effect of dilutive stock options</w:t>
            </w:r>
          </w:p>
        </w:tc>
        <w:tc>
          <w:tcPr>
            <w:tcW w:w="58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22,328</w:t>
            </w:r>
          </w:p>
        </w:tc>
      </w:tr>
      <w:tr>
        <w:trPr>
          <w:trHeight w:val="208"/>
        </w:trPr>
        <w:tc>
          <w:tcPr>
            <w:tcW w:w="78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Effect of dilutive RSUs</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32,321</w:t>
            </w:r>
          </w:p>
        </w:tc>
      </w:tr>
      <w:tr>
        <w:trPr>
          <w:trHeight w:val="207"/>
        </w:trPr>
        <w:tc>
          <w:tcPr>
            <w:tcW w:w="78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4"/>
                <w:szCs w:val="14"/>
                <w:color w:val="auto"/>
              </w:rPr>
              <w:t>Weighted average shares of common stock outstanding, used in computing diluted earnings per share</w:t>
            </w:r>
          </w:p>
        </w:tc>
        <w:tc>
          <w:tcPr>
            <w:tcW w:w="5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auto"/>
              </w:rPr>
              <w:t>70,631,525</w:t>
            </w:r>
          </w:p>
        </w:tc>
        <w:tc>
          <w:tcPr>
            <w:tcW w:w="78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70,605,571</w:t>
            </w:r>
          </w:p>
        </w:tc>
      </w:tr>
      <w:tr>
        <w:trPr>
          <w:trHeight w:val="207"/>
        </w:trPr>
        <w:tc>
          <w:tcPr>
            <w:tcW w:w="784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7840" w:type="dxa"/>
            <w:vAlign w:val="bottom"/>
            <w:shd w:val="clear" w:color="auto" w:fill="DBDBDB"/>
          </w:tcPr>
          <w:p>
            <w:pPr>
              <w:ind w:left="340"/>
              <w:spacing w:after="0"/>
              <w:rPr>
                <w:sz w:val="20"/>
                <w:szCs w:val="20"/>
                <w:color w:val="auto"/>
              </w:rPr>
            </w:pPr>
            <w:r>
              <w:rPr>
                <w:rFonts w:ascii="Arial" w:cs="Arial" w:eastAsia="Arial" w:hAnsi="Arial"/>
                <w:sz w:val="14"/>
                <w:szCs w:val="14"/>
                <w:color w:val="auto"/>
              </w:rPr>
              <w:t>Basic</w:t>
            </w:r>
          </w:p>
        </w:tc>
        <w:tc>
          <w:tcPr>
            <w:tcW w:w="58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(0.19)</w:t>
            </w:r>
          </w:p>
        </w:tc>
        <w:tc>
          <w:tcPr>
            <w:tcW w:w="780" w:type="dxa"/>
            <w:vAlign w:val="bottom"/>
            <w:shd w:val="clear" w:color="auto" w:fill="DBDBDB"/>
          </w:tcPr>
          <w:p>
            <w:pPr>
              <w:jc w:val="right"/>
              <w:ind w:right="549"/>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0.03</w:t>
            </w:r>
          </w:p>
        </w:tc>
      </w:tr>
      <w:tr>
        <w:trPr>
          <w:trHeight w:val="208"/>
        </w:trPr>
        <w:tc>
          <w:tcPr>
            <w:tcW w:w="78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Diluted</w:t>
            </w:r>
          </w:p>
        </w:tc>
        <w:tc>
          <w:tcPr>
            <w:tcW w:w="5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(0.19)</w:t>
            </w:r>
          </w:p>
        </w:tc>
        <w:tc>
          <w:tcPr>
            <w:tcW w:w="7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-1536700</wp:posOffset>
            </wp:positionV>
            <wp:extent cx="2063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63750" cy="8255"/>
                    </a:xfrm>
                    <a:prstGeom prst="rect">
                      <a:avLst/>
                    </a:prstGeom>
                    <a:noFill/>
                  </pic:spPr>
                </pic:pic>
              </a:graphicData>
            </a:graphic>
          </wp:anchor>
        </w:drawing>
      </w:r>
    </w:p>
    <w:p>
      <w:pPr>
        <w:spacing w:after="0" w:line="289" w:lineRule="exact"/>
        <w:rPr>
          <w:sz w:val="20"/>
          <w:szCs w:val="20"/>
          <w:color w:val="auto"/>
        </w:rPr>
      </w:pPr>
    </w:p>
    <w:p>
      <w:pPr>
        <w:ind w:right="160" w:firstLine="642"/>
        <w:spacing w:after="0" w:line="256" w:lineRule="auto"/>
        <w:rPr>
          <w:sz w:val="20"/>
          <w:szCs w:val="20"/>
          <w:color w:val="auto"/>
        </w:rPr>
      </w:pPr>
      <w:r>
        <w:rPr>
          <w:rFonts w:ascii="Arial" w:cs="Arial" w:eastAsia="Arial" w:hAnsi="Arial"/>
          <w:sz w:val="16"/>
          <w:szCs w:val="16"/>
          <w:color w:val="auto"/>
        </w:rPr>
        <w:t>Equity awards representing shares of common stock outstanding that were excluded in the computation of diluted earnings per share because their effect would have been anti-dilutive,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shd w:val="clear" w:color="auto" w:fill="43C0B9"/>
          </w:tcPr>
          <w:p>
            <w:pPr>
              <w:spacing w:after="0"/>
              <w:rPr>
                <w:sz w:val="15"/>
                <w:szCs w:val="15"/>
                <w:color w:val="auto"/>
              </w:rPr>
            </w:pPr>
          </w:p>
        </w:tc>
        <w:tc>
          <w:tcPr>
            <w:tcW w:w="566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Three Months Ended</w:t>
            </w:r>
          </w:p>
        </w:tc>
        <w:tc>
          <w:tcPr>
            <w:tcW w:w="820" w:type="dxa"/>
            <w:vAlign w:val="bottom"/>
            <w:shd w:val="clear" w:color="auto" w:fill="43C0B9"/>
          </w:tcPr>
          <w:p>
            <w:pPr>
              <w:spacing w:after="0"/>
              <w:rPr>
                <w:sz w:val="15"/>
                <w:szCs w:val="15"/>
                <w:color w:val="auto"/>
              </w:rPr>
            </w:pPr>
          </w:p>
        </w:tc>
      </w:tr>
      <w:tr>
        <w:trPr>
          <w:trHeight w:val="189"/>
        </w:trPr>
        <w:tc>
          <w:tcPr>
            <w:tcW w:w="4760" w:type="dxa"/>
            <w:vAlign w:val="bottom"/>
            <w:shd w:val="clear" w:color="auto" w:fill="43C0B9"/>
          </w:tcPr>
          <w:p>
            <w:pPr>
              <w:spacing w:after="0"/>
              <w:rPr>
                <w:sz w:val="16"/>
                <w:szCs w:val="16"/>
                <w:color w:val="auto"/>
              </w:rPr>
            </w:pPr>
          </w:p>
        </w:tc>
        <w:tc>
          <w:tcPr>
            <w:tcW w:w="5660" w:type="dxa"/>
            <w:vAlign w:val="bottom"/>
            <w:shd w:val="clear" w:color="auto" w:fill="43C0B9"/>
          </w:tcPr>
          <w:p>
            <w:pPr>
              <w:jc w:val="right"/>
              <w:ind w:right="349"/>
              <w:spacing w:after="0"/>
              <w:rPr>
                <w:sz w:val="20"/>
                <w:szCs w:val="20"/>
                <w:color w:val="auto"/>
              </w:rPr>
            </w:pPr>
            <w:r>
              <w:rPr>
                <w:rFonts w:ascii="Arial" w:cs="Arial" w:eastAsia="Arial" w:hAnsi="Arial"/>
                <w:sz w:val="14"/>
                <w:szCs w:val="14"/>
                <w:b w:val="1"/>
                <w:bCs w:val="1"/>
                <w:color w:val="FFFFFF"/>
              </w:rPr>
              <w:t>January 31,</w:t>
            </w:r>
          </w:p>
        </w:tc>
        <w:tc>
          <w:tcPr>
            <w:tcW w:w="820" w:type="dxa"/>
            <w:vAlign w:val="bottom"/>
            <w:shd w:val="clear" w:color="auto" w:fill="43C0B9"/>
          </w:tcPr>
          <w:p>
            <w:pPr>
              <w:spacing w:after="0"/>
              <w:rPr>
                <w:sz w:val="16"/>
                <w:szCs w:val="16"/>
                <w:color w:val="auto"/>
              </w:rPr>
            </w:pPr>
          </w:p>
        </w:tc>
      </w:tr>
      <w:tr>
        <w:trPr>
          <w:trHeight w:val="239"/>
        </w:trPr>
        <w:tc>
          <w:tcPr>
            <w:tcW w:w="4760" w:type="dxa"/>
            <w:vAlign w:val="bottom"/>
            <w:shd w:val="clear" w:color="auto" w:fill="43C0B9"/>
          </w:tcPr>
          <w:p>
            <w:pPr>
              <w:spacing w:after="0"/>
              <w:rPr>
                <w:sz w:val="20"/>
                <w:szCs w:val="20"/>
                <w:color w:val="auto"/>
              </w:rPr>
            </w:pPr>
          </w:p>
        </w:tc>
        <w:tc>
          <w:tcPr>
            <w:tcW w:w="5660" w:type="dxa"/>
            <w:vAlign w:val="bottom"/>
            <w:shd w:val="clear" w:color="auto" w:fill="43C0B9"/>
          </w:tcPr>
          <w:p>
            <w:pPr>
              <w:jc w:val="right"/>
              <w:ind w:right="949"/>
              <w:spacing w:after="0"/>
              <w:rPr>
                <w:sz w:val="20"/>
                <w:szCs w:val="20"/>
                <w:color w:val="auto"/>
              </w:rPr>
            </w:pPr>
            <w:r>
              <w:rPr>
                <w:rFonts w:ascii="Arial" w:cs="Arial" w:eastAsia="Arial" w:hAnsi="Arial"/>
                <w:sz w:val="14"/>
                <w:szCs w:val="14"/>
                <w:b w:val="1"/>
                <w:bCs w:val="1"/>
                <w:color w:val="FFFFFF"/>
              </w:rPr>
              <w:t>2022</w:t>
            </w:r>
          </w:p>
        </w:tc>
        <w:tc>
          <w:tcPr>
            <w:tcW w:w="82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08"/>
        </w:trPr>
        <w:tc>
          <w:tcPr>
            <w:tcW w:w="4760" w:type="dxa"/>
            <w:vAlign w:val="bottom"/>
          </w:tcPr>
          <w:p>
            <w:pPr>
              <w:ind w:left="20"/>
              <w:spacing w:after="0"/>
              <w:rPr>
                <w:sz w:val="20"/>
                <w:szCs w:val="20"/>
                <w:color w:val="auto"/>
              </w:rPr>
            </w:pPr>
            <w:r>
              <w:rPr>
                <w:rFonts w:ascii="Arial" w:cs="Arial" w:eastAsia="Arial" w:hAnsi="Arial"/>
                <w:sz w:val="14"/>
                <w:szCs w:val="14"/>
                <w:color w:val="auto"/>
              </w:rPr>
              <w:t>Anti-dilutive stock options</w:t>
            </w:r>
          </w:p>
        </w:tc>
        <w:tc>
          <w:tcPr>
            <w:tcW w:w="5660" w:type="dxa"/>
            <w:vAlign w:val="bottom"/>
          </w:tcPr>
          <w:p>
            <w:pPr>
              <w:jc w:val="right"/>
              <w:ind w:right="889"/>
              <w:spacing w:after="0"/>
              <w:rPr>
                <w:sz w:val="20"/>
                <w:szCs w:val="20"/>
                <w:color w:val="auto"/>
              </w:rPr>
            </w:pPr>
            <w:r>
              <w:rPr>
                <w:rFonts w:ascii="Arial" w:cs="Arial" w:eastAsia="Arial" w:hAnsi="Arial"/>
                <w:sz w:val="14"/>
                <w:szCs w:val="14"/>
                <w:color w:val="auto"/>
              </w:rPr>
              <w:t>2,185,487</w:t>
            </w:r>
          </w:p>
        </w:tc>
        <w:tc>
          <w:tcPr>
            <w:tcW w:w="820" w:type="dxa"/>
            <w:vAlign w:val="bottom"/>
          </w:tcPr>
          <w:p>
            <w:pPr>
              <w:jc w:val="right"/>
              <w:spacing w:after="0"/>
              <w:rPr>
                <w:sz w:val="20"/>
                <w:szCs w:val="20"/>
                <w:color w:val="auto"/>
              </w:rPr>
            </w:pPr>
            <w:r>
              <w:rPr>
                <w:rFonts w:ascii="Arial" w:cs="Arial" w:eastAsia="Arial" w:hAnsi="Arial"/>
                <w:sz w:val="14"/>
                <w:szCs w:val="14"/>
                <w:color w:val="auto"/>
              </w:rPr>
              <w:t>2,329,152</w:t>
            </w:r>
          </w:p>
        </w:tc>
      </w:tr>
      <w:tr>
        <w:trPr>
          <w:trHeight w:val="214"/>
        </w:trPr>
        <w:tc>
          <w:tcPr>
            <w:tcW w:w="4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Anti-dilutive RSUs</w:t>
            </w:r>
          </w:p>
        </w:tc>
        <w:tc>
          <w:tcPr>
            <w:tcW w:w="5660" w:type="dxa"/>
            <w:vAlign w:val="bottom"/>
            <w:tcBorders>
              <w:bottom w:val="single" w:sz="8" w:color="auto"/>
            </w:tcBorders>
            <w:shd w:val="clear" w:color="auto" w:fill="DBDBDB"/>
          </w:tcPr>
          <w:p>
            <w:pPr>
              <w:jc w:val="right"/>
              <w:ind w:right="889"/>
              <w:spacing w:after="0"/>
              <w:rPr>
                <w:sz w:val="20"/>
                <w:szCs w:val="20"/>
                <w:color w:val="auto"/>
              </w:rPr>
            </w:pPr>
            <w:r>
              <w:rPr>
                <w:rFonts w:ascii="Arial" w:cs="Arial" w:eastAsia="Arial" w:hAnsi="Arial"/>
                <w:sz w:val="14"/>
                <w:szCs w:val="14"/>
                <w:color w:val="auto"/>
              </w:rPr>
              <w:t>135,893</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-424180</wp:posOffset>
            </wp:positionV>
            <wp:extent cx="208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40" w:hanging="433"/>
        <w:spacing w:after="0"/>
        <w:tabs>
          <w:tab w:leader="none" w:pos="4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Transactions with related parties included in the condensed consolidated financial statements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40" w:type="dxa"/>
            <w:vAlign w:val="bottom"/>
            <w:shd w:val="clear" w:color="auto" w:fill="43C0B9"/>
          </w:tcPr>
          <w:p>
            <w:pPr>
              <w:spacing w:after="0"/>
              <w:rPr>
                <w:sz w:val="15"/>
                <w:szCs w:val="15"/>
                <w:color w:val="auto"/>
              </w:rPr>
            </w:pPr>
          </w:p>
        </w:tc>
        <w:tc>
          <w:tcPr>
            <w:tcW w:w="100" w:type="dxa"/>
            <w:vAlign w:val="bottom"/>
            <w:shd w:val="clear" w:color="auto" w:fill="43C0B9"/>
          </w:tcPr>
          <w:p>
            <w:pPr>
              <w:spacing w:after="0"/>
              <w:rPr>
                <w:sz w:val="15"/>
                <w:szCs w:val="15"/>
                <w:color w:val="auto"/>
              </w:rPr>
            </w:pPr>
          </w:p>
        </w:tc>
        <w:tc>
          <w:tcPr>
            <w:tcW w:w="1280" w:type="dxa"/>
            <w:vAlign w:val="bottom"/>
            <w:shd w:val="clear" w:color="auto" w:fill="43C0B9"/>
          </w:tcPr>
          <w:p>
            <w:pPr>
              <w:spacing w:after="0"/>
              <w:rPr>
                <w:sz w:val="15"/>
                <w:szCs w:val="15"/>
                <w:color w:val="auto"/>
              </w:rPr>
            </w:pPr>
          </w:p>
        </w:tc>
        <w:tc>
          <w:tcPr>
            <w:tcW w:w="160" w:type="dxa"/>
            <w:vAlign w:val="bottom"/>
            <w:shd w:val="clear" w:color="auto" w:fill="43C0B9"/>
          </w:tcPr>
          <w:p>
            <w:pPr>
              <w:spacing w:after="0"/>
              <w:rPr>
                <w:sz w:val="15"/>
                <w:szCs w:val="15"/>
                <w:color w:val="auto"/>
              </w:rPr>
            </w:pPr>
          </w:p>
        </w:tc>
        <w:tc>
          <w:tcPr>
            <w:tcW w:w="1260" w:type="dxa"/>
            <w:vAlign w:val="bottom"/>
            <w:shd w:val="clear" w:color="auto" w:fill="43C0B9"/>
          </w:tcPr>
          <w:p>
            <w:pPr>
              <w:spacing w:after="0"/>
              <w:rPr>
                <w:sz w:val="15"/>
                <w:szCs w:val="15"/>
                <w:color w:val="auto"/>
              </w:rPr>
            </w:pPr>
          </w:p>
        </w:tc>
        <w:tc>
          <w:tcPr>
            <w:tcW w:w="140" w:type="dxa"/>
            <w:vAlign w:val="bottom"/>
            <w:shd w:val="clear" w:color="auto" w:fill="43C0B9"/>
          </w:tcPr>
          <w:p>
            <w:pPr>
              <w:spacing w:after="0"/>
              <w:rPr>
                <w:sz w:val="15"/>
                <w:szCs w:val="15"/>
                <w:color w:val="auto"/>
              </w:rPr>
            </w:pPr>
          </w:p>
        </w:tc>
        <w:tc>
          <w:tcPr>
            <w:tcW w:w="2860" w:type="dxa"/>
            <w:vAlign w:val="bottom"/>
            <w:gridSpan w:val="3"/>
            <w:shd w:val="clear" w:color="auto" w:fill="43C0B9"/>
          </w:tcPr>
          <w:p>
            <w:pPr>
              <w:jc w:val="right"/>
              <w:ind w:right="198"/>
              <w:spacing w:after="0"/>
              <w:rPr>
                <w:sz w:val="20"/>
                <w:szCs w:val="20"/>
                <w:color w:val="auto"/>
              </w:rPr>
            </w:pPr>
            <w:r>
              <w:rPr>
                <w:rFonts w:ascii="Arial" w:cs="Arial" w:eastAsia="Arial" w:hAnsi="Arial"/>
                <w:sz w:val="12"/>
                <w:szCs w:val="12"/>
                <w:b w:val="1"/>
                <w:bCs w:val="1"/>
                <w:color w:val="FFFFFF"/>
              </w:rPr>
              <w:t>Condensed Consolidated Balance Sheets</w:t>
            </w:r>
          </w:p>
        </w:tc>
        <w:tc>
          <w:tcPr>
            <w:tcW w:w="180" w:type="dxa"/>
            <w:vAlign w:val="bottom"/>
            <w:shd w:val="clear" w:color="auto" w:fill="43C0B9"/>
          </w:tcPr>
          <w:p>
            <w:pPr>
              <w:spacing w:after="0"/>
              <w:rPr>
                <w:sz w:val="15"/>
                <w:szCs w:val="15"/>
                <w:color w:val="auto"/>
              </w:rPr>
            </w:pPr>
          </w:p>
        </w:tc>
        <w:tc>
          <w:tcPr>
            <w:tcW w:w="1240" w:type="dxa"/>
            <w:vAlign w:val="bottom"/>
            <w:shd w:val="clear" w:color="auto" w:fill="43C0B9"/>
          </w:tcPr>
          <w:p>
            <w:pPr>
              <w:spacing w:after="0"/>
              <w:rPr>
                <w:sz w:val="15"/>
                <w:szCs w:val="15"/>
                <w:color w:val="auto"/>
              </w:rPr>
            </w:pPr>
          </w:p>
        </w:tc>
        <w:tc>
          <w:tcPr>
            <w:tcW w:w="160" w:type="dxa"/>
            <w:vAlign w:val="bottom"/>
            <w:shd w:val="clear" w:color="auto" w:fill="43C0B9"/>
          </w:tcPr>
          <w:p>
            <w:pPr>
              <w:spacing w:after="0"/>
              <w:rPr>
                <w:sz w:val="15"/>
                <w:szCs w:val="15"/>
                <w:color w:val="auto"/>
              </w:rPr>
            </w:pPr>
          </w:p>
        </w:tc>
        <w:tc>
          <w:tcPr>
            <w:tcW w:w="1220" w:type="dxa"/>
            <w:vAlign w:val="bottom"/>
            <w:shd w:val="clear" w:color="auto" w:fill="43C0B9"/>
          </w:tcPr>
          <w:p>
            <w:pPr>
              <w:spacing w:after="0"/>
              <w:rPr>
                <w:sz w:val="15"/>
                <w:szCs w:val="15"/>
                <w:color w:val="auto"/>
              </w:rPr>
            </w:pPr>
          </w:p>
        </w:tc>
      </w:tr>
      <w:tr>
        <w:trPr>
          <w:trHeight w:val="201"/>
        </w:trPr>
        <w:tc>
          <w:tcPr>
            <w:tcW w:w="2640" w:type="dxa"/>
            <w:vAlign w:val="bottom"/>
            <w:shd w:val="clear" w:color="auto" w:fill="43C0B9"/>
          </w:tcPr>
          <w:p>
            <w:pPr>
              <w:spacing w:after="0"/>
              <w:rPr>
                <w:sz w:val="17"/>
                <w:szCs w:val="17"/>
                <w:color w:val="auto"/>
              </w:rPr>
            </w:pPr>
          </w:p>
        </w:tc>
        <w:tc>
          <w:tcPr>
            <w:tcW w:w="100" w:type="dxa"/>
            <w:vAlign w:val="bottom"/>
            <w:shd w:val="clear" w:color="auto" w:fill="43C0B9"/>
          </w:tcPr>
          <w:p>
            <w:pPr>
              <w:spacing w:after="0"/>
              <w:rPr>
                <w:sz w:val="17"/>
                <w:szCs w:val="17"/>
                <w:color w:val="auto"/>
              </w:rPr>
            </w:pPr>
          </w:p>
        </w:tc>
        <w:tc>
          <w:tcPr>
            <w:tcW w:w="1280" w:type="dxa"/>
            <w:vAlign w:val="bottom"/>
            <w:shd w:val="clear" w:color="auto" w:fill="43C0B9"/>
          </w:tcPr>
          <w:p>
            <w:pPr>
              <w:spacing w:after="0"/>
              <w:rPr>
                <w:sz w:val="17"/>
                <w:szCs w:val="17"/>
                <w:color w:val="auto"/>
              </w:rPr>
            </w:pPr>
          </w:p>
        </w:tc>
        <w:tc>
          <w:tcPr>
            <w:tcW w:w="160" w:type="dxa"/>
            <w:vAlign w:val="bottom"/>
            <w:shd w:val="clear" w:color="auto" w:fill="43C0B9"/>
          </w:tcPr>
          <w:p>
            <w:pPr>
              <w:spacing w:after="0"/>
              <w:rPr>
                <w:sz w:val="17"/>
                <w:szCs w:val="17"/>
                <w:color w:val="auto"/>
              </w:rPr>
            </w:pPr>
          </w:p>
        </w:tc>
        <w:tc>
          <w:tcPr>
            <w:tcW w:w="1260" w:type="dxa"/>
            <w:vAlign w:val="bottom"/>
            <w:shd w:val="clear" w:color="auto" w:fill="43C0B9"/>
          </w:tcPr>
          <w:p>
            <w:pPr>
              <w:jc w:val="right"/>
              <w:ind w:right="158"/>
              <w:spacing w:after="0"/>
              <w:rPr>
                <w:sz w:val="20"/>
                <w:szCs w:val="20"/>
                <w:color w:val="auto"/>
              </w:rPr>
            </w:pPr>
            <w:r>
              <w:rPr>
                <w:rFonts w:ascii="Arial" w:cs="Arial" w:eastAsia="Arial" w:hAnsi="Arial"/>
                <w:sz w:val="12"/>
                <w:szCs w:val="12"/>
                <w:b w:val="1"/>
                <w:bCs w:val="1"/>
                <w:color w:val="FFFFFF"/>
              </w:rPr>
              <w:t>January 31, 2022</w:t>
            </w:r>
          </w:p>
        </w:tc>
        <w:tc>
          <w:tcPr>
            <w:tcW w:w="140" w:type="dxa"/>
            <w:vAlign w:val="bottom"/>
            <w:shd w:val="clear" w:color="auto" w:fill="43C0B9"/>
          </w:tcPr>
          <w:p>
            <w:pPr>
              <w:spacing w:after="0"/>
              <w:rPr>
                <w:sz w:val="17"/>
                <w:szCs w:val="17"/>
                <w:color w:val="auto"/>
              </w:rPr>
            </w:pPr>
          </w:p>
        </w:tc>
        <w:tc>
          <w:tcPr>
            <w:tcW w:w="1360" w:type="dxa"/>
            <w:vAlign w:val="bottom"/>
            <w:shd w:val="clear" w:color="auto" w:fill="43C0B9"/>
          </w:tcPr>
          <w:p>
            <w:pPr>
              <w:spacing w:after="0"/>
              <w:rPr>
                <w:sz w:val="17"/>
                <w:szCs w:val="17"/>
                <w:color w:val="auto"/>
              </w:rPr>
            </w:pPr>
          </w:p>
        </w:tc>
        <w:tc>
          <w:tcPr>
            <w:tcW w:w="220" w:type="dxa"/>
            <w:vAlign w:val="bottom"/>
            <w:shd w:val="clear" w:color="auto" w:fill="43C0B9"/>
          </w:tcPr>
          <w:p>
            <w:pPr>
              <w:spacing w:after="0"/>
              <w:rPr>
                <w:sz w:val="17"/>
                <w:szCs w:val="17"/>
                <w:color w:val="auto"/>
              </w:rPr>
            </w:pPr>
          </w:p>
        </w:tc>
        <w:tc>
          <w:tcPr>
            <w:tcW w:w="1280" w:type="dxa"/>
            <w:vAlign w:val="bottom"/>
            <w:shd w:val="clear" w:color="auto" w:fill="43C0B9"/>
          </w:tcPr>
          <w:p>
            <w:pPr>
              <w:spacing w:after="0"/>
              <w:rPr>
                <w:sz w:val="17"/>
                <w:szCs w:val="17"/>
                <w:color w:val="auto"/>
              </w:rPr>
            </w:pPr>
          </w:p>
        </w:tc>
        <w:tc>
          <w:tcPr>
            <w:tcW w:w="180" w:type="dxa"/>
            <w:vAlign w:val="bottom"/>
            <w:shd w:val="clear" w:color="auto" w:fill="43C0B9"/>
          </w:tcPr>
          <w:p>
            <w:pPr>
              <w:spacing w:after="0"/>
              <w:rPr>
                <w:sz w:val="17"/>
                <w:szCs w:val="17"/>
                <w:color w:val="auto"/>
              </w:rPr>
            </w:pPr>
          </w:p>
        </w:tc>
        <w:tc>
          <w:tcPr>
            <w:tcW w:w="1240" w:type="dxa"/>
            <w:vAlign w:val="bottom"/>
            <w:shd w:val="clear" w:color="auto" w:fill="43C0B9"/>
          </w:tcPr>
          <w:p>
            <w:pPr>
              <w:jc w:val="right"/>
              <w:ind w:right="138"/>
              <w:spacing w:after="0"/>
              <w:rPr>
                <w:sz w:val="20"/>
                <w:szCs w:val="20"/>
                <w:color w:val="auto"/>
              </w:rPr>
            </w:pPr>
            <w:r>
              <w:rPr>
                <w:rFonts w:ascii="Arial" w:cs="Arial" w:eastAsia="Arial" w:hAnsi="Arial"/>
                <w:sz w:val="12"/>
                <w:szCs w:val="12"/>
                <w:b w:val="1"/>
                <w:bCs w:val="1"/>
                <w:color w:val="FFFFFF"/>
              </w:rPr>
              <w:t>October 31, 2021</w:t>
            </w:r>
          </w:p>
        </w:tc>
        <w:tc>
          <w:tcPr>
            <w:tcW w:w="160" w:type="dxa"/>
            <w:vAlign w:val="bottom"/>
            <w:shd w:val="clear" w:color="auto" w:fill="43C0B9"/>
          </w:tcPr>
          <w:p>
            <w:pPr>
              <w:spacing w:after="0"/>
              <w:rPr>
                <w:sz w:val="17"/>
                <w:szCs w:val="17"/>
                <w:color w:val="auto"/>
              </w:rPr>
            </w:pPr>
          </w:p>
        </w:tc>
        <w:tc>
          <w:tcPr>
            <w:tcW w:w="1220" w:type="dxa"/>
            <w:vAlign w:val="bottom"/>
            <w:shd w:val="clear" w:color="auto" w:fill="43C0B9"/>
          </w:tcPr>
          <w:p>
            <w:pPr>
              <w:spacing w:after="0"/>
              <w:rPr>
                <w:sz w:val="17"/>
                <w:szCs w:val="17"/>
                <w:color w:val="auto"/>
              </w:rPr>
            </w:pPr>
          </w:p>
        </w:tc>
      </w:tr>
      <w:tr>
        <w:trPr>
          <w:trHeight w:val="198"/>
        </w:trPr>
        <w:tc>
          <w:tcPr>
            <w:tcW w:w="2640" w:type="dxa"/>
            <w:vAlign w:val="bottom"/>
            <w:shd w:val="clear" w:color="auto" w:fill="43C0B9"/>
          </w:tcPr>
          <w:p>
            <w:pPr>
              <w:spacing w:after="0"/>
              <w:rPr>
                <w:sz w:val="17"/>
                <w:szCs w:val="17"/>
                <w:color w:val="auto"/>
              </w:rPr>
            </w:pPr>
          </w:p>
        </w:tc>
        <w:tc>
          <w:tcPr>
            <w:tcW w:w="100" w:type="dxa"/>
            <w:vAlign w:val="bottom"/>
            <w:shd w:val="clear" w:color="auto" w:fill="43C0B9"/>
          </w:tcPr>
          <w:p>
            <w:pPr>
              <w:spacing w:after="0"/>
              <w:rPr>
                <w:sz w:val="17"/>
                <w:szCs w:val="17"/>
                <w:color w:val="auto"/>
              </w:rPr>
            </w:pPr>
          </w:p>
        </w:tc>
        <w:tc>
          <w:tcPr>
            <w:tcW w:w="1280" w:type="dxa"/>
            <w:vAlign w:val="bottom"/>
            <w:shd w:val="clear" w:color="auto" w:fill="43C0B9"/>
          </w:tcPr>
          <w:p>
            <w:pPr>
              <w:spacing w:after="0"/>
              <w:rPr>
                <w:sz w:val="17"/>
                <w:szCs w:val="17"/>
                <w:color w:val="auto"/>
              </w:rPr>
            </w:pPr>
          </w:p>
        </w:tc>
        <w:tc>
          <w:tcPr>
            <w:tcW w:w="160" w:type="dxa"/>
            <w:vAlign w:val="bottom"/>
            <w:shd w:val="clear" w:color="auto" w:fill="43C0B9"/>
          </w:tcPr>
          <w:p>
            <w:pPr>
              <w:spacing w:after="0"/>
              <w:rPr>
                <w:sz w:val="17"/>
                <w:szCs w:val="17"/>
                <w:color w:val="auto"/>
              </w:rPr>
            </w:pPr>
          </w:p>
        </w:tc>
        <w:tc>
          <w:tcPr>
            <w:tcW w:w="126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Loans to equity</w:t>
            </w:r>
          </w:p>
        </w:tc>
        <w:tc>
          <w:tcPr>
            <w:tcW w:w="140" w:type="dxa"/>
            <w:vAlign w:val="bottom"/>
            <w:shd w:val="clear" w:color="auto" w:fill="43C0B9"/>
          </w:tcPr>
          <w:p>
            <w:pPr>
              <w:spacing w:after="0"/>
              <w:rPr>
                <w:sz w:val="17"/>
                <w:szCs w:val="17"/>
                <w:color w:val="auto"/>
              </w:rPr>
            </w:pPr>
          </w:p>
        </w:tc>
        <w:tc>
          <w:tcPr>
            <w:tcW w:w="1360" w:type="dxa"/>
            <w:vAlign w:val="bottom"/>
            <w:shd w:val="clear" w:color="auto" w:fill="43C0B9"/>
          </w:tcPr>
          <w:p>
            <w:pPr>
              <w:jc w:val="right"/>
              <w:ind w:right="78"/>
              <w:spacing w:after="0"/>
              <w:rPr>
                <w:sz w:val="20"/>
                <w:szCs w:val="20"/>
                <w:color w:val="auto"/>
              </w:rPr>
            </w:pPr>
            <w:r>
              <w:rPr>
                <w:rFonts w:ascii="Arial" w:cs="Arial" w:eastAsia="Arial" w:hAnsi="Arial"/>
                <w:sz w:val="12"/>
                <w:szCs w:val="12"/>
                <w:b w:val="1"/>
                <w:bCs w:val="1"/>
                <w:color w:val="FFFFFF"/>
              </w:rPr>
              <w:t>Accounts payable &amp;</w:t>
            </w:r>
          </w:p>
        </w:tc>
        <w:tc>
          <w:tcPr>
            <w:tcW w:w="220" w:type="dxa"/>
            <w:vAlign w:val="bottom"/>
            <w:shd w:val="clear" w:color="auto" w:fill="43C0B9"/>
          </w:tcPr>
          <w:p>
            <w:pPr>
              <w:spacing w:after="0"/>
              <w:rPr>
                <w:sz w:val="17"/>
                <w:szCs w:val="17"/>
                <w:color w:val="auto"/>
              </w:rPr>
            </w:pPr>
          </w:p>
        </w:tc>
        <w:tc>
          <w:tcPr>
            <w:tcW w:w="1280" w:type="dxa"/>
            <w:vAlign w:val="bottom"/>
            <w:shd w:val="clear" w:color="auto" w:fill="43C0B9"/>
          </w:tcPr>
          <w:p>
            <w:pPr>
              <w:spacing w:after="0"/>
              <w:rPr>
                <w:sz w:val="17"/>
                <w:szCs w:val="17"/>
                <w:color w:val="auto"/>
              </w:rPr>
            </w:pPr>
          </w:p>
        </w:tc>
        <w:tc>
          <w:tcPr>
            <w:tcW w:w="180" w:type="dxa"/>
            <w:vAlign w:val="bottom"/>
            <w:shd w:val="clear" w:color="auto" w:fill="43C0B9"/>
          </w:tcPr>
          <w:p>
            <w:pPr>
              <w:spacing w:after="0"/>
              <w:rPr>
                <w:sz w:val="17"/>
                <w:szCs w:val="17"/>
                <w:color w:val="auto"/>
              </w:rPr>
            </w:pPr>
          </w:p>
        </w:tc>
        <w:tc>
          <w:tcPr>
            <w:tcW w:w="124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Loans to equity</w:t>
            </w:r>
          </w:p>
        </w:tc>
        <w:tc>
          <w:tcPr>
            <w:tcW w:w="160" w:type="dxa"/>
            <w:vAlign w:val="bottom"/>
            <w:shd w:val="clear" w:color="auto" w:fill="43C0B9"/>
          </w:tcPr>
          <w:p>
            <w:pPr>
              <w:spacing w:after="0"/>
              <w:rPr>
                <w:sz w:val="17"/>
                <w:szCs w:val="17"/>
                <w:color w:val="auto"/>
              </w:rPr>
            </w:pPr>
          </w:p>
        </w:tc>
        <w:tc>
          <w:tcPr>
            <w:tcW w:w="1220" w:type="dxa"/>
            <w:vAlign w:val="bottom"/>
            <w:shd w:val="clear" w:color="auto" w:fill="43C0B9"/>
          </w:tcPr>
          <w:p>
            <w:pPr>
              <w:jc w:val="right"/>
              <w:spacing w:after="0"/>
              <w:rPr>
                <w:sz w:val="20"/>
                <w:szCs w:val="20"/>
                <w:color w:val="auto"/>
              </w:rPr>
            </w:pPr>
            <w:r>
              <w:rPr>
                <w:rFonts w:ascii="Arial" w:cs="Arial" w:eastAsia="Arial" w:hAnsi="Arial"/>
                <w:sz w:val="12"/>
                <w:szCs w:val="12"/>
                <w:b w:val="1"/>
                <w:bCs w:val="1"/>
                <w:color w:val="FFFFFF"/>
              </w:rPr>
              <w:t>Accounts payable &amp;</w:t>
            </w:r>
          </w:p>
        </w:tc>
      </w:tr>
      <w:tr>
        <w:trPr>
          <w:trHeight w:val="174"/>
        </w:trPr>
        <w:tc>
          <w:tcPr>
            <w:tcW w:w="26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b w:val="1"/>
                <w:bCs w:val="1"/>
                <w:color w:val="FFFFFF"/>
              </w:rPr>
              <w:t>(In millions)</w:t>
            </w:r>
          </w:p>
        </w:tc>
        <w:tc>
          <w:tcPr>
            <w:tcW w:w="100" w:type="dxa"/>
            <w:vAlign w:val="bottom"/>
            <w:tcBorders>
              <w:bottom w:val="single" w:sz="8" w:color="43C0B9"/>
            </w:tcBorders>
            <w:shd w:val="clear" w:color="auto" w:fill="43C0B9"/>
          </w:tcPr>
          <w:p>
            <w:pPr>
              <w:spacing w:after="0"/>
              <w:rPr>
                <w:sz w:val="15"/>
                <w:szCs w:val="15"/>
                <w:color w:val="auto"/>
              </w:rPr>
            </w:pPr>
          </w:p>
        </w:tc>
        <w:tc>
          <w:tcPr>
            <w:tcW w:w="12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Accounts receivable</w:t>
            </w:r>
          </w:p>
        </w:tc>
        <w:tc>
          <w:tcPr>
            <w:tcW w:w="160" w:type="dxa"/>
            <w:vAlign w:val="bottom"/>
            <w:tcBorders>
              <w:bottom w:val="single" w:sz="8" w:color="43C0B9"/>
            </w:tcBorders>
            <w:shd w:val="clear" w:color="auto" w:fill="43C0B9"/>
          </w:tcPr>
          <w:p>
            <w:pPr>
              <w:spacing w:after="0"/>
              <w:rPr>
                <w:sz w:val="15"/>
                <w:szCs w:val="15"/>
                <w:color w:val="auto"/>
              </w:rPr>
            </w:pPr>
          </w:p>
        </w:tc>
        <w:tc>
          <w:tcPr>
            <w:tcW w:w="12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method investees</w:t>
            </w:r>
          </w:p>
        </w:tc>
        <w:tc>
          <w:tcPr>
            <w:tcW w:w="140" w:type="dxa"/>
            <w:vAlign w:val="bottom"/>
            <w:tcBorders>
              <w:bottom w:val="single" w:sz="8" w:color="43C0B9"/>
            </w:tcBorders>
            <w:shd w:val="clear" w:color="auto" w:fill="43C0B9"/>
          </w:tcPr>
          <w:p>
            <w:pPr>
              <w:spacing w:after="0"/>
              <w:rPr>
                <w:sz w:val="15"/>
                <w:szCs w:val="15"/>
                <w:color w:val="auto"/>
              </w:rPr>
            </w:pPr>
          </w:p>
        </w:tc>
        <w:tc>
          <w:tcPr>
            <w:tcW w:w="1360" w:type="dxa"/>
            <w:vAlign w:val="bottom"/>
            <w:tcBorders>
              <w:bottom w:val="single" w:sz="8" w:color="43C0B9"/>
            </w:tcBorders>
            <w:shd w:val="clear" w:color="auto" w:fill="43C0B9"/>
          </w:tcPr>
          <w:p>
            <w:pPr>
              <w:jc w:val="right"/>
              <w:ind w:right="78"/>
              <w:spacing w:after="0"/>
              <w:rPr>
                <w:sz w:val="20"/>
                <w:szCs w:val="20"/>
                <w:color w:val="auto"/>
              </w:rPr>
            </w:pPr>
            <w:r>
              <w:rPr>
                <w:rFonts w:ascii="Arial" w:cs="Arial" w:eastAsia="Arial" w:hAnsi="Arial"/>
                <w:sz w:val="12"/>
                <w:szCs w:val="12"/>
                <w:b w:val="1"/>
                <w:bCs w:val="1"/>
                <w:color w:val="FFFFFF"/>
              </w:rPr>
              <w:t>accrued expenses</w:t>
            </w:r>
          </w:p>
        </w:tc>
        <w:tc>
          <w:tcPr>
            <w:tcW w:w="220" w:type="dxa"/>
            <w:vAlign w:val="bottom"/>
            <w:tcBorders>
              <w:bottom w:val="single" w:sz="8" w:color="43C0B9"/>
            </w:tcBorders>
            <w:shd w:val="clear" w:color="auto" w:fill="43C0B9"/>
          </w:tcPr>
          <w:p>
            <w:pPr>
              <w:spacing w:after="0"/>
              <w:rPr>
                <w:sz w:val="15"/>
                <w:szCs w:val="15"/>
                <w:color w:val="auto"/>
              </w:rPr>
            </w:pPr>
          </w:p>
        </w:tc>
        <w:tc>
          <w:tcPr>
            <w:tcW w:w="12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Accounts receivable</w:t>
            </w:r>
          </w:p>
        </w:tc>
        <w:tc>
          <w:tcPr>
            <w:tcW w:w="180" w:type="dxa"/>
            <w:vAlign w:val="bottom"/>
            <w:tcBorders>
              <w:bottom w:val="single" w:sz="8" w:color="43C0B9"/>
            </w:tcBorders>
            <w:shd w:val="clear" w:color="auto" w:fill="43C0B9"/>
          </w:tcPr>
          <w:p>
            <w:pPr>
              <w:spacing w:after="0"/>
              <w:rPr>
                <w:sz w:val="15"/>
                <w:szCs w:val="15"/>
                <w:color w:val="auto"/>
              </w:rPr>
            </w:pPr>
          </w:p>
        </w:tc>
        <w:tc>
          <w:tcPr>
            <w:tcW w:w="12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method investees</w:t>
            </w:r>
          </w:p>
        </w:tc>
        <w:tc>
          <w:tcPr>
            <w:tcW w:w="160" w:type="dxa"/>
            <w:vAlign w:val="bottom"/>
            <w:tcBorders>
              <w:bottom w:val="single" w:sz="8" w:color="43C0B9"/>
            </w:tcBorders>
            <w:shd w:val="clear" w:color="auto" w:fill="43C0B9"/>
          </w:tcPr>
          <w:p>
            <w:pPr>
              <w:spacing w:after="0"/>
              <w:rPr>
                <w:sz w:val="15"/>
                <w:szCs w:val="15"/>
                <w:color w:val="auto"/>
              </w:rPr>
            </w:pPr>
          </w:p>
        </w:tc>
        <w:tc>
          <w:tcPr>
            <w:tcW w:w="12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accrued expenses</w:t>
            </w:r>
          </w:p>
        </w:tc>
      </w:tr>
      <w:tr>
        <w:trPr>
          <w:trHeight w:val="181"/>
        </w:trPr>
        <w:tc>
          <w:tcPr>
            <w:tcW w:w="2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1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spacing w:after="0"/>
              <w:rPr>
                <w:sz w:val="15"/>
                <w:szCs w:val="15"/>
                <w:color w:val="auto"/>
              </w:rPr>
            </w:pPr>
          </w:p>
        </w:tc>
      </w:tr>
      <w:tr>
        <w:trPr>
          <w:trHeight w:val="170"/>
        </w:trPr>
        <w:tc>
          <w:tcPr>
            <w:tcW w:w="2640" w:type="dxa"/>
            <w:vAlign w:val="bottom"/>
          </w:tcPr>
          <w:p>
            <w:pPr>
              <w:ind w:left="140"/>
              <w:spacing w:after="0"/>
              <w:rPr>
                <w:sz w:val="20"/>
                <w:szCs w:val="20"/>
                <w:color w:val="auto"/>
              </w:rPr>
            </w:pPr>
            <w:r>
              <w:rPr>
                <w:rFonts w:ascii="Arial" w:cs="Arial" w:eastAsia="Arial" w:hAnsi="Arial"/>
                <w:sz w:val="12"/>
                <w:szCs w:val="12"/>
                <w:color w:val="auto"/>
              </w:rPr>
              <w:t>Mr. Avocado</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0.7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1.3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31"/>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1"/>
        </w:trPr>
        <w:tc>
          <w:tcPr>
            <w:tcW w:w="26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Moruga</w:t>
            </w:r>
            <w:r>
              <w:rPr>
                <w:rFonts w:ascii="Arial" w:cs="Arial" w:eastAsia="Arial" w:hAnsi="Arial"/>
                <w:sz w:val="16"/>
                <w:szCs w:val="16"/>
                <w:color w:val="auto"/>
                <w:vertAlign w:val="superscript"/>
              </w:rPr>
              <w:t>(1)</w:t>
            </w: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38"/>
              <w:spacing w:after="0"/>
              <w:rPr>
                <w:sz w:val="20"/>
                <w:szCs w:val="20"/>
                <w:color w:val="auto"/>
              </w:rPr>
            </w:pPr>
            <w:r>
              <w:rPr>
                <w:rFonts w:ascii="Arial" w:cs="Arial" w:eastAsia="Arial" w:hAnsi="Arial"/>
                <w:sz w:val="12"/>
                <w:szCs w:val="12"/>
                <w:color w:val="auto"/>
              </w:rPr>
              <w:t>3.1</w:t>
            </w:r>
          </w:p>
        </w:tc>
        <w:tc>
          <w:tcPr>
            <w:tcW w:w="16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38"/>
              <w:spacing w:after="0"/>
              <w:rPr>
                <w:sz w:val="20"/>
                <w:szCs w:val="20"/>
                <w:color w:val="auto"/>
              </w:rPr>
            </w:pPr>
            <w:r>
              <w:rPr>
                <w:rFonts w:ascii="Arial" w:cs="Arial" w:eastAsia="Arial" w:hAnsi="Arial"/>
                <w:sz w:val="12"/>
                <w:szCs w:val="12"/>
                <w:color w:val="auto"/>
              </w:rPr>
              <w:t>1.9</w:t>
            </w:r>
          </w:p>
        </w:tc>
        <w:tc>
          <w:tcPr>
            <w:tcW w:w="14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118"/>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38"/>
              <w:spacing w:after="0"/>
              <w:rPr>
                <w:sz w:val="20"/>
                <w:szCs w:val="20"/>
                <w:color w:val="auto"/>
              </w:rPr>
            </w:pPr>
            <w:r>
              <w:rPr>
                <w:rFonts w:ascii="Arial" w:cs="Arial" w:eastAsia="Arial" w:hAnsi="Arial"/>
                <w:sz w:val="12"/>
                <w:szCs w:val="12"/>
                <w:color w:val="auto"/>
              </w:rPr>
              <w:t>3.9</w:t>
            </w: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38"/>
              <w:spacing w:after="0"/>
              <w:rPr>
                <w:sz w:val="20"/>
                <w:szCs w:val="20"/>
                <w:color w:val="auto"/>
              </w:rPr>
            </w:pPr>
            <w:r>
              <w:rPr>
                <w:rFonts w:ascii="Arial" w:cs="Arial" w:eastAsia="Arial" w:hAnsi="Arial"/>
                <w:sz w:val="12"/>
                <w:szCs w:val="12"/>
                <w:color w:val="auto"/>
              </w:rPr>
              <w:t>3.0</w:t>
            </w:r>
          </w:p>
        </w:tc>
        <w:tc>
          <w:tcPr>
            <w:tcW w:w="16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201"/>
        </w:trPr>
        <w:tc>
          <w:tcPr>
            <w:tcW w:w="2640" w:type="dxa"/>
            <w:vAlign w:val="bottom"/>
          </w:tcPr>
          <w:p>
            <w:pPr>
              <w:ind w:left="140"/>
              <w:spacing w:after="0"/>
              <w:rPr>
                <w:sz w:val="20"/>
                <w:szCs w:val="20"/>
                <w:color w:val="auto"/>
              </w:rPr>
            </w:pPr>
            <w:r>
              <w:rPr>
                <w:rFonts w:ascii="Arial" w:cs="Arial" w:eastAsia="Arial" w:hAnsi="Arial"/>
                <w:sz w:val="12"/>
                <w:szCs w:val="12"/>
                <w:color w:val="auto"/>
              </w:rPr>
              <w:t>Copaltas</w:t>
            </w:r>
            <w:r>
              <w:rPr>
                <w:rFonts w:ascii="Arial" w:cs="Arial" w:eastAsia="Arial" w:hAnsi="Arial"/>
                <w:sz w:val="16"/>
                <w:szCs w:val="16"/>
                <w:color w:val="auto"/>
                <w:vertAlign w:val="superscript"/>
              </w:rPr>
              <w:t>(2)</w:t>
            </w:r>
          </w:p>
        </w:tc>
        <w:tc>
          <w:tcPr>
            <w:tcW w:w="10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2.1</w:t>
            </w:r>
          </w:p>
        </w:tc>
        <w:tc>
          <w:tcPr>
            <w:tcW w:w="140" w:type="dxa"/>
            <w:vAlign w:val="bottom"/>
          </w:tcPr>
          <w:p>
            <w:pPr>
              <w:spacing w:after="0"/>
              <w:rPr>
                <w:sz w:val="17"/>
                <w:szCs w:val="17"/>
                <w:color w:val="auto"/>
              </w:rPr>
            </w:pPr>
          </w:p>
        </w:tc>
        <w:tc>
          <w:tcPr>
            <w:tcW w:w="1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7"/>
                <w:szCs w:val="17"/>
                <w:color w:val="auto"/>
              </w:rPr>
            </w:pP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2.1</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2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Other:</w:t>
            </w:r>
          </w:p>
        </w:tc>
        <w:tc>
          <w:tcPr>
            <w:tcW w:w="1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spacing w:after="0"/>
              <w:rPr>
                <w:sz w:val="15"/>
                <w:szCs w:val="15"/>
                <w:color w:val="auto"/>
              </w:rPr>
            </w:pPr>
          </w:p>
        </w:tc>
      </w:tr>
      <w:tr>
        <w:trPr>
          <w:trHeight w:val="201"/>
        </w:trPr>
        <w:tc>
          <w:tcPr>
            <w:tcW w:w="2640" w:type="dxa"/>
            <w:vAlign w:val="bottom"/>
          </w:tcPr>
          <w:p>
            <w:pPr>
              <w:ind w:left="14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6"/>
                <w:szCs w:val="16"/>
                <w:color w:val="auto"/>
                <w:vertAlign w:val="superscript"/>
              </w:rPr>
              <w:t>(3)</w:t>
            </w:r>
          </w:p>
        </w:tc>
        <w:tc>
          <w:tcPr>
            <w:tcW w:w="10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0.1</w:t>
            </w:r>
          </w:p>
        </w:tc>
        <w:tc>
          <w:tcPr>
            <w:tcW w:w="160" w:type="dxa"/>
            <w:vAlign w:val="bottom"/>
          </w:tcPr>
          <w:p>
            <w:pPr>
              <w:spacing w:after="0"/>
              <w:rPr>
                <w:sz w:val="17"/>
                <w:szCs w:val="17"/>
                <w:color w:val="auto"/>
              </w:rPr>
            </w:pP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1360" w:type="dxa"/>
            <w:vAlign w:val="bottom"/>
          </w:tcPr>
          <w:p>
            <w:pPr>
              <w:jc w:val="right"/>
              <w:ind w:right="118"/>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0.1</w:t>
            </w:r>
          </w:p>
        </w:tc>
        <w:tc>
          <w:tcPr>
            <w:tcW w:w="180" w:type="dxa"/>
            <w:vAlign w:val="bottom"/>
          </w:tcPr>
          <w:p>
            <w:pPr>
              <w:spacing w:after="0"/>
              <w:rPr>
                <w:sz w:val="17"/>
                <w:szCs w:val="17"/>
                <w:color w:val="auto"/>
              </w:rPr>
            </w:pP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1"/>
        </w:trPr>
        <w:tc>
          <w:tcPr>
            <w:tcW w:w="26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2"/>
                <w:szCs w:val="12"/>
                <w:color w:val="auto"/>
              </w:rPr>
              <w:t>Employees</w:t>
            </w:r>
            <w:r>
              <w:rPr>
                <w:rFonts w:ascii="Arial" w:cs="Arial" w:eastAsia="Arial" w:hAnsi="Arial"/>
                <w:sz w:val="16"/>
                <w:szCs w:val="16"/>
                <w:color w:val="auto"/>
                <w:vertAlign w:val="superscript"/>
              </w:rPr>
              <w:t>(4)</w:t>
            </w:r>
          </w:p>
        </w:tc>
        <w:tc>
          <w:tcPr>
            <w:tcW w:w="1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118"/>
              <w:spacing w:after="0"/>
              <w:rPr>
                <w:sz w:val="20"/>
                <w:szCs w:val="20"/>
                <w:color w:val="auto"/>
              </w:rPr>
            </w:pPr>
            <w:r>
              <w:rPr>
                <w:rFonts w:ascii="Arial" w:cs="Arial" w:eastAsia="Arial" w:hAnsi="Arial"/>
                <w:sz w:val="12"/>
                <w:szCs w:val="12"/>
                <w:color w:val="auto"/>
              </w:rPr>
              <w:t>1.0</w:t>
            </w:r>
          </w:p>
        </w:tc>
        <w:tc>
          <w:tcPr>
            <w:tcW w:w="22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0.2</w:t>
            </w:r>
          </w:p>
        </w:tc>
      </w:tr>
      <w:tr>
        <w:trPr>
          <w:trHeight w:val="194"/>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gridSpan w:val="7"/>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0"/>
        </w:trPr>
        <w:tc>
          <w:tcPr>
            <w:tcW w:w="2640" w:type="dxa"/>
            <w:vAlign w:val="bottom"/>
            <w:shd w:val="clear" w:color="auto" w:fill="43C0B9"/>
          </w:tcPr>
          <w:p>
            <w:pPr>
              <w:spacing w:after="0"/>
              <w:rPr>
                <w:sz w:val="14"/>
                <w:szCs w:val="14"/>
                <w:color w:val="auto"/>
              </w:rPr>
            </w:pPr>
          </w:p>
        </w:tc>
        <w:tc>
          <w:tcPr>
            <w:tcW w:w="100" w:type="dxa"/>
            <w:vAlign w:val="bottom"/>
            <w:shd w:val="clear" w:color="auto" w:fill="43C0B9"/>
          </w:tcPr>
          <w:p>
            <w:pPr>
              <w:spacing w:after="0"/>
              <w:rPr>
                <w:sz w:val="14"/>
                <w:szCs w:val="14"/>
                <w:color w:val="auto"/>
              </w:rPr>
            </w:pPr>
          </w:p>
        </w:tc>
        <w:tc>
          <w:tcPr>
            <w:tcW w:w="1280" w:type="dxa"/>
            <w:vAlign w:val="bottom"/>
            <w:shd w:val="clear" w:color="auto" w:fill="43C0B9"/>
          </w:tcPr>
          <w:p>
            <w:pPr>
              <w:spacing w:after="0"/>
              <w:rPr>
                <w:sz w:val="14"/>
                <w:szCs w:val="14"/>
                <w:color w:val="auto"/>
              </w:rPr>
            </w:pPr>
          </w:p>
        </w:tc>
        <w:tc>
          <w:tcPr>
            <w:tcW w:w="160" w:type="dxa"/>
            <w:vAlign w:val="bottom"/>
            <w:shd w:val="clear" w:color="auto" w:fill="43C0B9"/>
          </w:tcPr>
          <w:p>
            <w:pPr>
              <w:spacing w:after="0"/>
              <w:rPr>
                <w:sz w:val="14"/>
                <w:szCs w:val="14"/>
                <w:color w:val="auto"/>
              </w:rPr>
            </w:pPr>
          </w:p>
        </w:tc>
        <w:tc>
          <w:tcPr>
            <w:tcW w:w="5680" w:type="dxa"/>
            <w:vAlign w:val="bottom"/>
            <w:gridSpan w:val="7"/>
            <w:shd w:val="clear" w:color="auto" w:fill="43C0B9"/>
          </w:tcPr>
          <w:p>
            <w:pPr>
              <w:jc w:val="right"/>
              <w:ind w:right="738"/>
              <w:spacing w:after="0"/>
              <w:rPr>
                <w:sz w:val="20"/>
                <w:szCs w:val="20"/>
                <w:color w:val="auto"/>
              </w:rPr>
            </w:pPr>
            <w:r>
              <w:rPr>
                <w:rFonts w:ascii="Arial" w:cs="Arial" w:eastAsia="Arial" w:hAnsi="Arial"/>
                <w:sz w:val="12"/>
                <w:szCs w:val="12"/>
                <w:b w:val="1"/>
                <w:bCs w:val="1"/>
                <w:color w:val="FFFFFF"/>
              </w:rPr>
              <w:t>Condensed Consolidated Statements of Comprehensive (Loss) Income</w:t>
            </w:r>
          </w:p>
        </w:tc>
        <w:tc>
          <w:tcPr>
            <w:tcW w:w="160" w:type="dxa"/>
            <w:vAlign w:val="bottom"/>
            <w:shd w:val="clear" w:color="auto" w:fill="43C0B9"/>
          </w:tcPr>
          <w:p>
            <w:pPr>
              <w:spacing w:after="0"/>
              <w:rPr>
                <w:sz w:val="14"/>
                <w:szCs w:val="14"/>
                <w:color w:val="auto"/>
              </w:rPr>
            </w:pPr>
          </w:p>
        </w:tc>
        <w:tc>
          <w:tcPr>
            <w:tcW w:w="1220" w:type="dxa"/>
            <w:vAlign w:val="bottom"/>
            <w:shd w:val="clear" w:color="auto" w:fill="43C0B9"/>
          </w:tcPr>
          <w:p>
            <w:pPr>
              <w:spacing w:after="0"/>
              <w:rPr>
                <w:sz w:val="14"/>
                <w:szCs w:val="14"/>
                <w:color w:val="auto"/>
              </w:rPr>
            </w:pPr>
          </w:p>
        </w:tc>
      </w:tr>
      <w:tr>
        <w:trPr>
          <w:trHeight w:val="198"/>
        </w:trPr>
        <w:tc>
          <w:tcPr>
            <w:tcW w:w="2640" w:type="dxa"/>
            <w:vAlign w:val="bottom"/>
            <w:shd w:val="clear" w:color="auto" w:fill="43C0B9"/>
          </w:tcPr>
          <w:p>
            <w:pPr>
              <w:spacing w:after="0"/>
              <w:rPr>
                <w:sz w:val="17"/>
                <w:szCs w:val="17"/>
                <w:color w:val="auto"/>
              </w:rPr>
            </w:pPr>
          </w:p>
        </w:tc>
        <w:tc>
          <w:tcPr>
            <w:tcW w:w="100" w:type="dxa"/>
            <w:vAlign w:val="bottom"/>
            <w:shd w:val="clear" w:color="auto" w:fill="43C0B9"/>
          </w:tcPr>
          <w:p>
            <w:pPr>
              <w:spacing w:after="0"/>
              <w:rPr>
                <w:sz w:val="17"/>
                <w:szCs w:val="17"/>
                <w:color w:val="auto"/>
              </w:rPr>
            </w:pPr>
          </w:p>
        </w:tc>
        <w:tc>
          <w:tcPr>
            <w:tcW w:w="1280" w:type="dxa"/>
            <w:vAlign w:val="bottom"/>
            <w:shd w:val="clear" w:color="auto" w:fill="43C0B9"/>
          </w:tcPr>
          <w:p>
            <w:pPr>
              <w:spacing w:after="0"/>
              <w:rPr>
                <w:sz w:val="17"/>
                <w:szCs w:val="17"/>
                <w:color w:val="auto"/>
              </w:rPr>
            </w:pPr>
          </w:p>
        </w:tc>
        <w:tc>
          <w:tcPr>
            <w:tcW w:w="1420" w:type="dxa"/>
            <w:vAlign w:val="bottom"/>
            <w:gridSpan w:val="2"/>
            <w:shd w:val="clear" w:color="auto" w:fill="43C0B9"/>
          </w:tcPr>
          <w:p>
            <w:pPr>
              <w:jc w:val="right"/>
              <w:ind w:right="18"/>
              <w:spacing w:after="0"/>
              <w:rPr>
                <w:sz w:val="20"/>
                <w:szCs w:val="20"/>
                <w:color w:val="auto"/>
              </w:rPr>
            </w:pPr>
            <w:r>
              <w:rPr>
                <w:rFonts w:ascii="Arial" w:cs="Arial" w:eastAsia="Arial" w:hAnsi="Arial"/>
                <w:sz w:val="12"/>
                <w:szCs w:val="12"/>
                <w:b w:val="1"/>
                <w:bCs w:val="1"/>
                <w:color w:val="FFFFFF"/>
              </w:rPr>
              <w:t>Three Months Ended</w:t>
            </w:r>
          </w:p>
        </w:tc>
        <w:tc>
          <w:tcPr>
            <w:tcW w:w="140" w:type="dxa"/>
            <w:vAlign w:val="bottom"/>
            <w:shd w:val="clear" w:color="auto" w:fill="43C0B9"/>
          </w:tcPr>
          <w:p>
            <w:pPr>
              <w:spacing w:after="0"/>
              <w:rPr>
                <w:sz w:val="17"/>
                <w:szCs w:val="17"/>
                <w:color w:val="auto"/>
              </w:rPr>
            </w:pPr>
          </w:p>
        </w:tc>
        <w:tc>
          <w:tcPr>
            <w:tcW w:w="1360" w:type="dxa"/>
            <w:vAlign w:val="bottom"/>
            <w:shd w:val="clear" w:color="auto" w:fill="43C0B9"/>
          </w:tcPr>
          <w:p>
            <w:pPr>
              <w:spacing w:after="0"/>
              <w:rPr>
                <w:sz w:val="17"/>
                <w:szCs w:val="17"/>
                <w:color w:val="auto"/>
              </w:rPr>
            </w:pPr>
          </w:p>
        </w:tc>
        <w:tc>
          <w:tcPr>
            <w:tcW w:w="220" w:type="dxa"/>
            <w:vAlign w:val="bottom"/>
            <w:shd w:val="clear" w:color="auto" w:fill="43C0B9"/>
          </w:tcPr>
          <w:p>
            <w:pPr>
              <w:spacing w:after="0"/>
              <w:rPr>
                <w:sz w:val="17"/>
                <w:szCs w:val="17"/>
                <w:color w:val="auto"/>
              </w:rPr>
            </w:pPr>
          </w:p>
        </w:tc>
        <w:tc>
          <w:tcPr>
            <w:tcW w:w="1280" w:type="dxa"/>
            <w:vAlign w:val="bottom"/>
            <w:shd w:val="clear" w:color="auto" w:fill="43C0B9"/>
          </w:tcPr>
          <w:p>
            <w:pPr>
              <w:spacing w:after="0"/>
              <w:rPr>
                <w:sz w:val="17"/>
                <w:szCs w:val="17"/>
                <w:color w:val="auto"/>
              </w:rPr>
            </w:pPr>
          </w:p>
        </w:tc>
        <w:tc>
          <w:tcPr>
            <w:tcW w:w="1420" w:type="dxa"/>
            <w:vAlign w:val="bottom"/>
            <w:gridSpan w:val="2"/>
            <w:shd w:val="clear" w:color="auto" w:fill="43C0B9"/>
          </w:tcPr>
          <w:p>
            <w:pPr>
              <w:jc w:val="right"/>
              <w:ind w:right="18"/>
              <w:spacing w:after="0"/>
              <w:rPr>
                <w:sz w:val="20"/>
                <w:szCs w:val="20"/>
                <w:color w:val="auto"/>
              </w:rPr>
            </w:pPr>
            <w:r>
              <w:rPr>
                <w:rFonts w:ascii="Arial" w:cs="Arial" w:eastAsia="Arial" w:hAnsi="Arial"/>
                <w:sz w:val="12"/>
                <w:szCs w:val="12"/>
                <w:b w:val="1"/>
                <w:bCs w:val="1"/>
                <w:color w:val="FFFFFF"/>
              </w:rPr>
              <w:t>Three Months Ended</w:t>
            </w:r>
          </w:p>
        </w:tc>
        <w:tc>
          <w:tcPr>
            <w:tcW w:w="160" w:type="dxa"/>
            <w:vAlign w:val="bottom"/>
            <w:shd w:val="clear" w:color="auto" w:fill="43C0B9"/>
          </w:tcPr>
          <w:p>
            <w:pPr>
              <w:spacing w:after="0"/>
              <w:rPr>
                <w:sz w:val="17"/>
                <w:szCs w:val="17"/>
                <w:color w:val="auto"/>
              </w:rPr>
            </w:pPr>
          </w:p>
        </w:tc>
        <w:tc>
          <w:tcPr>
            <w:tcW w:w="1220" w:type="dxa"/>
            <w:vAlign w:val="bottom"/>
            <w:shd w:val="clear" w:color="auto" w:fill="43C0B9"/>
          </w:tcPr>
          <w:p>
            <w:pPr>
              <w:spacing w:after="0"/>
              <w:rPr>
                <w:sz w:val="17"/>
                <w:szCs w:val="17"/>
                <w:color w:val="auto"/>
              </w:rPr>
            </w:pPr>
          </w:p>
        </w:tc>
      </w:tr>
      <w:tr>
        <w:trPr>
          <w:trHeight w:val="163"/>
        </w:trPr>
        <w:tc>
          <w:tcPr>
            <w:tcW w:w="2640" w:type="dxa"/>
            <w:vAlign w:val="bottom"/>
            <w:shd w:val="clear" w:color="auto" w:fill="43C0B9"/>
          </w:tcPr>
          <w:p>
            <w:pPr>
              <w:spacing w:after="0"/>
              <w:rPr>
                <w:sz w:val="14"/>
                <w:szCs w:val="14"/>
                <w:color w:val="auto"/>
              </w:rPr>
            </w:pPr>
          </w:p>
        </w:tc>
        <w:tc>
          <w:tcPr>
            <w:tcW w:w="100" w:type="dxa"/>
            <w:vAlign w:val="bottom"/>
            <w:shd w:val="clear" w:color="auto" w:fill="43C0B9"/>
          </w:tcPr>
          <w:p>
            <w:pPr>
              <w:spacing w:after="0"/>
              <w:rPr>
                <w:sz w:val="14"/>
                <w:szCs w:val="14"/>
                <w:color w:val="auto"/>
              </w:rPr>
            </w:pPr>
          </w:p>
        </w:tc>
        <w:tc>
          <w:tcPr>
            <w:tcW w:w="1280" w:type="dxa"/>
            <w:vAlign w:val="bottom"/>
            <w:shd w:val="clear" w:color="auto" w:fill="43C0B9"/>
          </w:tcPr>
          <w:p>
            <w:pPr>
              <w:spacing w:after="0"/>
              <w:rPr>
                <w:sz w:val="14"/>
                <w:szCs w:val="14"/>
                <w:color w:val="auto"/>
              </w:rPr>
            </w:pPr>
          </w:p>
        </w:tc>
        <w:tc>
          <w:tcPr>
            <w:tcW w:w="160" w:type="dxa"/>
            <w:vAlign w:val="bottom"/>
            <w:shd w:val="clear" w:color="auto" w:fill="43C0B9"/>
          </w:tcPr>
          <w:p>
            <w:pPr>
              <w:spacing w:after="0"/>
              <w:rPr>
                <w:sz w:val="14"/>
                <w:szCs w:val="14"/>
                <w:color w:val="auto"/>
              </w:rPr>
            </w:pPr>
          </w:p>
        </w:tc>
        <w:tc>
          <w:tcPr>
            <w:tcW w:w="1260" w:type="dxa"/>
            <w:vAlign w:val="bottom"/>
            <w:shd w:val="clear" w:color="auto" w:fill="43C0B9"/>
          </w:tcPr>
          <w:p>
            <w:pPr>
              <w:jc w:val="right"/>
              <w:ind w:right="138"/>
              <w:spacing w:after="0"/>
              <w:rPr>
                <w:sz w:val="20"/>
                <w:szCs w:val="20"/>
                <w:color w:val="auto"/>
              </w:rPr>
            </w:pPr>
            <w:r>
              <w:rPr>
                <w:rFonts w:ascii="Arial" w:cs="Arial" w:eastAsia="Arial" w:hAnsi="Arial"/>
                <w:sz w:val="12"/>
                <w:szCs w:val="12"/>
                <w:b w:val="1"/>
                <w:bCs w:val="1"/>
                <w:color w:val="FFFFFF"/>
              </w:rPr>
              <w:t>January 31, 2022</w:t>
            </w:r>
          </w:p>
        </w:tc>
        <w:tc>
          <w:tcPr>
            <w:tcW w:w="140" w:type="dxa"/>
            <w:vAlign w:val="bottom"/>
            <w:shd w:val="clear" w:color="auto" w:fill="43C0B9"/>
          </w:tcPr>
          <w:p>
            <w:pPr>
              <w:spacing w:after="0"/>
              <w:rPr>
                <w:sz w:val="14"/>
                <w:szCs w:val="14"/>
                <w:color w:val="auto"/>
              </w:rPr>
            </w:pPr>
          </w:p>
        </w:tc>
        <w:tc>
          <w:tcPr>
            <w:tcW w:w="1360" w:type="dxa"/>
            <w:vAlign w:val="bottom"/>
            <w:shd w:val="clear" w:color="auto" w:fill="43C0B9"/>
          </w:tcPr>
          <w:p>
            <w:pPr>
              <w:spacing w:after="0"/>
              <w:rPr>
                <w:sz w:val="14"/>
                <w:szCs w:val="14"/>
                <w:color w:val="auto"/>
              </w:rPr>
            </w:pPr>
          </w:p>
        </w:tc>
        <w:tc>
          <w:tcPr>
            <w:tcW w:w="220" w:type="dxa"/>
            <w:vAlign w:val="bottom"/>
            <w:shd w:val="clear" w:color="auto" w:fill="43C0B9"/>
          </w:tcPr>
          <w:p>
            <w:pPr>
              <w:spacing w:after="0"/>
              <w:rPr>
                <w:sz w:val="14"/>
                <w:szCs w:val="14"/>
                <w:color w:val="auto"/>
              </w:rPr>
            </w:pPr>
          </w:p>
        </w:tc>
        <w:tc>
          <w:tcPr>
            <w:tcW w:w="1280" w:type="dxa"/>
            <w:vAlign w:val="bottom"/>
            <w:shd w:val="clear" w:color="auto" w:fill="43C0B9"/>
          </w:tcPr>
          <w:p>
            <w:pPr>
              <w:spacing w:after="0"/>
              <w:rPr>
                <w:sz w:val="14"/>
                <w:szCs w:val="14"/>
                <w:color w:val="auto"/>
              </w:rPr>
            </w:pPr>
          </w:p>
        </w:tc>
        <w:tc>
          <w:tcPr>
            <w:tcW w:w="180" w:type="dxa"/>
            <w:vAlign w:val="bottom"/>
            <w:shd w:val="clear" w:color="auto" w:fill="43C0B9"/>
          </w:tcPr>
          <w:p>
            <w:pPr>
              <w:spacing w:after="0"/>
              <w:rPr>
                <w:sz w:val="14"/>
                <w:szCs w:val="14"/>
                <w:color w:val="auto"/>
              </w:rPr>
            </w:pPr>
          </w:p>
        </w:tc>
        <w:tc>
          <w:tcPr>
            <w:tcW w:w="1240" w:type="dxa"/>
            <w:vAlign w:val="bottom"/>
            <w:shd w:val="clear" w:color="auto" w:fill="43C0B9"/>
          </w:tcPr>
          <w:p>
            <w:pPr>
              <w:jc w:val="right"/>
              <w:ind w:right="138"/>
              <w:spacing w:after="0"/>
              <w:rPr>
                <w:sz w:val="20"/>
                <w:szCs w:val="20"/>
                <w:color w:val="auto"/>
              </w:rPr>
            </w:pPr>
            <w:r>
              <w:rPr>
                <w:rFonts w:ascii="Arial" w:cs="Arial" w:eastAsia="Arial" w:hAnsi="Arial"/>
                <w:sz w:val="12"/>
                <w:szCs w:val="12"/>
                <w:b w:val="1"/>
                <w:bCs w:val="1"/>
                <w:color w:val="FFFFFF"/>
              </w:rPr>
              <w:t>January 31, 2021</w:t>
            </w:r>
          </w:p>
        </w:tc>
        <w:tc>
          <w:tcPr>
            <w:tcW w:w="160" w:type="dxa"/>
            <w:vAlign w:val="bottom"/>
            <w:shd w:val="clear" w:color="auto" w:fill="43C0B9"/>
          </w:tcPr>
          <w:p>
            <w:pPr>
              <w:spacing w:after="0"/>
              <w:rPr>
                <w:sz w:val="14"/>
                <w:szCs w:val="14"/>
                <w:color w:val="auto"/>
              </w:rPr>
            </w:pPr>
          </w:p>
        </w:tc>
        <w:tc>
          <w:tcPr>
            <w:tcW w:w="1220" w:type="dxa"/>
            <w:vAlign w:val="bottom"/>
            <w:shd w:val="clear" w:color="auto" w:fill="43C0B9"/>
          </w:tcPr>
          <w:p>
            <w:pPr>
              <w:spacing w:after="0"/>
              <w:rPr>
                <w:sz w:val="14"/>
                <w:szCs w:val="14"/>
                <w:color w:val="auto"/>
              </w:rPr>
            </w:pPr>
          </w:p>
        </w:tc>
      </w:tr>
      <w:tr>
        <w:trPr>
          <w:trHeight w:val="225"/>
        </w:trPr>
        <w:tc>
          <w:tcPr>
            <w:tcW w:w="26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2"/>
                <w:szCs w:val="12"/>
                <w:b w:val="1"/>
                <w:bCs w:val="1"/>
                <w:color w:val="FFFFFF"/>
              </w:rPr>
              <w:t>(In millions)</w:t>
            </w:r>
          </w:p>
        </w:tc>
        <w:tc>
          <w:tcPr>
            <w:tcW w:w="100" w:type="dxa"/>
            <w:vAlign w:val="bottom"/>
            <w:tcBorders>
              <w:bottom w:val="single" w:sz="8" w:color="43C0B9"/>
            </w:tcBorders>
            <w:shd w:val="clear" w:color="auto" w:fill="43C0B9"/>
          </w:tcPr>
          <w:p>
            <w:pPr>
              <w:spacing w:after="0"/>
              <w:rPr>
                <w:sz w:val="19"/>
                <w:szCs w:val="19"/>
                <w:color w:val="auto"/>
              </w:rPr>
            </w:pPr>
          </w:p>
        </w:tc>
        <w:tc>
          <w:tcPr>
            <w:tcW w:w="12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Net sales</w:t>
            </w:r>
          </w:p>
        </w:tc>
        <w:tc>
          <w:tcPr>
            <w:tcW w:w="160" w:type="dxa"/>
            <w:vAlign w:val="bottom"/>
            <w:tcBorders>
              <w:bottom w:val="single" w:sz="8" w:color="43C0B9"/>
            </w:tcBorders>
            <w:shd w:val="clear" w:color="auto" w:fill="43C0B9"/>
          </w:tcPr>
          <w:p>
            <w:pPr>
              <w:spacing w:after="0"/>
              <w:rPr>
                <w:sz w:val="19"/>
                <w:szCs w:val="19"/>
                <w:color w:val="auto"/>
              </w:rPr>
            </w:pPr>
          </w:p>
        </w:tc>
        <w:tc>
          <w:tcPr>
            <w:tcW w:w="12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Cost of sales</w:t>
            </w:r>
          </w:p>
        </w:tc>
        <w:tc>
          <w:tcPr>
            <w:tcW w:w="140" w:type="dxa"/>
            <w:vAlign w:val="bottom"/>
            <w:tcBorders>
              <w:bottom w:val="single" w:sz="8" w:color="43C0B9"/>
            </w:tcBorders>
            <w:shd w:val="clear" w:color="auto" w:fill="43C0B9"/>
          </w:tcPr>
          <w:p>
            <w:pPr>
              <w:spacing w:after="0"/>
              <w:rPr>
                <w:sz w:val="19"/>
                <w:szCs w:val="19"/>
                <w:color w:val="auto"/>
              </w:rPr>
            </w:pPr>
          </w:p>
        </w:tc>
        <w:tc>
          <w:tcPr>
            <w:tcW w:w="1360" w:type="dxa"/>
            <w:vAlign w:val="bottom"/>
            <w:tcBorders>
              <w:bottom w:val="single" w:sz="8" w:color="43C0B9"/>
            </w:tcBorders>
            <w:shd w:val="clear" w:color="auto" w:fill="43C0B9"/>
          </w:tcPr>
          <w:p>
            <w:pPr>
              <w:jc w:val="right"/>
              <w:ind w:right="78"/>
              <w:spacing w:after="0"/>
              <w:rPr>
                <w:sz w:val="20"/>
                <w:szCs w:val="20"/>
                <w:color w:val="auto"/>
              </w:rPr>
            </w:pPr>
            <w:r>
              <w:rPr>
                <w:rFonts w:ascii="Arial" w:cs="Arial" w:eastAsia="Arial" w:hAnsi="Arial"/>
                <w:sz w:val="12"/>
                <w:szCs w:val="12"/>
                <w:b w:val="1"/>
                <w:bCs w:val="1"/>
                <w:color w:val="FFFFFF"/>
              </w:rPr>
              <w:t>Other income</w:t>
            </w:r>
          </w:p>
        </w:tc>
        <w:tc>
          <w:tcPr>
            <w:tcW w:w="220" w:type="dxa"/>
            <w:vAlign w:val="bottom"/>
            <w:tcBorders>
              <w:bottom w:val="single" w:sz="8" w:color="43C0B9"/>
            </w:tcBorders>
            <w:shd w:val="clear" w:color="auto" w:fill="43C0B9"/>
          </w:tcPr>
          <w:p>
            <w:pPr>
              <w:spacing w:after="0"/>
              <w:rPr>
                <w:sz w:val="19"/>
                <w:szCs w:val="19"/>
                <w:color w:val="auto"/>
              </w:rPr>
            </w:pPr>
          </w:p>
        </w:tc>
        <w:tc>
          <w:tcPr>
            <w:tcW w:w="12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Net sales</w:t>
            </w:r>
          </w:p>
        </w:tc>
        <w:tc>
          <w:tcPr>
            <w:tcW w:w="180" w:type="dxa"/>
            <w:vAlign w:val="bottom"/>
            <w:tcBorders>
              <w:bottom w:val="single" w:sz="8" w:color="43C0B9"/>
            </w:tcBorders>
            <w:shd w:val="clear" w:color="auto" w:fill="43C0B9"/>
          </w:tcPr>
          <w:p>
            <w:pPr>
              <w:spacing w:after="0"/>
              <w:rPr>
                <w:sz w:val="19"/>
                <w:szCs w:val="19"/>
                <w:color w:val="auto"/>
              </w:rPr>
            </w:pPr>
          </w:p>
        </w:tc>
        <w:tc>
          <w:tcPr>
            <w:tcW w:w="12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Cost of sales</w:t>
            </w:r>
          </w:p>
        </w:tc>
        <w:tc>
          <w:tcPr>
            <w:tcW w:w="160" w:type="dxa"/>
            <w:vAlign w:val="bottom"/>
            <w:tcBorders>
              <w:bottom w:val="single" w:sz="8" w:color="43C0B9"/>
            </w:tcBorders>
            <w:shd w:val="clear" w:color="auto" w:fill="43C0B9"/>
          </w:tcPr>
          <w:p>
            <w:pPr>
              <w:spacing w:after="0"/>
              <w:rPr>
                <w:sz w:val="19"/>
                <w:szCs w:val="19"/>
                <w:color w:val="auto"/>
              </w:rPr>
            </w:pPr>
          </w:p>
        </w:tc>
        <w:tc>
          <w:tcPr>
            <w:tcW w:w="12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2"/>
                <w:szCs w:val="12"/>
                <w:b w:val="1"/>
                <w:bCs w:val="1"/>
                <w:color w:val="FFFFFF"/>
              </w:rPr>
              <w:t>Other income</w:t>
            </w:r>
          </w:p>
        </w:tc>
      </w:tr>
      <w:tr>
        <w:trPr>
          <w:trHeight w:val="181"/>
        </w:trPr>
        <w:tc>
          <w:tcPr>
            <w:tcW w:w="2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1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spacing w:after="0"/>
              <w:rPr>
                <w:sz w:val="15"/>
                <w:szCs w:val="15"/>
                <w:color w:val="auto"/>
              </w:rPr>
            </w:pPr>
          </w:p>
        </w:tc>
      </w:tr>
      <w:tr>
        <w:trPr>
          <w:trHeight w:val="170"/>
        </w:trPr>
        <w:tc>
          <w:tcPr>
            <w:tcW w:w="2640" w:type="dxa"/>
            <w:vAlign w:val="bottom"/>
          </w:tcPr>
          <w:p>
            <w:pPr>
              <w:ind w:left="140"/>
              <w:spacing w:after="0"/>
              <w:rPr>
                <w:sz w:val="20"/>
                <w:szCs w:val="20"/>
                <w:color w:val="auto"/>
              </w:rPr>
            </w:pPr>
            <w:r>
              <w:rPr>
                <w:rFonts w:ascii="Arial" w:cs="Arial" w:eastAsia="Arial" w:hAnsi="Arial"/>
                <w:sz w:val="12"/>
                <w:szCs w:val="12"/>
                <w:color w:val="auto"/>
              </w:rPr>
              <w:t>Henry Avocado</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0.2</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31"/>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1"/>
        </w:trPr>
        <w:tc>
          <w:tcPr>
            <w:tcW w:w="26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Mr. Avocado</w:t>
            </w:r>
          </w:p>
        </w:tc>
        <w:tc>
          <w:tcPr>
            <w:tcW w:w="1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0.4</w:t>
            </w:r>
          </w:p>
        </w:tc>
        <w:tc>
          <w:tcPr>
            <w:tcW w:w="1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18"/>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1.1</w:t>
            </w:r>
          </w:p>
        </w:tc>
        <w:tc>
          <w:tcPr>
            <w:tcW w:w="1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201"/>
        </w:trPr>
        <w:tc>
          <w:tcPr>
            <w:tcW w:w="2640" w:type="dxa"/>
            <w:vAlign w:val="bottom"/>
          </w:tcPr>
          <w:p>
            <w:pPr>
              <w:ind w:left="140"/>
              <w:spacing w:after="0"/>
              <w:rPr>
                <w:sz w:val="20"/>
                <w:szCs w:val="20"/>
                <w:color w:val="auto"/>
              </w:rPr>
            </w:pPr>
            <w:r>
              <w:rPr>
                <w:rFonts w:ascii="Arial" w:cs="Arial" w:eastAsia="Arial" w:hAnsi="Arial"/>
                <w:sz w:val="12"/>
                <w:szCs w:val="12"/>
                <w:color w:val="auto"/>
              </w:rPr>
              <w:t>Moruga</w:t>
            </w:r>
            <w:r>
              <w:rPr>
                <w:rFonts w:ascii="Arial" w:cs="Arial" w:eastAsia="Arial" w:hAnsi="Arial"/>
                <w:sz w:val="16"/>
                <w:szCs w:val="16"/>
                <w:color w:val="auto"/>
                <w:vertAlign w:val="superscript"/>
              </w:rPr>
              <w:t>(1)</w:t>
            </w:r>
          </w:p>
        </w:tc>
        <w:tc>
          <w:tcPr>
            <w:tcW w:w="10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3.4</w:t>
            </w:r>
          </w:p>
        </w:tc>
        <w:tc>
          <w:tcPr>
            <w:tcW w:w="160" w:type="dxa"/>
            <w:vAlign w:val="bottom"/>
          </w:tcPr>
          <w:p>
            <w:pPr>
              <w:spacing w:after="0"/>
              <w:rPr>
                <w:sz w:val="17"/>
                <w:szCs w:val="17"/>
                <w:color w:val="auto"/>
              </w:rPr>
            </w:pP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1360" w:type="dxa"/>
            <w:vAlign w:val="bottom"/>
          </w:tcPr>
          <w:p>
            <w:pPr>
              <w:jc w:val="right"/>
              <w:ind w:right="118"/>
              <w:spacing w:after="0"/>
              <w:rPr>
                <w:sz w:val="20"/>
                <w:szCs w:val="20"/>
                <w:color w:val="auto"/>
              </w:rPr>
            </w:pPr>
            <w:r>
              <w:rPr>
                <w:rFonts w:ascii="Arial" w:cs="Arial" w:eastAsia="Arial" w:hAnsi="Arial"/>
                <w:sz w:val="12"/>
                <w:szCs w:val="12"/>
                <w:color w:val="auto"/>
              </w:rPr>
              <w:t>0.4</w:t>
            </w:r>
          </w:p>
        </w:tc>
        <w:tc>
          <w:tcPr>
            <w:tcW w:w="22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2.5</w:t>
            </w:r>
          </w:p>
        </w:tc>
        <w:tc>
          <w:tcPr>
            <w:tcW w:w="180" w:type="dxa"/>
            <w:vAlign w:val="bottom"/>
          </w:tcPr>
          <w:p>
            <w:pPr>
              <w:spacing w:after="0"/>
              <w:rPr>
                <w:sz w:val="17"/>
                <w:szCs w:val="17"/>
                <w:color w:val="auto"/>
              </w:rPr>
            </w:pP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2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Other:</w:t>
            </w:r>
          </w:p>
        </w:tc>
        <w:tc>
          <w:tcPr>
            <w:tcW w:w="1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4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spacing w:after="0"/>
              <w:rPr>
                <w:sz w:val="15"/>
                <w:szCs w:val="15"/>
                <w:color w:val="auto"/>
              </w:rPr>
            </w:pPr>
          </w:p>
        </w:tc>
      </w:tr>
      <w:tr>
        <w:trPr>
          <w:trHeight w:val="201"/>
        </w:trPr>
        <w:tc>
          <w:tcPr>
            <w:tcW w:w="2640" w:type="dxa"/>
            <w:vAlign w:val="bottom"/>
          </w:tcPr>
          <w:p>
            <w:pPr>
              <w:ind w:left="14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6"/>
                <w:szCs w:val="16"/>
                <w:color w:val="auto"/>
                <w:vertAlign w:val="superscript"/>
              </w:rPr>
              <w:t>(3)</w:t>
            </w:r>
          </w:p>
        </w:tc>
        <w:tc>
          <w:tcPr>
            <w:tcW w:w="10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0.4</w:t>
            </w:r>
          </w:p>
        </w:tc>
        <w:tc>
          <w:tcPr>
            <w:tcW w:w="160" w:type="dxa"/>
            <w:vAlign w:val="bottom"/>
          </w:tcPr>
          <w:p>
            <w:pPr>
              <w:spacing w:after="0"/>
              <w:rPr>
                <w:sz w:val="17"/>
                <w:szCs w:val="17"/>
                <w:color w:val="auto"/>
              </w:rPr>
            </w:pP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7"/>
                <w:szCs w:val="17"/>
                <w:color w:val="auto"/>
              </w:rPr>
            </w:pPr>
          </w:p>
        </w:tc>
        <w:tc>
          <w:tcPr>
            <w:tcW w:w="1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0.6</w:t>
            </w:r>
          </w:p>
        </w:tc>
        <w:tc>
          <w:tcPr>
            <w:tcW w:w="180" w:type="dxa"/>
            <w:vAlign w:val="bottom"/>
          </w:tcPr>
          <w:p>
            <w:pPr>
              <w:spacing w:after="0"/>
              <w:rPr>
                <w:sz w:val="17"/>
                <w:szCs w:val="17"/>
                <w:color w:val="auto"/>
              </w:rPr>
            </w:pP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1"/>
        </w:trPr>
        <w:tc>
          <w:tcPr>
            <w:tcW w:w="26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2"/>
                <w:szCs w:val="12"/>
                <w:color w:val="auto"/>
              </w:rPr>
              <w:t>Employees</w:t>
            </w:r>
            <w:r>
              <w:rPr>
                <w:rFonts w:ascii="Arial" w:cs="Arial" w:eastAsia="Arial" w:hAnsi="Arial"/>
                <w:sz w:val="16"/>
                <w:szCs w:val="16"/>
                <w:color w:val="auto"/>
                <w:vertAlign w:val="superscript"/>
              </w:rPr>
              <w:t>(4)</w:t>
            </w:r>
          </w:p>
        </w:tc>
        <w:tc>
          <w:tcPr>
            <w:tcW w:w="1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2"/>
                <w:szCs w:val="12"/>
                <w:color w:val="auto"/>
              </w:rPr>
              <w:t>1.7</w:t>
            </w:r>
          </w:p>
        </w:tc>
        <w:tc>
          <w:tcPr>
            <w:tcW w:w="14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118"/>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2"/>
                <w:szCs w:val="12"/>
                <w:color w:val="auto"/>
              </w:rPr>
              <w:t>3.0</w:t>
            </w:r>
          </w:p>
        </w:tc>
        <w:tc>
          <w:tcPr>
            <w:tcW w:w="1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-2649220</wp:posOffset>
            </wp:positionV>
            <wp:extent cx="5460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-2785110</wp:posOffset>
            </wp:positionV>
            <wp:extent cx="5460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-1035685</wp:posOffset>
            </wp:positionV>
            <wp:extent cx="54521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-1264920</wp:posOffset>
            </wp:positionV>
            <wp:extent cx="54521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3" w:lineRule="exact"/>
        <w:rPr>
          <w:sz w:val="20"/>
          <w:szCs w:val="20"/>
          <w:color w:val="auto"/>
        </w:rPr>
      </w:pPr>
    </w:p>
    <w:p>
      <w:pPr>
        <w:ind w:left="180" w:hanging="173"/>
        <w:spacing w:after="0"/>
        <w:tabs>
          <w:tab w:leader="none" w:pos="18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The Company has provided loans to Moruga Inc. S.A.C. to support growth and expansion projects, bearing interest at 6.5%, due December 31, 2022. We also lease owned land to Moruga.</w:t>
      </w:r>
    </w:p>
    <w:p>
      <w:pPr>
        <w:spacing w:after="0" w:line="51" w:lineRule="exact"/>
        <w:rPr>
          <w:rFonts w:ascii="Arial" w:cs="Arial" w:eastAsia="Arial" w:hAnsi="Arial"/>
          <w:sz w:val="16"/>
          <w:szCs w:val="16"/>
          <w:color w:val="auto"/>
          <w:vertAlign w:val="superscript"/>
        </w:rPr>
      </w:pPr>
    </w:p>
    <w:p>
      <w:pPr>
        <w:ind w:left="160" w:right="180" w:hanging="153"/>
        <w:spacing w:after="0" w:line="220" w:lineRule="auto"/>
        <w:tabs>
          <w:tab w:leader="none" w:pos="165"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The Company has provided loans to Copaltas to support growth and expansion projects, bearing interest at 6.66%. The notes outstanding as of January 31, 2022 have an amended due date of April 30, 2022.</w:t>
      </w:r>
    </w:p>
    <w:p>
      <w:pPr>
        <w:spacing w:after="0" w:line="52" w:lineRule="exact"/>
        <w:rPr>
          <w:rFonts w:ascii="Arial" w:cs="Arial" w:eastAsia="Arial" w:hAnsi="Arial"/>
          <w:sz w:val="16"/>
          <w:szCs w:val="16"/>
          <w:color w:val="auto"/>
          <w:vertAlign w:val="superscript"/>
        </w:rPr>
      </w:pPr>
    </w:p>
    <w:p>
      <w:pPr>
        <w:ind w:left="160" w:right="20" w:hanging="153"/>
        <w:spacing w:after="0" w:line="220" w:lineRule="auto"/>
        <w:tabs>
          <w:tab w:leader="none" w:pos="165"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The Company purchases from and sells avocados to a small number of entities having full or partial ownership by some of our directors/officers. These transactions are made under substantially similar terms as with other growers and customers. The Company entered into a consulting agreement with a director in 2018 to provide consulting and advice on current</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43C0B9"/>
        </w:rPr>
        <w:t>MISSION PRODUCE,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right="60"/>
        <w:spacing w:after="0" w:line="274" w:lineRule="auto"/>
        <w:rPr>
          <w:sz w:val="20"/>
          <w:szCs w:val="20"/>
          <w:color w:val="auto"/>
        </w:rPr>
      </w:pPr>
      <w:r>
        <w:rPr>
          <w:rFonts w:ascii="Arial" w:cs="Arial" w:eastAsia="Arial" w:hAnsi="Arial"/>
          <w:sz w:val="12"/>
          <w:szCs w:val="12"/>
          <w:color w:val="auto"/>
        </w:rPr>
        <w:t>business operations, as well as to analyze opportunities for fresh avocado farming and packing facilities in South and Central America, which was terminated in June 2021. Fees earned by this director for the three months ended January 31, 2021 were less than $100,000.</w:t>
      </w:r>
    </w:p>
    <w:p>
      <w:pPr>
        <w:spacing w:after="0" w:line="33" w:lineRule="exact"/>
        <w:rPr>
          <w:sz w:val="20"/>
          <w:szCs w:val="20"/>
          <w:color w:val="auto"/>
        </w:rPr>
      </w:pPr>
    </w:p>
    <w:p>
      <w:pPr>
        <w:ind w:left="160" w:right="180" w:hanging="153"/>
        <w:spacing w:after="0" w:line="220" w:lineRule="auto"/>
        <w:tabs>
          <w:tab w:leader="none" w:pos="165"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Company utilizes a transportation vendor in Mexico owned by key management employees under similar terms as other transportation vendors. The Company purchases avocados from a small number of entities having full or partial ownership by some employees. These transactions are made under substantially similar terms as with other growers.</w:t>
      </w:r>
    </w:p>
    <w:p>
      <w:pPr>
        <w:spacing w:after="0" w:line="191" w:lineRule="exact"/>
        <w:rPr>
          <w:sz w:val="20"/>
          <w:szCs w:val="20"/>
          <w:color w:val="auto"/>
        </w:rPr>
      </w:pPr>
    </w:p>
    <w:p>
      <w:pPr>
        <w:ind w:left="560" w:hanging="553"/>
        <w:spacing w:after="0"/>
        <w:tabs>
          <w:tab w:leader="none" w:pos="5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Segment Information</w:t>
      </w:r>
    </w:p>
    <w:p>
      <w:pPr>
        <w:spacing w:after="0" w:line="241" w:lineRule="exact"/>
        <w:rPr>
          <w:sz w:val="20"/>
          <w:szCs w:val="20"/>
          <w:color w:val="auto"/>
        </w:rPr>
      </w:pPr>
    </w:p>
    <w:p>
      <w:pPr>
        <w:ind w:right="40" w:firstLine="642"/>
        <w:spacing w:after="0" w:line="246" w:lineRule="auto"/>
        <w:rPr>
          <w:sz w:val="20"/>
          <w:szCs w:val="20"/>
          <w:color w:val="auto"/>
        </w:rPr>
      </w:pPr>
      <w:r>
        <w:rPr>
          <w:rFonts w:ascii="Arial" w:cs="Arial" w:eastAsia="Arial" w:hAnsi="Arial"/>
          <w:sz w:val="16"/>
          <w:szCs w:val="16"/>
          <w:color w:val="auto"/>
        </w:rPr>
        <w:t>We have two operating segments which are also reporting segments. Our reporting segments are presented based on how information is used by our CEO, who is the chief operating decision maker, to measure performance and allocate resources. These reporting segments are Marketing and Distribution and International Farming. Our Marketing and Distribution reporting segment sources fruit from growers and then distributes the fruit through our global distribution network. Our International Farming segment owns and operates orchards from which substantially all fruit produced is sold to our Marketing and Distribution segment. The International Farming segment’s farming activities range from cultivating early-stage plantings to harvesting from mature trees, and it also earns service revenues for packing and processing for producers of other crops during the avocado off-harvest season. The International Farming segment is principally located in Peru, with smaller operations emerging in other areas of Latin America.</w:t>
      </w:r>
    </w:p>
    <w:p>
      <w:pPr>
        <w:spacing w:after="0" w:line="205" w:lineRule="exact"/>
        <w:rPr>
          <w:sz w:val="20"/>
          <w:szCs w:val="20"/>
          <w:color w:val="auto"/>
        </w:rPr>
      </w:pPr>
    </w:p>
    <w:p>
      <w:pPr>
        <w:ind w:right="80" w:firstLine="642"/>
        <w:spacing w:after="0" w:line="248" w:lineRule="auto"/>
        <w:rPr>
          <w:sz w:val="20"/>
          <w:szCs w:val="20"/>
          <w:color w:val="auto"/>
        </w:rPr>
      </w:pPr>
      <w:r>
        <w:rPr>
          <w:rFonts w:ascii="Arial" w:cs="Arial" w:eastAsia="Arial" w:hAnsi="Arial"/>
          <w:sz w:val="16"/>
          <w:szCs w:val="16"/>
          <w:color w:val="auto"/>
        </w:rPr>
        <w:t>The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202" w:lineRule="exact"/>
        <w:rPr>
          <w:sz w:val="20"/>
          <w:szCs w:val="20"/>
          <w:color w:val="auto"/>
        </w:rPr>
      </w:pPr>
    </w:p>
    <w:p>
      <w:pPr>
        <w:ind w:right="100" w:firstLine="642"/>
        <w:spacing w:after="0" w:line="247" w:lineRule="auto"/>
        <w:rPr>
          <w:sz w:val="20"/>
          <w:szCs w:val="20"/>
          <w:color w:val="auto"/>
        </w:rPr>
      </w:pPr>
      <w:r>
        <w:rPr>
          <w:rFonts w:ascii="Arial" w:cs="Arial" w:eastAsia="Arial" w:hAnsi="Arial"/>
          <w:sz w:val="16"/>
          <w:szCs w:val="16"/>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noncapitalizable ERP implementation costs, transaction costs, and any special, non-recurring, or one-time items such as impairments that are excluded from the results the CEO reviews uses to assess segment performance and results.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 from each of our reportable segments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shd w:val="clear" w:color="auto" w:fill="43C0B9"/>
          </w:tcPr>
          <w:p>
            <w:pPr>
              <w:spacing w:after="0"/>
              <w:rPr>
                <w:sz w:val="15"/>
                <w:szCs w:val="15"/>
                <w:color w:val="auto"/>
              </w:rPr>
            </w:pPr>
          </w:p>
        </w:tc>
        <w:tc>
          <w:tcPr>
            <w:tcW w:w="140" w:type="dxa"/>
            <w:vAlign w:val="bottom"/>
            <w:shd w:val="clear" w:color="auto" w:fill="43C0B9"/>
          </w:tcPr>
          <w:p>
            <w:pPr>
              <w:spacing w:after="0"/>
              <w:rPr>
                <w:sz w:val="15"/>
                <w:szCs w:val="15"/>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Marketing and</w:t>
            </w:r>
          </w:p>
        </w:tc>
        <w:tc>
          <w:tcPr>
            <w:tcW w:w="200" w:type="dxa"/>
            <w:vAlign w:val="bottom"/>
            <w:shd w:val="clear" w:color="auto" w:fill="43C0B9"/>
          </w:tcPr>
          <w:p>
            <w:pPr>
              <w:spacing w:after="0"/>
              <w:rPr>
                <w:sz w:val="15"/>
                <w:szCs w:val="15"/>
                <w:color w:val="auto"/>
              </w:rPr>
            </w:pPr>
          </w:p>
        </w:tc>
        <w:tc>
          <w:tcPr>
            <w:tcW w:w="100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International</w:t>
            </w:r>
          </w:p>
        </w:tc>
        <w:tc>
          <w:tcPr>
            <w:tcW w:w="360" w:type="dxa"/>
            <w:vAlign w:val="bottom"/>
            <w:shd w:val="clear" w:color="auto" w:fill="43C0B9"/>
          </w:tcPr>
          <w:p>
            <w:pPr>
              <w:spacing w:after="0"/>
              <w:rPr>
                <w:sz w:val="15"/>
                <w:szCs w:val="15"/>
                <w:color w:val="auto"/>
              </w:rPr>
            </w:pPr>
          </w:p>
        </w:tc>
        <w:tc>
          <w:tcPr>
            <w:tcW w:w="960" w:type="dxa"/>
            <w:vAlign w:val="bottom"/>
            <w:shd w:val="clear" w:color="auto" w:fill="43C0B9"/>
          </w:tcPr>
          <w:p>
            <w:pPr>
              <w:spacing w:after="0"/>
              <w:rPr>
                <w:sz w:val="15"/>
                <w:szCs w:val="15"/>
                <w:color w:val="auto"/>
              </w:rPr>
            </w:pPr>
          </w:p>
        </w:tc>
        <w:tc>
          <w:tcPr>
            <w:tcW w:w="280" w:type="dxa"/>
            <w:vAlign w:val="bottom"/>
            <w:shd w:val="clear" w:color="auto" w:fill="43C0B9"/>
          </w:tcPr>
          <w:p>
            <w:pPr>
              <w:spacing w:after="0"/>
              <w:rPr>
                <w:sz w:val="15"/>
                <w:szCs w:val="15"/>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Marketing and</w:t>
            </w:r>
          </w:p>
        </w:tc>
        <w:tc>
          <w:tcPr>
            <w:tcW w:w="200" w:type="dxa"/>
            <w:vAlign w:val="bottom"/>
            <w:shd w:val="clear" w:color="auto" w:fill="43C0B9"/>
          </w:tcPr>
          <w:p>
            <w:pPr>
              <w:spacing w:after="0"/>
              <w:rPr>
                <w:sz w:val="15"/>
                <w:szCs w:val="15"/>
                <w:color w:val="auto"/>
              </w:rPr>
            </w:pPr>
          </w:p>
        </w:tc>
        <w:tc>
          <w:tcPr>
            <w:tcW w:w="100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International</w:t>
            </w:r>
          </w:p>
        </w:tc>
        <w:tc>
          <w:tcPr>
            <w:tcW w:w="420" w:type="dxa"/>
            <w:vAlign w:val="bottom"/>
            <w:shd w:val="clear" w:color="auto" w:fill="43C0B9"/>
          </w:tcPr>
          <w:p>
            <w:pPr>
              <w:spacing w:after="0"/>
              <w:rPr>
                <w:sz w:val="15"/>
                <w:szCs w:val="15"/>
                <w:color w:val="auto"/>
              </w:rPr>
            </w:pPr>
          </w:p>
        </w:tc>
        <w:tc>
          <w:tcPr>
            <w:tcW w:w="760" w:type="dxa"/>
            <w:vAlign w:val="bottom"/>
            <w:shd w:val="clear" w:color="auto" w:fill="43C0B9"/>
          </w:tcPr>
          <w:p>
            <w:pPr>
              <w:spacing w:after="0"/>
              <w:rPr>
                <w:sz w:val="15"/>
                <w:szCs w:val="15"/>
                <w:color w:val="auto"/>
              </w:rPr>
            </w:pPr>
          </w:p>
        </w:tc>
      </w:tr>
      <w:tr>
        <w:trPr>
          <w:trHeight w:val="189"/>
        </w:trPr>
        <w:tc>
          <w:tcPr>
            <w:tcW w:w="384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Distribution</w:t>
            </w:r>
          </w:p>
        </w:tc>
        <w:tc>
          <w:tcPr>
            <w:tcW w:w="200" w:type="dxa"/>
            <w:vAlign w:val="bottom"/>
            <w:shd w:val="clear" w:color="auto" w:fill="43C0B9"/>
          </w:tcPr>
          <w:p>
            <w:pPr>
              <w:spacing w:after="0"/>
              <w:rPr>
                <w:sz w:val="16"/>
                <w:szCs w:val="16"/>
                <w:color w:val="auto"/>
              </w:rPr>
            </w:pPr>
          </w:p>
        </w:tc>
        <w:tc>
          <w:tcPr>
            <w:tcW w:w="100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Farming</w:t>
            </w:r>
          </w:p>
        </w:tc>
        <w:tc>
          <w:tcPr>
            <w:tcW w:w="360" w:type="dxa"/>
            <w:vAlign w:val="bottom"/>
            <w:shd w:val="clear" w:color="auto" w:fill="43C0B9"/>
          </w:tcPr>
          <w:p>
            <w:pPr>
              <w:spacing w:after="0"/>
              <w:rPr>
                <w:sz w:val="16"/>
                <w:szCs w:val="16"/>
                <w:color w:val="auto"/>
              </w:rPr>
            </w:pPr>
          </w:p>
        </w:tc>
        <w:tc>
          <w:tcPr>
            <w:tcW w:w="960" w:type="dxa"/>
            <w:vAlign w:val="bottom"/>
            <w:shd w:val="clear" w:color="auto" w:fill="43C0B9"/>
          </w:tcPr>
          <w:p>
            <w:pPr>
              <w:jc w:val="right"/>
              <w:ind w:right="89"/>
              <w:spacing w:after="0"/>
              <w:rPr>
                <w:sz w:val="20"/>
                <w:szCs w:val="20"/>
                <w:color w:val="auto"/>
              </w:rPr>
            </w:pPr>
            <w:r>
              <w:rPr>
                <w:rFonts w:ascii="Arial" w:cs="Arial" w:eastAsia="Arial" w:hAnsi="Arial"/>
                <w:sz w:val="14"/>
                <w:szCs w:val="14"/>
                <w:b w:val="1"/>
                <w:bCs w:val="1"/>
                <w:color w:val="FFFFFF"/>
              </w:rPr>
              <w:t>Total</w:t>
            </w:r>
          </w:p>
        </w:tc>
        <w:tc>
          <w:tcPr>
            <w:tcW w:w="280" w:type="dxa"/>
            <w:vAlign w:val="bottom"/>
            <w:shd w:val="clear" w:color="auto" w:fill="43C0B9"/>
          </w:tcPr>
          <w:p>
            <w:pPr>
              <w:spacing w:after="0"/>
              <w:rPr>
                <w:sz w:val="16"/>
                <w:szCs w:val="16"/>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Distribution</w:t>
            </w:r>
          </w:p>
        </w:tc>
        <w:tc>
          <w:tcPr>
            <w:tcW w:w="200" w:type="dxa"/>
            <w:vAlign w:val="bottom"/>
            <w:shd w:val="clear" w:color="auto" w:fill="43C0B9"/>
          </w:tcPr>
          <w:p>
            <w:pPr>
              <w:spacing w:after="0"/>
              <w:rPr>
                <w:sz w:val="16"/>
                <w:szCs w:val="16"/>
                <w:color w:val="auto"/>
              </w:rPr>
            </w:pPr>
          </w:p>
        </w:tc>
        <w:tc>
          <w:tcPr>
            <w:tcW w:w="100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Farming</w:t>
            </w:r>
          </w:p>
        </w:tc>
        <w:tc>
          <w:tcPr>
            <w:tcW w:w="420" w:type="dxa"/>
            <w:vAlign w:val="bottom"/>
            <w:shd w:val="clear" w:color="auto" w:fill="43C0B9"/>
          </w:tcPr>
          <w:p>
            <w:pPr>
              <w:spacing w:after="0"/>
              <w:rPr>
                <w:sz w:val="16"/>
                <w:szCs w:val="16"/>
                <w:color w:val="auto"/>
              </w:rPr>
            </w:pPr>
          </w:p>
        </w:tc>
        <w:tc>
          <w:tcPr>
            <w:tcW w:w="7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199"/>
        </w:trPr>
        <w:tc>
          <w:tcPr>
            <w:tcW w:w="3840" w:type="dxa"/>
            <w:vAlign w:val="bottom"/>
            <w:shd w:val="clear" w:color="auto" w:fill="43C0B9"/>
          </w:tcPr>
          <w:p>
            <w:pPr>
              <w:spacing w:after="0"/>
              <w:rPr>
                <w:sz w:val="17"/>
                <w:szCs w:val="17"/>
                <w:color w:val="auto"/>
              </w:rPr>
            </w:pPr>
          </w:p>
        </w:tc>
        <w:tc>
          <w:tcPr>
            <w:tcW w:w="140" w:type="dxa"/>
            <w:vAlign w:val="bottom"/>
            <w:shd w:val="clear" w:color="auto" w:fill="43C0B9"/>
          </w:tcPr>
          <w:p>
            <w:pPr>
              <w:spacing w:after="0"/>
              <w:rPr>
                <w:sz w:val="17"/>
                <w:szCs w:val="17"/>
                <w:color w:val="auto"/>
              </w:rPr>
            </w:pPr>
          </w:p>
        </w:tc>
        <w:tc>
          <w:tcPr>
            <w:tcW w:w="1040" w:type="dxa"/>
            <w:vAlign w:val="bottom"/>
            <w:shd w:val="clear" w:color="auto" w:fill="43C0B9"/>
          </w:tcPr>
          <w:p>
            <w:pPr>
              <w:spacing w:after="0"/>
              <w:rPr>
                <w:sz w:val="17"/>
                <w:szCs w:val="17"/>
                <w:color w:val="auto"/>
              </w:rPr>
            </w:pPr>
          </w:p>
        </w:tc>
        <w:tc>
          <w:tcPr>
            <w:tcW w:w="200" w:type="dxa"/>
            <w:vAlign w:val="bottom"/>
            <w:shd w:val="clear" w:color="auto" w:fill="43C0B9"/>
          </w:tcPr>
          <w:p>
            <w:pPr>
              <w:spacing w:after="0"/>
              <w:rPr>
                <w:sz w:val="17"/>
                <w:szCs w:val="17"/>
                <w:color w:val="auto"/>
              </w:rPr>
            </w:pPr>
          </w:p>
        </w:tc>
        <w:tc>
          <w:tcPr>
            <w:tcW w:w="1000" w:type="dxa"/>
            <w:vAlign w:val="bottom"/>
            <w:shd w:val="clear" w:color="auto" w:fill="43C0B9"/>
          </w:tcPr>
          <w:p>
            <w:pPr>
              <w:spacing w:after="0"/>
              <w:rPr>
                <w:sz w:val="17"/>
                <w:szCs w:val="17"/>
                <w:color w:val="auto"/>
              </w:rPr>
            </w:pPr>
          </w:p>
        </w:tc>
        <w:tc>
          <w:tcPr>
            <w:tcW w:w="360" w:type="dxa"/>
            <w:vAlign w:val="bottom"/>
            <w:shd w:val="clear" w:color="auto" w:fill="43C0B9"/>
          </w:tcPr>
          <w:p>
            <w:pPr>
              <w:spacing w:after="0"/>
              <w:rPr>
                <w:sz w:val="17"/>
                <w:szCs w:val="17"/>
                <w:color w:val="auto"/>
              </w:rPr>
            </w:pPr>
          </w:p>
        </w:tc>
        <w:tc>
          <w:tcPr>
            <w:tcW w:w="2280" w:type="dxa"/>
            <w:vAlign w:val="bottom"/>
            <w:gridSpan w:val="3"/>
            <w:shd w:val="clear" w:color="auto" w:fill="43C0B9"/>
          </w:tcPr>
          <w:p>
            <w:pPr>
              <w:jc w:val="right"/>
              <w:ind w:right="549"/>
              <w:spacing w:after="0"/>
              <w:rPr>
                <w:sz w:val="20"/>
                <w:szCs w:val="20"/>
                <w:color w:val="auto"/>
              </w:rPr>
            </w:pPr>
            <w:r>
              <w:rPr>
                <w:rFonts w:ascii="Arial" w:cs="Arial" w:eastAsia="Arial" w:hAnsi="Arial"/>
                <w:sz w:val="14"/>
                <w:szCs w:val="14"/>
                <w:b w:val="1"/>
                <w:bCs w:val="1"/>
                <w:color w:val="FFFFFF"/>
              </w:rPr>
              <w:t>Three Months Ended</w:t>
            </w:r>
          </w:p>
        </w:tc>
        <w:tc>
          <w:tcPr>
            <w:tcW w:w="200" w:type="dxa"/>
            <w:vAlign w:val="bottom"/>
            <w:shd w:val="clear" w:color="auto" w:fill="43C0B9"/>
          </w:tcPr>
          <w:p>
            <w:pPr>
              <w:spacing w:after="0"/>
              <w:rPr>
                <w:sz w:val="17"/>
                <w:szCs w:val="17"/>
                <w:color w:val="auto"/>
              </w:rPr>
            </w:pPr>
          </w:p>
        </w:tc>
        <w:tc>
          <w:tcPr>
            <w:tcW w:w="1000" w:type="dxa"/>
            <w:vAlign w:val="bottom"/>
            <w:shd w:val="clear" w:color="auto" w:fill="43C0B9"/>
          </w:tcPr>
          <w:p>
            <w:pPr>
              <w:spacing w:after="0"/>
              <w:rPr>
                <w:sz w:val="17"/>
                <w:szCs w:val="17"/>
                <w:color w:val="auto"/>
              </w:rPr>
            </w:pPr>
          </w:p>
        </w:tc>
        <w:tc>
          <w:tcPr>
            <w:tcW w:w="420" w:type="dxa"/>
            <w:vAlign w:val="bottom"/>
            <w:shd w:val="clear" w:color="auto" w:fill="43C0B9"/>
          </w:tcPr>
          <w:p>
            <w:pPr>
              <w:spacing w:after="0"/>
              <w:rPr>
                <w:sz w:val="17"/>
                <w:szCs w:val="17"/>
                <w:color w:val="auto"/>
              </w:rPr>
            </w:pPr>
          </w:p>
        </w:tc>
        <w:tc>
          <w:tcPr>
            <w:tcW w:w="760" w:type="dxa"/>
            <w:vAlign w:val="bottom"/>
            <w:shd w:val="clear" w:color="auto" w:fill="43C0B9"/>
          </w:tcPr>
          <w:p>
            <w:pPr>
              <w:spacing w:after="0"/>
              <w:rPr>
                <w:sz w:val="17"/>
                <w:szCs w:val="17"/>
                <w:color w:val="auto"/>
              </w:rPr>
            </w:pPr>
          </w:p>
        </w:tc>
      </w:tr>
      <w:tr>
        <w:trPr>
          <w:trHeight w:val="189"/>
        </w:trPr>
        <w:tc>
          <w:tcPr>
            <w:tcW w:w="384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1040" w:type="dxa"/>
            <w:vAlign w:val="bottom"/>
            <w:shd w:val="clear" w:color="auto" w:fill="43C0B9"/>
          </w:tcPr>
          <w:p>
            <w:pPr>
              <w:spacing w:after="0"/>
              <w:rPr>
                <w:sz w:val="16"/>
                <w:szCs w:val="16"/>
                <w:color w:val="auto"/>
              </w:rPr>
            </w:pPr>
          </w:p>
        </w:tc>
        <w:tc>
          <w:tcPr>
            <w:tcW w:w="200" w:type="dxa"/>
            <w:vAlign w:val="bottom"/>
            <w:shd w:val="clear" w:color="auto" w:fill="43C0B9"/>
          </w:tcPr>
          <w:p>
            <w:pPr>
              <w:spacing w:after="0"/>
              <w:rPr>
                <w:sz w:val="16"/>
                <w:szCs w:val="16"/>
                <w:color w:val="auto"/>
              </w:rPr>
            </w:pPr>
          </w:p>
        </w:tc>
        <w:tc>
          <w:tcPr>
            <w:tcW w:w="1000" w:type="dxa"/>
            <w:vAlign w:val="bottom"/>
            <w:shd w:val="clear" w:color="auto" w:fill="43C0B9"/>
          </w:tcPr>
          <w:p>
            <w:pPr>
              <w:spacing w:after="0"/>
              <w:rPr>
                <w:sz w:val="16"/>
                <w:szCs w:val="16"/>
                <w:color w:val="auto"/>
              </w:rPr>
            </w:pPr>
          </w:p>
        </w:tc>
        <w:tc>
          <w:tcPr>
            <w:tcW w:w="360" w:type="dxa"/>
            <w:vAlign w:val="bottom"/>
            <w:shd w:val="clear" w:color="auto" w:fill="43C0B9"/>
          </w:tcPr>
          <w:p>
            <w:pPr>
              <w:spacing w:after="0"/>
              <w:rPr>
                <w:sz w:val="16"/>
                <w:szCs w:val="16"/>
                <w:color w:val="auto"/>
              </w:rPr>
            </w:pPr>
          </w:p>
        </w:tc>
        <w:tc>
          <w:tcPr>
            <w:tcW w:w="2280" w:type="dxa"/>
            <w:vAlign w:val="bottom"/>
            <w:gridSpan w:val="3"/>
            <w:shd w:val="clear" w:color="auto" w:fill="43C0B9"/>
          </w:tcPr>
          <w:p>
            <w:pPr>
              <w:jc w:val="right"/>
              <w:ind w:right="869"/>
              <w:spacing w:after="0"/>
              <w:rPr>
                <w:sz w:val="20"/>
                <w:szCs w:val="20"/>
                <w:color w:val="auto"/>
              </w:rPr>
            </w:pPr>
            <w:r>
              <w:rPr>
                <w:rFonts w:ascii="Arial" w:cs="Arial" w:eastAsia="Arial" w:hAnsi="Arial"/>
                <w:sz w:val="14"/>
                <w:szCs w:val="14"/>
                <w:b w:val="1"/>
                <w:bCs w:val="1"/>
                <w:color w:val="FFFFFF"/>
              </w:rPr>
              <w:t>January 31,</w:t>
            </w:r>
          </w:p>
        </w:tc>
        <w:tc>
          <w:tcPr>
            <w:tcW w:w="200" w:type="dxa"/>
            <w:vAlign w:val="bottom"/>
            <w:shd w:val="clear" w:color="auto" w:fill="43C0B9"/>
          </w:tcPr>
          <w:p>
            <w:pPr>
              <w:spacing w:after="0"/>
              <w:rPr>
                <w:sz w:val="16"/>
                <w:szCs w:val="16"/>
                <w:color w:val="auto"/>
              </w:rPr>
            </w:pPr>
          </w:p>
        </w:tc>
        <w:tc>
          <w:tcPr>
            <w:tcW w:w="1000" w:type="dxa"/>
            <w:vAlign w:val="bottom"/>
            <w:shd w:val="clear" w:color="auto" w:fill="43C0B9"/>
          </w:tcPr>
          <w:p>
            <w:pPr>
              <w:spacing w:after="0"/>
              <w:rPr>
                <w:sz w:val="16"/>
                <w:szCs w:val="16"/>
                <w:color w:val="auto"/>
              </w:rPr>
            </w:pPr>
          </w:p>
        </w:tc>
        <w:tc>
          <w:tcPr>
            <w:tcW w:w="420" w:type="dxa"/>
            <w:vAlign w:val="bottom"/>
            <w:shd w:val="clear" w:color="auto" w:fill="43C0B9"/>
          </w:tcPr>
          <w:p>
            <w:pPr>
              <w:spacing w:after="0"/>
              <w:rPr>
                <w:sz w:val="16"/>
                <w:szCs w:val="16"/>
                <w:color w:val="auto"/>
              </w:rPr>
            </w:pPr>
          </w:p>
        </w:tc>
        <w:tc>
          <w:tcPr>
            <w:tcW w:w="760" w:type="dxa"/>
            <w:vAlign w:val="bottom"/>
            <w:shd w:val="clear" w:color="auto" w:fill="43C0B9"/>
          </w:tcPr>
          <w:p>
            <w:pPr>
              <w:spacing w:after="0"/>
              <w:rPr>
                <w:sz w:val="16"/>
                <w:szCs w:val="16"/>
                <w:color w:val="auto"/>
              </w:rPr>
            </w:pPr>
          </w:p>
        </w:tc>
      </w:tr>
      <w:tr>
        <w:trPr>
          <w:trHeight w:val="239"/>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140" w:type="dxa"/>
            <w:vAlign w:val="bottom"/>
            <w:shd w:val="clear" w:color="auto" w:fill="43C0B9"/>
          </w:tcPr>
          <w:p>
            <w:pPr>
              <w:spacing w:after="0"/>
              <w:rPr>
                <w:sz w:val="20"/>
                <w:szCs w:val="20"/>
                <w:color w:val="auto"/>
              </w:rPr>
            </w:pPr>
          </w:p>
        </w:tc>
        <w:tc>
          <w:tcPr>
            <w:tcW w:w="1040" w:type="dxa"/>
            <w:vAlign w:val="bottom"/>
            <w:shd w:val="clear" w:color="auto" w:fill="43C0B9"/>
          </w:tcPr>
          <w:p>
            <w:pPr>
              <w:spacing w:after="0"/>
              <w:rPr>
                <w:sz w:val="20"/>
                <w:szCs w:val="20"/>
                <w:color w:val="auto"/>
              </w:rPr>
            </w:pPr>
          </w:p>
        </w:tc>
        <w:tc>
          <w:tcPr>
            <w:tcW w:w="200" w:type="dxa"/>
            <w:vAlign w:val="bottom"/>
            <w:shd w:val="clear" w:color="auto" w:fill="43C0B9"/>
          </w:tcPr>
          <w:p>
            <w:pPr>
              <w:spacing w:after="0"/>
              <w:rPr>
                <w:sz w:val="20"/>
                <w:szCs w:val="20"/>
                <w:color w:val="auto"/>
              </w:rPr>
            </w:pPr>
          </w:p>
        </w:tc>
        <w:tc>
          <w:tcPr>
            <w:tcW w:w="1000" w:type="dxa"/>
            <w:vAlign w:val="bottom"/>
            <w:shd w:val="clear" w:color="auto" w:fill="43C0B9"/>
          </w:tcPr>
          <w:p>
            <w:pPr>
              <w:jc w:val="right"/>
              <w:ind w:right="369"/>
              <w:spacing w:after="0"/>
              <w:rPr>
                <w:sz w:val="20"/>
                <w:szCs w:val="20"/>
                <w:color w:val="auto"/>
              </w:rPr>
            </w:pPr>
            <w:r>
              <w:rPr>
                <w:rFonts w:ascii="Arial" w:cs="Arial" w:eastAsia="Arial" w:hAnsi="Arial"/>
                <w:sz w:val="14"/>
                <w:szCs w:val="14"/>
                <w:b w:val="1"/>
                <w:bCs w:val="1"/>
                <w:color w:val="FFFFFF"/>
              </w:rPr>
              <w:t>2022</w:t>
            </w:r>
          </w:p>
        </w:tc>
        <w:tc>
          <w:tcPr>
            <w:tcW w:w="360" w:type="dxa"/>
            <w:vAlign w:val="bottom"/>
            <w:shd w:val="clear" w:color="auto" w:fill="43C0B9"/>
          </w:tcPr>
          <w:p>
            <w:pPr>
              <w:spacing w:after="0"/>
              <w:rPr>
                <w:sz w:val="20"/>
                <w:szCs w:val="20"/>
                <w:color w:val="auto"/>
              </w:rPr>
            </w:pPr>
          </w:p>
        </w:tc>
        <w:tc>
          <w:tcPr>
            <w:tcW w:w="960" w:type="dxa"/>
            <w:vAlign w:val="bottom"/>
            <w:shd w:val="clear" w:color="auto" w:fill="43C0B9"/>
          </w:tcPr>
          <w:p>
            <w:pPr>
              <w:spacing w:after="0"/>
              <w:rPr>
                <w:sz w:val="20"/>
                <w:szCs w:val="20"/>
                <w:color w:val="auto"/>
              </w:rPr>
            </w:pPr>
          </w:p>
        </w:tc>
        <w:tc>
          <w:tcPr>
            <w:tcW w:w="280" w:type="dxa"/>
            <w:vAlign w:val="bottom"/>
            <w:shd w:val="clear" w:color="auto" w:fill="43C0B9"/>
          </w:tcPr>
          <w:p>
            <w:pPr>
              <w:spacing w:after="0"/>
              <w:rPr>
                <w:sz w:val="20"/>
                <w:szCs w:val="20"/>
                <w:color w:val="auto"/>
              </w:rPr>
            </w:pPr>
          </w:p>
        </w:tc>
        <w:tc>
          <w:tcPr>
            <w:tcW w:w="1040" w:type="dxa"/>
            <w:vAlign w:val="bottom"/>
            <w:shd w:val="clear" w:color="auto" w:fill="43C0B9"/>
          </w:tcPr>
          <w:p>
            <w:pPr>
              <w:spacing w:after="0"/>
              <w:rPr>
                <w:sz w:val="20"/>
                <w:szCs w:val="20"/>
                <w:color w:val="auto"/>
              </w:rPr>
            </w:pPr>
          </w:p>
        </w:tc>
        <w:tc>
          <w:tcPr>
            <w:tcW w:w="200" w:type="dxa"/>
            <w:vAlign w:val="bottom"/>
            <w:shd w:val="clear" w:color="auto" w:fill="43C0B9"/>
          </w:tcPr>
          <w:p>
            <w:pPr>
              <w:spacing w:after="0"/>
              <w:rPr>
                <w:sz w:val="20"/>
                <w:szCs w:val="20"/>
                <w:color w:val="auto"/>
              </w:rPr>
            </w:pPr>
          </w:p>
        </w:tc>
        <w:tc>
          <w:tcPr>
            <w:tcW w:w="1000" w:type="dxa"/>
            <w:vAlign w:val="bottom"/>
            <w:shd w:val="clear" w:color="auto" w:fill="43C0B9"/>
          </w:tcPr>
          <w:p>
            <w:pPr>
              <w:jc w:val="right"/>
              <w:ind w:right="369"/>
              <w:spacing w:after="0"/>
              <w:rPr>
                <w:sz w:val="20"/>
                <w:szCs w:val="20"/>
                <w:color w:val="auto"/>
              </w:rPr>
            </w:pPr>
            <w:r>
              <w:rPr>
                <w:rFonts w:ascii="Arial" w:cs="Arial" w:eastAsia="Arial" w:hAnsi="Arial"/>
                <w:sz w:val="14"/>
                <w:szCs w:val="14"/>
                <w:b w:val="1"/>
                <w:bCs w:val="1"/>
                <w:color w:val="FFFFFF"/>
              </w:rPr>
              <w:t>2021</w:t>
            </w:r>
          </w:p>
        </w:tc>
        <w:tc>
          <w:tcPr>
            <w:tcW w:w="420" w:type="dxa"/>
            <w:vAlign w:val="bottom"/>
            <w:shd w:val="clear" w:color="auto" w:fill="43C0B9"/>
          </w:tcPr>
          <w:p>
            <w:pPr>
              <w:spacing w:after="0"/>
              <w:rPr>
                <w:sz w:val="20"/>
                <w:szCs w:val="20"/>
                <w:color w:val="auto"/>
              </w:rPr>
            </w:pPr>
          </w:p>
        </w:tc>
        <w:tc>
          <w:tcPr>
            <w:tcW w:w="760" w:type="dxa"/>
            <w:vAlign w:val="bottom"/>
            <w:shd w:val="clear" w:color="auto" w:fill="43C0B9"/>
          </w:tcPr>
          <w:p>
            <w:pPr>
              <w:spacing w:after="0"/>
              <w:rPr>
                <w:sz w:val="20"/>
                <w:szCs w:val="20"/>
                <w:color w:val="auto"/>
              </w:rPr>
            </w:pPr>
          </w:p>
        </w:tc>
      </w:tr>
      <w:tr>
        <w:trPr>
          <w:trHeight w:val="214"/>
        </w:trPr>
        <w:tc>
          <w:tcPr>
            <w:tcW w:w="3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Third party sales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212.3</w:t>
            </w: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center"/>
              <w:ind w:left="569"/>
              <w:spacing w:after="0"/>
              <w:rPr>
                <w:sz w:val="20"/>
                <w:szCs w:val="20"/>
                <w:color w:val="auto"/>
              </w:rPr>
            </w:pPr>
            <w:r>
              <w:rPr>
                <w:rFonts w:ascii="Arial" w:cs="Arial" w:eastAsia="Arial" w:hAnsi="Arial"/>
                <w:sz w:val="14"/>
                <w:szCs w:val="14"/>
                <w:color w:val="auto"/>
              </w:rPr>
              <w:t>4.3</w:t>
            </w: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DBDBDB"/>
          </w:tcPr>
          <w:p>
            <w:pPr>
              <w:jc w:val="right"/>
              <w:ind w:right="129"/>
              <w:spacing w:after="0"/>
              <w:rPr>
                <w:sz w:val="20"/>
                <w:szCs w:val="20"/>
                <w:color w:val="auto"/>
              </w:rPr>
            </w:pPr>
            <w:r>
              <w:rPr>
                <w:rFonts w:ascii="Arial" w:cs="Arial" w:eastAsia="Arial" w:hAnsi="Arial"/>
                <w:sz w:val="14"/>
                <w:szCs w:val="14"/>
                <w:color w:val="auto"/>
              </w:rPr>
              <w:t>216.6</w:t>
            </w:r>
          </w:p>
        </w:tc>
        <w:tc>
          <w:tcPr>
            <w:tcW w:w="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169.6</w:t>
            </w: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center"/>
              <w:ind w:left="569"/>
              <w:spacing w:after="0"/>
              <w:rPr>
                <w:sz w:val="20"/>
                <w:szCs w:val="20"/>
                <w:color w:val="auto"/>
              </w:rPr>
            </w:pPr>
            <w:r>
              <w:rPr>
                <w:rFonts w:ascii="Arial" w:cs="Arial" w:eastAsia="Arial" w:hAnsi="Arial"/>
                <w:sz w:val="14"/>
                <w:szCs w:val="14"/>
                <w:color w:val="auto"/>
              </w:rPr>
              <w:t>3.6</w:t>
            </w:r>
          </w:p>
        </w:tc>
        <w:tc>
          <w:tcPr>
            <w:tcW w:w="42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173.2</w:t>
            </w:r>
          </w:p>
        </w:tc>
      </w:tr>
      <w:tr>
        <w:trPr>
          <w:trHeight w:val="208"/>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Affiliated sales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color w:val="auto"/>
                <w:w w:val="97"/>
              </w:rPr>
              <w:t>(1.0)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color w:val="auto"/>
              </w:rPr>
              <w:t>0.2</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13"/>
        </w:trPr>
        <w:tc>
          <w:tcPr>
            <w:tcW w:w="3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segment sales</w:t>
            </w: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212.3</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jc w:val="center"/>
              <w:ind w:left="569"/>
              <w:spacing w:after="0"/>
              <w:rPr>
                <w:sz w:val="20"/>
                <w:szCs w:val="20"/>
                <w:color w:val="auto"/>
              </w:rPr>
            </w:pPr>
            <w:r>
              <w:rPr>
                <w:rFonts w:ascii="Arial" w:cs="Arial" w:eastAsia="Arial" w:hAnsi="Arial"/>
                <w:sz w:val="14"/>
                <w:szCs w:val="14"/>
                <w:color w:val="auto"/>
              </w:rPr>
              <w:t>3.3</w:t>
            </w:r>
          </w:p>
        </w:tc>
        <w:tc>
          <w:tcPr>
            <w:tcW w:w="36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29"/>
              <w:spacing w:after="0"/>
              <w:rPr>
                <w:sz w:val="20"/>
                <w:szCs w:val="20"/>
                <w:color w:val="auto"/>
              </w:rPr>
            </w:pPr>
            <w:r>
              <w:rPr>
                <w:rFonts w:ascii="Arial" w:cs="Arial" w:eastAsia="Arial" w:hAnsi="Arial"/>
                <w:sz w:val="14"/>
                <w:szCs w:val="14"/>
                <w:color w:val="auto"/>
              </w:rPr>
              <w:t>215.6</w:t>
            </w: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169.6</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jc w:val="center"/>
              <w:ind w:left="569"/>
              <w:spacing w:after="0"/>
              <w:rPr>
                <w:sz w:val="20"/>
                <w:szCs w:val="20"/>
                <w:color w:val="auto"/>
              </w:rPr>
            </w:pPr>
            <w:r>
              <w:rPr>
                <w:rFonts w:ascii="Arial" w:cs="Arial" w:eastAsia="Arial" w:hAnsi="Arial"/>
                <w:sz w:val="14"/>
                <w:szCs w:val="14"/>
                <w:color w:val="auto"/>
              </w:rPr>
              <w:t>3.8</w:t>
            </w:r>
          </w:p>
        </w:tc>
        <w:tc>
          <w:tcPr>
            <w:tcW w:w="42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173.4</w:t>
            </w:r>
          </w:p>
        </w:tc>
      </w:tr>
      <w:tr>
        <w:trPr>
          <w:trHeight w:val="208"/>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Intercompany eliminations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color w:val="auto"/>
                <w:w w:val="97"/>
              </w:rPr>
              <w:t>(0.2)</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07"/>
        </w:trPr>
        <w:tc>
          <w:tcPr>
            <w:tcW w:w="38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212.3</w:t>
            </w: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center"/>
              <w:ind w:left="569"/>
              <w:spacing w:after="0"/>
              <w:rPr>
                <w:sz w:val="20"/>
                <w:szCs w:val="20"/>
                <w:color w:val="auto"/>
              </w:rPr>
            </w:pPr>
            <w:r>
              <w:rPr>
                <w:rFonts w:ascii="Arial" w:cs="Arial" w:eastAsia="Arial" w:hAnsi="Arial"/>
                <w:sz w:val="14"/>
                <w:szCs w:val="14"/>
                <w:color w:val="auto"/>
              </w:rPr>
              <w:t>4.3</w:t>
            </w: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color w:val="auto"/>
              </w:rPr>
              <w:t>216.6</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169.6</w:t>
            </w: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center"/>
              <w:ind w:left="569"/>
              <w:spacing w:after="0"/>
              <w:rPr>
                <w:sz w:val="20"/>
                <w:szCs w:val="20"/>
                <w:color w:val="auto"/>
              </w:rPr>
            </w:pPr>
            <w:r>
              <w:rPr>
                <w:rFonts w:ascii="Arial" w:cs="Arial" w:eastAsia="Arial" w:hAnsi="Arial"/>
                <w:sz w:val="14"/>
                <w:szCs w:val="14"/>
                <w:color w:val="auto"/>
              </w:rPr>
              <w:t>3.6</w:t>
            </w:r>
          </w:p>
        </w:tc>
        <w:tc>
          <w:tcPr>
            <w:tcW w:w="420" w:type="dxa"/>
            <w:vAlign w:val="bottom"/>
            <w:tcBorders>
              <w:bottom w:val="single" w:sz="8" w:color="auto"/>
            </w:tcBorders>
            <w:shd w:val="clear" w:color="auto" w:fill="DBDBDB"/>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-848360</wp:posOffset>
            </wp:positionV>
            <wp:extent cx="4704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0471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-1094740</wp:posOffset>
            </wp:positionV>
            <wp:extent cx="47047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b w:val="1"/>
          <w:bCs w:val="1"/>
          <w:color w:val="43C0B9"/>
        </w:rPr>
        <w:t>MISSION PRODUCE,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Adjusted EBITDA for each of our reporting segments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2080" w:type="dxa"/>
            <w:vAlign w:val="bottom"/>
            <w:gridSpan w:val="2"/>
            <w:shd w:val="clear" w:color="auto" w:fill="43C0B9"/>
          </w:tcPr>
          <w:p>
            <w:pPr>
              <w:jc w:val="center"/>
              <w:ind w:left="89"/>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43C0B9"/>
          </w:tcPr>
          <w:p>
            <w:pPr>
              <w:spacing w:after="0"/>
              <w:rPr>
                <w:sz w:val="15"/>
                <w:szCs w:val="15"/>
                <w:color w:val="auto"/>
              </w:rPr>
            </w:pPr>
          </w:p>
        </w:tc>
      </w:tr>
      <w:tr>
        <w:trPr>
          <w:trHeight w:val="189"/>
        </w:trPr>
        <w:tc>
          <w:tcPr>
            <w:tcW w:w="7800" w:type="dxa"/>
            <w:vAlign w:val="bottom"/>
            <w:shd w:val="clear" w:color="auto" w:fill="43C0B9"/>
          </w:tcPr>
          <w:p>
            <w:pPr>
              <w:spacing w:after="0"/>
              <w:rPr>
                <w:sz w:val="16"/>
                <w:szCs w:val="16"/>
                <w:color w:val="auto"/>
              </w:rPr>
            </w:pPr>
          </w:p>
        </w:tc>
        <w:tc>
          <w:tcPr>
            <w:tcW w:w="680" w:type="dxa"/>
            <w:vAlign w:val="bottom"/>
            <w:shd w:val="clear" w:color="auto" w:fill="43C0B9"/>
          </w:tcPr>
          <w:p>
            <w:pPr>
              <w:spacing w:after="0"/>
              <w:rPr>
                <w:sz w:val="16"/>
                <w:szCs w:val="16"/>
                <w:color w:val="auto"/>
              </w:rPr>
            </w:pPr>
          </w:p>
        </w:tc>
        <w:tc>
          <w:tcPr>
            <w:tcW w:w="2080" w:type="dxa"/>
            <w:vAlign w:val="bottom"/>
            <w:gridSpan w:val="2"/>
            <w:shd w:val="clear" w:color="auto" w:fill="43C0B9"/>
          </w:tcPr>
          <w:p>
            <w:pPr>
              <w:jc w:val="center"/>
              <w:ind w:left="109"/>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43C0B9"/>
          </w:tcPr>
          <w:p>
            <w:pPr>
              <w:spacing w:after="0"/>
              <w:rPr>
                <w:sz w:val="16"/>
                <w:szCs w:val="16"/>
                <w:color w:val="auto"/>
              </w:rPr>
            </w:pPr>
          </w:p>
        </w:tc>
      </w:tr>
      <w:tr>
        <w:trPr>
          <w:trHeight w:val="239"/>
        </w:trPr>
        <w:tc>
          <w:tcPr>
            <w:tcW w:w="780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680" w:type="dxa"/>
            <w:vAlign w:val="bottom"/>
            <w:shd w:val="clear" w:color="auto" w:fill="43C0B9"/>
          </w:tcPr>
          <w:p>
            <w:pPr>
              <w:spacing w:after="0"/>
              <w:rPr>
                <w:sz w:val="20"/>
                <w:szCs w:val="20"/>
                <w:color w:val="auto"/>
              </w:rPr>
            </w:pPr>
          </w:p>
        </w:tc>
        <w:tc>
          <w:tcPr>
            <w:tcW w:w="1120" w:type="dxa"/>
            <w:vAlign w:val="bottom"/>
            <w:shd w:val="clear" w:color="auto" w:fill="43C0B9"/>
          </w:tcPr>
          <w:p>
            <w:pPr>
              <w:jc w:val="right"/>
              <w:ind w:right="129"/>
              <w:spacing w:after="0"/>
              <w:rPr>
                <w:sz w:val="20"/>
                <w:szCs w:val="20"/>
                <w:color w:val="auto"/>
              </w:rPr>
            </w:pPr>
            <w:r>
              <w:rPr>
                <w:rFonts w:ascii="Arial" w:cs="Arial" w:eastAsia="Arial" w:hAnsi="Arial"/>
                <w:sz w:val="14"/>
                <w:szCs w:val="14"/>
                <w:b w:val="1"/>
                <w:bCs w:val="1"/>
                <w:color w:val="FFFFFF"/>
              </w:rPr>
              <w:t>2022</w:t>
            </w:r>
          </w:p>
        </w:tc>
        <w:tc>
          <w:tcPr>
            <w:tcW w:w="960" w:type="dxa"/>
            <w:vAlign w:val="bottom"/>
            <w:shd w:val="clear" w:color="auto" w:fill="43C0B9"/>
          </w:tcPr>
          <w:p>
            <w:pPr>
              <w:spacing w:after="0"/>
              <w:rPr>
                <w:sz w:val="20"/>
                <w:szCs w:val="20"/>
                <w:color w:val="auto"/>
              </w:rPr>
            </w:pPr>
          </w:p>
        </w:tc>
        <w:tc>
          <w:tcPr>
            <w:tcW w:w="68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Marketing and Distribution adjusted EBITDA</w:t>
            </w:r>
          </w:p>
        </w:tc>
        <w:tc>
          <w:tcPr>
            <w:tcW w:w="680" w:type="dxa"/>
            <w:vAlign w:val="bottom"/>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(7.7)</w:t>
            </w:r>
          </w:p>
        </w:tc>
        <w:tc>
          <w:tcPr>
            <w:tcW w:w="960" w:type="dxa"/>
            <w:vAlign w:val="bottom"/>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13.7</w:t>
            </w:r>
          </w:p>
        </w:tc>
      </w:tr>
      <w:tr>
        <w:trPr>
          <w:trHeight w:val="208"/>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Farming adjusted EBITDA</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w:t>
            </w: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78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68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(10.4)</w:t>
            </w:r>
          </w:p>
        </w:tc>
        <w:tc>
          <w:tcPr>
            <w:tcW w:w="96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12.5</w:t>
            </w:r>
          </w:p>
        </w:tc>
      </w:tr>
      <w:tr>
        <w:trPr>
          <w:trHeight w:val="207"/>
        </w:trPr>
        <w:tc>
          <w:tcPr>
            <w:tcW w:w="78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680" w:type="dxa"/>
            <w:vAlign w:val="bottom"/>
          </w:tcPr>
          <w:p>
            <w:pPr>
              <w:spacing w:after="0"/>
              <w:rPr>
                <w:sz w:val="18"/>
                <w:szCs w:val="18"/>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(13.4)</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20"/>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expense</w:t>
            </w:r>
          </w:p>
        </w:tc>
        <w:tc>
          <w:tcPr>
            <w:tcW w:w="68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0.9</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208"/>
        </w:trPr>
        <w:tc>
          <w:tcPr>
            <w:tcW w:w="7800" w:type="dxa"/>
            <w:vAlign w:val="bottom"/>
          </w:tcPr>
          <w:p>
            <w:pPr>
              <w:ind w:left="20"/>
              <w:spacing w:after="0"/>
              <w:rPr>
                <w:sz w:val="20"/>
                <w:szCs w:val="20"/>
                <w:color w:val="auto"/>
              </w:rPr>
            </w:pPr>
            <w:r>
              <w:rPr>
                <w:rFonts w:ascii="Arial" w:cs="Arial" w:eastAsia="Arial" w:hAnsi="Arial"/>
                <w:sz w:val="14"/>
                <w:szCs w:val="14"/>
                <w:color w:val="auto"/>
              </w:rPr>
              <w:t>(Benefit) provision for income taxes</w:t>
            </w:r>
          </w:p>
        </w:tc>
        <w:tc>
          <w:tcPr>
            <w:tcW w:w="680" w:type="dxa"/>
            <w:vAlign w:val="bottom"/>
          </w:tcPr>
          <w:p>
            <w:pPr>
              <w:spacing w:after="0"/>
              <w:rPr>
                <w:sz w:val="18"/>
                <w:szCs w:val="18"/>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20"/>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4.5</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8"/>
        </w:trPr>
        <w:tc>
          <w:tcPr>
            <w:tcW w:w="780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680" w:type="dxa"/>
            <w:vAlign w:val="bottom"/>
          </w:tcPr>
          <w:p>
            <w:pPr>
              <w:spacing w:after="0"/>
              <w:rPr>
                <w:sz w:val="18"/>
                <w:szCs w:val="18"/>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0"/>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0.8</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208"/>
        </w:trPr>
        <w:tc>
          <w:tcPr>
            <w:tcW w:w="7800" w:type="dxa"/>
            <w:vAlign w:val="bottom"/>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680" w:type="dxa"/>
            <w:vAlign w:val="bottom"/>
          </w:tcPr>
          <w:p>
            <w:pPr>
              <w:spacing w:after="0"/>
              <w:rPr>
                <w:sz w:val="18"/>
                <w:szCs w:val="18"/>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68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0.5</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800" w:type="dxa"/>
            <w:vAlign w:val="bottom"/>
          </w:tcPr>
          <w:p>
            <w:pPr>
              <w:ind w:left="20"/>
              <w:spacing w:after="0"/>
              <w:rPr>
                <w:sz w:val="20"/>
                <w:szCs w:val="20"/>
                <w:color w:val="auto"/>
              </w:rPr>
            </w:pPr>
            <w:r>
              <w:rPr>
                <w:rFonts w:ascii="Arial" w:cs="Arial" w:eastAsia="Arial" w:hAnsi="Arial"/>
                <w:sz w:val="14"/>
                <w:szCs w:val="14"/>
                <w:color w:val="auto"/>
              </w:rPr>
              <w:t>Noncapitalizable ERP implementation costs</w:t>
            </w:r>
          </w:p>
        </w:tc>
        <w:tc>
          <w:tcPr>
            <w:tcW w:w="680" w:type="dxa"/>
            <w:vAlign w:val="bottom"/>
          </w:tcPr>
          <w:p>
            <w:pPr>
              <w:spacing w:after="0"/>
              <w:rPr>
                <w:sz w:val="18"/>
                <w:szCs w:val="18"/>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Transaction costs</w:t>
            </w:r>
          </w:p>
        </w:tc>
        <w:tc>
          <w:tcPr>
            <w:tcW w:w="68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0.4</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w:t>
            </w: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8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Total adjusted EBITDA</w:t>
            </w:r>
          </w:p>
        </w:tc>
        <w:tc>
          <w:tcPr>
            <w:tcW w:w="68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(10.4)</w:t>
            </w:r>
          </w:p>
        </w:tc>
        <w:tc>
          <w:tcPr>
            <w:tcW w:w="96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-2216150</wp:posOffset>
            </wp:positionV>
            <wp:extent cx="208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 to customers outside the U.S. were $38.5 million and $47.2 million for the three months ended January 31, 2022 and 2021, respectively.</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goodwill balance of $76.4 million as of January 31, 2022 and October 31, 2021 was wholly attributed to the International Farming segment.</w:t>
      </w:r>
    </w:p>
    <w:p>
      <w:pPr>
        <w:spacing w:after="0" w:line="200" w:lineRule="exact"/>
        <w:rPr>
          <w:sz w:val="20"/>
          <w:szCs w:val="20"/>
          <w:color w:val="auto"/>
        </w:rPr>
      </w:pPr>
    </w:p>
    <w:p>
      <w:pPr>
        <w:spacing w:after="0" w:line="25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4" w:name="page15"/>
    <w:bookmarkEnd w:id="14"/>
    <w:p>
      <w:pPr>
        <w:ind w:right="900"/>
        <w:spacing w:after="0" w:line="281"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60" w:lineRule="exact"/>
        <w:rPr>
          <w:sz w:val="20"/>
          <w:szCs w:val="20"/>
          <w:color w:val="auto"/>
        </w:rPr>
      </w:pPr>
    </w:p>
    <w:p>
      <w:pPr>
        <w:ind w:right="120" w:firstLine="642"/>
        <w:spacing w:after="0" w:line="248"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together with our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1" w:lineRule="exact"/>
        <w:rPr>
          <w:sz w:val="20"/>
          <w:szCs w:val="20"/>
          <w:color w:val="auto"/>
        </w:rPr>
      </w:pPr>
    </w:p>
    <w:p>
      <w:pPr>
        <w:ind w:firstLine="642"/>
        <w:spacing w:after="0" w:line="248" w:lineRule="auto"/>
        <w:rPr>
          <w:sz w:val="20"/>
          <w:szCs w:val="20"/>
          <w:color w:val="auto"/>
        </w:rPr>
      </w:pPr>
      <w:r>
        <w:rPr>
          <w:rFonts w:ascii="Arial" w:cs="Arial" w:eastAsia="Arial" w:hAnsi="Arial"/>
          <w:sz w:val="16"/>
          <w:szCs w:val="16"/>
          <w:color w:val="auto"/>
        </w:rPr>
        <w:t>We are a world leader in sourcing, producing and distributing fresh avocados, serving retail, wholesale and foodservice customers. We source, produce, pack and distribute avocados to our customers and provide value-added services including ripening, bagging, custom packing and logistical management. In addition, we provide our customers with merchandising and promotional support, insights on market trends and training designed to increase their retail avocado sales.</w:t>
      </w:r>
    </w:p>
    <w:p>
      <w:pPr>
        <w:spacing w:after="0" w:line="202" w:lineRule="exact"/>
        <w:rPr>
          <w:sz w:val="20"/>
          <w:szCs w:val="20"/>
          <w:color w:val="auto"/>
        </w:rPr>
      </w:pPr>
    </w:p>
    <w:p>
      <w:pPr>
        <w:ind w:right="60" w:firstLine="642"/>
        <w:spacing w:after="0" w:line="246" w:lineRule="auto"/>
        <w:rPr>
          <w:sz w:val="20"/>
          <w:szCs w:val="20"/>
          <w:color w:val="auto"/>
        </w:rPr>
      </w:pPr>
      <w:r>
        <w:rPr>
          <w:rFonts w:ascii="Arial" w:cs="Arial" w:eastAsia="Arial" w:hAnsi="Arial"/>
          <w:sz w:val="16"/>
          <w:szCs w:val="16"/>
          <w:color w:val="auto"/>
        </w:rPr>
        <w:t>We have two operating segments, which are also reporting segments. These reporting segments are Marketing and Distribution and International Farming. Our Marketing and Distribution reporting segment sources fruit from growers and then distributes the fruit through our global distribution network. Our International Farming segment owns and operates orchards from which substantially all fruit produced is sold to our Marketing and Distribution segment. The International Farming segment’s farming activities range from cultivating early-stage plantings to harvesting from mature trees, and it also earns service revenues for packing and processing for producers of other crops during the avocado off-harvest season. The International Farming segment is principally located in Peru, with smaller operations emerging in other areas of Latin America.</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ERP system implementation</w:t>
      </w:r>
    </w:p>
    <w:p>
      <w:pPr>
        <w:spacing w:after="0" w:line="237" w:lineRule="exact"/>
        <w:rPr>
          <w:sz w:val="20"/>
          <w:szCs w:val="20"/>
          <w:color w:val="auto"/>
        </w:rPr>
      </w:pPr>
    </w:p>
    <w:p>
      <w:pPr>
        <w:ind w:right="200" w:firstLine="642"/>
        <w:spacing w:after="0" w:line="246" w:lineRule="auto"/>
        <w:rPr>
          <w:sz w:val="20"/>
          <w:szCs w:val="20"/>
          <w:color w:val="auto"/>
        </w:rPr>
      </w:pPr>
      <w:r>
        <w:rPr>
          <w:rFonts w:ascii="Arial" w:cs="Arial" w:eastAsia="Arial" w:hAnsi="Arial"/>
          <w:sz w:val="16"/>
          <w:szCs w:val="16"/>
          <w:color w:val="auto"/>
        </w:rPr>
        <w:t>On November 1, 2021, we implemented a new enterprise resource planning (“ERP”) system in our Marketing and Distribution segment to improve operational visibility and financial reporting capabilities. During implementation, we encountered significant challenges which limited our ability to effectively manage our business operations, thereby impacting our profitability and financial results for the first quarter of 2022. Our distribution centers and packing houses experienced problems with purchasing, receiving and shipping, which resulted in a high reliance on both third-party fruit and packaged fruit that we would have otherwise sourced directly in the field and packed in our facilities. Other issues included delays in automated customer invoicing, inventory management issues.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1" w:lineRule="exact"/>
        <w:rPr>
          <w:sz w:val="20"/>
          <w:szCs w:val="20"/>
          <w:color w:val="auto"/>
        </w:rPr>
      </w:pPr>
    </w:p>
    <w:p>
      <w:pPr>
        <w:ind w:right="60" w:firstLine="642"/>
        <w:spacing w:after="0" w:line="247" w:lineRule="auto"/>
        <w:rPr>
          <w:sz w:val="20"/>
          <w:szCs w:val="20"/>
          <w:color w:val="auto"/>
        </w:rPr>
      </w:pPr>
      <w:r>
        <w:rPr>
          <w:rFonts w:ascii="Arial" w:cs="Arial" w:eastAsia="Arial" w:hAnsi="Arial"/>
          <w:sz w:val="16"/>
          <w:szCs w:val="16"/>
          <w:color w:val="auto"/>
        </w:rPr>
        <w:t>The operating results of our businesses are significantly impacted by the price and volume of avocados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203" w:lineRule="exact"/>
        <w:rPr>
          <w:sz w:val="20"/>
          <w:szCs w:val="20"/>
          <w:color w:val="auto"/>
        </w:rPr>
      </w:pPr>
    </w:p>
    <w:p>
      <w:pPr>
        <w:ind w:firstLine="642"/>
        <w:spacing w:after="0" w:line="246" w:lineRule="auto"/>
        <w:rPr>
          <w:sz w:val="20"/>
          <w:szCs w:val="20"/>
          <w:color w:val="auto"/>
        </w:rPr>
      </w:pPr>
      <w:r>
        <w:rPr>
          <w:rFonts w:ascii="Arial" w:cs="Arial" w:eastAsia="Arial" w:hAnsi="Arial"/>
          <w:sz w:val="16"/>
          <w:szCs w:val="16"/>
          <w:color w:val="auto"/>
        </w:rPr>
        <w:t>Our financial reporting currency is the U.S. dollar. The functional currency of substantially all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48" w:right="399" w:bottom="1440" w:gutter="0" w:footer="0" w:header="0"/>
        </w:sectPr>
      </w:pPr>
    </w:p>
    <w:bookmarkStart w:id="15" w:name="page16"/>
    <w:bookmarkEnd w:id="15"/>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946785</wp:posOffset>
            </wp:positionV>
            <wp:extent cx="7116445" cy="526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6445" cy="526415"/>
                    </a:xfrm>
                    <a:prstGeom prst="rect">
                      <a:avLst/>
                    </a:prstGeom>
                    <a:noFill/>
                  </pic:spPr>
                </pic:pic>
              </a:graphicData>
            </a:graphic>
          </wp:anchor>
        </w:drawing>
      </w:r>
    </w:p>
    <w:p>
      <w:pPr>
        <w:jc w:val="center"/>
        <w:ind w:left="7040"/>
        <w:spacing w:after="0"/>
        <w:rPr>
          <w:sz w:val="20"/>
          <w:szCs w:val="20"/>
          <w:color w:val="auto"/>
        </w:rPr>
      </w:pPr>
      <w:r>
        <w:rPr>
          <w:rFonts w:ascii="Arial" w:cs="Arial" w:eastAsia="Arial" w:hAnsi="Arial"/>
          <w:sz w:val="14"/>
          <w:szCs w:val="14"/>
          <w:b w:val="1"/>
          <w:bCs w:val="1"/>
          <w:color w:val="FFFFFF"/>
        </w:rPr>
        <w:t>Three Months Ended</w:t>
      </w:r>
    </w:p>
    <w:p>
      <w:pPr>
        <w:spacing w:after="0" w:line="17"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FFFFFF"/>
        </w:rPr>
        <w:t>January 31,</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080" w:type="dxa"/>
            <w:vAlign w:val="bottom"/>
          </w:tcPr>
          <w:p>
            <w:pPr>
              <w:spacing w:after="0"/>
              <w:rPr>
                <w:sz w:val="18"/>
                <w:szCs w:val="18"/>
                <w:color w:val="auto"/>
              </w:rPr>
            </w:pPr>
          </w:p>
        </w:tc>
        <w:tc>
          <w:tcPr>
            <w:tcW w:w="38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129"/>
              <w:spacing w:after="0"/>
              <w:rPr>
                <w:sz w:val="20"/>
                <w:szCs w:val="20"/>
                <w:color w:val="auto"/>
              </w:rPr>
            </w:pPr>
            <w:r>
              <w:rPr>
                <w:rFonts w:ascii="Arial" w:cs="Arial" w:eastAsia="Arial" w:hAnsi="Arial"/>
                <w:sz w:val="14"/>
                <w:szCs w:val="14"/>
                <w:b w:val="1"/>
                <w:bCs w:val="1"/>
                <w:color w:val="FFFFFF"/>
              </w:rPr>
              <w:t>2022</w:t>
            </w:r>
          </w:p>
        </w:tc>
        <w:tc>
          <w:tcPr>
            <w:tcW w:w="700" w:type="dxa"/>
            <w:vAlign w:val="bottom"/>
            <w:shd w:val="clear" w:color="auto" w:fill="43C0B9"/>
          </w:tcPr>
          <w:p>
            <w:pPr>
              <w:spacing w:after="0"/>
              <w:rPr>
                <w:sz w:val="18"/>
                <w:szCs w:val="18"/>
                <w:color w:val="auto"/>
              </w:rPr>
            </w:pPr>
          </w:p>
        </w:tc>
        <w:tc>
          <w:tcPr>
            <w:tcW w:w="460" w:type="dxa"/>
            <w:vAlign w:val="bottom"/>
            <w:shd w:val="clear" w:color="auto" w:fill="43C0B9"/>
          </w:tcPr>
          <w:p>
            <w:pPr>
              <w:spacing w:after="0"/>
              <w:rPr>
                <w:sz w:val="18"/>
                <w:szCs w:val="18"/>
                <w:color w:val="auto"/>
              </w:rPr>
            </w:pPr>
          </w:p>
        </w:tc>
        <w:tc>
          <w:tcPr>
            <w:tcW w:w="980" w:type="dxa"/>
            <w:vAlign w:val="bottom"/>
            <w:shd w:val="clear" w:color="auto" w:fill="43C0B9"/>
          </w:tcPr>
          <w:p>
            <w:pPr>
              <w:ind w:left="460"/>
              <w:spacing w:after="0"/>
              <w:rPr>
                <w:sz w:val="20"/>
                <w:szCs w:val="20"/>
                <w:color w:val="auto"/>
              </w:rPr>
            </w:pPr>
            <w:r>
              <w:rPr>
                <w:rFonts w:ascii="Arial" w:cs="Arial" w:eastAsia="Arial" w:hAnsi="Arial"/>
                <w:sz w:val="14"/>
                <w:szCs w:val="14"/>
                <w:b w:val="1"/>
                <w:bCs w:val="1"/>
                <w:color w:val="FFFFFF"/>
              </w:rPr>
              <w:t>2021</w:t>
            </w:r>
          </w:p>
        </w:tc>
        <w:tc>
          <w:tcPr>
            <w:tcW w:w="620" w:type="dxa"/>
            <w:vAlign w:val="bottom"/>
            <w:shd w:val="clear" w:color="auto" w:fill="43C0B9"/>
          </w:tcPr>
          <w:p>
            <w:pPr>
              <w:spacing w:after="0"/>
              <w:rPr>
                <w:sz w:val="18"/>
                <w:szCs w:val="18"/>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4"/>
                <w:szCs w:val="14"/>
                <w:b w:val="1"/>
                <w:bCs w:val="1"/>
                <w:color w:val="FFFFFF"/>
              </w:rPr>
              <w:t>(In millions, except for percentages)</w:t>
            </w:r>
          </w:p>
        </w:tc>
        <w:tc>
          <w:tcPr>
            <w:tcW w:w="380" w:type="dxa"/>
            <w:vAlign w:val="bottom"/>
            <w:shd w:val="clear" w:color="auto" w:fill="43C0B9"/>
          </w:tcPr>
          <w:p>
            <w:pPr>
              <w:spacing w:after="0"/>
              <w:rPr>
                <w:sz w:val="20"/>
                <w:szCs w:val="20"/>
                <w:color w:val="auto"/>
              </w:rPr>
            </w:pPr>
          </w:p>
        </w:tc>
        <w:tc>
          <w:tcPr>
            <w:tcW w:w="980" w:type="dxa"/>
            <w:vAlign w:val="bottom"/>
            <w:shd w:val="clear" w:color="auto" w:fill="43C0B9"/>
          </w:tcPr>
          <w:p>
            <w:pPr>
              <w:jc w:val="right"/>
              <w:ind w:right="149"/>
              <w:spacing w:after="0"/>
              <w:rPr>
                <w:sz w:val="20"/>
                <w:szCs w:val="20"/>
                <w:color w:val="auto"/>
              </w:rPr>
            </w:pPr>
            <w:r>
              <w:rPr>
                <w:rFonts w:ascii="Arial" w:cs="Arial" w:eastAsia="Arial" w:hAnsi="Arial"/>
                <w:sz w:val="14"/>
                <w:szCs w:val="14"/>
                <w:b w:val="1"/>
                <w:bCs w:val="1"/>
                <w:color w:val="FFFFFF"/>
              </w:rPr>
              <w:t>Dollars</w:t>
            </w:r>
          </w:p>
        </w:tc>
        <w:tc>
          <w:tcPr>
            <w:tcW w:w="700" w:type="dxa"/>
            <w:vAlign w:val="bottom"/>
            <w:shd w:val="clear" w:color="auto" w:fill="43C0B9"/>
          </w:tcPr>
          <w:p>
            <w:pPr>
              <w:jc w:val="right"/>
              <w:ind w:right="9"/>
              <w:spacing w:after="0"/>
              <w:rPr>
                <w:sz w:val="20"/>
                <w:szCs w:val="20"/>
                <w:color w:val="auto"/>
              </w:rPr>
            </w:pPr>
            <w:r>
              <w:rPr>
                <w:rFonts w:ascii="Arial" w:cs="Arial" w:eastAsia="Arial" w:hAnsi="Arial"/>
                <w:sz w:val="14"/>
                <w:szCs w:val="14"/>
                <w:b w:val="1"/>
                <w:bCs w:val="1"/>
                <w:color w:val="FFFFFF"/>
              </w:rPr>
              <w:t>%</w:t>
            </w:r>
          </w:p>
        </w:tc>
        <w:tc>
          <w:tcPr>
            <w:tcW w:w="460" w:type="dxa"/>
            <w:vAlign w:val="bottom"/>
            <w:shd w:val="clear" w:color="auto" w:fill="43C0B9"/>
          </w:tcPr>
          <w:p>
            <w:pPr>
              <w:spacing w:after="0"/>
              <w:rPr>
                <w:sz w:val="20"/>
                <w:szCs w:val="20"/>
                <w:color w:val="auto"/>
              </w:rPr>
            </w:pPr>
          </w:p>
        </w:tc>
        <w:tc>
          <w:tcPr>
            <w:tcW w:w="980" w:type="dxa"/>
            <w:vAlign w:val="bottom"/>
            <w:shd w:val="clear" w:color="auto" w:fill="43C0B9"/>
          </w:tcPr>
          <w:p>
            <w:pPr>
              <w:jc w:val="right"/>
              <w:ind w:right="149"/>
              <w:spacing w:after="0"/>
              <w:rPr>
                <w:sz w:val="20"/>
                <w:szCs w:val="20"/>
                <w:color w:val="auto"/>
              </w:rPr>
            </w:pPr>
            <w:r>
              <w:rPr>
                <w:rFonts w:ascii="Arial" w:cs="Arial" w:eastAsia="Arial" w:hAnsi="Arial"/>
                <w:sz w:val="14"/>
                <w:szCs w:val="14"/>
                <w:b w:val="1"/>
                <w:bCs w:val="1"/>
                <w:color w:val="FFFFFF"/>
              </w:rPr>
              <w:t>Dollars</w:t>
            </w:r>
          </w:p>
        </w:tc>
        <w:tc>
          <w:tcPr>
            <w:tcW w:w="6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w:t>
            </w:r>
          </w:p>
        </w:tc>
      </w:tr>
      <w:tr>
        <w:trPr>
          <w:trHeight w:val="214"/>
        </w:trPr>
        <w:tc>
          <w:tcPr>
            <w:tcW w:w="7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216.6</w:t>
            </w: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100 %</w:t>
            </w:r>
          </w:p>
        </w:tc>
        <w:tc>
          <w:tcPr>
            <w:tcW w:w="4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173.2</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208"/>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216.1</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100 %</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150.5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r>
      <w:tr>
        <w:trPr>
          <w:trHeight w:val="213"/>
        </w:trPr>
        <w:tc>
          <w:tcPr>
            <w:tcW w:w="7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0.5</w:t>
            </w: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 %</w:t>
            </w: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22.7</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13 %</w:t>
            </w:r>
          </w:p>
        </w:tc>
      </w:tr>
      <w:tr>
        <w:trPr>
          <w:trHeight w:val="208"/>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18.7</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9 %</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14.6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r>
      <w:tr>
        <w:trPr>
          <w:trHeight w:val="213"/>
        </w:trPr>
        <w:tc>
          <w:tcPr>
            <w:tcW w:w="7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(loss) income</w:t>
            </w: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149"/>
              <w:spacing w:after="0"/>
              <w:rPr>
                <w:sz w:val="20"/>
                <w:szCs w:val="20"/>
                <w:color w:val="auto"/>
              </w:rPr>
            </w:pPr>
            <w:r>
              <w:rPr>
                <w:rFonts w:ascii="Arial" w:cs="Arial" w:eastAsia="Arial" w:hAnsi="Arial"/>
                <w:sz w:val="14"/>
                <w:szCs w:val="14"/>
                <w:color w:val="auto"/>
              </w:rPr>
              <w:t>(18.2)</w:t>
            </w: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(8)%</w:t>
            </w: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8.1</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5 %</w:t>
            </w:r>
          </w:p>
        </w:tc>
      </w:tr>
      <w:tr>
        <w:trPr>
          <w:trHeight w:val="208"/>
        </w:trPr>
        <w:tc>
          <w:tcPr>
            <w:tcW w:w="70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8"/>
                <w:szCs w:val="18"/>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(0.9)</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18"/>
                <w:szCs w:val="18"/>
                <w:color w:val="auto"/>
              </w:rPr>
            </w:pPr>
          </w:p>
        </w:tc>
        <w:tc>
          <w:tcPr>
            <w:tcW w:w="980" w:type="dxa"/>
            <w:vAlign w:val="bottom"/>
          </w:tcPr>
          <w:p>
            <w:pPr>
              <w:ind w:left="460"/>
              <w:spacing w:after="0"/>
              <w:rPr>
                <w:sz w:val="20"/>
                <w:szCs w:val="20"/>
                <w:color w:val="auto"/>
              </w:rPr>
            </w:pPr>
            <w:r>
              <w:rPr>
                <w:rFonts w:ascii="Arial" w:cs="Arial" w:eastAsia="Arial" w:hAnsi="Arial"/>
                <w:sz w:val="14"/>
                <w:szCs w:val="14"/>
                <w:color w:val="auto"/>
              </w:rPr>
              <w:t>(0.9)</w:t>
            </w: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0"/>
        </w:trPr>
        <w:tc>
          <w:tcPr>
            <w:tcW w:w="7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38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1.6</w:t>
            </w: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1 %</w:t>
            </w:r>
          </w:p>
        </w:tc>
        <w:tc>
          <w:tcPr>
            <w:tcW w:w="46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2.3</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1 %</w:t>
            </w:r>
          </w:p>
        </w:tc>
      </w:tr>
      <w:tr>
        <w:trPr>
          <w:trHeight w:val="208"/>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1.6</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1 %</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13"/>
        </w:trPr>
        <w:tc>
          <w:tcPr>
            <w:tcW w:w="7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(Loss) income before income taxes</w:t>
            </w:r>
          </w:p>
        </w:tc>
        <w:tc>
          <w:tcPr>
            <w:tcW w:w="38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149"/>
              <w:spacing w:after="0"/>
              <w:rPr>
                <w:sz w:val="20"/>
                <w:szCs w:val="20"/>
                <w:color w:val="auto"/>
              </w:rPr>
            </w:pPr>
            <w:r>
              <w:rPr>
                <w:rFonts w:ascii="Arial" w:cs="Arial" w:eastAsia="Arial" w:hAnsi="Arial"/>
                <w:sz w:val="14"/>
                <w:szCs w:val="14"/>
                <w:color w:val="auto"/>
              </w:rPr>
              <w:t>(15.9)</w:t>
            </w: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(7)%</w:t>
            </w:r>
          </w:p>
        </w:tc>
        <w:tc>
          <w:tcPr>
            <w:tcW w:w="46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9.5</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5 %</w:t>
            </w:r>
          </w:p>
        </w:tc>
      </w:tr>
      <w:tr>
        <w:trPr>
          <w:trHeight w:val="208"/>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(2.5)</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7.3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207"/>
        </w:trPr>
        <w:tc>
          <w:tcPr>
            <w:tcW w:w="7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Net (loss) income</w:t>
            </w:r>
          </w:p>
        </w:tc>
        <w:tc>
          <w:tcPr>
            <w:tcW w:w="38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color w:val="auto"/>
              </w:rPr>
              <w:t>(13.4)</w:t>
            </w:r>
          </w:p>
        </w:tc>
        <w:tc>
          <w:tcPr>
            <w:tcW w:w="70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(6)%</w:t>
            </w:r>
          </w:p>
        </w:tc>
        <w:tc>
          <w:tcPr>
            <w:tcW w:w="4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color w:val="auto"/>
              </w:rPr>
              <w:t>2.2</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1 %</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37" w:lineRule="exact"/>
        <w:rPr>
          <w:sz w:val="20"/>
          <w:szCs w:val="20"/>
          <w:color w:val="auto"/>
        </w:rPr>
      </w:pPr>
    </w:p>
    <w:p>
      <w:pPr>
        <w:jc w:val="both"/>
        <w:ind w:right="180" w:firstLine="642"/>
        <w:spacing w:after="0" w:line="250" w:lineRule="auto"/>
        <w:rPr>
          <w:sz w:val="20"/>
          <w:szCs w:val="20"/>
          <w:color w:val="auto"/>
        </w:rPr>
      </w:pPr>
      <w:r>
        <w:rPr>
          <w:rFonts w:ascii="Arial" w:cs="Arial" w:eastAsia="Arial" w:hAnsi="Arial"/>
          <w:sz w:val="16"/>
          <w:szCs w:val="16"/>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2080" w:type="dxa"/>
            <w:vAlign w:val="bottom"/>
            <w:gridSpan w:val="2"/>
            <w:shd w:val="clear" w:color="auto" w:fill="43C0B9"/>
          </w:tcPr>
          <w:p>
            <w:pPr>
              <w:jc w:val="right"/>
              <w:ind w:right="189"/>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43C0B9"/>
          </w:tcPr>
          <w:p>
            <w:pPr>
              <w:spacing w:after="0"/>
              <w:rPr>
                <w:sz w:val="15"/>
                <w:szCs w:val="15"/>
                <w:color w:val="auto"/>
              </w:rPr>
            </w:pPr>
          </w:p>
        </w:tc>
      </w:tr>
      <w:tr>
        <w:trPr>
          <w:trHeight w:val="189"/>
        </w:trPr>
        <w:tc>
          <w:tcPr>
            <w:tcW w:w="7800" w:type="dxa"/>
            <w:vAlign w:val="bottom"/>
            <w:shd w:val="clear" w:color="auto" w:fill="43C0B9"/>
          </w:tcPr>
          <w:p>
            <w:pPr>
              <w:spacing w:after="0"/>
              <w:rPr>
                <w:sz w:val="16"/>
                <w:szCs w:val="16"/>
                <w:color w:val="auto"/>
              </w:rPr>
            </w:pPr>
          </w:p>
        </w:tc>
        <w:tc>
          <w:tcPr>
            <w:tcW w:w="680" w:type="dxa"/>
            <w:vAlign w:val="bottom"/>
            <w:shd w:val="clear" w:color="auto" w:fill="43C0B9"/>
          </w:tcPr>
          <w:p>
            <w:pPr>
              <w:spacing w:after="0"/>
              <w:rPr>
                <w:sz w:val="16"/>
                <w:szCs w:val="16"/>
                <w:color w:val="auto"/>
              </w:rPr>
            </w:pPr>
          </w:p>
        </w:tc>
        <w:tc>
          <w:tcPr>
            <w:tcW w:w="2080" w:type="dxa"/>
            <w:vAlign w:val="bottom"/>
            <w:gridSpan w:val="2"/>
            <w:shd w:val="clear" w:color="auto" w:fill="43C0B9"/>
          </w:tcPr>
          <w:p>
            <w:pPr>
              <w:jc w:val="right"/>
              <w:ind w:right="489"/>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43C0B9"/>
          </w:tcPr>
          <w:p>
            <w:pPr>
              <w:spacing w:after="0"/>
              <w:rPr>
                <w:sz w:val="16"/>
                <w:szCs w:val="16"/>
                <w:color w:val="auto"/>
              </w:rPr>
            </w:pPr>
          </w:p>
        </w:tc>
      </w:tr>
      <w:tr>
        <w:trPr>
          <w:trHeight w:val="239"/>
        </w:trPr>
        <w:tc>
          <w:tcPr>
            <w:tcW w:w="780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680" w:type="dxa"/>
            <w:vAlign w:val="bottom"/>
            <w:shd w:val="clear" w:color="auto" w:fill="43C0B9"/>
          </w:tcPr>
          <w:p>
            <w:pPr>
              <w:spacing w:after="0"/>
              <w:rPr>
                <w:sz w:val="20"/>
                <w:szCs w:val="20"/>
                <w:color w:val="auto"/>
              </w:rPr>
            </w:pPr>
          </w:p>
        </w:tc>
        <w:tc>
          <w:tcPr>
            <w:tcW w:w="1100" w:type="dxa"/>
            <w:vAlign w:val="bottom"/>
            <w:shd w:val="clear" w:color="auto" w:fill="43C0B9"/>
          </w:tcPr>
          <w:p>
            <w:pPr>
              <w:jc w:val="right"/>
              <w:ind w:right="109"/>
              <w:spacing w:after="0"/>
              <w:rPr>
                <w:sz w:val="20"/>
                <w:szCs w:val="20"/>
                <w:color w:val="auto"/>
              </w:rPr>
            </w:pPr>
            <w:r>
              <w:rPr>
                <w:rFonts w:ascii="Arial" w:cs="Arial" w:eastAsia="Arial" w:hAnsi="Arial"/>
                <w:sz w:val="14"/>
                <w:szCs w:val="14"/>
                <w:b w:val="1"/>
                <w:bCs w:val="1"/>
                <w:color w:val="FFFFFF"/>
              </w:rPr>
              <w:t>2022</w:t>
            </w:r>
          </w:p>
        </w:tc>
        <w:tc>
          <w:tcPr>
            <w:tcW w:w="980" w:type="dxa"/>
            <w:vAlign w:val="bottom"/>
            <w:shd w:val="clear" w:color="auto" w:fill="43C0B9"/>
          </w:tcPr>
          <w:p>
            <w:pPr>
              <w:spacing w:after="0"/>
              <w:rPr>
                <w:sz w:val="20"/>
                <w:szCs w:val="20"/>
                <w:color w:val="auto"/>
              </w:rPr>
            </w:pPr>
          </w:p>
        </w:tc>
        <w:tc>
          <w:tcPr>
            <w:tcW w:w="68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8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6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r>
      <w:tr>
        <w:trPr>
          <w:trHeight w:val="208"/>
        </w:trPr>
        <w:tc>
          <w:tcPr>
            <w:tcW w:w="7800" w:type="dxa"/>
            <w:vAlign w:val="bottom"/>
          </w:tcPr>
          <w:p>
            <w:pPr>
              <w:ind w:left="240"/>
              <w:spacing w:after="0"/>
              <w:rPr>
                <w:sz w:val="20"/>
                <w:szCs w:val="20"/>
                <w:color w:val="auto"/>
              </w:rPr>
            </w:pPr>
            <w:r>
              <w:rPr>
                <w:rFonts w:ascii="Arial" w:cs="Arial" w:eastAsia="Arial" w:hAnsi="Arial"/>
                <w:sz w:val="14"/>
                <w:szCs w:val="14"/>
                <w:color w:val="auto"/>
              </w:rPr>
              <w:t>Marketing and Distribution</w:t>
            </w:r>
          </w:p>
        </w:tc>
        <w:tc>
          <w:tcPr>
            <w:tcW w:w="68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212.3</w:t>
            </w:r>
          </w:p>
        </w:tc>
        <w:tc>
          <w:tcPr>
            <w:tcW w:w="9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169.6</w:t>
            </w:r>
          </w:p>
        </w:tc>
      </w:tr>
      <w:tr>
        <w:trPr>
          <w:trHeight w:val="214"/>
        </w:trPr>
        <w:tc>
          <w:tcPr>
            <w:tcW w:w="7800" w:type="dxa"/>
            <w:vAlign w:val="bottom"/>
            <w:tcBorders>
              <w:bottom w:val="single" w:sz="8" w:color="auto"/>
            </w:tcBorders>
            <w:shd w:val="clear" w:color="auto" w:fill="DBDBDB"/>
          </w:tcPr>
          <w:p>
            <w:pPr>
              <w:ind w:left="240"/>
              <w:spacing w:after="0"/>
              <w:rPr>
                <w:sz w:val="20"/>
                <w:szCs w:val="20"/>
                <w:color w:val="auto"/>
              </w:rPr>
            </w:pPr>
            <w:r>
              <w:rPr>
                <w:rFonts w:ascii="Arial" w:cs="Arial" w:eastAsia="Arial" w:hAnsi="Arial"/>
                <w:sz w:val="14"/>
                <w:szCs w:val="14"/>
                <w:color w:val="auto"/>
              </w:rPr>
              <w:t>International Farming</w:t>
            </w:r>
          </w:p>
        </w:tc>
        <w:tc>
          <w:tcPr>
            <w:tcW w:w="68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4.3</w:t>
            </w:r>
          </w:p>
        </w:tc>
        <w:tc>
          <w:tcPr>
            <w:tcW w:w="98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7"/>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6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216.6</w:t>
            </w:r>
          </w:p>
        </w:tc>
        <w:tc>
          <w:tcPr>
            <w:tcW w:w="98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-704215</wp:posOffset>
            </wp:positionV>
            <wp:extent cx="208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289" w:lineRule="exact"/>
        <w:rPr>
          <w:sz w:val="20"/>
          <w:szCs w:val="20"/>
          <w:color w:val="auto"/>
        </w:rPr>
      </w:pPr>
    </w:p>
    <w:p>
      <w:pPr>
        <w:ind w:right="60" w:firstLine="642"/>
        <w:spacing w:after="0" w:line="248" w:lineRule="auto"/>
        <w:rPr>
          <w:sz w:val="20"/>
          <w:szCs w:val="20"/>
          <w:color w:val="auto"/>
        </w:rPr>
      </w:pPr>
      <w:r>
        <w:rPr>
          <w:rFonts w:ascii="Arial" w:cs="Arial" w:eastAsia="Arial" w:hAnsi="Arial"/>
          <w:sz w:val="16"/>
          <w:szCs w:val="16"/>
          <w:color w:val="auto"/>
        </w:rPr>
        <w:t>Net sales increased $43.4 million or 25% in the three months ended January 31, 2022 compared to the same period last year. Growth was driven by a 50% increase in average per-unit avocado sales prices due to lower industry supply out of Mexico, as well as inflationary pressures. Partially offsetting price gains was an 18% decrease in avocado volume sold, which was primarily driven by lower supply and exacerbated by price sensitivity in select international markets that competed for lower cost sources of fruit.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w:t>
      </w:r>
    </w:p>
    <w:p>
      <w:pPr>
        <w:spacing w:after="0" w:line="237" w:lineRule="exact"/>
        <w:rPr>
          <w:sz w:val="20"/>
          <w:szCs w:val="20"/>
          <w:color w:val="auto"/>
        </w:rPr>
      </w:pPr>
    </w:p>
    <w:p>
      <w:pPr>
        <w:ind w:right="20" w:firstLine="642"/>
        <w:spacing w:after="0" w:line="247" w:lineRule="auto"/>
        <w:rPr>
          <w:sz w:val="20"/>
          <w:szCs w:val="20"/>
          <w:color w:val="auto"/>
        </w:rPr>
      </w:pPr>
      <w:r>
        <w:rPr>
          <w:rFonts w:ascii="Arial" w:cs="Arial" w:eastAsia="Arial" w:hAnsi="Arial"/>
          <w:sz w:val="16"/>
          <w:szCs w:val="16"/>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203" w:lineRule="exact"/>
        <w:rPr>
          <w:sz w:val="20"/>
          <w:szCs w:val="20"/>
          <w:color w:val="auto"/>
        </w:rPr>
      </w:pPr>
    </w:p>
    <w:p>
      <w:pPr>
        <w:ind w:right="180" w:firstLine="642"/>
        <w:spacing w:after="0" w:line="247" w:lineRule="auto"/>
        <w:rPr>
          <w:sz w:val="20"/>
          <w:szCs w:val="20"/>
          <w:color w:val="auto"/>
        </w:rPr>
      </w:pPr>
      <w:r>
        <w:rPr>
          <w:rFonts w:ascii="Arial" w:cs="Arial" w:eastAsia="Arial" w:hAnsi="Arial"/>
          <w:sz w:val="16"/>
          <w:szCs w:val="16"/>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Variations in containerboard prices, which affect the cost of boxes and other packaging materials, and fuel prices can have an impact on our product cost and our profit margins. Variations in the production yields, and other input costs also affect our cost of sales.</w:t>
      </w:r>
    </w:p>
    <w:p>
      <w:pPr>
        <w:spacing w:after="0" w:line="203" w:lineRule="exact"/>
        <w:rPr>
          <w:sz w:val="20"/>
          <w:szCs w:val="20"/>
          <w:color w:val="auto"/>
        </w:rPr>
      </w:pPr>
    </w:p>
    <w:p>
      <w:pPr>
        <w:ind w:right="140" w:firstLine="642"/>
        <w:spacing w:after="0" w:line="247" w:lineRule="auto"/>
        <w:rPr>
          <w:sz w:val="20"/>
          <w:szCs w:val="20"/>
          <w:color w:val="auto"/>
        </w:rPr>
      </w:pPr>
      <w:r>
        <w:rPr>
          <w:rFonts w:ascii="Arial" w:cs="Arial" w:eastAsia="Arial" w:hAnsi="Arial"/>
          <w:sz w:val="16"/>
          <w:szCs w:val="16"/>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4"/>
        </w:trPr>
        <w:tc>
          <w:tcPr>
            <w:tcW w:w="776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2180" w:type="dxa"/>
            <w:vAlign w:val="bottom"/>
            <w:gridSpan w:val="2"/>
            <w:shd w:val="clear" w:color="auto" w:fill="43C0B9"/>
          </w:tcPr>
          <w:p>
            <w:pPr>
              <w:jc w:val="center"/>
              <w:ind w:left="109"/>
              <w:spacing w:after="0"/>
              <w:rPr>
                <w:sz w:val="20"/>
                <w:szCs w:val="20"/>
                <w:color w:val="auto"/>
              </w:rPr>
            </w:pPr>
            <w:r>
              <w:rPr>
                <w:rFonts w:ascii="Arial" w:cs="Arial" w:eastAsia="Arial" w:hAnsi="Arial"/>
                <w:sz w:val="14"/>
                <w:szCs w:val="14"/>
                <w:b w:val="1"/>
                <w:bCs w:val="1"/>
                <w:color w:val="FFFFFF"/>
              </w:rPr>
              <w:t>Three Months Ended</w:t>
            </w:r>
          </w:p>
        </w:tc>
        <w:tc>
          <w:tcPr>
            <w:tcW w:w="740" w:type="dxa"/>
            <w:vAlign w:val="bottom"/>
            <w:shd w:val="clear" w:color="auto" w:fill="43C0B9"/>
          </w:tcPr>
          <w:p>
            <w:pPr>
              <w:spacing w:after="0"/>
              <w:rPr>
                <w:sz w:val="15"/>
                <w:szCs w:val="15"/>
                <w:color w:val="auto"/>
              </w:rPr>
            </w:pPr>
          </w:p>
        </w:tc>
      </w:tr>
      <w:tr>
        <w:trPr>
          <w:trHeight w:val="189"/>
        </w:trPr>
        <w:tc>
          <w:tcPr>
            <w:tcW w:w="7760" w:type="dxa"/>
            <w:vAlign w:val="bottom"/>
            <w:shd w:val="clear" w:color="auto" w:fill="43C0B9"/>
          </w:tcPr>
          <w:p>
            <w:pPr>
              <w:spacing w:after="0"/>
              <w:rPr>
                <w:sz w:val="16"/>
                <w:szCs w:val="16"/>
                <w:color w:val="auto"/>
              </w:rPr>
            </w:pPr>
          </w:p>
        </w:tc>
        <w:tc>
          <w:tcPr>
            <w:tcW w:w="560" w:type="dxa"/>
            <w:vAlign w:val="bottom"/>
            <w:shd w:val="clear" w:color="auto" w:fill="43C0B9"/>
          </w:tcPr>
          <w:p>
            <w:pPr>
              <w:spacing w:after="0"/>
              <w:rPr>
                <w:sz w:val="16"/>
                <w:szCs w:val="16"/>
                <w:color w:val="auto"/>
              </w:rPr>
            </w:pPr>
          </w:p>
        </w:tc>
        <w:tc>
          <w:tcPr>
            <w:tcW w:w="2180" w:type="dxa"/>
            <w:vAlign w:val="bottom"/>
            <w:gridSpan w:val="2"/>
            <w:shd w:val="clear" w:color="auto" w:fill="43C0B9"/>
          </w:tcPr>
          <w:p>
            <w:pPr>
              <w:jc w:val="center"/>
              <w:ind w:left="129"/>
              <w:spacing w:after="0"/>
              <w:rPr>
                <w:sz w:val="20"/>
                <w:szCs w:val="20"/>
                <w:color w:val="auto"/>
              </w:rPr>
            </w:pPr>
            <w:r>
              <w:rPr>
                <w:rFonts w:ascii="Arial" w:cs="Arial" w:eastAsia="Arial" w:hAnsi="Arial"/>
                <w:sz w:val="14"/>
                <w:szCs w:val="14"/>
                <w:b w:val="1"/>
                <w:bCs w:val="1"/>
                <w:color w:val="FFFFFF"/>
              </w:rPr>
              <w:t>January 31,</w:t>
            </w:r>
          </w:p>
        </w:tc>
        <w:tc>
          <w:tcPr>
            <w:tcW w:w="740" w:type="dxa"/>
            <w:vAlign w:val="bottom"/>
            <w:shd w:val="clear" w:color="auto" w:fill="43C0B9"/>
          </w:tcPr>
          <w:p>
            <w:pPr>
              <w:spacing w:after="0"/>
              <w:rPr>
                <w:sz w:val="16"/>
                <w:szCs w:val="16"/>
                <w:color w:val="auto"/>
              </w:rPr>
            </w:pPr>
          </w:p>
        </w:tc>
      </w:tr>
      <w:tr>
        <w:trPr>
          <w:trHeight w:val="239"/>
        </w:trPr>
        <w:tc>
          <w:tcPr>
            <w:tcW w:w="7760" w:type="dxa"/>
            <w:vAlign w:val="bottom"/>
            <w:shd w:val="clear" w:color="auto" w:fill="43C0B9"/>
          </w:tcPr>
          <w:p>
            <w:pPr>
              <w:spacing w:after="0"/>
              <w:rPr>
                <w:sz w:val="20"/>
                <w:szCs w:val="20"/>
                <w:color w:val="auto"/>
              </w:rPr>
            </w:pPr>
          </w:p>
        </w:tc>
        <w:tc>
          <w:tcPr>
            <w:tcW w:w="560" w:type="dxa"/>
            <w:vAlign w:val="bottom"/>
            <w:shd w:val="clear" w:color="auto" w:fill="43C0B9"/>
          </w:tcPr>
          <w:p>
            <w:pPr>
              <w:spacing w:after="0"/>
              <w:rPr>
                <w:sz w:val="20"/>
                <w:szCs w:val="20"/>
                <w:color w:val="auto"/>
              </w:rPr>
            </w:pPr>
          </w:p>
        </w:tc>
        <w:tc>
          <w:tcPr>
            <w:tcW w:w="1180" w:type="dxa"/>
            <w:vAlign w:val="bottom"/>
            <w:shd w:val="clear" w:color="auto" w:fill="43C0B9"/>
          </w:tcPr>
          <w:p>
            <w:pPr>
              <w:jc w:val="right"/>
              <w:ind w:right="129"/>
              <w:spacing w:after="0"/>
              <w:rPr>
                <w:sz w:val="20"/>
                <w:szCs w:val="20"/>
                <w:color w:val="auto"/>
              </w:rPr>
            </w:pPr>
            <w:r>
              <w:rPr>
                <w:rFonts w:ascii="Arial" w:cs="Arial" w:eastAsia="Arial" w:hAnsi="Arial"/>
                <w:sz w:val="14"/>
                <w:szCs w:val="14"/>
                <w:b w:val="1"/>
                <w:bCs w:val="1"/>
                <w:color w:val="FFFFFF"/>
              </w:rPr>
              <w:t>2022</w:t>
            </w:r>
          </w:p>
        </w:tc>
        <w:tc>
          <w:tcPr>
            <w:tcW w:w="1000" w:type="dxa"/>
            <w:vAlign w:val="bottom"/>
            <w:shd w:val="clear" w:color="auto" w:fill="43C0B9"/>
          </w:tcPr>
          <w:p>
            <w:pPr>
              <w:spacing w:after="0"/>
              <w:rPr>
                <w:sz w:val="20"/>
                <w:szCs w:val="20"/>
                <w:color w:val="auto"/>
              </w:rPr>
            </w:pPr>
          </w:p>
        </w:tc>
        <w:tc>
          <w:tcPr>
            <w:tcW w:w="74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profit (in millions)</w:t>
            </w:r>
          </w:p>
        </w:tc>
        <w:tc>
          <w:tcPr>
            <w:tcW w:w="560" w:type="dxa"/>
            <w:vAlign w:val="bottom"/>
            <w:shd w:val="clear" w:color="auto" w:fill="DBDBDB"/>
          </w:tcPr>
          <w:p>
            <w:pPr>
              <w:jc w:val="right"/>
              <w:ind w:right="3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ind w:left="720"/>
              <w:spacing w:after="0"/>
              <w:rPr>
                <w:sz w:val="20"/>
                <w:szCs w:val="20"/>
                <w:color w:val="auto"/>
              </w:rPr>
            </w:pPr>
            <w:r>
              <w:rPr>
                <w:rFonts w:ascii="Arial" w:cs="Arial" w:eastAsia="Arial" w:hAnsi="Arial"/>
                <w:sz w:val="14"/>
                <w:szCs w:val="14"/>
                <w:color w:val="auto"/>
              </w:rPr>
              <w:t>0.5</w:t>
            </w:r>
          </w:p>
        </w:tc>
        <w:tc>
          <w:tcPr>
            <w:tcW w:w="1000" w:type="dxa"/>
            <w:vAlign w:val="bottom"/>
            <w:shd w:val="clear" w:color="auto" w:fill="DBDBDB"/>
          </w:tcPr>
          <w:p>
            <w:pPr>
              <w:jc w:val="right"/>
              <w:ind w:right="769"/>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22.7</w:t>
            </w:r>
          </w:p>
        </w:tc>
      </w:tr>
      <w:tr>
        <w:trPr>
          <w:trHeight w:val="208"/>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profit as a percentage of sales</w:t>
            </w: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0.2 %</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13.1 %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-424180</wp:posOffset>
            </wp:positionV>
            <wp:extent cx="2207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76" w:lineRule="exact"/>
        <w:rPr>
          <w:sz w:val="20"/>
          <w:szCs w:val="20"/>
          <w:color w:val="auto"/>
        </w:rPr>
      </w:pPr>
    </w:p>
    <w:p>
      <w:pPr>
        <w:ind w:right="140" w:firstLine="642"/>
        <w:spacing w:after="0" w:line="246" w:lineRule="auto"/>
        <w:rPr>
          <w:sz w:val="20"/>
          <w:szCs w:val="20"/>
          <w:color w:val="auto"/>
        </w:rPr>
      </w:pPr>
      <w:r>
        <w:rPr>
          <w:rFonts w:ascii="Arial" w:cs="Arial" w:eastAsia="Arial" w:hAnsi="Arial"/>
          <w:sz w:val="16"/>
          <w:szCs w:val="16"/>
          <w:color w:val="auto"/>
        </w:rPr>
        <w:t>Gross profit decreased 98%, in the three months ended January 31, 2022 compared to the same period last year, to $0.5 million, primarily due to temporary and unforeseen operational challenges created by the ERP implementation in our Marketing &amp; Distribution segment. The challenges limited our ability to effectively manage our supply chain during the first quarter of 2022. Inventory management problems and unusually large fruit disposals—coupled with the low industry volume—resulted in a high reliance on both third-party fruit and packaged fruit, which have higher price points relative to fruit we source directly in the field, or pack in our facilities. This unfavorable sourcing mix combined with inflationary pressures, most notably in transportation costs, and weaker fixed cost absorption due to lower volume resulted in a significant increase in per-box costs, eroding gross profit.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37" w:lineRule="exact"/>
        <w:rPr>
          <w:sz w:val="20"/>
          <w:szCs w:val="20"/>
          <w:color w:val="auto"/>
        </w:rPr>
      </w:pPr>
    </w:p>
    <w:p>
      <w:pPr>
        <w:ind w:right="200" w:firstLine="642"/>
        <w:spacing w:after="0" w:line="256" w:lineRule="auto"/>
        <w:rPr>
          <w:sz w:val="20"/>
          <w:szCs w:val="20"/>
          <w:color w:val="auto"/>
        </w:rPr>
      </w:pPr>
      <w:r>
        <w:rPr>
          <w:rFonts w:ascii="Arial" w:cs="Arial" w:eastAsia="Arial" w:hAnsi="Arial"/>
          <w:sz w:val="16"/>
          <w:szCs w:val="16"/>
          <w:color w:val="auto"/>
        </w:rPr>
        <w:t>Selling, general and administrative expenses primarily include the costs associated with selling, professional fees, general corporate overhead and other related administrative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382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382270"/>
                    </a:xfrm>
                    <a:prstGeom prst="rect">
                      <a:avLst/>
                    </a:prstGeom>
                    <a:noFill/>
                  </pic:spPr>
                </pic:pic>
              </a:graphicData>
            </a:graphic>
          </wp:anchor>
        </w:drawing>
      </w:r>
    </w:p>
    <w:p>
      <w:pPr>
        <w:spacing w:after="0" w:line="5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Three Months Ended</w:t>
      </w:r>
    </w:p>
    <w:p>
      <w:pPr>
        <w:spacing w:after="0" w:line="1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January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4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620" w:type="dxa"/>
            <w:vAlign w:val="bottom"/>
            <w:shd w:val="clear" w:color="auto" w:fill="43C0B9"/>
          </w:tcPr>
          <w:p>
            <w:pPr>
              <w:spacing w:after="0"/>
              <w:rPr>
                <w:sz w:val="19"/>
                <w:szCs w:val="19"/>
                <w:color w:val="auto"/>
              </w:rPr>
            </w:pPr>
          </w:p>
        </w:tc>
        <w:tc>
          <w:tcPr>
            <w:tcW w:w="1000" w:type="dxa"/>
            <w:vAlign w:val="bottom"/>
            <w:shd w:val="clear" w:color="auto" w:fill="43C0B9"/>
          </w:tcPr>
          <w:p>
            <w:pPr>
              <w:jc w:val="right"/>
              <w:ind w:right="89"/>
              <w:spacing w:after="0"/>
              <w:rPr>
                <w:sz w:val="20"/>
                <w:szCs w:val="20"/>
                <w:color w:val="auto"/>
              </w:rPr>
            </w:pPr>
            <w:r>
              <w:rPr>
                <w:rFonts w:ascii="Arial" w:cs="Arial" w:eastAsia="Arial" w:hAnsi="Arial"/>
                <w:sz w:val="14"/>
                <w:szCs w:val="14"/>
                <w:b w:val="1"/>
                <w:bCs w:val="1"/>
                <w:color w:val="FFFFFF"/>
              </w:rPr>
              <w:t>2022</w:t>
            </w:r>
          </w:p>
        </w:tc>
        <w:tc>
          <w:tcPr>
            <w:tcW w:w="720" w:type="dxa"/>
            <w:vAlign w:val="bottom"/>
            <w:shd w:val="clear" w:color="auto" w:fill="43C0B9"/>
          </w:tcPr>
          <w:p>
            <w:pPr>
              <w:spacing w:after="0"/>
              <w:rPr>
                <w:sz w:val="19"/>
                <w:szCs w:val="19"/>
                <w:color w:val="auto"/>
              </w:rPr>
            </w:pPr>
          </w:p>
        </w:tc>
        <w:tc>
          <w:tcPr>
            <w:tcW w:w="96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08"/>
        </w:trPr>
        <w:tc>
          <w:tcPr>
            <w:tcW w:w="79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18.7</w:t>
            </w:r>
          </w:p>
        </w:tc>
        <w:tc>
          <w:tcPr>
            <w:tcW w:w="72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14.6</w:t>
            </w:r>
          </w:p>
        </w:tc>
      </w:tr>
    </w:tbl>
    <w:p>
      <w:pPr>
        <w:spacing w:after="0" w:line="296" w:lineRule="exact"/>
        <w:rPr>
          <w:sz w:val="20"/>
          <w:szCs w:val="20"/>
          <w:color w:val="auto"/>
        </w:rPr>
      </w:pPr>
    </w:p>
    <w:p>
      <w:pPr>
        <w:ind w:right="60" w:firstLine="642"/>
        <w:spacing w:after="0" w:line="248" w:lineRule="auto"/>
        <w:rPr>
          <w:sz w:val="20"/>
          <w:szCs w:val="20"/>
          <w:color w:val="auto"/>
        </w:rPr>
      </w:pPr>
      <w:r>
        <w:rPr>
          <w:rFonts w:ascii="Arial" w:cs="Arial" w:eastAsia="Arial" w:hAnsi="Arial"/>
          <w:sz w:val="16"/>
          <w:szCs w:val="16"/>
          <w:color w:val="auto"/>
        </w:rPr>
        <w:t>Selling, general and administrative expenses increased $4.1 million or 28% in the three months ended January 31, 2022 compared to the same period last year due primarily to noncapitalizable costs associated with the implementation of our new ERP system in our Marketing and Distribution segment, as well as higher professional fees, travel expenses, and certain transaction costs incurred in the first quarter of 2022. Higher professional fees were primarily related to our change in SEC filer status from an emerging growth company to a large accelerated filer on October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w:t>
      </w:r>
    </w:p>
    <w:p>
      <w:pPr>
        <w:spacing w:after="0" w:line="237" w:lineRule="exact"/>
        <w:rPr>
          <w:sz w:val="20"/>
          <w:szCs w:val="20"/>
          <w:color w:val="auto"/>
        </w:rPr>
      </w:pPr>
    </w:p>
    <w:p>
      <w:pPr>
        <w:ind w:right="340" w:firstLine="642"/>
        <w:spacing w:after="0" w:line="256" w:lineRule="auto"/>
        <w:rPr>
          <w:sz w:val="20"/>
          <w:szCs w:val="20"/>
          <w:color w:val="auto"/>
        </w:rPr>
      </w:pPr>
      <w:r>
        <w:rPr>
          <w:rFonts w:ascii="Arial" w:cs="Arial" w:eastAsia="Arial" w:hAnsi="Arial"/>
          <w:sz w:val="16"/>
          <w:szCs w:val="16"/>
          <w:color w:val="auto"/>
        </w:rPr>
        <w:t>Interest expense consists primarily of interest on borrowings under working capital facilities that we maintain and interest on other long-term debt used to make capital and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382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382270"/>
                    </a:xfrm>
                    <a:prstGeom prst="rect">
                      <a:avLst/>
                    </a:prstGeom>
                    <a:noFill/>
                  </pic:spPr>
                </pic:pic>
              </a:graphicData>
            </a:graphic>
          </wp:anchor>
        </w:drawing>
      </w:r>
    </w:p>
    <w:p>
      <w:pPr>
        <w:spacing w:after="0" w:line="5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Three Months Ended</w:t>
      </w:r>
    </w:p>
    <w:p>
      <w:pPr>
        <w:spacing w:after="0" w:line="1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January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4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620" w:type="dxa"/>
            <w:vAlign w:val="bottom"/>
            <w:shd w:val="clear" w:color="auto" w:fill="43C0B9"/>
          </w:tcPr>
          <w:p>
            <w:pPr>
              <w:spacing w:after="0"/>
              <w:rPr>
                <w:sz w:val="19"/>
                <w:szCs w:val="19"/>
                <w:color w:val="auto"/>
              </w:rPr>
            </w:pPr>
          </w:p>
        </w:tc>
        <w:tc>
          <w:tcPr>
            <w:tcW w:w="1000" w:type="dxa"/>
            <w:vAlign w:val="bottom"/>
            <w:shd w:val="clear" w:color="auto" w:fill="43C0B9"/>
          </w:tcPr>
          <w:p>
            <w:pPr>
              <w:jc w:val="right"/>
              <w:ind w:right="89"/>
              <w:spacing w:after="0"/>
              <w:rPr>
                <w:sz w:val="20"/>
                <w:szCs w:val="20"/>
                <w:color w:val="auto"/>
              </w:rPr>
            </w:pPr>
            <w:r>
              <w:rPr>
                <w:rFonts w:ascii="Arial" w:cs="Arial" w:eastAsia="Arial" w:hAnsi="Arial"/>
                <w:sz w:val="14"/>
                <w:szCs w:val="14"/>
                <w:b w:val="1"/>
                <w:bCs w:val="1"/>
                <w:color w:val="FFFFFF"/>
              </w:rPr>
              <w:t>2022</w:t>
            </w:r>
          </w:p>
        </w:tc>
        <w:tc>
          <w:tcPr>
            <w:tcW w:w="720" w:type="dxa"/>
            <w:vAlign w:val="bottom"/>
            <w:shd w:val="clear" w:color="auto" w:fill="43C0B9"/>
          </w:tcPr>
          <w:p>
            <w:pPr>
              <w:spacing w:after="0"/>
              <w:rPr>
                <w:sz w:val="19"/>
                <w:szCs w:val="19"/>
                <w:color w:val="auto"/>
              </w:rPr>
            </w:pPr>
          </w:p>
        </w:tc>
        <w:tc>
          <w:tcPr>
            <w:tcW w:w="96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08"/>
        </w:trPr>
        <w:tc>
          <w:tcPr>
            <w:tcW w:w="79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Interest expense</w:t>
            </w:r>
          </w:p>
        </w:tc>
        <w:tc>
          <w:tcPr>
            <w:tcW w:w="62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0.9</w:t>
            </w:r>
          </w:p>
        </w:tc>
        <w:tc>
          <w:tcPr>
            <w:tcW w:w="72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bl>
    <w:p>
      <w:pPr>
        <w:spacing w:after="0" w:line="309" w:lineRule="exact"/>
        <w:rPr>
          <w:sz w:val="20"/>
          <w:szCs w:val="20"/>
          <w:color w:val="auto"/>
        </w:rPr>
      </w:pPr>
    </w:p>
    <w:p>
      <w:pPr>
        <w:ind w:right="660" w:firstLine="642"/>
        <w:spacing w:after="0" w:line="256" w:lineRule="auto"/>
        <w:rPr>
          <w:sz w:val="20"/>
          <w:szCs w:val="20"/>
          <w:color w:val="auto"/>
        </w:rPr>
      </w:pPr>
      <w:r>
        <w:rPr>
          <w:rFonts w:ascii="Arial" w:cs="Arial" w:eastAsia="Arial" w:hAnsi="Arial"/>
          <w:sz w:val="16"/>
          <w:szCs w:val="16"/>
          <w:color w:val="auto"/>
        </w:rPr>
        <w:t>Interest expense was relatively flat in the three months ended January 31, 2022 compared to the same period last year. Lower average debt balances were offset by moderately higher interest rates compared to the same period last year.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income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material equity method investees include Henry Avocado (“HAC”), Mr. Avocado, Moruga, and Copaltas.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3590" cy="382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382270"/>
                    </a:xfrm>
                    <a:prstGeom prst="rect">
                      <a:avLst/>
                    </a:prstGeom>
                    <a:noFill/>
                  </pic:spPr>
                </pic:pic>
              </a:graphicData>
            </a:graphic>
          </wp:anchor>
        </w:drawing>
      </w:r>
    </w:p>
    <w:p>
      <w:pPr>
        <w:spacing w:after="0" w:line="7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Three Months Ended</w:t>
      </w:r>
    </w:p>
    <w:p>
      <w:pPr>
        <w:spacing w:after="0" w:line="1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January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4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620" w:type="dxa"/>
            <w:vAlign w:val="bottom"/>
            <w:shd w:val="clear" w:color="auto" w:fill="43C0B9"/>
          </w:tcPr>
          <w:p>
            <w:pPr>
              <w:spacing w:after="0"/>
              <w:rPr>
                <w:sz w:val="19"/>
                <w:szCs w:val="19"/>
                <w:color w:val="auto"/>
              </w:rPr>
            </w:pPr>
          </w:p>
        </w:tc>
        <w:tc>
          <w:tcPr>
            <w:tcW w:w="1000" w:type="dxa"/>
            <w:vAlign w:val="bottom"/>
            <w:shd w:val="clear" w:color="auto" w:fill="43C0B9"/>
          </w:tcPr>
          <w:p>
            <w:pPr>
              <w:jc w:val="right"/>
              <w:ind w:right="89"/>
              <w:spacing w:after="0"/>
              <w:rPr>
                <w:sz w:val="20"/>
                <w:szCs w:val="20"/>
                <w:color w:val="auto"/>
              </w:rPr>
            </w:pPr>
            <w:r>
              <w:rPr>
                <w:rFonts w:ascii="Arial" w:cs="Arial" w:eastAsia="Arial" w:hAnsi="Arial"/>
                <w:sz w:val="14"/>
                <w:szCs w:val="14"/>
                <w:b w:val="1"/>
                <w:bCs w:val="1"/>
                <w:color w:val="FFFFFF"/>
              </w:rPr>
              <w:t>2022</w:t>
            </w:r>
          </w:p>
        </w:tc>
        <w:tc>
          <w:tcPr>
            <w:tcW w:w="720" w:type="dxa"/>
            <w:vAlign w:val="bottom"/>
            <w:shd w:val="clear" w:color="auto" w:fill="43C0B9"/>
          </w:tcPr>
          <w:p>
            <w:pPr>
              <w:spacing w:after="0"/>
              <w:rPr>
                <w:sz w:val="19"/>
                <w:szCs w:val="19"/>
                <w:color w:val="auto"/>
              </w:rPr>
            </w:pPr>
          </w:p>
        </w:tc>
        <w:tc>
          <w:tcPr>
            <w:tcW w:w="96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08"/>
        </w:trPr>
        <w:tc>
          <w:tcPr>
            <w:tcW w:w="79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62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1.6</w:t>
            </w:r>
          </w:p>
        </w:tc>
        <w:tc>
          <w:tcPr>
            <w:tcW w:w="72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w:t>
            </w:r>
          </w:p>
        </w:tc>
      </w:tr>
    </w:tbl>
    <w:p>
      <w:pPr>
        <w:spacing w:after="0" w:line="296" w:lineRule="exact"/>
        <w:rPr>
          <w:sz w:val="20"/>
          <w:szCs w:val="20"/>
          <w:color w:val="auto"/>
        </w:rPr>
      </w:pPr>
    </w:p>
    <w:p>
      <w:pPr>
        <w:ind w:right="340" w:firstLine="642"/>
        <w:spacing w:after="0" w:line="250" w:lineRule="auto"/>
        <w:rPr>
          <w:sz w:val="20"/>
          <w:szCs w:val="20"/>
          <w:color w:val="auto"/>
        </w:rPr>
      </w:pPr>
      <w:r>
        <w:rPr>
          <w:rFonts w:ascii="Arial" w:cs="Arial" w:eastAsia="Arial" w:hAnsi="Arial"/>
          <w:sz w:val="16"/>
          <w:szCs w:val="16"/>
          <w:color w:val="auto"/>
        </w:rPr>
        <w:t>Equity method income decreased $0.7 million or 30% in the three months ended January 31, 2022 compared to the same period last year due to lower earnings from Moruga. Earnings at Moruga were affected by lower per-unit sales pricing, as well as higher farming costs associated with the replacement of certain farmable area with the intent of increasing yields.</w:t>
      </w: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Other income</w:t>
      </w:r>
    </w:p>
    <w:p>
      <w:pPr>
        <w:spacing w:after="0" w:line="237" w:lineRule="exact"/>
        <w:rPr>
          <w:sz w:val="20"/>
          <w:szCs w:val="20"/>
          <w:color w:val="auto"/>
        </w:rPr>
      </w:pPr>
    </w:p>
    <w:p>
      <w:pPr>
        <w:ind w:firstLine="642"/>
        <w:spacing w:after="0" w:line="256" w:lineRule="auto"/>
        <w:rPr>
          <w:sz w:val="20"/>
          <w:szCs w:val="20"/>
          <w:color w:val="auto"/>
        </w:rPr>
      </w:pPr>
      <w:r>
        <w:rPr>
          <w:rFonts w:ascii="Arial" w:cs="Arial" w:eastAsia="Arial" w:hAnsi="Arial"/>
          <w:sz w:val="16"/>
          <w:szCs w:val="16"/>
          <w:color w:val="auto"/>
        </w:rPr>
        <w:t>Other income consists of interest income, currency exchange gains or losses, interest rate derivative gains or losses and other miscellaneous income and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191135</wp:posOffset>
            </wp:positionV>
            <wp:extent cx="7133590" cy="382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382270"/>
                    </a:xfrm>
                    <a:prstGeom prst="rect">
                      <a:avLst/>
                    </a:prstGeom>
                    <a:noFill/>
                  </pic:spPr>
                </pic:pic>
              </a:graphicData>
            </a:graphic>
          </wp:anchor>
        </w:drawing>
      </w:r>
    </w:p>
    <w:p>
      <w:pPr>
        <w:spacing w:after="0" w:line="29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Three Months Ended</w:t>
      </w:r>
    </w:p>
    <w:p>
      <w:pPr>
        <w:spacing w:after="0" w:line="1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January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4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620" w:type="dxa"/>
            <w:vAlign w:val="bottom"/>
            <w:shd w:val="clear" w:color="auto" w:fill="43C0B9"/>
          </w:tcPr>
          <w:p>
            <w:pPr>
              <w:spacing w:after="0"/>
              <w:rPr>
                <w:sz w:val="19"/>
                <w:szCs w:val="19"/>
                <w:color w:val="auto"/>
              </w:rPr>
            </w:pPr>
          </w:p>
        </w:tc>
        <w:tc>
          <w:tcPr>
            <w:tcW w:w="1000" w:type="dxa"/>
            <w:vAlign w:val="bottom"/>
            <w:shd w:val="clear" w:color="auto" w:fill="43C0B9"/>
          </w:tcPr>
          <w:p>
            <w:pPr>
              <w:jc w:val="right"/>
              <w:ind w:right="89"/>
              <w:spacing w:after="0"/>
              <w:rPr>
                <w:sz w:val="20"/>
                <w:szCs w:val="20"/>
                <w:color w:val="auto"/>
              </w:rPr>
            </w:pPr>
            <w:r>
              <w:rPr>
                <w:rFonts w:ascii="Arial" w:cs="Arial" w:eastAsia="Arial" w:hAnsi="Arial"/>
                <w:sz w:val="14"/>
                <w:szCs w:val="14"/>
                <w:b w:val="1"/>
                <w:bCs w:val="1"/>
                <w:color w:val="FFFFFF"/>
              </w:rPr>
              <w:t>2022</w:t>
            </w:r>
          </w:p>
        </w:tc>
        <w:tc>
          <w:tcPr>
            <w:tcW w:w="720" w:type="dxa"/>
            <w:vAlign w:val="bottom"/>
            <w:shd w:val="clear" w:color="auto" w:fill="43C0B9"/>
          </w:tcPr>
          <w:p>
            <w:pPr>
              <w:spacing w:after="0"/>
              <w:rPr>
                <w:sz w:val="19"/>
                <w:szCs w:val="19"/>
                <w:color w:val="auto"/>
              </w:rPr>
            </w:pPr>
          </w:p>
        </w:tc>
        <w:tc>
          <w:tcPr>
            <w:tcW w:w="96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08"/>
        </w:trPr>
        <w:tc>
          <w:tcPr>
            <w:tcW w:w="79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Other income</w:t>
            </w:r>
          </w:p>
        </w:tc>
        <w:tc>
          <w:tcPr>
            <w:tcW w:w="62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1.6</w:t>
            </w:r>
          </w:p>
        </w:tc>
        <w:tc>
          <w:tcPr>
            <w:tcW w:w="720" w:type="dxa"/>
            <w:vAlign w:val="bottom"/>
            <w:tcBorders>
              <w:bottom w:val="single" w:sz="8" w:color="auto"/>
            </w:tcBorders>
            <w:shd w:val="clear" w:color="auto" w:fill="DBDBDB"/>
          </w:tcPr>
          <w:p>
            <w:pPr>
              <w:jc w:val="right"/>
              <w:ind w:right="4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bl>
    <w:p>
      <w:pPr>
        <w:spacing w:after="0" w:line="296" w:lineRule="exact"/>
        <w:rPr>
          <w:sz w:val="20"/>
          <w:szCs w:val="20"/>
          <w:color w:val="auto"/>
        </w:rPr>
      </w:pPr>
    </w:p>
    <w:p>
      <w:pPr>
        <w:jc w:val="both"/>
        <w:ind w:right="240" w:firstLine="642"/>
        <w:spacing w:after="0" w:line="250" w:lineRule="auto"/>
        <w:rPr>
          <w:sz w:val="20"/>
          <w:szCs w:val="20"/>
          <w:color w:val="auto"/>
        </w:rPr>
      </w:pPr>
      <w:r>
        <w:rPr>
          <w:rFonts w:ascii="Arial" w:cs="Arial" w:eastAsia="Arial" w:hAnsi="Arial"/>
          <w:sz w:val="16"/>
          <w:szCs w:val="16"/>
          <w:color w:val="auto"/>
        </w:rPr>
        <w:t>Other income increased $1.6 million in the three months ended January 31, 2022 compared to the same period last year primarily due to gains on our interest rate swaps driven by market movements in short-term interest rates and gain on foreign currency transactions primarily between the U.S. dollar and Mexican peso compared to losses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provision for income taxes</w:t>
      </w:r>
    </w:p>
    <w:p>
      <w:pPr>
        <w:spacing w:after="0" w:line="237" w:lineRule="exact"/>
        <w:rPr>
          <w:sz w:val="20"/>
          <w:szCs w:val="20"/>
          <w:color w:val="auto"/>
        </w:rPr>
      </w:pPr>
    </w:p>
    <w:p>
      <w:pPr>
        <w:ind w:right="40" w:firstLine="642"/>
        <w:spacing w:after="0" w:line="248" w:lineRule="auto"/>
        <w:rPr>
          <w:sz w:val="20"/>
          <w:szCs w:val="20"/>
          <w:color w:val="auto"/>
        </w:rPr>
      </w:pPr>
      <w:r>
        <w:rPr>
          <w:rFonts w:ascii="Arial" w:cs="Arial" w:eastAsia="Arial" w:hAnsi="Arial"/>
          <w:sz w:val="16"/>
          <w:szCs w:val="16"/>
          <w:color w:val="auto"/>
        </w:rPr>
        <w:t>The (benefit)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202" w:lineRule="exact"/>
        <w:rPr>
          <w:sz w:val="20"/>
          <w:szCs w:val="20"/>
          <w:color w:val="auto"/>
        </w:rPr>
      </w:pPr>
    </w:p>
    <w:p>
      <w:pPr>
        <w:ind w:right="280" w:firstLine="642"/>
        <w:spacing w:after="0" w:line="248" w:lineRule="auto"/>
        <w:rPr>
          <w:sz w:val="20"/>
          <w:szCs w:val="20"/>
          <w:color w:val="auto"/>
        </w:rPr>
      </w:pPr>
      <w:r>
        <w:rPr>
          <w:rFonts w:ascii="Arial" w:cs="Arial" w:eastAsia="Arial" w:hAnsi="Arial"/>
          <w:sz w:val="16"/>
          <w:szCs w:val="16"/>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0" w:type="dxa"/>
            <w:vAlign w:val="bottom"/>
            <w:shd w:val="clear" w:color="auto" w:fill="43C0B9"/>
          </w:tcPr>
          <w:p>
            <w:pPr>
              <w:spacing w:after="0"/>
              <w:rPr>
                <w:sz w:val="15"/>
                <w:szCs w:val="15"/>
                <w:color w:val="auto"/>
              </w:rPr>
            </w:pPr>
          </w:p>
        </w:tc>
        <w:tc>
          <w:tcPr>
            <w:tcW w:w="740" w:type="dxa"/>
            <w:vAlign w:val="bottom"/>
            <w:shd w:val="clear" w:color="auto" w:fill="43C0B9"/>
          </w:tcPr>
          <w:p>
            <w:pPr>
              <w:spacing w:after="0"/>
              <w:rPr>
                <w:sz w:val="15"/>
                <w:szCs w:val="15"/>
                <w:color w:val="auto"/>
              </w:rPr>
            </w:pPr>
          </w:p>
        </w:tc>
        <w:tc>
          <w:tcPr>
            <w:tcW w:w="2160" w:type="dxa"/>
            <w:vAlign w:val="bottom"/>
            <w:gridSpan w:val="2"/>
            <w:shd w:val="clear" w:color="auto" w:fill="43C0B9"/>
          </w:tcPr>
          <w:p>
            <w:pPr>
              <w:jc w:val="center"/>
              <w:ind w:left="109"/>
              <w:spacing w:after="0"/>
              <w:rPr>
                <w:sz w:val="20"/>
                <w:szCs w:val="20"/>
                <w:color w:val="auto"/>
              </w:rPr>
            </w:pPr>
            <w:r>
              <w:rPr>
                <w:rFonts w:ascii="Arial" w:cs="Arial" w:eastAsia="Arial" w:hAnsi="Arial"/>
                <w:sz w:val="14"/>
                <w:szCs w:val="14"/>
                <w:b w:val="1"/>
                <w:bCs w:val="1"/>
                <w:color w:val="FFFFFF"/>
              </w:rPr>
              <w:t>Three Months Ended</w:t>
            </w:r>
          </w:p>
        </w:tc>
        <w:tc>
          <w:tcPr>
            <w:tcW w:w="740" w:type="dxa"/>
            <w:vAlign w:val="bottom"/>
            <w:shd w:val="clear" w:color="auto" w:fill="43C0B9"/>
          </w:tcPr>
          <w:p>
            <w:pPr>
              <w:spacing w:after="0"/>
              <w:rPr>
                <w:sz w:val="15"/>
                <w:szCs w:val="15"/>
                <w:color w:val="auto"/>
              </w:rPr>
            </w:pPr>
          </w:p>
        </w:tc>
      </w:tr>
      <w:tr>
        <w:trPr>
          <w:trHeight w:val="189"/>
        </w:trPr>
        <w:tc>
          <w:tcPr>
            <w:tcW w:w="7600" w:type="dxa"/>
            <w:vAlign w:val="bottom"/>
            <w:shd w:val="clear" w:color="auto" w:fill="43C0B9"/>
          </w:tcPr>
          <w:p>
            <w:pPr>
              <w:spacing w:after="0"/>
              <w:rPr>
                <w:sz w:val="16"/>
                <w:szCs w:val="16"/>
                <w:color w:val="auto"/>
              </w:rPr>
            </w:pPr>
          </w:p>
        </w:tc>
        <w:tc>
          <w:tcPr>
            <w:tcW w:w="740" w:type="dxa"/>
            <w:vAlign w:val="bottom"/>
            <w:shd w:val="clear" w:color="auto" w:fill="43C0B9"/>
          </w:tcPr>
          <w:p>
            <w:pPr>
              <w:spacing w:after="0"/>
              <w:rPr>
                <w:sz w:val="16"/>
                <w:szCs w:val="16"/>
                <w:color w:val="auto"/>
              </w:rPr>
            </w:pPr>
          </w:p>
        </w:tc>
        <w:tc>
          <w:tcPr>
            <w:tcW w:w="2160" w:type="dxa"/>
            <w:vAlign w:val="bottom"/>
            <w:gridSpan w:val="2"/>
            <w:shd w:val="clear" w:color="auto" w:fill="43C0B9"/>
          </w:tcPr>
          <w:p>
            <w:pPr>
              <w:jc w:val="center"/>
              <w:ind w:left="109"/>
              <w:spacing w:after="0"/>
              <w:rPr>
                <w:sz w:val="20"/>
                <w:szCs w:val="20"/>
                <w:color w:val="auto"/>
              </w:rPr>
            </w:pPr>
            <w:r>
              <w:rPr>
                <w:rFonts w:ascii="Arial" w:cs="Arial" w:eastAsia="Arial" w:hAnsi="Arial"/>
                <w:sz w:val="14"/>
                <w:szCs w:val="14"/>
                <w:b w:val="1"/>
                <w:bCs w:val="1"/>
                <w:color w:val="FFFFFF"/>
              </w:rPr>
              <w:t>January 31,</w:t>
            </w:r>
          </w:p>
        </w:tc>
        <w:tc>
          <w:tcPr>
            <w:tcW w:w="740" w:type="dxa"/>
            <w:vAlign w:val="bottom"/>
            <w:shd w:val="clear" w:color="auto" w:fill="43C0B9"/>
          </w:tcPr>
          <w:p>
            <w:pPr>
              <w:spacing w:after="0"/>
              <w:rPr>
                <w:sz w:val="16"/>
                <w:szCs w:val="16"/>
                <w:color w:val="auto"/>
              </w:rPr>
            </w:pPr>
          </w:p>
        </w:tc>
      </w:tr>
      <w:tr>
        <w:trPr>
          <w:trHeight w:val="239"/>
        </w:trPr>
        <w:tc>
          <w:tcPr>
            <w:tcW w:w="7600" w:type="dxa"/>
            <w:vAlign w:val="bottom"/>
            <w:shd w:val="clear" w:color="auto" w:fill="43C0B9"/>
          </w:tcPr>
          <w:p>
            <w:pPr>
              <w:spacing w:after="0"/>
              <w:rPr>
                <w:sz w:val="20"/>
                <w:szCs w:val="20"/>
                <w:color w:val="auto"/>
              </w:rPr>
            </w:pPr>
          </w:p>
        </w:tc>
        <w:tc>
          <w:tcPr>
            <w:tcW w:w="740" w:type="dxa"/>
            <w:vAlign w:val="bottom"/>
            <w:shd w:val="clear" w:color="auto" w:fill="43C0B9"/>
          </w:tcPr>
          <w:p>
            <w:pPr>
              <w:spacing w:after="0"/>
              <w:rPr>
                <w:sz w:val="20"/>
                <w:szCs w:val="20"/>
                <w:color w:val="auto"/>
              </w:rPr>
            </w:pPr>
          </w:p>
        </w:tc>
        <w:tc>
          <w:tcPr>
            <w:tcW w:w="1160" w:type="dxa"/>
            <w:vAlign w:val="bottom"/>
            <w:shd w:val="clear" w:color="auto" w:fill="43C0B9"/>
          </w:tcPr>
          <w:p>
            <w:pPr>
              <w:ind w:left="660"/>
              <w:spacing w:after="0"/>
              <w:rPr>
                <w:sz w:val="20"/>
                <w:szCs w:val="20"/>
                <w:color w:val="auto"/>
              </w:rPr>
            </w:pPr>
            <w:r>
              <w:rPr>
                <w:rFonts w:ascii="Arial" w:cs="Arial" w:eastAsia="Arial" w:hAnsi="Arial"/>
                <w:sz w:val="14"/>
                <w:szCs w:val="14"/>
                <w:b w:val="1"/>
                <w:bCs w:val="1"/>
                <w:color w:val="FFFFFF"/>
              </w:rPr>
              <w:t>2022</w:t>
            </w:r>
          </w:p>
        </w:tc>
        <w:tc>
          <w:tcPr>
            <w:tcW w:w="1000" w:type="dxa"/>
            <w:vAlign w:val="bottom"/>
            <w:shd w:val="clear" w:color="auto" w:fill="43C0B9"/>
          </w:tcPr>
          <w:p>
            <w:pPr>
              <w:spacing w:after="0"/>
              <w:rPr>
                <w:sz w:val="20"/>
                <w:szCs w:val="20"/>
                <w:color w:val="auto"/>
              </w:rPr>
            </w:pPr>
          </w:p>
        </w:tc>
        <w:tc>
          <w:tcPr>
            <w:tcW w:w="74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600" w:type="dxa"/>
            <w:vAlign w:val="bottom"/>
            <w:shd w:val="clear" w:color="auto" w:fill="DBDBDB"/>
          </w:tcPr>
          <w:p>
            <w:pPr>
              <w:ind w:left="20"/>
              <w:spacing w:after="0"/>
              <w:rPr>
                <w:sz w:val="20"/>
                <w:szCs w:val="20"/>
                <w:color w:val="auto"/>
              </w:rPr>
            </w:pPr>
            <w:r>
              <w:rPr>
                <w:rFonts w:ascii="Arial" w:cs="Arial" w:eastAsia="Arial" w:hAnsi="Arial"/>
                <w:sz w:val="14"/>
                <w:szCs w:val="14"/>
                <w:color w:val="auto"/>
              </w:rPr>
              <w:t>(Benefit) provision for income taxes (in millions)</w:t>
            </w:r>
          </w:p>
        </w:tc>
        <w:tc>
          <w:tcPr>
            <w:tcW w:w="740" w:type="dxa"/>
            <w:vAlign w:val="bottom"/>
            <w:shd w:val="clear" w:color="auto" w:fill="DBDBDB"/>
          </w:tcPr>
          <w:p>
            <w:pPr>
              <w:jc w:val="right"/>
              <w:ind w:right="3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ind w:left="660"/>
              <w:spacing w:after="0"/>
              <w:rPr>
                <w:sz w:val="20"/>
                <w:szCs w:val="20"/>
                <w:color w:val="auto"/>
              </w:rPr>
            </w:pPr>
            <w:r>
              <w:rPr>
                <w:rFonts w:ascii="Arial" w:cs="Arial" w:eastAsia="Arial" w:hAnsi="Arial"/>
                <w:sz w:val="14"/>
                <w:szCs w:val="14"/>
                <w:color w:val="auto"/>
              </w:rPr>
              <w:t>(2.5)</w:t>
            </w:r>
          </w:p>
        </w:tc>
        <w:tc>
          <w:tcPr>
            <w:tcW w:w="1000" w:type="dxa"/>
            <w:vAlign w:val="bottom"/>
            <w:shd w:val="clear" w:color="auto" w:fill="DBDBDB"/>
          </w:tcPr>
          <w:p>
            <w:pPr>
              <w:jc w:val="right"/>
              <w:ind w:right="749"/>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7.3</w:t>
            </w:r>
          </w:p>
        </w:tc>
      </w:tr>
      <w:tr>
        <w:trPr>
          <w:trHeight w:val="20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Effective tax rate</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15.7 %</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-424180</wp:posOffset>
            </wp:positionV>
            <wp:extent cx="2199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289" w:lineRule="exact"/>
        <w:rPr>
          <w:sz w:val="20"/>
          <w:szCs w:val="20"/>
          <w:color w:val="auto"/>
        </w:rPr>
      </w:pPr>
    </w:p>
    <w:p>
      <w:pPr>
        <w:ind w:firstLine="642"/>
        <w:spacing w:after="0" w:line="246" w:lineRule="auto"/>
        <w:rPr>
          <w:sz w:val="20"/>
          <w:szCs w:val="20"/>
          <w:color w:val="auto"/>
        </w:rPr>
      </w:pPr>
      <w:r>
        <w:rPr>
          <w:rFonts w:ascii="Arial" w:cs="Arial" w:eastAsia="Arial" w:hAnsi="Arial"/>
          <w:sz w:val="16"/>
          <w:szCs w:val="16"/>
          <w:color w:val="auto"/>
        </w:rPr>
        <w:t>We had an income tax benefit of $2.5 million in the three months ended January 31, 2022 compared to a provision for income taxes of $7.3 million for the same period last year. The benefit from income taxes for the three months ended January 31, 2022 was attributed to pre-tax losses recorded during the period. The provision for income taxes for the three months ended January 31, 2021 included a discrete tax expense of $5.1 million, related to the remeasurement of our deferred tax liabilities in Peru due to the enactment of tax rate changes for future years. Notwithstanding the impact of this prior year discrete charge, the decrease in our effective tax rate was attributable to a greater percentage of our income being concentrated in foreign jurisdictions with lower corporate tax rates than the U.S.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w:t>
      </w:r>
    </w:p>
    <w:p>
      <w:pPr>
        <w:spacing w:after="0" w:line="241" w:lineRule="exact"/>
        <w:rPr>
          <w:sz w:val="20"/>
          <w:szCs w:val="20"/>
          <w:color w:val="auto"/>
        </w:rPr>
      </w:pPr>
    </w:p>
    <w:p>
      <w:pPr>
        <w:ind w:right="80" w:firstLine="642"/>
        <w:spacing w:after="0" w:line="248" w:lineRule="auto"/>
        <w:rPr>
          <w:sz w:val="20"/>
          <w:szCs w:val="20"/>
          <w:color w:val="auto"/>
        </w:rPr>
      </w:pPr>
      <w:r>
        <w:rPr>
          <w:rFonts w:ascii="Arial" w:cs="Arial" w:eastAsia="Arial" w:hAnsi="Arial"/>
          <w:sz w:val="16"/>
          <w:szCs w:val="16"/>
          <w:color w:val="auto"/>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202" w:lineRule="exact"/>
        <w:rPr>
          <w:sz w:val="20"/>
          <w:szCs w:val="20"/>
          <w:color w:val="auto"/>
        </w:rPr>
      </w:pPr>
    </w:p>
    <w:p>
      <w:pPr>
        <w:ind w:right="100" w:firstLine="642"/>
        <w:spacing w:after="0" w:line="247" w:lineRule="auto"/>
        <w:rPr>
          <w:sz w:val="20"/>
          <w:szCs w:val="20"/>
          <w:color w:val="auto"/>
        </w:rPr>
      </w:pPr>
      <w:r>
        <w:rPr>
          <w:rFonts w:ascii="Arial" w:cs="Arial" w:eastAsia="Arial" w:hAnsi="Arial"/>
          <w:sz w:val="16"/>
          <w:szCs w:val="16"/>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noncapitalizable ERP implementation costs, transaction costs, and any special, non-recurring, or one-time items such as impairments that are excluded from the results the CEO reviews uses to assess segment performance and results.</w:t>
      </w: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Net sales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shd w:val="clear" w:color="auto" w:fill="43C0B9"/>
          </w:tcPr>
          <w:p>
            <w:pPr>
              <w:spacing w:after="0"/>
              <w:rPr>
                <w:sz w:val="15"/>
                <w:szCs w:val="15"/>
                <w:color w:val="auto"/>
              </w:rPr>
            </w:pPr>
          </w:p>
        </w:tc>
        <w:tc>
          <w:tcPr>
            <w:tcW w:w="240" w:type="dxa"/>
            <w:vAlign w:val="bottom"/>
            <w:shd w:val="clear" w:color="auto" w:fill="43C0B9"/>
          </w:tcPr>
          <w:p>
            <w:pPr>
              <w:spacing w:after="0"/>
              <w:rPr>
                <w:sz w:val="15"/>
                <w:szCs w:val="15"/>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Marketing and</w:t>
            </w:r>
          </w:p>
        </w:tc>
        <w:tc>
          <w:tcPr>
            <w:tcW w:w="280" w:type="dxa"/>
            <w:vAlign w:val="bottom"/>
            <w:shd w:val="clear" w:color="auto" w:fill="43C0B9"/>
          </w:tcPr>
          <w:p>
            <w:pPr>
              <w:spacing w:after="0"/>
              <w:rPr>
                <w:sz w:val="15"/>
                <w:szCs w:val="15"/>
                <w:color w:val="auto"/>
              </w:rPr>
            </w:pPr>
          </w:p>
        </w:tc>
        <w:tc>
          <w:tcPr>
            <w:tcW w:w="10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International</w:t>
            </w:r>
          </w:p>
        </w:tc>
        <w:tc>
          <w:tcPr>
            <w:tcW w:w="44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440" w:type="dxa"/>
            <w:vAlign w:val="bottom"/>
            <w:shd w:val="clear" w:color="auto" w:fill="43C0B9"/>
          </w:tcPr>
          <w:p>
            <w:pPr>
              <w:spacing w:after="0"/>
              <w:rPr>
                <w:sz w:val="15"/>
                <w:szCs w:val="15"/>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Marketing and</w:t>
            </w:r>
          </w:p>
        </w:tc>
        <w:tc>
          <w:tcPr>
            <w:tcW w:w="280" w:type="dxa"/>
            <w:vAlign w:val="bottom"/>
            <w:shd w:val="clear" w:color="auto" w:fill="43C0B9"/>
          </w:tcPr>
          <w:p>
            <w:pPr>
              <w:spacing w:after="0"/>
              <w:rPr>
                <w:sz w:val="15"/>
                <w:szCs w:val="15"/>
                <w:color w:val="auto"/>
              </w:rPr>
            </w:pPr>
          </w:p>
        </w:tc>
        <w:tc>
          <w:tcPr>
            <w:tcW w:w="108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International</w:t>
            </w:r>
          </w:p>
        </w:tc>
        <w:tc>
          <w:tcPr>
            <w:tcW w:w="500" w:type="dxa"/>
            <w:vAlign w:val="bottom"/>
            <w:shd w:val="clear" w:color="auto" w:fill="43C0B9"/>
          </w:tcPr>
          <w:p>
            <w:pPr>
              <w:spacing w:after="0"/>
              <w:rPr>
                <w:sz w:val="15"/>
                <w:szCs w:val="15"/>
                <w:color w:val="auto"/>
              </w:rPr>
            </w:pPr>
          </w:p>
        </w:tc>
        <w:tc>
          <w:tcPr>
            <w:tcW w:w="840" w:type="dxa"/>
            <w:vAlign w:val="bottom"/>
            <w:shd w:val="clear" w:color="auto" w:fill="43C0B9"/>
          </w:tcPr>
          <w:p>
            <w:pPr>
              <w:spacing w:after="0"/>
              <w:rPr>
                <w:sz w:val="15"/>
                <w:szCs w:val="15"/>
                <w:color w:val="auto"/>
              </w:rPr>
            </w:pPr>
          </w:p>
        </w:tc>
      </w:tr>
      <w:tr>
        <w:trPr>
          <w:trHeight w:val="189"/>
        </w:trPr>
        <w:tc>
          <w:tcPr>
            <w:tcW w:w="2880" w:type="dxa"/>
            <w:vAlign w:val="bottom"/>
            <w:shd w:val="clear" w:color="auto" w:fill="43C0B9"/>
          </w:tcPr>
          <w:p>
            <w:pPr>
              <w:spacing w:after="0"/>
              <w:rPr>
                <w:sz w:val="16"/>
                <w:szCs w:val="16"/>
                <w:color w:val="auto"/>
              </w:rPr>
            </w:pPr>
          </w:p>
        </w:tc>
        <w:tc>
          <w:tcPr>
            <w:tcW w:w="240" w:type="dxa"/>
            <w:vAlign w:val="bottom"/>
            <w:shd w:val="clear" w:color="auto" w:fill="43C0B9"/>
          </w:tcPr>
          <w:p>
            <w:pPr>
              <w:spacing w:after="0"/>
              <w:rPr>
                <w:sz w:val="16"/>
                <w:szCs w:val="16"/>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Distribution</w:t>
            </w:r>
          </w:p>
        </w:tc>
        <w:tc>
          <w:tcPr>
            <w:tcW w:w="280" w:type="dxa"/>
            <w:vAlign w:val="bottom"/>
            <w:shd w:val="clear" w:color="auto" w:fill="43C0B9"/>
          </w:tcPr>
          <w:p>
            <w:pPr>
              <w:spacing w:after="0"/>
              <w:rPr>
                <w:sz w:val="16"/>
                <w:szCs w:val="16"/>
                <w:color w:val="auto"/>
              </w:rPr>
            </w:pPr>
          </w:p>
        </w:tc>
        <w:tc>
          <w:tcPr>
            <w:tcW w:w="10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Farming</w:t>
            </w:r>
          </w:p>
        </w:tc>
        <w:tc>
          <w:tcPr>
            <w:tcW w:w="440" w:type="dxa"/>
            <w:vAlign w:val="bottom"/>
            <w:shd w:val="clear" w:color="auto" w:fill="43C0B9"/>
          </w:tcPr>
          <w:p>
            <w:pPr>
              <w:spacing w:after="0"/>
              <w:rPr>
                <w:sz w:val="16"/>
                <w:szCs w:val="16"/>
                <w:color w:val="auto"/>
              </w:rPr>
            </w:pPr>
          </w:p>
        </w:tc>
        <w:tc>
          <w:tcPr>
            <w:tcW w:w="1040" w:type="dxa"/>
            <w:vAlign w:val="bottom"/>
            <w:shd w:val="clear" w:color="auto" w:fill="43C0B9"/>
          </w:tcPr>
          <w:p>
            <w:pPr>
              <w:jc w:val="right"/>
              <w:ind w:right="89"/>
              <w:spacing w:after="0"/>
              <w:rPr>
                <w:sz w:val="20"/>
                <w:szCs w:val="20"/>
                <w:color w:val="auto"/>
              </w:rPr>
            </w:pPr>
            <w:r>
              <w:rPr>
                <w:rFonts w:ascii="Arial" w:cs="Arial" w:eastAsia="Arial" w:hAnsi="Arial"/>
                <w:sz w:val="14"/>
                <w:szCs w:val="14"/>
                <w:b w:val="1"/>
                <w:bCs w:val="1"/>
                <w:color w:val="FFFFFF"/>
              </w:rPr>
              <w:t>Total</w:t>
            </w:r>
          </w:p>
        </w:tc>
        <w:tc>
          <w:tcPr>
            <w:tcW w:w="440" w:type="dxa"/>
            <w:vAlign w:val="bottom"/>
            <w:shd w:val="clear" w:color="auto" w:fill="43C0B9"/>
          </w:tcPr>
          <w:p>
            <w:pPr>
              <w:spacing w:after="0"/>
              <w:rPr>
                <w:sz w:val="16"/>
                <w:szCs w:val="16"/>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Distribution</w:t>
            </w:r>
          </w:p>
        </w:tc>
        <w:tc>
          <w:tcPr>
            <w:tcW w:w="280" w:type="dxa"/>
            <w:vAlign w:val="bottom"/>
            <w:shd w:val="clear" w:color="auto" w:fill="43C0B9"/>
          </w:tcPr>
          <w:p>
            <w:pPr>
              <w:spacing w:after="0"/>
              <w:rPr>
                <w:sz w:val="16"/>
                <w:szCs w:val="16"/>
                <w:color w:val="auto"/>
              </w:rPr>
            </w:pPr>
          </w:p>
        </w:tc>
        <w:tc>
          <w:tcPr>
            <w:tcW w:w="108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Farming</w:t>
            </w:r>
          </w:p>
        </w:tc>
        <w:tc>
          <w:tcPr>
            <w:tcW w:w="500" w:type="dxa"/>
            <w:vAlign w:val="bottom"/>
            <w:shd w:val="clear" w:color="auto" w:fill="43C0B9"/>
          </w:tcPr>
          <w:p>
            <w:pPr>
              <w:spacing w:after="0"/>
              <w:rPr>
                <w:sz w:val="16"/>
                <w:szCs w:val="16"/>
                <w:color w:val="auto"/>
              </w:rPr>
            </w:pPr>
          </w:p>
        </w:tc>
        <w:tc>
          <w:tcPr>
            <w:tcW w:w="84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199"/>
        </w:trPr>
        <w:tc>
          <w:tcPr>
            <w:tcW w:w="2880" w:type="dxa"/>
            <w:vAlign w:val="bottom"/>
            <w:shd w:val="clear" w:color="auto" w:fill="43C0B9"/>
          </w:tcPr>
          <w:p>
            <w:pPr>
              <w:spacing w:after="0"/>
              <w:rPr>
                <w:sz w:val="17"/>
                <w:szCs w:val="17"/>
                <w:color w:val="auto"/>
              </w:rPr>
            </w:pPr>
          </w:p>
        </w:tc>
        <w:tc>
          <w:tcPr>
            <w:tcW w:w="240" w:type="dxa"/>
            <w:vAlign w:val="bottom"/>
            <w:shd w:val="clear" w:color="auto" w:fill="43C0B9"/>
          </w:tcPr>
          <w:p>
            <w:pPr>
              <w:spacing w:after="0"/>
              <w:rPr>
                <w:sz w:val="17"/>
                <w:szCs w:val="17"/>
                <w:color w:val="auto"/>
              </w:rPr>
            </w:pPr>
          </w:p>
        </w:tc>
        <w:tc>
          <w:tcPr>
            <w:tcW w:w="1120" w:type="dxa"/>
            <w:vAlign w:val="bottom"/>
            <w:shd w:val="clear" w:color="auto" w:fill="43C0B9"/>
          </w:tcPr>
          <w:p>
            <w:pPr>
              <w:spacing w:after="0"/>
              <w:rPr>
                <w:sz w:val="17"/>
                <w:szCs w:val="17"/>
                <w:color w:val="auto"/>
              </w:rPr>
            </w:pPr>
          </w:p>
        </w:tc>
        <w:tc>
          <w:tcPr>
            <w:tcW w:w="280" w:type="dxa"/>
            <w:vAlign w:val="bottom"/>
            <w:shd w:val="clear" w:color="auto" w:fill="43C0B9"/>
          </w:tcPr>
          <w:p>
            <w:pPr>
              <w:spacing w:after="0"/>
              <w:rPr>
                <w:sz w:val="17"/>
                <w:szCs w:val="17"/>
                <w:color w:val="auto"/>
              </w:rPr>
            </w:pPr>
          </w:p>
        </w:tc>
        <w:tc>
          <w:tcPr>
            <w:tcW w:w="1060" w:type="dxa"/>
            <w:vAlign w:val="bottom"/>
            <w:shd w:val="clear" w:color="auto" w:fill="43C0B9"/>
          </w:tcPr>
          <w:p>
            <w:pPr>
              <w:spacing w:after="0"/>
              <w:rPr>
                <w:sz w:val="17"/>
                <w:szCs w:val="17"/>
                <w:color w:val="auto"/>
              </w:rPr>
            </w:pPr>
          </w:p>
        </w:tc>
        <w:tc>
          <w:tcPr>
            <w:tcW w:w="440" w:type="dxa"/>
            <w:vAlign w:val="bottom"/>
            <w:shd w:val="clear" w:color="auto" w:fill="43C0B9"/>
          </w:tcPr>
          <w:p>
            <w:pPr>
              <w:spacing w:after="0"/>
              <w:rPr>
                <w:sz w:val="17"/>
                <w:szCs w:val="17"/>
                <w:color w:val="auto"/>
              </w:rPr>
            </w:pPr>
          </w:p>
        </w:tc>
        <w:tc>
          <w:tcPr>
            <w:tcW w:w="2520" w:type="dxa"/>
            <w:vAlign w:val="bottom"/>
            <w:gridSpan w:val="3"/>
            <w:shd w:val="clear" w:color="auto" w:fill="43C0B9"/>
          </w:tcPr>
          <w:p>
            <w:pPr>
              <w:jc w:val="right"/>
              <w:ind w:right="709"/>
              <w:spacing w:after="0"/>
              <w:rPr>
                <w:sz w:val="20"/>
                <w:szCs w:val="20"/>
                <w:color w:val="auto"/>
              </w:rPr>
            </w:pPr>
            <w:r>
              <w:rPr>
                <w:rFonts w:ascii="Arial" w:cs="Arial" w:eastAsia="Arial" w:hAnsi="Arial"/>
                <w:sz w:val="14"/>
                <w:szCs w:val="14"/>
                <w:b w:val="1"/>
                <w:bCs w:val="1"/>
                <w:color w:val="FFFFFF"/>
              </w:rPr>
              <w:t>Three Months Ended</w:t>
            </w:r>
          </w:p>
        </w:tc>
        <w:tc>
          <w:tcPr>
            <w:tcW w:w="280" w:type="dxa"/>
            <w:vAlign w:val="bottom"/>
            <w:shd w:val="clear" w:color="auto" w:fill="43C0B9"/>
          </w:tcPr>
          <w:p>
            <w:pPr>
              <w:spacing w:after="0"/>
              <w:rPr>
                <w:sz w:val="17"/>
                <w:szCs w:val="17"/>
                <w:color w:val="auto"/>
              </w:rPr>
            </w:pPr>
          </w:p>
        </w:tc>
        <w:tc>
          <w:tcPr>
            <w:tcW w:w="1080" w:type="dxa"/>
            <w:vAlign w:val="bottom"/>
            <w:shd w:val="clear" w:color="auto" w:fill="43C0B9"/>
          </w:tcPr>
          <w:p>
            <w:pPr>
              <w:spacing w:after="0"/>
              <w:rPr>
                <w:sz w:val="17"/>
                <w:szCs w:val="17"/>
                <w:color w:val="auto"/>
              </w:rPr>
            </w:pPr>
          </w:p>
        </w:tc>
        <w:tc>
          <w:tcPr>
            <w:tcW w:w="500" w:type="dxa"/>
            <w:vAlign w:val="bottom"/>
            <w:shd w:val="clear" w:color="auto" w:fill="43C0B9"/>
          </w:tcPr>
          <w:p>
            <w:pPr>
              <w:spacing w:after="0"/>
              <w:rPr>
                <w:sz w:val="17"/>
                <w:szCs w:val="17"/>
                <w:color w:val="auto"/>
              </w:rPr>
            </w:pPr>
          </w:p>
        </w:tc>
        <w:tc>
          <w:tcPr>
            <w:tcW w:w="840" w:type="dxa"/>
            <w:vAlign w:val="bottom"/>
            <w:shd w:val="clear" w:color="auto" w:fill="43C0B9"/>
          </w:tcPr>
          <w:p>
            <w:pPr>
              <w:spacing w:after="0"/>
              <w:rPr>
                <w:sz w:val="17"/>
                <w:szCs w:val="17"/>
                <w:color w:val="auto"/>
              </w:rPr>
            </w:pPr>
          </w:p>
        </w:tc>
      </w:tr>
      <w:tr>
        <w:trPr>
          <w:trHeight w:val="189"/>
        </w:trPr>
        <w:tc>
          <w:tcPr>
            <w:tcW w:w="2880" w:type="dxa"/>
            <w:vAlign w:val="bottom"/>
            <w:shd w:val="clear" w:color="auto" w:fill="43C0B9"/>
          </w:tcPr>
          <w:p>
            <w:pPr>
              <w:spacing w:after="0"/>
              <w:rPr>
                <w:sz w:val="16"/>
                <w:szCs w:val="16"/>
                <w:color w:val="auto"/>
              </w:rPr>
            </w:pPr>
          </w:p>
        </w:tc>
        <w:tc>
          <w:tcPr>
            <w:tcW w:w="240" w:type="dxa"/>
            <w:vAlign w:val="bottom"/>
            <w:shd w:val="clear" w:color="auto" w:fill="43C0B9"/>
          </w:tcPr>
          <w:p>
            <w:pPr>
              <w:spacing w:after="0"/>
              <w:rPr>
                <w:sz w:val="16"/>
                <w:szCs w:val="16"/>
                <w:color w:val="auto"/>
              </w:rPr>
            </w:pPr>
          </w:p>
        </w:tc>
        <w:tc>
          <w:tcPr>
            <w:tcW w:w="1120" w:type="dxa"/>
            <w:vAlign w:val="bottom"/>
            <w:shd w:val="clear" w:color="auto" w:fill="43C0B9"/>
          </w:tcPr>
          <w:p>
            <w:pPr>
              <w:spacing w:after="0"/>
              <w:rPr>
                <w:sz w:val="16"/>
                <w:szCs w:val="16"/>
                <w:color w:val="auto"/>
              </w:rPr>
            </w:pPr>
          </w:p>
        </w:tc>
        <w:tc>
          <w:tcPr>
            <w:tcW w:w="280" w:type="dxa"/>
            <w:vAlign w:val="bottom"/>
            <w:shd w:val="clear" w:color="auto" w:fill="43C0B9"/>
          </w:tcPr>
          <w:p>
            <w:pPr>
              <w:spacing w:after="0"/>
              <w:rPr>
                <w:sz w:val="16"/>
                <w:szCs w:val="16"/>
                <w:color w:val="auto"/>
              </w:rPr>
            </w:pPr>
          </w:p>
        </w:tc>
        <w:tc>
          <w:tcPr>
            <w:tcW w:w="1060" w:type="dxa"/>
            <w:vAlign w:val="bottom"/>
            <w:shd w:val="clear" w:color="auto" w:fill="43C0B9"/>
          </w:tcPr>
          <w:p>
            <w:pPr>
              <w:spacing w:after="0"/>
              <w:rPr>
                <w:sz w:val="16"/>
                <w:szCs w:val="16"/>
                <w:color w:val="auto"/>
              </w:rPr>
            </w:pPr>
          </w:p>
        </w:tc>
        <w:tc>
          <w:tcPr>
            <w:tcW w:w="440" w:type="dxa"/>
            <w:vAlign w:val="bottom"/>
            <w:shd w:val="clear" w:color="auto" w:fill="43C0B9"/>
          </w:tcPr>
          <w:p>
            <w:pPr>
              <w:spacing w:after="0"/>
              <w:rPr>
                <w:sz w:val="16"/>
                <w:szCs w:val="16"/>
                <w:color w:val="auto"/>
              </w:rPr>
            </w:pPr>
          </w:p>
        </w:tc>
        <w:tc>
          <w:tcPr>
            <w:tcW w:w="1480" w:type="dxa"/>
            <w:vAlign w:val="bottom"/>
            <w:gridSpan w:val="2"/>
            <w:shd w:val="clear" w:color="auto" w:fill="43C0B9"/>
          </w:tcPr>
          <w:p>
            <w:pPr>
              <w:jc w:val="right"/>
              <w:spacing w:after="0"/>
              <w:rPr>
                <w:sz w:val="20"/>
                <w:szCs w:val="20"/>
                <w:color w:val="auto"/>
              </w:rPr>
            </w:pPr>
            <w:r>
              <w:rPr>
                <w:rFonts w:ascii="Arial" w:cs="Arial" w:eastAsia="Arial" w:hAnsi="Arial"/>
                <w:sz w:val="14"/>
                <w:szCs w:val="14"/>
                <w:b w:val="1"/>
                <w:bCs w:val="1"/>
                <w:color w:val="FFFFFF"/>
              </w:rPr>
              <w:t>January 31,</w:t>
            </w:r>
          </w:p>
        </w:tc>
        <w:tc>
          <w:tcPr>
            <w:tcW w:w="1040" w:type="dxa"/>
            <w:vAlign w:val="bottom"/>
            <w:shd w:val="clear" w:color="auto" w:fill="43C0B9"/>
          </w:tcPr>
          <w:p>
            <w:pPr>
              <w:spacing w:after="0"/>
              <w:rPr>
                <w:sz w:val="16"/>
                <w:szCs w:val="16"/>
                <w:color w:val="auto"/>
              </w:rPr>
            </w:pPr>
          </w:p>
        </w:tc>
        <w:tc>
          <w:tcPr>
            <w:tcW w:w="280" w:type="dxa"/>
            <w:vAlign w:val="bottom"/>
            <w:shd w:val="clear" w:color="auto" w:fill="43C0B9"/>
          </w:tcPr>
          <w:p>
            <w:pPr>
              <w:spacing w:after="0"/>
              <w:rPr>
                <w:sz w:val="16"/>
                <w:szCs w:val="16"/>
                <w:color w:val="auto"/>
              </w:rPr>
            </w:pPr>
          </w:p>
        </w:tc>
        <w:tc>
          <w:tcPr>
            <w:tcW w:w="1080" w:type="dxa"/>
            <w:vAlign w:val="bottom"/>
            <w:shd w:val="clear" w:color="auto" w:fill="43C0B9"/>
          </w:tcPr>
          <w:p>
            <w:pPr>
              <w:spacing w:after="0"/>
              <w:rPr>
                <w:sz w:val="16"/>
                <w:szCs w:val="16"/>
                <w:color w:val="auto"/>
              </w:rPr>
            </w:pPr>
          </w:p>
        </w:tc>
        <w:tc>
          <w:tcPr>
            <w:tcW w:w="500" w:type="dxa"/>
            <w:vAlign w:val="bottom"/>
            <w:shd w:val="clear" w:color="auto" w:fill="43C0B9"/>
          </w:tcPr>
          <w:p>
            <w:pPr>
              <w:spacing w:after="0"/>
              <w:rPr>
                <w:sz w:val="16"/>
                <w:szCs w:val="16"/>
                <w:color w:val="auto"/>
              </w:rPr>
            </w:pPr>
          </w:p>
        </w:tc>
        <w:tc>
          <w:tcPr>
            <w:tcW w:w="840" w:type="dxa"/>
            <w:vAlign w:val="bottom"/>
            <w:shd w:val="clear" w:color="auto" w:fill="43C0B9"/>
          </w:tcPr>
          <w:p>
            <w:pPr>
              <w:spacing w:after="0"/>
              <w:rPr>
                <w:sz w:val="16"/>
                <w:szCs w:val="16"/>
                <w:color w:val="auto"/>
              </w:rPr>
            </w:pPr>
          </w:p>
        </w:tc>
      </w:tr>
      <w:tr>
        <w:trPr>
          <w:trHeight w:val="239"/>
        </w:trPr>
        <w:tc>
          <w:tcPr>
            <w:tcW w:w="2880" w:type="dxa"/>
            <w:vAlign w:val="bottom"/>
            <w:shd w:val="clear" w:color="auto" w:fill="43C0B9"/>
          </w:tcPr>
          <w:p>
            <w:pPr>
              <w:spacing w:after="0"/>
              <w:rPr>
                <w:sz w:val="20"/>
                <w:szCs w:val="20"/>
                <w:color w:val="auto"/>
              </w:rPr>
            </w:pPr>
          </w:p>
        </w:tc>
        <w:tc>
          <w:tcPr>
            <w:tcW w:w="240" w:type="dxa"/>
            <w:vAlign w:val="bottom"/>
            <w:shd w:val="clear" w:color="auto" w:fill="43C0B9"/>
          </w:tcPr>
          <w:p>
            <w:pPr>
              <w:spacing w:after="0"/>
              <w:rPr>
                <w:sz w:val="20"/>
                <w:szCs w:val="20"/>
                <w:color w:val="auto"/>
              </w:rPr>
            </w:pPr>
          </w:p>
        </w:tc>
        <w:tc>
          <w:tcPr>
            <w:tcW w:w="1120" w:type="dxa"/>
            <w:vAlign w:val="bottom"/>
            <w:shd w:val="clear" w:color="auto" w:fill="43C0B9"/>
          </w:tcPr>
          <w:p>
            <w:pPr>
              <w:spacing w:after="0"/>
              <w:rPr>
                <w:sz w:val="20"/>
                <w:szCs w:val="20"/>
                <w:color w:val="auto"/>
              </w:rPr>
            </w:pPr>
          </w:p>
        </w:tc>
        <w:tc>
          <w:tcPr>
            <w:tcW w:w="280" w:type="dxa"/>
            <w:vAlign w:val="bottom"/>
            <w:shd w:val="clear" w:color="auto" w:fill="43C0B9"/>
          </w:tcPr>
          <w:p>
            <w:pPr>
              <w:spacing w:after="0"/>
              <w:rPr>
                <w:sz w:val="20"/>
                <w:szCs w:val="20"/>
                <w:color w:val="auto"/>
              </w:rPr>
            </w:pPr>
          </w:p>
        </w:tc>
        <w:tc>
          <w:tcPr>
            <w:tcW w:w="1060" w:type="dxa"/>
            <w:vAlign w:val="bottom"/>
            <w:shd w:val="clear" w:color="auto" w:fill="43C0B9"/>
          </w:tcPr>
          <w:p>
            <w:pPr>
              <w:jc w:val="right"/>
              <w:ind w:right="449"/>
              <w:spacing w:after="0"/>
              <w:rPr>
                <w:sz w:val="20"/>
                <w:szCs w:val="20"/>
                <w:color w:val="auto"/>
              </w:rPr>
            </w:pPr>
            <w:r>
              <w:rPr>
                <w:rFonts w:ascii="Arial" w:cs="Arial" w:eastAsia="Arial" w:hAnsi="Arial"/>
                <w:sz w:val="14"/>
                <w:szCs w:val="14"/>
                <w:b w:val="1"/>
                <w:bCs w:val="1"/>
                <w:color w:val="FFFFFF"/>
              </w:rPr>
              <w:t>2022</w:t>
            </w:r>
          </w:p>
        </w:tc>
        <w:tc>
          <w:tcPr>
            <w:tcW w:w="440" w:type="dxa"/>
            <w:vAlign w:val="bottom"/>
            <w:shd w:val="clear" w:color="auto" w:fill="43C0B9"/>
          </w:tcPr>
          <w:p>
            <w:pPr>
              <w:spacing w:after="0"/>
              <w:rPr>
                <w:sz w:val="20"/>
                <w:szCs w:val="20"/>
                <w:color w:val="auto"/>
              </w:rPr>
            </w:pPr>
          </w:p>
        </w:tc>
        <w:tc>
          <w:tcPr>
            <w:tcW w:w="1040" w:type="dxa"/>
            <w:vAlign w:val="bottom"/>
            <w:shd w:val="clear" w:color="auto" w:fill="43C0B9"/>
          </w:tcPr>
          <w:p>
            <w:pPr>
              <w:spacing w:after="0"/>
              <w:rPr>
                <w:sz w:val="20"/>
                <w:szCs w:val="20"/>
                <w:color w:val="auto"/>
              </w:rPr>
            </w:pPr>
          </w:p>
        </w:tc>
        <w:tc>
          <w:tcPr>
            <w:tcW w:w="440" w:type="dxa"/>
            <w:vAlign w:val="bottom"/>
            <w:shd w:val="clear" w:color="auto" w:fill="43C0B9"/>
          </w:tcPr>
          <w:p>
            <w:pPr>
              <w:spacing w:after="0"/>
              <w:rPr>
                <w:sz w:val="20"/>
                <w:szCs w:val="20"/>
                <w:color w:val="auto"/>
              </w:rPr>
            </w:pPr>
          </w:p>
        </w:tc>
        <w:tc>
          <w:tcPr>
            <w:tcW w:w="1040" w:type="dxa"/>
            <w:vAlign w:val="bottom"/>
            <w:shd w:val="clear" w:color="auto" w:fill="43C0B9"/>
          </w:tcPr>
          <w:p>
            <w:pPr>
              <w:spacing w:after="0"/>
              <w:rPr>
                <w:sz w:val="20"/>
                <w:szCs w:val="20"/>
                <w:color w:val="auto"/>
              </w:rPr>
            </w:pPr>
          </w:p>
        </w:tc>
        <w:tc>
          <w:tcPr>
            <w:tcW w:w="280" w:type="dxa"/>
            <w:vAlign w:val="bottom"/>
            <w:shd w:val="clear" w:color="auto" w:fill="43C0B9"/>
          </w:tcPr>
          <w:p>
            <w:pPr>
              <w:spacing w:after="0"/>
              <w:rPr>
                <w:sz w:val="20"/>
                <w:szCs w:val="20"/>
                <w:color w:val="auto"/>
              </w:rPr>
            </w:pPr>
          </w:p>
        </w:tc>
        <w:tc>
          <w:tcPr>
            <w:tcW w:w="1080" w:type="dxa"/>
            <w:vAlign w:val="bottom"/>
            <w:shd w:val="clear" w:color="auto" w:fill="43C0B9"/>
          </w:tcPr>
          <w:p>
            <w:pPr>
              <w:jc w:val="right"/>
              <w:ind w:right="449"/>
              <w:spacing w:after="0"/>
              <w:rPr>
                <w:sz w:val="20"/>
                <w:szCs w:val="20"/>
                <w:color w:val="auto"/>
              </w:rPr>
            </w:pPr>
            <w:r>
              <w:rPr>
                <w:rFonts w:ascii="Arial" w:cs="Arial" w:eastAsia="Arial" w:hAnsi="Arial"/>
                <w:sz w:val="14"/>
                <w:szCs w:val="14"/>
                <w:b w:val="1"/>
                <w:bCs w:val="1"/>
                <w:color w:val="FFFFFF"/>
              </w:rPr>
              <w:t>2021</w:t>
            </w:r>
          </w:p>
        </w:tc>
        <w:tc>
          <w:tcPr>
            <w:tcW w:w="500" w:type="dxa"/>
            <w:vAlign w:val="bottom"/>
            <w:shd w:val="clear" w:color="auto" w:fill="43C0B9"/>
          </w:tcPr>
          <w:p>
            <w:pPr>
              <w:spacing w:after="0"/>
              <w:rPr>
                <w:sz w:val="20"/>
                <w:szCs w:val="20"/>
                <w:color w:val="auto"/>
              </w:rPr>
            </w:pPr>
          </w:p>
        </w:tc>
        <w:tc>
          <w:tcPr>
            <w:tcW w:w="840" w:type="dxa"/>
            <w:vAlign w:val="bottom"/>
            <w:shd w:val="clear" w:color="auto" w:fill="43C0B9"/>
          </w:tcPr>
          <w:p>
            <w:pPr>
              <w:spacing w:after="0"/>
              <w:rPr>
                <w:sz w:val="20"/>
                <w:szCs w:val="20"/>
                <w:color w:val="auto"/>
              </w:rPr>
            </w:pPr>
          </w:p>
        </w:tc>
      </w:tr>
      <w:tr>
        <w:trPr>
          <w:trHeight w:val="214"/>
        </w:trPr>
        <w:tc>
          <w:tcPr>
            <w:tcW w:w="2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Third party sales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212.3</w:t>
            </w:r>
          </w:p>
        </w:tc>
        <w:tc>
          <w:tcPr>
            <w:tcW w:w="28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center"/>
              <w:ind w:left="669"/>
              <w:spacing w:after="0"/>
              <w:rPr>
                <w:sz w:val="20"/>
                <w:szCs w:val="20"/>
                <w:color w:val="auto"/>
              </w:rPr>
            </w:pPr>
            <w:r>
              <w:rPr>
                <w:rFonts w:ascii="Arial" w:cs="Arial" w:eastAsia="Arial" w:hAnsi="Arial"/>
                <w:sz w:val="14"/>
                <w:szCs w:val="14"/>
                <w:color w:val="auto"/>
              </w:rPr>
              <w:t>4.3</w:t>
            </w:r>
          </w:p>
        </w:tc>
        <w:tc>
          <w:tcPr>
            <w:tcW w:w="44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ind w:right="129"/>
              <w:spacing w:after="0"/>
              <w:rPr>
                <w:sz w:val="20"/>
                <w:szCs w:val="20"/>
                <w:color w:val="auto"/>
              </w:rPr>
            </w:pPr>
            <w:r>
              <w:rPr>
                <w:rFonts w:ascii="Arial" w:cs="Arial" w:eastAsia="Arial" w:hAnsi="Arial"/>
                <w:sz w:val="14"/>
                <w:szCs w:val="14"/>
                <w:color w:val="auto"/>
              </w:rPr>
              <w:t>216.6</w:t>
            </w:r>
          </w:p>
        </w:tc>
        <w:tc>
          <w:tcPr>
            <w:tcW w:w="440" w:type="dxa"/>
            <w:vAlign w:val="bottom"/>
            <w:shd w:val="clear" w:color="auto" w:fill="DBDBDB"/>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169.6</w:t>
            </w:r>
          </w:p>
        </w:tc>
        <w:tc>
          <w:tcPr>
            <w:tcW w:w="28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center"/>
              <w:ind w:left="649"/>
              <w:spacing w:after="0"/>
              <w:rPr>
                <w:sz w:val="20"/>
                <w:szCs w:val="20"/>
                <w:color w:val="auto"/>
              </w:rPr>
            </w:pPr>
            <w:r>
              <w:rPr>
                <w:rFonts w:ascii="Arial" w:cs="Arial" w:eastAsia="Arial" w:hAnsi="Arial"/>
                <w:sz w:val="14"/>
                <w:szCs w:val="14"/>
                <w:color w:val="auto"/>
              </w:rPr>
              <w:t>3.6</w:t>
            </w:r>
          </w:p>
        </w:tc>
        <w:tc>
          <w:tcPr>
            <w:tcW w:w="500" w:type="dxa"/>
            <w:vAlign w:val="bottom"/>
            <w:shd w:val="clear" w:color="auto" w:fill="DBDBDB"/>
          </w:tcPr>
          <w:p>
            <w:pPr>
              <w:jc w:val="right"/>
              <w:ind w:right="3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173.2</w:t>
            </w:r>
          </w:p>
        </w:tc>
      </w:tr>
      <w:tr>
        <w:trPr>
          <w:trHeight w:val="208"/>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Affiliated sales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649"/>
              <w:spacing w:after="0"/>
              <w:rPr>
                <w:sz w:val="20"/>
                <w:szCs w:val="20"/>
                <w:color w:val="auto"/>
              </w:rPr>
            </w:pPr>
            <w:r>
              <w:rPr>
                <w:rFonts w:ascii="Arial" w:cs="Arial" w:eastAsia="Arial" w:hAnsi="Arial"/>
                <w:sz w:val="14"/>
                <w:szCs w:val="14"/>
                <w:color w:val="auto"/>
              </w:rPr>
              <w:t>(1.0)</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649"/>
              <w:spacing w:after="0"/>
              <w:rPr>
                <w:sz w:val="20"/>
                <w:szCs w:val="20"/>
                <w:color w:val="auto"/>
              </w:rPr>
            </w:pPr>
            <w:r>
              <w:rPr>
                <w:rFonts w:ascii="Arial" w:cs="Arial" w:eastAsia="Arial" w:hAnsi="Arial"/>
                <w:sz w:val="14"/>
                <w:szCs w:val="14"/>
                <w:color w:val="auto"/>
              </w:rPr>
              <w:t>0.2</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13"/>
        </w:trPr>
        <w:tc>
          <w:tcPr>
            <w:tcW w:w="2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segment sales</w:t>
            </w:r>
          </w:p>
        </w:tc>
        <w:tc>
          <w:tcPr>
            <w:tcW w:w="24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212.3</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center"/>
              <w:ind w:left="669"/>
              <w:spacing w:after="0"/>
              <w:rPr>
                <w:sz w:val="20"/>
                <w:szCs w:val="20"/>
                <w:color w:val="auto"/>
              </w:rPr>
            </w:pPr>
            <w:r>
              <w:rPr>
                <w:rFonts w:ascii="Arial" w:cs="Arial" w:eastAsia="Arial" w:hAnsi="Arial"/>
                <w:sz w:val="14"/>
                <w:szCs w:val="14"/>
                <w:color w:val="auto"/>
              </w:rPr>
              <w:t>3.3</w:t>
            </w: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129"/>
              <w:spacing w:after="0"/>
              <w:rPr>
                <w:sz w:val="20"/>
                <w:szCs w:val="20"/>
                <w:color w:val="auto"/>
              </w:rPr>
            </w:pPr>
            <w:r>
              <w:rPr>
                <w:rFonts w:ascii="Arial" w:cs="Arial" w:eastAsia="Arial" w:hAnsi="Arial"/>
                <w:sz w:val="14"/>
                <w:szCs w:val="14"/>
                <w:color w:val="auto"/>
              </w:rPr>
              <w:t>215.6</w:t>
            </w:r>
          </w:p>
        </w:tc>
        <w:tc>
          <w:tcPr>
            <w:tcW w:w="4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169.6</w:t>
            </w:r>
          </w:p>
        </w:tc>
        <w:tc>
          <w:tcPr>
            <w:tcW w:w="280" w:type="dxa"/>
            <w:vAlign w:val="bottom"/>
            <w:shd w:val="clear" w:color="auto" w:fill="DBDBDB"/>
          </w:tcPr>
          <w:p>
            <w:pPr>
              <w:spacing w:after="0"/>
              <w:rPr>
                <w:sz w:val="18"/>
                <w:szCs w:val="18"/>
                <w:color w:val="auto"/>
              </w:rPr>
            </w:pPr>
          </w:p>
        </w:tc>
        <w:tc>
          <w:tcPr>
            <w:tcW w:w="1080" w:type="dxa"/>
            <w:vAlign w:val="bottom"/>
            <w:shd w:val="clear" w:color="auto" w:fill="DBDBDB"/>
          </w:tcPr>
          <w:p>
            <w:pPr>
              <w:jc w:val="center"/>
              <w:ind w:left="649"/>
              <w:spacing w:after="0"/>
              <w:rPr>
                <w:sz w:val="20"/>
                <w:szCs w:val="20"/>
                <w:color w:val="auto"/>
              </w:rPr>
            </w:pPr>
            <w:r>
              <w:rPr>
                <w:rFonts w:ascii="Arial" w:cs="Arial" w:eastAsia="Arial" w:hAnsi="Arial"/>
                <w:sz w:val="14"/>
                <w:szCs w:val="14"/>
                <w:color w:val="auto"/>
              </w:rPr>
              <w:t>3.8</w:t>
            </w:r>
          </w:p>
        </w:tc>
        <w:tc>
          <w:tcPr>
            <w:tcW w:w="5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173.4</w:t>
            </w:r>
          </w:p>
        </w:tc>
      </w:tr>
      <w:tr>
        <w:trPr>
          <w:trHeight w:val="208"/>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Intercompany eliminations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669"/>
              <w:spacing w:after="0"/>
              <w:rPr>
                <w:sz w:val="20"/>
                <w:szCs w:val="20"/>
                <w:color w:val="auto"/>
              </w:rPr>
            </w:pPr>
            <w:r>
              <w:rPr>
                <w:rFonts w:ascii="Arial" w:cs="Arial" w:eastAsia="Arial" w:hAnsi="Arial"/>
                <w:sz w:val="14"/>
                <w:szCs w:val="14"/>
                <w:color w:val="auto"/>
              </w:rPr>
              <w:t>1.0</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649"/>
              <w:spacing w:after="0"/>
              <w:rPr>
                <w:sz w:val="20"/>
                <w:szCs w:val="20"/>
                <w:color w:val="auto"/>
              </w:rPr>
            </w:pPr>
            <w:r>
              <w:rPr>
                <w:rFonts w:ascii="Arial" w:cs="Arial" w:eastAsia="Arial" w:hAnsi="Arial"/>
                <w:sz w:val="14"/>
                <w:szCs w:val="14"/>
                <w:color w:val="auto"/>
                <w:w w:val="97"/>
              </w:rPr>
              <w:t>(0.2)</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07"/>
        </w:trPr>
        <w:tc>
          <w:tcPr>
            <w:tcW w:w="28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240" w:type="dxa"/>
            <w:vAlign w:val="bottom"/>
            <w:tcBorders>
              <w:bottom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212.3</w:t>
            </w:r>
          </w:p>
        </w:tc>
        <w:tc>
          <w:tcPr>
            <w:tcW w:w="280" w:type="dxa"/>
            <w:vAlign w:val="bottom"/>
            <w:tcBorders>
              <w:bottom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center"/>
              <w:ind w:left="669"/>
              <w:spacing w:after="0"/>
              <w:rPr>
                <w:sz w:val="20"/>
                <w:szCs w:val="20"/>
                <w:color w:val="auto"/>
              </w:rPr>
            </w:pPr>
            <w:r>
              <w:rPr>
                <w:rFonts w:ascii="Arial" w:cs="Arial" w:eastAsia="Arial" w:hAnsi="Arial"/>
                <w:sz w:val="14"/>
                <w:szCs w:val="14"/>
                <w:color w:val="auto"/>
              </w:rPr>
              <w:t>4.3</w:t>
            </w:r>
          </w:p>
        </w:tc>
        <w:tc>
          <w:tcPr>
            <w:tcW w:w="440" w:type="dxa"/>
            <w:vAlign w:val="bottom"/>
            <w:tcBorders>
              <w:bottom w:val="single" w:sz="8" w:color="auto"/>
            </w:tcBorders>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color w:val="auto"/>
              </w:rPr>
              <w:t>216.6</w:t>
            </w:r>
          </w:p>
        </w:tc>
        <w:tc>
          <w:tcPr>
            <w:tcW w:w="440" w:type="dxa"/>
            <w:vAlign w:val="bottom"/>
            <w:tcBorders>
              <w:bottom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169.6</w:t>
            </w:r>
          </w:p>
        </w:tc>
        <w:tc>
          <w:tcPr>
            <w:tcW w:w="280" w:type="dxa"/>
            <w:vAlign w:val="bottom"/>
            <w:tcBorders>
              <w:bottom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BDBDB"/>
          </w:tcPr>
          <w:p>
            <w:pPr>
              <w:jc w:val="center"/>
              <w:ind w:left="649"/>
              <w:spacing w:after="0"/>
              <w:rPr>
                <w:sz w:val="20"/>
                <w:szCs w:val="20"/>
                <w:color w:val="auto"/>
              </w:rPr>
            </w:pPr>
            <w:r>
              <w:rPr>
                <w:rFonts w:ascii="Arial" w:cs="Arial" w:eastAsia="Arial" w:hAnsi="Arial"/>
                <w:sz w:val="14"/>
                <w:szCs w:val="14"/>
                <w:color w:val="auto"/>
              </w:rPr>
              <w:t>3.6</w:t>
            </w:r>
          </w:p>
        </w:tc>
        <w:tc>
          <w:tcPr>
            <w:tcW w:w="5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-1094740</wp:posOffset>
            </wp:positionV>
            <wp:extent cx="5307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07965" cy="825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-848360</wp:posOffset>
            </wp:positionV>
            <wp:extent cx="53079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2080" w:type="dxa"/>
            <w:vAlign w:val="bottom"/>
            <w:gridSpan w:val="2"/>
            <w:shd w:val="clear" w:color="auto" w:fill="43C0B9"/>
          </w:tcPr>
          <w:p>
            <w:pPr>
              <w:jc w:val="center"/>
              <w:ind w:left="109"/>
              <w:spacing w:after="0"/>
              <w:rPr>
                <w:sz w:val="20"/>
                <w:szCs w:val="20"/>
                <w:color w:val="auto"/>
              </w:rPr>
            </w:pPr>
            <w:r>
              <w:rPr>
                <w:rFonts w:ascii="Arial" w:cs="Arial" w:eastAsia="Arial" w:hAnsi="Arial"/>
                <w:sz w:val="14"/>
                <w:szCs w:val="14"/>
                <w:b w:val="1"/>
                <w:bCs w:val="1"/>
                <w:color w:val="FFFFFF"/>
              </w:rPr>
              <w:t>Three Months Ended</w:t>
            </w:r>
          </w:p>
        </w:tc>
        <w:tc>
          <w:tcPr>
            <w:tcW w:w="700" w:type="dxa"/>
            <w:vAlign w:val="bottom"/>
            <w:shd w:val="clear" w:color="auto" w:fill="43C0B9"/>
          </w:tcPr>
          <w:p>
            <w:pPr>
              <w:spacing w:after="0"/>
              <w:rPr>
                <w:sz w:val="15"/>
                <w:szCs w:val="15"/>
                <w:color w:val="auto"/>
              </w:rPr>
            </w:pPr>
          </w:p>
        </w:tc>
      </w:tr>
      <w:tr>
        <w:trPr>
          <w:trHeight w:val="189"/>
        </w:trPr>
        <w:tc>
          <w:tcPr>
            <w:tcW w:w="7940" w:type="dxa"/>
            <w:vAlign w:val="bottom"/>
            <w:shd w:val="clear" w:color="auto" w:fill="43C0B9"/>
          </w:tcPr>
          <w:p>
            <w:pPr>
              <w:spacing w:after="0"/>
              <w:rPr>
                <w:sz w:val="16"/>
                <w:szCs w:val="16"/>
                <w:color w:val="auto"/>
              </w:rPr>
            </w:pPr>
          </w:p>
        </w:tc>
        <w:tc>
          <w:tcPr>
            <w:tcW w:w="520" w:type="dxa"/>
            <w:vAlign w:val="bottom"/>
            <w:shd w:val="clear" w:color="auto" w:fill="43C0B9"/>
          </w:tcPr>
          <w:p>
            <w:pPr>
              <w:spacing w:after="0"/>
              <w:rPr>
                <w:sz w:val="16"/>
                <w:szCs w:val="16"/>
                <w:color w:val="auto"/>
              </w:rPr>
            </w:pPr>
          </w:p>
        </w:tc>
        <w:tc>
          <w:tcPr>
            <w:tcW w:w="2080" w:type="dxa"/>
            <w:vAlign w:val="bottom"/>
            <w:gridSpan w:val="2"/>
            <w:shd w:val="clear" w:color="auto" w:fill="43C0B9"/>
          </w:tcPr>
          <w:p>
            <w:pPr>
              <w:jc w:val="center"/>
              <w:ind w:left="109"/>
              <w:spacing w:after="0"/>
              <w:rPr>
                <w:sz w:val="20"/>
                <w:szCs w:val="20"/>
                <w:color w:val="auto"/>
              </w:rPr>
            </w:pPr>
            <w:r>
              <w:rPr>
                <w:rFonts w:ascii="Arial" w:cs="Arial" w:eastAsia="Arial" w:hAnsi="Arial"/>
                <w:sz w:val="14"/>
                <w:szCs w:val="14"/>
                <w:b w:val="1"/>
                <w:bCs w:val="1"/>
                <w:color w:val="FFFFFF"/>
              </w:rPr>
              <w:t>January 31,</w:t>
            </w:r>
          </w:p>
        </w:tc>
        <w:tc>
          <w:tcPr>
            <w:tcW w:w="700" w:type="dxa"/>
            <w:vAlign w:val="bottom"/>
            <w:shd w:val="clear" w:color="auto" w:fill="43C0B9"/>
          </w:tcPr>
          <w:p>
            <w:pPr>
              <w:spacing w:after="0"/>
              <w:rPr>
                <w:sz w:val="16"/>
                <w:szCs w:val="16"/>
                <w:color w:val="auto"/>
              </w:rPr>
            </w:pPr>
          </w:p>
        </w:tc>
      </w:tr>
      <w:tr>
        <w:trPr>
          <w:trHeight w:val="239"/>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43C0B9"/>
          </w:tcPr>
          <w:p>
            <w:pPr>
              <w:spacing w:after="0"/>
              <w:rPr>
                <w:sz w:val="20"/>
                <w:szCs w:val="20"/>
                <w:color w:val="auto"/>
              </w:rPr>
            </w:pPr>
          </w:p>
        </w:tc>
        <w:tc>
          <w:tcPr>
            <w:tcW w:w="1120" w:type="dxa"/>
            <w:vAlign w:val="bottom"/>
            <w:shd w:val="clear" w:color="auto" w:fill="43C0B9"/>
          </w:tcPr>
          <w:p>
            <w:pPr>
              <w:jc w:val="right"/>
              <w:ind w:right="109"/>
              <w:spacing w:after="0"/>
              <w:rPr>
                <w:sz w:val="20"/>
                <w:szCs w:val="20"/>
                <w:color w:val="auto"/>
              </w:rPr>
            </w:pPr>
            <w:r>
              <w:rPr>
                <w:rFonts w:ascii="Arial" w:cs="Arial" w:eastAsia="Arial" w:hAnsi="Arial"/>
                <w:sz w:val="14"/>
                <w:szCs w:val="14"/>
                <w:b w:val="1"/>
                <w:bCs w:val="1"/>
                <w:color w:val="FFFFFF"/>
              </w:rPr>
              <w:t>2022</w:t>
            </w:r>
          </w:p>
        </w:tc>
        <w:tc>
          <w:tcPr>
            <w:tcW w:w="960" w:type="dxa"/>
            <w:vAlign w:val="bottom"/>
            <w:shd w:val="clear" w:color="auto" w:fill="43C0B9"/>
          </w:tcPr>
          <w:p>
            <w:pPr>
              <w:spacing w:after="0"/>
              <w:rPr>
                <w:sz w:val="20"/>
                <w:szCs w:val="20"/>
                <w:color w:val="auto"/>
              </w:rPr>
            </w:pPr>
          </w:p>
        </w:tc>
        <w:tc>
          <w:tcPr>
            <w:tcW w:w="70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Marketing and Distribution adjusted EBITDA</w:t>
            </w:r>
          </w:p>
        </w:tc>
        <w:tc>
          <w:tcPr>
            <w:tcW w:w="520" w:type="dxa"/>
            <w:vAlign w:val="bottom"/>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(7.7)</w:t>
            </w:r>
          </w:p>
        </w:tc>
        <w:tc>
          <w:tcPr>
            <w:tcW w:w="960" w:type="dxa"/>
            <w:vAlign w:val="bottom"/>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13.7</w:t>
            </w:r>
          </w:p>
        </w:tc>
      </w:tr>
      <w:tr>
        <w:trPr>
          <w:trHeight w:val="20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Farming adjusted EBITDA</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79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(10.4)</w:t>
            </w:r>
          </w:p>
        </w:tc>
        <w:tc>
          <w:tcPr>
            <w:tcW w:w="96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12.5</w:t>
            </w:r>
          </w:p>
        </w:tc>
      </w:tr>
      <w:tr>
        <w:trPr>
          <w:trHeight w:val="207"/>
        </w:trPr>
        <w:tc>
          <w:tcPr>
            <w:tcW w:w="79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520" w:type="dxa"/>
            <w:vAlign w:val="bottom"/>
          </w:tcPr>
          <w:p>
            <w:pPr>
              <w:spacing w:after="0"/>
              <w:rPr>
                <w:sz w:val="18"/>
                <w:szCs w:val="18"/>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(13.4)</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20"/>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expense</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0.9</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208"/>
        </w:trPr>
        <w:tc>
          <w:tcPr>
            <w:tcW w:w="7940" w:type="dxa"/>
            <w:vAlign w:val="bottom"/>
          </w:tcPr>
          <w:p>
            <w:pPr>
              <w:ind w:left="20"/>
              <w:spacing w:after="0"/>
              <w:rPr>
                <w:sz w:val="20"/>
                <w:szCs w:val="20"/>
                <w:color w:val="auto"/>
              </w:rPr>
            </w:pPr>
            <w:r>
              <w:rPr>
                <w:rFonts w:ascii="Arial" w:cs="Arial" w:eastAsia="Arial" w:hAnsi="Arial"/>
                <w:sz w:val="14"/>
                <w:szCs w:val="14"/>
                <w:color w:val="auto"/>
              </w:rPr>
              <w:t>(Benefit) provision for income taxes</w:t>
            </w:r>
          </w:p>
        </w:tc>
        <w:tc>
          <w:tcPr>
            <w:tcW w:w="520" w:type="dxa"/>
            <w:vAlign w:val="bottom"/>
          </w:tcPr>
          <w:p>
            <w:pPr>
              <w:spacing w:after="0"/>
              <w:rPr>
                <w:sz w:val="18"/>
                <w:szCs w:val="18"/>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20"/>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Depreciation and amortization</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4.5</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w:t>
            </w:r>
          </w:p>
        </w:tc>
      </w:tr>
      <w:tr>
        <w:trPr>
          <w:trHeight w:val="208"/>
        </w:trPr>
        <w:tc>
          <w:tcPr>
            <w:tcW w:w="794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520" w:type="dxa"/>
            <w:vAlign w:val="bottom"/>
          </w:tcPr>
          <w:p>
            <w:pPr>
              <w:spacing w:after="0"/>
              <w:rPr>
                <w:sz w:val="18"/>
                <w:szCs w:val="18"/>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0"/>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Stock-based compensation</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0.8</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208"/>
        </w:trPr>
        <w:tc>
          <w:tcPr>
            <w:tcW w:w="7940" w:type="dxa"/>
            <w:vAlign w:val="bottom"/>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520" w:type="dxa"/>
            <w:vAlign w:val="bottom"/>
          </w:tcPr>
          <w:p>
            <w:pPr>
              <w:spacing w:after="0"/>
              <w:rPr>
                <w:sz w:val="18"/>
                <w:szCs w:val="18"/>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0.5</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940" w:type="dxa"/>
            <w:vAlign w:val="bottom"/>
          </w:tcPr>
          <w:p>
            <w:pPr>
              <w:ind w:left="20"/>
              <w:spacing w:after="0"/>
              <w:rPr>
                <w:sz w:val="20"/>
                <w:szCs w:val="20"/>
                <w:color w:val="auto"/>
              </w:rPr>
            </w:pPr>
            <w:r>
              <w:rPr>
                <w:rFonts w:ascii="Arial" w:cs="Arial" w:eastAsia="Arial" w:hAnsi="Arial"/>
                <w:sz w:val="14"/>
                <w:szCs w:val="14"/>
                <w:color w:val="auto"/>
              </w:rPr>
              <w:t>Noncapitalizable ERP implementation costs</w:t>
            </w:r>
          </w:p>
        </w:tc>
        <w:tc>
          <w:tcPr>
            <w:tcW w:w="520" w:type="dxa"/>
            <w:vAlign w:val="bottom"/>
          </w:tcPr>
          <w:p>
            <w:pPr>
              <w:spacing w:after="0"/>
              <w:rPr>
                <w:sz w:val="18"/>
                <w:szCs w:val="18"/>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Transaction costs</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0.4</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Total adjusted EBITDA</w:t>
            </w:r>
          </w:p>
        </w:tc>
        <w:tc>
          <w:tcPr>
            <w:tcW w:w="5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(10.4)</w:t>
            </w:r>
          </w:p>
        </w:tc>
        <w:tc>
          <w:tcPr>
            <w:tcW w:w="96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-2216150</wp:posOffset>
            </wp:positionV>
            <wp:extent cx="20974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 and Distribution</w:t>
      </w:r>
    </w:p>
    <w:p>
      <w:pPr>
        <w:spacing w:after="0" w:line="233" w:lineRule="exact"/>
        <w:rPr>
          <w:sz w:val="20"/>
          <w:szCs w:val="20"/>
          <w:color w:val="auto"/>
        </w:rPr>
      </w:pPr>
    </w:p>
    <w:p>
      <w:pPr>
        <w:ind w:right="280" w:firstLine="642"/>
        <w:spacing w:after="0" w:line="256" w:lineRule="auto"/>
        <w:rPr>
          <w:sz w:val="20"/>
          <w:szCs w:val="20"/>
          <w:color w:val="auto"/>
        </w:rPr>
      </w:pPr>
      <w:r>
        <w:rPr>
          <w:rFonts w:ascii="Arial" w:cs="Arial" w:eastAsia="Arial" w:hAnsi="Arial"/>
          <w:sz w:val="16"/>
          <w:szCs w:val="16"/>
          <w:color w:val="auto"/>
        </w:rPr>
        <w:t>Net sales in our Marketing and Distribution segment increased $42.7 million or 25% in the three months ended January 31, 2022 compared to the same period last year, due to the same drivers impacting consolidated revenue.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Segment adjusted EBITDA was $(7.7) million in the three months ended January 31, 2022 compared to $13.7 million in the same period last year.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due to a combination of lower gross margin and higher selling, general and administrative expenses as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Farming</w:t>
      </w:r>
    </w:p>
    <w:p>
      <w:pPr>
        <w:spacing w:after="0" w:line="233" w:lineRule="exact"/>
        <w:rPr>
          <w:sz w:val="20"/>
          <w:szCs w:val="20"/>
          <w:color w:val="auto"/>
        </w:rPr>
      </w:pPr>
    </w:p>
    <w:p>
      <w:pPr>
        <w:ind w:right="200" w:firstLine="642"/>
        <w:spacing w:after="0" w:line="248" w:lineRule="auto"/>
        <w:rPr>
          <w:sz w:val="20"/>
          <w:szCs w:val="20"/>
          <w:color w:val="auto"/>
        </w:rPr>
      </w:pPr>
      <w:r>
        <w:rPr>
          <w:rFonts w:ascii="Arial" w:cs="Arial" w:eastAsia="Arial" w:hAnsi="Arial"/>
          <w:sz w:val="16"/>
          <w:szCs w:val="16"/>
          <w:color w:val="auto"/>
        </w:rPr>
        <w:t>Substantially all sales of fruit from our International Farming segment are to the Marketing and Distribution segment, with the remainder of revenue largely derived from services provided to third parties. Affiliated sales are concentrated in the second half of the fiscal year in alignment with the Peruvian avocado harvest season, which typically runs from April through August of each year. As a result, adjusted EBITDA for International Farming is generally concentrated in the third and fourth quarters of the fiscal year in alignment with sales.</w:t>
      </w:r>
    </w:p>
    <w:p>
      <w:pPr>
        <w:spacing w:after="0" w:line="202" w:lineRule="exact"/>
        <w:rPr>
          <w:sz w:val="20"/>
          <w:szCs w:val="20"/>
          <w:color w:val="auto"/>
        </w:rPr>
      </w:pPr>
    </w:p>
    <w:p>
      <w:pPr>
        <w:ind w:right="120" w:firstLine="642"/>
        <w:spacing w:after="0" w:line="256" w:lineRule="auto"/>
        <w:rPr>
          <w:sz w:val="20"/>
          <w:szCs w:val="20"/>
          <w:color w:val="auto"/>
        </w:rPr>
      </w:pPr>
      <w:r>
        <w:rPr>
          <w:rFonts w:ascii="Arial" w:cs="Arial" w:eastAsia="Arial" w:hAnsi="Arial"/>
          <w:sz w:val="16"/>
          <w:szCs w:val="16"/>
          <w:color w:val="auto"/>
        </w:rPr>
        <w:t>Net sales in our International Farming segment increased $0.7 million or 19% in the three months ended January 31, 2022, due to higher third-party service revenue.</w:t>
      </w:r>
    </w:p>
    <w:p>
      <w:pPr>
        <w:spacing w:after="0" w:line="196" w:lineRule="exact"/>
        <w:rPr>
          <w:sz w:val="20"/>
          <w:szCs w:val="20"/>
          <w:color w:val="auto"/>
        </w:rPr>
      </w:pPr>
    </w:p>
    <w:p>
      <w:pPr>
        <w:ind w:right="360" w:firstLine="642"/>
        <w:spacing w:after="0" w:line="256" w:lineRule="auto"/>
        <w:rPr>
          <w:sz w:val="20"/>
          <w:szCs w:val="20"/>
          <w:color w:val="auto"/>
        </w:rPr>
      </w:pPr>
      <w:r>
        <w:rPr>
          <w:rFonts w:ascii="Arial" w:cs="Arial" w:eastAsia="Arial" w:hAnsi="Arial"/>
          <w:sz w:val="16"/>
          <w:szCs w:val="16"/>
          <w:color w:val="auto"/>
        </w:rPr>
        <w:t>Segment adjusted EBITDA decreased $1.5 million or 125% in the three months ended January 31, 2022 to $(2.7) million, primarily due to higher costs associated with strategic initiatives in farming maintenance and operations that are intended to drive yield enhancements.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37" w:lineRule="exact"/>
        <w:rPr>
          <w:sz w:val="20"/>
          <w:szCs w:val="20"/>
          <w:color w:val="auto"/>
        </w:rPr>
      </w:pPr>
    </w:p>
    <w:p>
      <w:pPr>
        <w:ind w:firstLine="642"/>
        <w:spacing w:after="0" w:line="247" w:lineRule="auto"/>
        <w:rPr>
          <w:sz w:val="20"/>
          <w:szCs w:val="20"/>
          <w:color w:val="auto"/>
        </w:rPr>
      </w:pPr>
      <w:r>
        <w:rPr>
          <w:rFonts w:ascii="Arial" w:cs="Arial" w:eastAsia="Arial" w:hAnsi="Arial"/>
          <w:sz w:val="16"/>
          <w:szCs w:val="16"/>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2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2100" w:type="dxa"/>
            <w:vAlign w:val="bottom"/>
            <w:gridSpan w:val="2"/>
            <w:shd w:val="clear" w:color="auto" w:fill="43C0B9"/>
          </w:tcPr>
          <w:p>
            <w:pPr>
              <w:jc w:val="right"/>
              <w:ind w:right="189"/>
              <w:spacing w:after="0"/>
              <w:rPr>
                <w:sz w:val="20"/>
                <w:szCs w:val="20"/>
                <w:color w:val="auto"/>
              </w:rPr>
            </w:pPr>
            <w:r>
              <w:rPr>
                <w:rFonts w:ascii="Arial" w:cs="Arial" w:eastAsia="Arial" w:hAnsi="Arial"/>
                <w:sz w:val="14"/>
                <w:szCs w:val="14"/>
                <w:b w:val="1"/>
                <w:bCs w:val="1"/>
                <w:color w:val="FFFFFF"/>
              </w:rPr>
              <w:t>Three Months Ended</w:t>
            </w:r>
          </w:p>
        </w:tc>
        <w:tc>
          <w:tcPr>
            <w:tcW w:w="700" w:type="dxa"/>
            <w:vAlign w:val="bottom"/>
            <w:shd w:val="clear" w:color="auto" w:fill="43C0B9"/>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620" w:type="dxa"/>
            <w:vAlign w:val="bottom"/>
            <w:shd w:val="clear" w:color="auto" w:fill="43C0B9"/>
          </w:tcPr>
          <w:p>
            <w:pPr>
              <w:spacing w:after="0"/>
              <w:rPr>
                <w:sz w:val="16"/>
                <w:szCs w:val="16"/>
                <w:color w:val="auto"/>
              </w:rPr>
            </w:pPr>
          </w:p>
        </w:tc>
        <w:tc>
          <w:tcPr>
            <w:tcW w:w="520" w:type="dxa"/>
            <w:vAlign w:val="bottom"/>
            <w:shd w:val="clear" w:color="auto" w:fill="43C0B9"/>
          </w:tcPr>
          <w:p>
            <w:pPr>
              <w:spacing w:after="0"/>
              <w:rPr>
                <w:sz w:val="16"/>
                <w:szCs w:val="16"/>
                <w:color w:val="auto"/>
              </w:rPr>
            </w:pPr>
          </w:p>
        </w:tc>
        <w:tc>
          <w:tcPr>
            <w:tcW w:w="2100" w:type="dxa"/>
            <w:vAlign w:val="bottom"/>
            <w:gridSpan w:val="2"/>
            <w:shd w:val="clear" w:color="auto" w:fill="43C0B9"/>
          </w:tcPr>
          <w:p>
            <w:pPr>
              <w:jc w:val="right"/>
              <w:ind w:right="509"/>
              <w:spacing w:after="0"/>
              <w:rPr>
                <w:sz w:val="20"/>
                <w:szCs w:val="20"/>
                <w:color w:val="auto"/>
              </w:rPr>
            </w:pPr>
            <w:r>
              <w:rPr>
                <w:rFonts w:ascii="Arial" w:cs="Arial" w:eastAsia="Arial" w:hAnsi="Arial"/>
                <w:sz w:val="14"/>
                <w:szCs w:val="14"/>
                <w:b w:val="1"/>
                <w:bCs w:val="1"/>
                <w:color w:val="FFFFFF"/>
              </w:rPr>
              <w:t>January 31,</w:t>
            </w:r>
          </w:p>
        </w:tc>
        <w:tc>
          <w:tcPr>
            <w:tcW w:w="700" w:type="dxa"/>
            <w:vAlign w:val="bottom"/>
            <w:shd w:val="clear" w:color="auto" w:fill="43C0B9"/>
          </w:tcPr>
          <w:p>
            <w:pPr>
              <w:spacing w:after="0"/>
              <w:rPr>
                <w:sz w:val="16"/>
                <w:szCs w:val="16"/>
                <w:color w:val="auto"/>
              </w:rPr>
            </w:pPr>
          </w:p>
        </w:tc>
        <w:tc>
          <w:tcPr>
            <w:tcW w:w="120" w:type="dxa"/>
            <w:vAlign w:val="bottom"/>
          </w:tcPr>
          <w:p>
            <w:pPr>
              <w:spacing w:after="0"/>
              <w:rPr>
                <w:sz w:val="16"/>
                <w:szCs w:val="16"/>
                <w:color w:val="auto"/>
              </w:rPr>
            </w:pPr>
          </w:p>
        </w:tc>
      </w:tr>
      <w:tr>
        <w:trPr>
          <w:trHeight w:val="239"/>
        </w:trPr>
        <w:tc>
          <w:tcPr>
            <w:tcW w:w="762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43C0B9"/>
          </w:tcPr>
          <w:p>
            <w:pPr>
              <w:spacing w:after="0"/>
              <w:rPr>
                <w:sz w:val="20"/>
                <w:szCs w:val="20"/>
                <w:color w:val="auto"/>
              </w:rPr>
            </w:pPr>
          </w:p>
        </w:tc>
        <w:tc>
          <w:tcPr>
            <w:tcW w:w="1140" w:type="dxa"/>
            <w:vAlign w:val="bottom"/>
            <w:shd w:val="clear" w:color="auto" w:fill="43C0B9"/>
          </w:tcPr>
          <w:p>
            <w:pPr>
              <w:jc w:val="right"/>
              <w:ind w:right="129"/>
              <w:spacing w:after="0"/>
              <w:rPr>
                <w:sz w:val="20"/>
                <w:szCs w:val="20"/>
                <w:color w:val="auto"/>
              </w:rPr>
            </w:pPr>
            <w:r>
              <w:rPr>
                <w:rFonts w:ascii="Arial" w:cs="Arial" w:eastAsia="Arial" w:hAnsi="Arial"/>
                <w:sz w:val="14"/>
                <w:szCs w:val="14"/>
                <w:b w:val="1"/>
                <w:bCs w:val="1"/>
                <w:color w:val="FFFFFF"/>
              </w:rPr>
              <w:t>2022</w:t>
            </w:r>
          </w:p>
        </w:tc>
        <w:tc>
          <w:tcPr>
            <w:tcW w:w="960" w:type="dxa"/>
            <w:vAlign w:val="bottom"/>
            <w:shd w:val="clear" w:color="auto" w:fill="43C0B9"/>
          </w:tcPr>
          <w:p>
            <w:pPr>
              <w:spacing w:after="0"/>
              <w:rPr>
                <w:sz w:val="20"/>
                <w:szCs w:val="20"/>
                <w:color w:val="auto"/>
              </w:rPr>
            </w:pPr>
          </w:p>
        </w:tc>
        <w:tc>
          <w:tcPr>
            <w:tcW w:w="700" w:type="dxa"/>
            <w:vAlign w:val="bottom"/>
            <w:shd w:val="clear" w:color="auto" w:fill="43C0B9"/>
          </w:tcPr>
          <w:p>
            <w:pPr>
              <w:jc w:val="right"/>
              <w:ind w:right="69"/>
              <w:spacing w:after="0"/>
              <w:rPr>
                <w:sz w:val="20"/>
                <w:szCs w:val="20"/>
                <w:color w:val="auto"/>
              </w:rPr>
            </w:pPr>
            <w:r>
              <w:rPr>
                <w:rFonts w:ascii="Arial" w:cs="Arial" w:eastAsia="Arial" w:hAnsi="Arial"/>
                <w:sz w:val="14"/>
                <w:szCs w:val="14"/>
                <w:b w:val="1"/>
                <w:bCs w:val="1"/>
                <w:color w:val="FFFFFF"/>
              </w:rPr>
              <w:t>2021</w:t>
            </w:r>
          </w:p>
        </w:tc>
        <w:tc>
          <w:tcPr>
            <w:tcW w:w="120" w:type="dxa"/>
            <w:vAlign w:val="bottom"/>
          </w:tcPr>
          <w:p>
            <w:pPr>
              <w:spacing w:after="0"/>
              <w:rPr>
                <w:sz w:val="20"/>
                <w:szCs w:val="20"/>
                <w:color w:val="auto"/>
              </w:rPr>
            </w:pPr>
          </w:p>
        </w:tc>
      </w:tr>
      <w:tr>
        <w:trPr>
          <w:trHeight w:val="214"/>
        </w:trPr>
        <w:tc>
          <w:tcPr>
            <w:tcW w:w="7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(loss) income</w:t>
            </w:r>
          </w:p>
        </w:tc>
        <w:tc>
          <w:tcPr>
            <w:tcW w:w="520" w:type="dxa"/>
            <w:vAlign w:val="bottom"/>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(13.4)</w:t>
            </w:r>
          </w:p>
        </w:tc>
        <w:tc>
          <w:tcPr>
            <w:tcW w:w="960" w:type="dxa"/>
            <w:vAlign w:val="bottom"/>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r>
      <w:tr>
        <w:trPr>
          <w:trHeight w:val="202"/>
        </w:trPr>
        <w:tc>
          <w:tcPr>
            <w:tcW w:w="76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4.5</w:t>
            </w:r>
          </w:p>
        </w:tc>
        <w:tc>
          <w:tcPr>
            <w:tcW w:w="96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r>
      <w:tr>
        <w:trPr>
          <w:trHeight w:val="225"/>
        </w:trPr>
        <w:tc>
          <w:tcPr>
            <w:tcW w:w="76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Noncash lease expense</w:t>
            </w:r>
          </w:p>
        </w:tc>
        <w:tc>
          <w:tcPr>
            <w:tcW w:w="5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1.2</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0.9</w:t>
            </w:r>
          </w:p>
        </w:tc>
        <w:tc>
          <w:tcPr>
            <w:tcW w:w="120" w:type="dxa"/>
            <w:vAlign w:val="bottom"/>
          </w:tcPr>
          <w:p>
            <w:pPr>
              <w:jc w:val="right"/>
              <w:spacing w:after="0"/>
              <w:rPr>
                <w:sz w:val="20"/>
                <w:szCs w:val="20"/>
                <w:color w:val="auto"/>
              </w:rPr>
            </w:pPr>
            <w:r>
              <w:rPr>
                <w:rFonts w:ascii="Arial" w:cs="Arial" w:eastAsia="Arial" w:hAnsi="Arial"/>
                <w:sz w:val="9"/>
                <w:szCs w:val="9"/>
                <w:color w:val="auto"/>
                <w:w w:val="90"/>
              </w:rPr>
              <w:t>(1)</w:t>
            </w:r>
          </w:p>
        </w:tc>
      </w:tr>
      <w:tr>
        <w:trPr>
          <w:trHeight w:val="208"/>
        </w:trPr>
        <w:tc>
          <w:tcPr>
            <w:tcW w:w="7620" w:type="dxa"/>
            <w:vAlign w:val="bottom"/>
          </w:tcPr>
          <w:p>
            <w:pPr>
              <w:ind w:left="340"/>
              <w:spacing w:after="0"/>
              <w:rPr>
                <w:sz w:val="20"/>
                <w:szCs w:val="20"/>
                <w:color w:val="auto"/>
              </w:rPr>
            </w:pPr>
            <w:r>
              <w:rPr>
                <w:rFonts w:ascii="Arial" w:cs="Arial" w:eastAsia="Arial" w:hAnsi="Arial"/>
                <w:sz w:val="14"/>
                <w:szCs w:val="14"/>
                <w:color w:val="auto"/>
              </w:rPr>
              <w:t>Equity method income</w:t>
            </w:r>
          </w:p>
        </w:tc>
        <w:tc>
          <w:tcPr>
            <w:tcW w:w="52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r>
      <w:tr>
        <w:trPr>
          <w:trHeight w:val="220"/>
        </w:trPr>
        <w:tc>
          <w:tcPr>
            <w:tcW w:w="76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Stock-based compensation</w:t>
            </w:r>
          </w:p>
        </w:tc>
        <w:tc>
          <w:tcPr>
            <w:tcW w:w="5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0.8</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9"/>
                <w:szCs w:val="19"/>
                <w:color w:val="auto"/>
              </w:rPr>
            </w:pPr>
          </w:p>
        </w:tc>
      </w:tr>
      <w:tr>
        <w:trPr>
          <w:trHeight w:val="208"/>
        </w:trPr>
        <w:tc>
          <w:tcPr>
            <w:tcW w:w="7620" w:type="dxa"/>
            <w:vAlign w:val="bottom"/>
          </w:tcPr>
          <w:p>
            <w:pPr>
              <w:ind w:left="340"/>
              <w:spacing w:after="0"/>
              <w:rPr>
                <w:sz w:val="20"/>
                <w:szCs w:val="20"/>
                <w:color w:val="auto"/>
              </w:rPr>
            </w:pPr>
            <w:r>
              <w:rPr>
                <w:rFonts w:ascii="Arial" w:cs="Arial" w:eastAsia="Arial" w:hAnsi="Arial"/>
                <w:sz w:val="14"/>
                <w:szCs w:val="14"/>
                <w:color w:val="auto"/>
              </w:rPr>
              <w:t>Dividends received from equity method investees</w:t>
            </w:r>
          </w:p>
        </w:tc>
        <w:tc>
          <w:tcPr>
            <w:tcW w:w="520" w:type="dxa"/>
            <w:vAlign w:val="bottom"/>
          </w:tcPr>
          <w:p>
            <w:pPr>
              <w:spacing w:after="0"/>
              <w:rPr>
                <w:sz w:val="18"/>
                <w:szCs w:val="18"/>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2.2</w:t>
            </w:r>
          </w:p>
        </w:tc>
        <w:tc>
          <w:tcPr>
            <w:tcW w:w="960" w:type="dxa"/>
            <w:vAlign w:val="bottom"/>
          </w:tcPr>
          <w:p>
            <w:pPr>
              <w:spacing w:after="0"/>
              <w:rPr>
                <w:sz w:val="18"/>
                <w:szCs w:val="18"/>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r>
      <w:tr>
        <w:trPr>
          <w:trHeight w:val="220"/>
        </w:trPr>
        <w:tc>
          <w:tcPr>
            <w:tcW w:w="76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Losses (gains) on asset impairment, disposals and sales, net of insurance recoveries</w:t>
            </w:r>
          </w:p>
        </w:tc>
        <w:tc>
          <w:tcPr>
            <w:tcW w:w="5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0.1</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9"/>
                <w:szCs w:val="19"/>
                <w:color w:val="auto"/>
              </w:rPr>
            </w:pPr>
          </w:p>
        </w:tc>
      </w:tr>
      <w:tr>
        <w:trPr>
          <w:trHeight w:val="208"/>
        </w:trPr>
        <w:tc>
          <w:tcPr>
            <w:tcW w:w="76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520" w:type="dxa"/>
            <w:vAlign w:val="bottom"/>
          </w:tcPr>
          <w:p>
            <w:pPr>
              <w:spacing w:after="0"/>
              <w:rPr>
                <w:sz w:val="18"/>
                <w:szCs w:val="18"/>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8"/>
                <w:szCs w:val="18"/>
                <w:color w:val="auto"/>
              </w:rPr>
            </w:pPr>
          </w:p>
        </w:tc>
      </w:tr>
      <w:tr>
        <w:trPr>
          <w:trHeight w:val="220"/>
        </w:trPr>
        <w:tc>
          <w:tcPr>
            <w:tcW w:w="76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Other</w:t>
            </w:r>
          </w:p>
        </w:tc>
        <w:tc>
          <w:tcPr>
            <w:tcW w:w="5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(0.7)</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9"/>
                <w:szCs w:val="19"/>
                <w:color w:val="auto"/>
              </w:rPr>
            </w:pPr>
          </w:p>
        </w:tc>
      </w:tr>
      <w:tr>
        <w:trPr>
          <w:trHeight w:val="214"/>
        </w:trPr>
        <w:tc>
          <w:tcPr>
            <w:tcW w:w="7620" w:type="dxa"/>
            <w:vAlign w:val="bottom"/>
          </w:tcPr>
          <w:p>
            <w:pPr>
              <w:ind w:left="20"/>
              <w:spacing w:after="0"/>
              <w:rPr>
                <w:sz w:val="20"/>
                <w:szCs w:val="20"/>
                <w:color w:val="auto"/>
              </w:rPr>
            </w:pPr>
            <w:r>
              <w:rPr>
                <w:rFonts w:ascii="Arial" w:cs="Arial" w:eastAsia="Arial" w:hAnsi="Arial"/>
                <w:sz w:val="14"/>
                <w:szCs w:val="14"/>
                <w:color w:val="auto"/>
              </w:rPr>
              <w:t>Changes in working capital</w:t>
            </w:r>
          </w:p>
        </w:tc>
        <w:tc>
          <w:tcPr>
            <w:tcW w:w="520" w:type="dxa"/>
            <w:vAlign w:val="bottom"/>
          </w:tcPr>
          <w:p>
            <w:pPr>
              <w:spacing w:after="0"/>
              <w:rPr>
                <w:sz w:val="18"/>
                <w:szCs w:val="18"/>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(34.5)</w:t>
            </w:r>
          </w:p>
        </w:tc>
        <w:tc>
          <w:tcPr>
            <w:tcW w:w="9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 xml:space="preserve">(19.7) </w:t>
            </w:r>
            <w:r>
              <w:rPr>
                <w:rFonts w:ascii="Arial" w:cs="Arial" w:eastAsia="Arial" w:hAnsi="Arial"/>
                <w:sz w:val="18"/>
                <w:szCs w:val="18"/>
                <w:color w:val="auto"/>
                <w:vertAlign w:val="superscript"/>
              </w:rPr>
              <w:t>(1)</w:t>
            </w:r>
          </w:p>
        </w:tc>
      </w:tr>
      <w:tr>
        <w:trPr>
          <w:trHeight w:val="202"/>
        </w:trPr>
        <w:tc>
          <w:tcPr>
            <w:tcW w:w="76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Net cash used in operating activities</w:t>
            </w:r>
          </w:p>
        </w:tc>
        <w:tc>
          <w:tcPr>
            <w:tcW w:w="520" w:type="dxa"/>
            <w:vAlign w:val="bottom"/>
            <w:tcBorders>
              <w:top w:val="single" w:sz="8" w:color="auto"/>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(41.4)</w:t>
            </w:r>
          </w:p>
        </w:tc>
        <w:tc>
          <w:tcPr>
            <w:tcW w:w="960" w:type="dxa"/>
            <w:vAlign w:val="bottom"/>
            <w:tcBorders>
              <w:top w:val="single" w:sz="8" w:color="auto"/>
              <w:bottom w:val="single" w:sz="8" w:color="auto"/>
            </w:tcBorders>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-1655445</wp:posOffset>
            </wp:positionV>
            <wp:extent cx="21062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06295" cy="8255"/>
                    </a:xfrm>
                    <a:prstGeom prst="rect">
                      <a:avLst/>
                    </a:prstGeom>
                    <a:noFill/>
                  </pic:spPr>
                </pic:pic>
              </a:graphicData>
            </a:graphic>
          </wp:anchor>
        </w:drawing>
      </w:r>
    </w:p>
    <w:p>
      <w:pPr>
        <w:spacing w:after="0" w:line="108" w:lineRule="exact"/>
        <w:rPr>
          <w:sz w:val="20"/>
          <w:szCs w:val="20"/>
          <w:color w:val="auto"/>
        </w:rPr>
      </w:pPr>
    </w:p>
    <w:p>
      <w:pPr>
        <w:ind w:left="160" w:right="20" w:hanging="153"/>
        <w:spacing w:after="0" w:line="220" w:lineRule="auto"/>
        <w:tabs>
          <w:tab w:leader="none" w:pos="165"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Prior period amounts differ from those previously reported due to the adoption of ASC 842, Leases, effective November 1, 2020, which was first presented in our annual report on Form-10K for the year ended October 31, 2021.</w:t>
      </w:r>
    </w:p>
    <w:p>
      <w:pPr>
        <w:spacing w:after="0" w:line="221" w:lineRule="exact"/>
        <w:rPr>
          <w:sz w:val="20"/>
          <w:szCs w:val="20"/>
          <w:color w:val="auto"/>
        </w:rPr>
      </w:pPr>
    </w:p>
    <w:p>
      <w:pPr>
        <w:ind w:right="20" w:firstLine="642"/>
        <w:spacing w:after="0" w:line="246" w:lineRule="auto"/>
        <w:rPr>
          <w:sz w:val="20"/>
          <w:szCs w:val="20"/>
          <w:color w:val="auto"/>
        </w:rPr>
      </w:pPr>
      <w:r>
        <w:rPr>
          <w:rFonts w:ascii="Arial" w:cs="Arial" w:eastAsia="Arial" w:hAnsi="Arial"/>
          <w:sz w:val="16"/>
          <w:szCs w:val="16"/>
          <w:color w:val="auto"/>
        </w:rPr>
        <w:t>Net cash used in operating activities was higher by $31.7 million for the three months ended January 31, 2022 compared to the respective period last year, reflecting our net loss in the first quarter of 2022 and unfavorable net change in working capital. Within working capital, unfavorable changes in inventory and accounts receivable were partially offset by favorable changes in grower payables. Changes in inventory were driven by higher per-unit cost of Mexican fruit on-hand and the build-up of growing crop inventory in Peru, compared to prior year. The growing crop increases were due to higher per-acre farming costs and an increase in productive acreage. Changes in accounts receivable and grower payables were correlated with the pricing factors noted above. Additionally, increases in accounts receivable were due to delayed customer payments related to ERP challenges.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2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2100" w:type="dxa"/>
            <w:vAlign w:val="bottom"/>
            <w:gridSpan w:val="2"/>
            <w:shd w:val="clear" w:color="auto" w:fill="43C0B9"/>
          </w:tcPr>
          <w:p>
            <w:pPr>
              <w:jc w:val="right"/>
              <w:ind w:right="189"/>
              <w:spacing w:after="0"/>
              <w:rPr>
                <w:sz w:val="20"/>
                <w:szCs w:val="20"/>
                <w:color w:val="auto"/>
              </w:rPr>
            </w:pPr>
            <w:r>
              <w:rPr>
                <w:rFonts w:ascii="Arial" w:cs="Arial" w:eastAsia="Arial" w:hAnsi="Arial"/>
                <w:sz w:val="14"/>
                <w:szCs w:val="14"/>
                <w:b w:val="1"/>
                <w:bCs w:val="1"/>
                <w:color w:val="FFFFFF"/>
              </w:rPr>
              <w:t>Three Months Ended</w:t>
            </w:r>
          </w:p>
        </w:tc>
        <w:tc>
          <w:tcPr>
            <w:tcW w:w="700" w:type="dxa"/>
            <w:vAlign w:val="bottom"/>
            <w:shd w:val="clear" w:color="auto" w:fill="43C0B9"/>
          </w:tcPr>
          <w:p>
            <w:pPr>
              <w:spacing w:after="0"/>
              <w:rPr>
                <w:sz w:val="15"/>
                <w:szCs w:val="15"/>
                <w:color w:val="auto"/>
              </w:rPr>
            </w:pPr>
          </w:p>
        </w:tc>
      </w:tr>
      <w:tr>
        <w:trPr>
          <w:trHeight w:val="189"/>
        </w:trPr>
        <w:tc>
          <w:tcPr>
            <w:tcW w:w="7920" w:type="dxa"/>
            <w:vAlign w:val="bottom"/>
            <w:shd w:val="clear" w:color="auto" w:fill="43C0B9"/>
          </w:tcPr>
          <w:p>
            <w:pPr>
              <w:spacing w:after="0"/>
              <w:rPr>
                <w:sz w:val="16"/>
                <w:szCs w:val="16"/>
                <w:color w:val="auto"/>
              </w:rPr>
            </w:pPr>
          </w:p>
        </w:tc>
        <w:tc>
          <w:tcPr>
            <w:tcW w:w="520" w:type="dxa"/>
            <w:vAlign w:val="bottom"/>
            <w:shd w:val="clear" w:color="auto" w:fill="43C0B9"/>
          </w:tcPr>
          <w:p>
            <w:pPr>
              <w:spacing w:after="0"/>
              <w:rPr>
                <w:sz w:val="16"/>
                <w:szCs w:val="16"/>
                <w:color w:val="auto"/>
              </w:rPr>
            </w:pPr>
          </w:p>
        </w:tc>
        <w:tc>
          <w:tcPr>
            <w:tcW w:w="2100" w:type="dxa"/>
            <w:vAlign w:val="bottom"/>
            <w:gridSpan w:val="2"/>
            <w:shd w:val="clear" w:color="auto" w:fill="43C0B9"/>
          </w:tcPr>
          <w:p>
            <w:pPr>
              <w:jc w:val="right"/>
              <w:ind w:right="489"/>
              <w:spacing w:after="0"/>
              <w:rPr>
                <w:sz w:val="20"/>
                <w:szCs w:val="20"/>
                <w:color w:val="auto"/>
              </w:rPr>
            </w:pPr>
            <w:r>
              <w:rPr>
                <w:rFonts w:ascii="Arial" w:cs="Arial" w:eastAsia="Arial" w:hAnsi="Arial"/>
                <w:sz w:val="14"/>
                <w:szCs w:val="14"/>
                <w:b w:val="1"/>
                <w:bCs w:val="1"/>
                <w:color w:val="FFFFFF"/>
              </w:rPr>
              <w:t>January 31,</w:t>
            </w:r>
          </w:p>
        </w:tc>
        <w:tc>
          <w:tcPr>
            <w:tcW w:w="700" w:type="dxa"/>
            <w:vAlign w:val="bottom"/>
            <w:shd w:val="clear" w:color="auto" w:fill="43C0B9"/>
          </w:tcPr>
          <w:p>
            <w:pPr>
              <w:spacing w:after="0"/>
              <w:rPr>
                <w:sz w:val="16"/>
                <w:szCs w:val="16"/>
                <w:color w:val="auto"/>
              </w:rPr>
            </w:pPr>
          </w:p>
        </w:tc>
      </w:tr>
      <w:tr>
        <w:trPr>
          <w:trHeight w:val="239"/>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43C0B9"/>
          </w:tcPr>
          <w:p>
            <w:pPr>
              <w:spacing w:after="0"/>
              <w:rPr>
                <w:sz w:val="20"/>
                <w:szCs w:val="20"/>
                <w:color w:val="auto"/>
              </w:rPr>
            </w:pPr>
          </w:p>
        </w:tc>
        <w:tc>
          <w:tcPr>
            <w:tcW w:w="1140" w:type="dxa"/>
            <w:vAlign w:val="bottom"/>
            <w:shd w:val="clear" w:color="auto" w:fill="43C0B9"/>
          </w:tcPr>
          <w:p>
            <w:pPr>
              <w:jc w:val="right"/>
              <w:ind w:right="129"/>
              <w:spacing w:after="0"/>
              <w:rPr>
                <w:sz w:val="20"/>
                <w:szCs w:val="20"/>
                <w:color w:val="auto"/>
              </w:rPr>
            </w:pPr>
            <w:r>
              <w:rPr>
                <w:rFonts w:ascii="Arial" w:cs="Arial" w:eastAsia="Arial" w:hAnsi="Arial"/>
                <w:sz w:val="14"/>
                <w:szCs w:val="14"/>
                <w:b w:val="1"/>
                <w:bCs w:val="1"/>
                <w:color w:val="FFFFFF"/>
              </w:rPr>
              <w:t>2022</w:t>
            </w:r>
          </w:p>
        </w:tc>
        <w:tc>
          <w:tcPr>
            <w:tcW w:w="960" w:type="dxa"/>
            <w:vAlign w:val="bottom"/>
            <w:shd w:val="clear" w:color="auto" w:fill="43C0B9"/>
          </w:tcPr>
          <w:p>
            <w:pPr>
              <w:spacing w:after="0"/>
              <w:rPr>
                <w:sz w:val="20"/>
                <w:szCs w:val="20"/>
                <w:color w:val="auto"/>
              </w:rPr>
            </w:pPr>
          </w:p>
        </w:tc>
        <w:tc>
          <w:tcPr>
            <w:tcW w:w="70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Purchases of property and equipment</w:t>
            </w:r>
          </w:p>
        </w:tc>
        <w:tc>
          <w:tcPr>
            <w:tcW w:w="520" w:type="dxa"/>
            <w:vAlign w:val="bottom"/>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(20.9)</w:t>
            </w:r>
          </w:p>
        </w:tc>
        <w:tc>
          <w:tcPr>
            <w:tcW w:w="960" w:type="dxa"/>
            <w:vAlign w:val="bottom"/>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(22.4)</w:t>
            </w:r>
          </w:p>
        </w:tc>
      </w:tr>
      <w:tr>
        <w:trPr>
          <w:trHeight w:val="208"/>
        </w:trPr>
        <w:tc>
          <w:tcPr>
            <w:tcW w:w="792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52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20"/>
        </w:trPr>
        <w:tc>
          <w:tcPr>
            <w:tcW w:w="7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Investment in equity method investees</w:t>
            </w:r>
          </w:p>
        </w:tc>
        <w:tc>
          <w:tcPr>
            <w:tcW w:w="5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208"/>
        </w:trPr>
        <w:tc>
          <w:tcPr>
            <w:tcW w:w="7920" w:type="dxa"/>
            <w:vAlign w:val="bottom"/>
          </w:tcPr>
          <w:p>
            <w:pPr>
              <w:ind w:left="20"/>
              <w:spacing w:after="0"/>
              <w:rPr>
                <w:sz w:val="20"/>
                <w:szCs w:val="20"/>
                <w:color w:val="auto"/>
              </w:rPr>
            </w:pPr>
            <w:r>
              <w:rPr>
                <w:rFonts w:ascii="Arial" w:cs="Arial" w:eastAsia="Arial" w:hAnsi="Arial"/>
                <w:sz w:val="14"/>
                <w:szCs w:val="14"/>
                <w:color w:val="auto"/>
              </w:rPr>
              <w:t>Loan repayments from equity method investees</w:t>
            </w:r>
          </w:p>
        </w:tc>
        <w:tc>
          <w:tcPr>
            <w:tcW w:w="52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1.0</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4"/>
        </w:trPr>
        <w:tc>
          <w:tcPr>
            <w:tcW w:w="79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(0.2)</w:t>
            </w:r>
          </w:p>
        </w:tc>
        <w:tc>
          <w:tcPr>
            <w:tcW w:w="96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207"/>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(20.1)</w:t>
            </w:r>
          </w:p>
        </w:tc>
        <w:tc>
          <w:tcPr>
            <w:tcW w:w="96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-975995</wp:posOffset>
            </wp:positionV>
            <wp:extent cx="21062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0629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plant and equipment</w:t>
      </w:r>
    </w:p>
    <w:p>
      <w:pPr>
        <w:spacing w:after="0" w:line="233" w:lineRule="exact"/>
        <w:rPr>
          <w:sz w:val="20"/>
          <w:szCs w:val="20"/>
          <w:color w:val="auto"/>
        </w:rPr>
      </w:pPr>
    </w:p>
    <w:p>
      <w:pPr>
        <w:ind w:right="920" w:firstLine="642"/>
        <w:spacing w:after="0" w:line="256" w:lineRule="auto"/>
        <w:rPr>
          <w:sz w:val="20"/>
          <w:szCs w:val="20"/>
          <w:color w:val="auto"/>
        </w:rPr>
      </w:pPr>
      <w:r>
        <w:rPr>
          <w:rFonts w:ascii="Arial" w:cs="Arial" w:eastAsia="Arial" w:hAnsi="Arial"/>
          <w:sz w:val="16"/>
          <w:szCs w:val="16"/>
          <w:color w:val="auto"/>
        </w:rPr>
        <w:t>In the three months ended January 31, 2022, capital expenditures were concentrated in the purchase of farmland in Peru as well as land improvements and orchard development in Peru and Guatemala.</w:t>
      </w:r>
    </w:p>
    <w:p>
      <w:pPr>
        <w:spacing w:after="0" w:line="196" w:lineRule="exact"/>
        <w:rPr>
          <w:sz w:val="20"/>
          <w:szCs w:val="20"/>
          <w:color w:val="auto"/>
        </w:rPr>
      </w:pPr>
    </w:p>
    <w:p>
      <w:pPr>
        <w:ind w:firstLine="642"/>
        <w:spacing w:after="0" w:line="248" w:lineRule="auto"/>
        <w:rPr>
          <w:sz w:val="20"/>
          <w:szCs w:val="20"/>
          <w:color w:val="auto"/>
        </w:rPr>
      </w:pPr>
      <w:r>
        <w:rPr>
          <w:rFonts w:ascii="Arial" w:cs="Arial" w:eastAsia="Arial" w:hAnsi="Arial"/>
          <w:sz w:val="16"/>
          <w:szCs w:val="16"/>
          <w:color w:val="auto"/>
        </w:rPr>
        <w:t>In the three months ended January 31, 2021, capital expenditures were concentrated in the construction of our new distribution and ripening facility in Laredo, Texas, which opened in May 2021, and land improvements and orchard development in Peru and Guatemala. Proceeds from the sale of property, plant and equipment were primarily from the sale of two multi-unit housing properties in California that had been used for housing seasonal avocado labor contractors.</w:t>
      </w:r>
    </w:p>
    <w:p>
      <w:pPr>
        <w:spacing w:after="0" w:line="200" w:lineRule="exact"/>
        <w:rPr>
          <w:sz w:val="20"/>
          <w:szCs w:val="20"/>
          <w:color w:val="auto"/>
        </w:rPr>
      </w:pPr>
    </w:p>
    <w:p>
      <w:pPr>
        <w:spacing w:after="0" w:line="24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color w:val="auto"/>
        </w:rPr>
        <w:t>Equity method investees</w:t>
      </w:r>
    </w:p>
    <w:p>
      <w:pPr>
        <w:spacing w:after="0" w:line="233" w:lineRule="exact"/>
        <w:rPr>
          <w:sz w:val="20"/>
          <w:szCs w:val="20"/>
          <w:color w:val="auto"/>
        </w:rPr>
      </w:pPr>
    </w:p>
    <w:p>
      <w:pPr>
        <w:ind w:right="20" w:firstLine="642"/>
        <w:spacing w:after="0" w:line="250" w:lineRule="auto"/>
        <w:rPr>
          <w:sz w:val="20"/>
          <w:szCs w:val="20"/>
          <w:color w:val="auto"/>
        </w:rPr>
      </w:pPr>
      <w:r>
        <w:rPr>
          <w:rFonts w:ascii="Arial" w:cs="Arial" w:eastAsia="Arial" w:hAnsi="Arial"/>
          <w:sz w:val="16"/>
          <w:szCs w:val="16"/>
          <w:color w:val="auto"/>
        </w:rPr>
        <w:t>In the three months ended January 31, 2022, we received an installment payment on outstanding loans to Moruga. In the three months ended January 31, 2021, capital contributions to equity method investees were to our joint venture, Copaltas S.A.S., to support the purchase of additional farmland in Colombia.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2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2100" w:type="dxa"/>
            <w:vAlign w:val="bottom"/>
            <w:gridSpan w:val="2"/>
            <w:shd w:val="clear" w:color="auto" w:fill="43C0B9"/>
          </w:tcPr>
          <w:p>
            <w:pPr>
              <w:ind w:left="440"/>
              <w:spacing w:after="0"/>
              <w:rPr>
                <w:sz w:val="20"/>
                <w:szCs w:val="20"/>
                <w:color w:val="auto"/>
              </w:rPr>
            </w:pPr>
            <w:r>
              <w:rPr>
                <w:rFonts w:ascii="Arial" w:cs="Arial" w:eastAsia="Arial" w:hAnsi="Arial"/>
                <w:sz w:val="14"/>
                <w:szCs w:val="14"/>
                <w:b w:val="1"/>
                <w:bCs w:val="1"/>
                <w:color w:val="FFFFFF"/>
              </w:rPr>
              <w:t>Three Months Ended</w:t>
            </w:r>
          </w:p>
        </w:tc>
        <w:tc>
          <w:tcPr>
            <w:tcW w:w="700" w:type="dxa"/>
            <w:vAlign w:val="bottom"/>
            <w:shd w:val="clear" w:color="auto" w:fill="43C0B9"/>
          </w:tcPr>
          <w:p>
            <w:pPr>
              <w:spacing w:after="0"/>
              <w:rPr>
                <w:sz w:val="15"/>
                <w:szCs w:val="15"/>
                <w:color w:val="auto"/>
              </w:rPr>
            </w:pPr>
          </w:p>
        </w:tc>
      </w:tr>
      <w:tr>
        <w:trPr>
          <w:trHeight w:val="189"/>
        </w:trPr>
        <w:tc>
          <w:tcPr>
            <w:tcW w:w="7920" w:type="dxa"/>
            <w:vAlign w:val="bottom"/>
            <w:shd w:val="clear" w:color="auto" w:fill="43C0B9"/>
          </w:tcPr>
          <w:p>
            <w:pPr>
              <w:spacing w:after="0"/>
              <w:rPr>
                <w:sz w:val="16"/>
                <w:szCs w:val="16"/>
                <w:color w:val="auto"/>
              </w:rPr>
            </w:pPr>
          </w:p>
        </w:tc>
        <w:tc>
          <w:tcPr>
            <w:tcW w:w="520" w:type="dxa"/>
            <w:vAlign w:val="bottom"/>
            <w:shd w:val="clear" w:color="auto" w:fill="43C0B9"/>
          </w:tcPr>
          <w:p>
            <w:pPr>
              <w:spacing w:after="0"/>
              <w:rPr>
                <w:sz w:val="16"/>
                <w:szCs w:val="16"/>
                <w:color w:val="auto"/>
              </w:rPr>
            </w:pPr>
          </w:p>
        </w:tc>
        <w:tc>
          <w:tcPr>
            <w:tcW w:w="2100" w:type="dxa"/>
            <w:vAlign w:val="bottom"/>
            <w:gridSpan w:val="2"/>
            <w:shd w:val="clear" w:color="auto" w:fill="43C0B9"/>
          </w:tcPr>
          <w:p>
            <w:pPr>
              <w:ind w:left="760"/>
              <w:spacing w:after="0"/>
              <w:rPr>
                <w:sz w:val="20"/>
                <w:szCs w:val="20"/>
                <w:color w:val="auto"/>
              </w:rPr>
            </w:pPr>
            <w:r>
              <w:rPr>
                <w:rFonts w:ascii="Arial" w:cs="Arial" w:eastAsia="Arial" w:hAnsi="Arial"/>
                <w:sz w:val="14"/>
                <w:szCs w:val="14"/>
                <w:b w:val="1"/>
                <w:bCs w:val="1"/>
                <w:color w:val="FFFFFF"/>
              </w:rPr>
              <w:t>January 31,</w:t>
            </w:r>
          </w:p>
        </w:tc>
        <w:tc>
          <w:tcPr>
            <w:tcW w:w="700" w:type="dxa"/>
            <w:vAlign w:val="bottom"/>
            <w:shd w:val="clear" w:color="auto" w:fill="43C0B9"/>
          </w:tcPr>
          <w:p>
            <w:pPr>
              <w:spacing w:after="0"/>
              <w:rPr>
                <w:sz w:val="16"/>
                <w:szCs w:val="16"/>
                <w:color w:val="auto"/>
              </w:rPr>
            </w:pPr>
          </w:p>
        </w:tc>
      </w:tr>
      <w:tr>
        <w:trPr>
          <w:trHeight w:val="239"/>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520" w:type="dxa"/>
            <w:vAlign w:val="bottom"/>
            <w:shd w:val="clear" w:color="auto" w:fill="43C0B9"/>
          </w:tcPr>
          <w:p>
            <w:pPr>
              <w:spacing w:after="0"/>
              <w:rPr>
                <w:sz w:val="20"/>
                <w:szCs w:val="20"/>
                <w:color w:val="auto"/>
              </w:rPr>
            </w:pPr>
          </w:p>
        </w:tc>
        <w:tc>
          <w:tcPr>
            <w:tcW w:w="1140" w:type="dxa"/>
            <w:vAlign w:val="bottom"/>
            <w:shd w:val="clear" w:color="auto" w:fill="43C0B9"/>
          </w:tcPr>
          <w:p>
            <w:pPr>
              <w:ind w:left="620"/>
              <w:spacing w:after="0"/>
              <w:rPr>
                <w:sz w:val="20"/>
                <w:szCs w:val="20"/>
                <w:color w:val="auto"/>
              </w:rPr>
            </w:pPr>
            <w:r>
              <w:rPr>
                <w:rFonts w:ascii="Arial" w:cs="Arial" w:eastAsia="Arial" w:hAnsi="Arial"/>
                <w:sz w:val="14"/>
                <w:szCs w:val="14"/>
                <w:b w:val="1"/>
                <w:bCs w:val="1"/>
                <w:color w:val="FFFFFF"/>
              </w:rPr>
              <w:t>2022</w:t>
            </w:r>
          </w:p>
        </w:tc>
        <w:tc>
          <w:tcPr>
            <w:tcW w:w="960" w:type="dxa"/>
            <w:vAlign w:val="bottom"/>
            <w:shd w:val="clear" w:color="auto" w:fill="43C0B9"/>
          </w:tcPr>
          <w:p>
            <w:pPr>
              <w:spacing w:after="0"/>
              <w:rPr>
                <w:sz w:val="20"/>
                <w:szCs w:val="20"/>
                <w:color w:val="auto"/>
              </w:rPr>
            </w:pPr>
          </w:p>
        </w:tc>
        <w:tc>
          <w:tcPr>
            <w:tcW w:w="700" w:type="dxa"/>
            <w:vAlign w:val="bottom"/>
            <w:shd w:val="clear" w:color="auto" w:fill="43C0B9"/>
          </w:tcPr>
          <w:p>
            <w:pPr>
              <w:jc w:val="right"/>
              <w:ind w:right="49"/>
              <w:spacing w:after="0"/>
              <w:rPr>
                <w:sz w:val="20"/>
                <w:szCs w:val="20"/>
                <w:color w:val="auto"/>
              </w:rPr>
            </w:pPr>
            <w:r>
              <w:rPr>
                <w:rFonts w:ascii="Arial" w:cs="Arial" w:eastAsia="Arial" w:hAnsi="Arial"/>
                <w:sz w:val="14"/>
                <w:szCs w:val="14"/>
                <w:b w:val="1"/>
                <w:bCs w:val="1"/>
                <w:color w:val="FFFFFF"/>
              </w:rPr>
              <w:t>2021</w:t>
            </w:r>
          </w:p>
        </w:tc>
      </w:tr>
      <w:tr>
        <w:trPr>
          <w:trHeight w:val="214"/>
        </w:trPr>
        <w:tc>
          <w:tcPr>
            <w:tcW w:w="79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Principal payments on long-term borrowings</w:t>
            </w:r>
          </w:p>
        </w:tc>
        <w:tc>
          <w:tcPr>
            <w:tcW w:w="520" w:type="dxa"/>
            <w:vAlign w:val="bottom"/>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ind w:left="740"/>
              <w:spacing w:after="0"/>
              <w:rPr>
                <w:sz w:val="20"/>
                <w:szCs w:val="20"/>
                <w:color w:val="auto"/>
              </w:rPr>
            </w:pPr>
            <w:r>
              <w:rPr>
                <w:rFonts w:ascii="Arial" w:cs="Arial" w:eastAsia="Arial" w:hAnsi="Arial"/>
                <w:sz w:val="14"/>
                <w:szCs w:val="14"/>
                <w:color w:val="auto"/>
              </w:rPr>
              <w:t>(2.2)</w:t>
            </w:r>
          </w:p>
        </w:tc>
        <w:tc>
          <w:tcPr>
            <w:tcW w:w="960" w:type="dxa"/>
            <w:vAlign w:val="bottom"/>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w:t>
            </w:r>
          </w:p>
        </w:tc>
      </w:tr>
      <w:tr>
        <w:trPr>
          <w:trHeight w:val="20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(0.3)</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7"/>
        </w:trPr>
        <w:tc>
          <w:tcPr>
            <w:tcW w:w="79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Net cash used in financing activities</w:t>
            </w:r>
          </w:p>
        </w:tc>
        <w:tc>
          <w:tcPr>
            <w:tcW w:w="52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4"/>
                <w:szCs w:val="14"/>
                <w:color w:val="auto"/>
              </w:rPr>
              <w:t>(2.5)</w:t>
            </w:r>
          </w:p>
        </w:tc>
        <w:tc>
          <w:tcPr>
            <w:tcW w:w="960" w:type="dxa"/>
            <w:vAlign w:val="bottom"/>
            <w:tcBorders>
              <w:bottom w:val="single" w:sz="8" w:color="auto"/>
            </w:tcBorders>
            <w:shd w:val="clear" w:color="auto" w:fill="DBDBDB"/>
          </w:tcPr>
          <w:p>
            <w:pPr>
              <w:jc w:val="right"/>
              <w:ind w:right="7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-568325</wp:posOffset>
            </wp:positionV>
            <wp:extent cx="21062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0629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Borrowings and repayments of debt</w:t>
      </w:r>
    </w:p>
    <w:p>
      <w:pPr>
        <w:spacing w:after="0" w:line="233" w:lineRule="exact"/>
        <w:rPr>
          <w:sz w:val="20"/>
          <w:szCs w:val="20"/>
          <w:color w:val="auto"/>
        </w:rPr>
      </w:pPr>
    </w:p>
    <w:p>
      <w:pPr>
        <w:ind w:right="120" w:firstLine="642"/>
        <w:spacing w:after="0" w:line="256" w:lineRule="auto"/>
        <w:rPr>
          <w:sz w:val="20"/>
          <w:szCs w:val="20"/>
          <w:color w:val="auto"/>
        </w:rPr>
      </w:pPr>
      <w:r>
        <w:rPr>
          <w:rFonts w:ascii="Arial" w:cs="Arial" w:eastAsia="Arial" w:hAnsi="Arial"/>
          <w:sz w:val="16"/>
          <w:szCs w:val="16"/>
          <w:color w:val="auto"/>
        </w:rPr>
        <w:t>We utilize a revolving line of credit for short-term working capital purposes. Principal payments on our term loans and other notes payable are made in accordance with debt maturity schedules.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8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FFFFFF"/>
              </w:rPr>
              <w:t>(In millions)</w:t>
            </w:r>
          </w:p>
        </w:tc>
        <w:tc>
          <w:tcPr>
            <w:tcW w:w="3380" w:type="dxa"/>
            <w:vAlign w:val="bottom"/>
            <w:shd w:val="clear" w:color="auto" w:fill="43C0B9"/>
          </w:tcPr>
          <w:p>
            <w:pPr>
              <w:spacing w:after="0"/>
              <w:rPr>
                <w:sz w:val="18"/>
                <w:szCs w:val="18"/>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January 31, 2022</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b w:val="1"/>
                <w:bCs w:val="1"/>
                <w:color w:val="FFFFFF"/>
              </w:rPr>
              <w:t>October 31, 2021</w:t>
            </w:r>
          </w:p>
        </w:tc>
      </w:tr>
      <w:tr>
        <w:trPr>
          <w:trHeight w:val="214"/>
        </w:trPr>
        <w:tc>
          <w:tcPr>
            <w:tcW w:w="4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338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25.3</w:t>
            </w:r>
          </w:p>
        </w:tc>
        <w:tc>
          <w:tcPr>
            <w:tcW w:w="30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84.5</w:t>
            </w:r>
          </w:p>
        </w:tc>
      </w:tr>
      <w:tr>
        <w:trPr>
          <w:trHeight w:val="20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Working capital</w:t>
            </w:r>
            <w:r>
              <w:rPr>
                <w:rFonts w:ascii="Arial" w:cs="Arial" w:eastAsia="Arial" w:hAnsi="Arial"/>
                <w:sz w:val="9"/>
                <w:szCs w:val="9"/>
                <w:color w:val="auto"/>
              </w:rPr>
              <w:t>(1)</w:t>
            </w:r>
          </w:p>
        </w:tc>
        <w:tc>
          <w:tcPr>
            <w:tcW w:w="3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130.6</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w:t>
            </w:r>
          </w:p>
        </w:tc>
      </w:tr>
    </w:tbl>
    <w:p>
      <w:pPr>
        <w:spacing w:after="0" w:line="106" w:lineRule="exact"/>
        <w:rPr>
          <w:sz w:val="20"/>
          <w:szCs w:val="20"/>
          <w:color w:val="auto"/>
        </w:rPr>
      </w:pPr>
    </w:p>
    <w:p>
      <w:pPr>
        <w:ind w:left="180" w:hanging="173"/>
        <w:spacing w:after="0"/>
        <w:tabs>
          <w:tab w:leader="none" w:pos="18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Includes cash and cash equivalents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Capital resources include cash flows from operations, cash and cash equivalents, and debt financing.</w:t>
      </w:r>
    </w:p>
    <w:p>
      <w:pPr>
        <w:spacing w:after="0" w:line="217" w:lineRule="exact"/>
        <w:rPr>
          <w:sz w:val="20"/>
          <w:szCs w:val="20"/>
          <w:color w:val="auto"/>
        </w:rPr>
      </w:pPr>
    </w:p>
    <w:p>
      <w:pPr>
        <w:ind w:right="20" w:firstLine="642"/>
        <w:spacing w:after="0" w:line="247" w:lineRule="auto"/>
        <w:rPr>
          <w:sz w:val="20"/>
          <w:szCs w:val="20"/>
          <w:color w:val="auto"/>
        </w:rPr>
      </w:pPr>
      <w:r>
        <w:rPr>
          <w:rFonts w:ascii="Arial" w:cs="Arial" w:eastAsia="Arial" w:hAnsi="Arial"/>
          <w:sz w:val="16"/>
          <w:szCs w:val="16"/>
          <w:color w:val="auto"/>
        </w:rPr>
        <w:t>We have a syndicated credit facility with Bank of America, N.A., comprised of two term loans and a revolving credit facility (“revolver”) that provides up to $100 million in borrowings that will expire in October 2023. The credit facility also includes a swing line facility and an accordion feature which allows us to increase the borrowings by up to $125 million, with bank approval. We did not have any outstanding borrowings under the revolver as of January 31, 2022 and October 31, 2021. Interest on the revolver bears rates at a spread over LIBOR that varies with our leverage ratio. As of January 31, 2022 and October 31, 2021, interest rates on the revolver were 1.86% and 1.84%, respectively.</w:t>
      </w:r>
    </w:p>
    <w:p>
      <w:pPr>
        <w:spacing w:after="0" w:line="203" w:lineRule="exact"/>
        <w:rPr>
          <w:sz w:val="20"/>
          <w:szCs w:val="20"/>
          <w:color w:val="auto"/>
        </w:rPr>
      </w:pPr>
    </w:p>
    <w:p>
      <w:pPr>
        <w:ind w:right="60" w:firstLine="642"/>
        <w:spacing w:after="0" w:line="247" w:lineRule="auto"/>
        <w:rPr>
          <w:sz w:val="20"/>
          <w:szCs w:val="20"/>
          <w:color w:val="auto"/>
        </w:rPr>
      </w:pPr>
      <w:r>
        <w:rPr>
          <w:rFonts w:ascii="Arial" w:cs="Arial" w:eastAsia="Arial" w:hAnsi="Arial"/>
          <w:sz w:val="16"/>
          <w:szCs w:val="16"/>
          <w:color w:val="auto"/>
        </w:rPr>
        <w:t>As of January 31, 2022, we were required to comply with the following financial covenants: (a) a quarterly consolidated leverage ratio of not more than 2.75 to 1.00 and (b) a quarterly consolidated fixed charge coverage ratio of not less than 1.50 to 1.00. As of January 31, 2022, our consolidated leverage ratio was 2.47 to 1.00 and our consolidated fixed charge coverage ratio was 1.73 to 1.00 and we were in compliance with all such covenants of the credit facility. The loans are secured by real property, personal property and the capital stock of our subsidiaries. We pay fees on unused commitments on the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233" w:lineRule="exact"/>
        <w:rPr>
          <w:sz w:val="20"/>
          <w:szCs w:val="20"/>
          <w:color w:val="auto"/>
        </w:rPr>
      </w:pPr>
    </w:p>
    <w:p>
      <w:pPr>
        <w:jc w:val="both"/>
        <w:ind w:right="320" w:firstLine="642"/>
        <w:spacing w:after="0" w:line="250" w:lineRule="auto"/>
        <w:rPr>
          <w:sz w:val="20"/>
          <w:szCs w:val="20"/>
          <w:color w:val="auto"/>
        </w:rPr>
      </w:pPr>
      <w:r>
        <w:rPr>
          <w:rFonts w:ascii="Arial" w:cs="Arial" w:eastAsia="Arial" w:hAnsi="Arial"/>
          <w:sz w:val="16"/>
          <w:szCs w:val="16"/>
          <w:color w:val="auto"/>
        </w:rPr>
        <w:t>We have various capital projects in progress for farming expansion and facility improvements which we intend to fund through our operating cash flow as well as cash and cash equivalents on hand. For fiscal 2022, we do not expect a material deviation from amounts spent in recent fiscal years. Cash paid for capital expenditures for the years ended October 31, 2021 and 2020, were $73.4 million and $67.3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233" w:lineRule="exact"/>
        <w:rPr>
          <w:sz w:val="20"/>
          <w:szCs w:val="20"/>
          <w:color w:val="auto"/>
        </w:rPr>
      </w:pPr>
    </w:p>
    <w:p>
      <w:pPr>
        <w:ind w:right="560" w:firstLine="642"/>
        <w:spacing w:after="0" w:line="256" w:lineRule="auto"/>
        <w:rPr>
          <w:sz w:val="20"/>
          <w:szCs w:val="20"/>
          <w:color w:val="auto"/>
        </w:rPr>
      </w:pPr>
      <w:r>
        <w:rPr>
          <w:rFonts w:ascii="Arial" w:cs="Arial" w:eastAsia="Arial" w:hAnsi="Arial"/>
          <w:sz w:val="16"/>
          <w:szCs w:val="16"/>
          <w:color w:val="auto"/>
        </w:rPr>
        <w:t>We are party to various operating leases for facilities, land, and equipment, for which our undiscounted cash liabilities were $73.6 million as of January 31, 2022.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Debt</w:t>
      </w:r>
    </w:p>
    <w:p>
      <w:pPr>
        <w:spacing w:after="0" w:line="233" w:lineRule="exact"/>
        <w:rPr>
          <w:sz w:val="20"/>
          <w:szCs w:val="20"/>
          <w:color w:val="auto"/>
        </w:rPr>
      </w:pPr>
    </w:p>
    <w:p>
      <w:pPr>
        <w:ind w:right="200" w:firstLine="642"/>
        <w:spacing w:after="0" w:line="256" w:lineRule="auto"/>
        <w:rPr>
          <w:sz w:val="20"/>
          <w:szCs w:val="20"/>
          <w:color w:val="auto"/>
        </w:rPr>
      </w:pPr>
      <w:r>
        <w:rPr>
          <w:rFonts w:ascii="Arial" w:cs="Arial" w:eastAsia="Arial" w:hAnsi="Arial"/>
          <w:sz w:val="16"/>
          <w:szCs w:val="16"/>
          <w:color w:val="auto"/>
        </w:rPr>
        <w:t>As of January 31, 2022, remaining maturities on our term loans and notes were $162.0 million. See Note 4 to the consolidated financial statements for more information.</w:t>
      </w:r>
    </w:p>
    <w:p>
      <w:pPr>
        <w:sectPr>
          <w:pgSz w:w="11900" w:h="16838" w:orient="portrait"/>
          <w:cols w:equalWidth="0" w:num="1">
            <w:col w:w="11240"/>
          </w:cols>
          <w:pgMar w:left="320" w:top="1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type w:val="continuous"/>
        </w:sectPr>
      </w:pPr>
    </w:p>
    <w:bookmarkStart w:id="21" w:name="page22"/>
    <w:bookmarkEnd w:id="21"/>
    <w:p>
      <w:pPr>
        <w:spacing w:after="0"/>
        <w:tabs>
          <w:tab w:leader="none" w:pos="1060" w:val="left"/>
        </w:tabs>
        <w:rPr>
          <w:sz w:val="20"/>
          <w:szCs w:val="20"/>
          <w:color w:val="auto"/>
        </w:rPr>
      </w:pPr>
      <w:r>
        <w:rPr>
          <w:rFonts w:ascii="Arial" w:cs="Arial" w:eastAsia="Arial" w:hAnsi="Arial"/>
          <w:sz w:val="25"/>
          <w:szCs w:val="25"/>
          <w:b w:val="1"/>
          <w:bCs w:val="1"/>
          <w:color w:val="auto"/>
        </w:rPr>
        <w:t>Item 3.</w:t>
      </w:r>
      <w:r>
        <w:rPr>
          <w:sz w:val="20"/>
          <w:szCs w:val="20"/>
          <w:color w:val="auto"/>
        </w:rPr>
        <w:tab/>
      </w:r>
      <w:r>
        <w:rPr>
          <w:rFonts w:ascii="Arial" w:cs="Arial" w:eastAsia="Arial" w:hAnsi="Arial"/>
          <w:sz w:val="24"/>
          <w:szCs w:val="24"/>
          <w:b w:val="1"/>
          <w:bCs w:val="1"/>
          <w:color w:val="auto"/>
        </w:rPr>
        <w:t>Quantitative and Qualitative Disclosures About Market Risk</w:t>
      </w:r>
    </w:p>
    <w:p>
      <w:pPr>
        <w:spacing w:after="0" w:line="251" w:lineRule="exact"/>
        <w:rPr>
          <w:sz w:val="20"/>
          <w:szCs w:val="20"/>
          <w:color w:val="auto"/>
        </w:rPr>
      </w:pPr>
    </w:p>
    <w:p>
      <w:pPr>
        <w:ind w:right="20" w:firstLine="642"/>
        <w:spacing w:after="0" w:line="256" w:lineRule="auto"/>
        <w:rPr>
          <w:sz w:val="20"/>
          <w:szCs w:val="20"/>
          <w:color w:val="auto"/>
        </w:rPr>
      </w:pPr>
      <w:r>
        <w:rPr>
          <w:rFonts w:ascii="Arial" w:cs="Arial" w:eastAsia="Arial" w:hAnsi="Arial"/>
          <w:sz w:val="16"/>
          <w:szCs w:val="16"/>
          <w:color w:val="auto"/>
        </w:rPr>
        <w:t>There have been no material changes to “Part II, Item 7A. Quantitative and Qualitative Disclosures About Market Risk” in our Annual Report on Form 10-K for the year ended October 31, 2021.</w:t>
      </w:r>
    </w:p>
    <w:p>
      <w:pPr>
        <w:spacing w:after="0" w:line="299" w:lineRule="exact"/>
        <w:rPr>
          <w:sz w:val="20"/>
          <w:szCs w:val="20"/>
          <w:color w:val="auto"/>
        </w:rPr>
      </w:pPr>
    </w:p>
    <w:p>
      <w:pPr>
        <w:spacing w:after="0"/>
        <w:tabs>
          <w:tab w:leader="none" w:pos="1060" w:val="left"/>
        </w:tabs>
        <w:rPr>
          <w:sz w:val="20"/>
          <w:szCs w:val="20"/>
          <w:color w:val="auto"/>
        </w:rPr>
      </w:pPr>
      <w:r>
        <w:rPr>
          <w:rFonts w:ascii="Arial" w:cs="Arial" w:eastAsia="Arial" w:hAnsi="Arial"/>
          <w:sz w:val="25"/>
          <w:szCs w:val="25"/>
          <w:b w:val="1"/>
          <w:bCs w:val="1"/>
          <w:color w:val="auto"/>
        </w:rPr>
        <w:t>Item 4.</w:t>
      </w:r>
      <w:r>
        <w:rPr>
          <w:sz w:val="20"/>
          <w:szCs w:val="20"/>
          <w:color w:val="auto"/>
        </w:rPr>
        <w:tab/>
      </w:r>
      <w:r>
        <w:rPr>
          <w:rFonts w:ascii="Arial" w:cs="Arial" w:eastAsia="Arial" w:hAnsi="Arial"/>
          <w:sz w:val="24"/>
          <w:szCs w:val="24"/>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37" w:lineRule="exact"/>
        <w:rPr>
          <w:sz w:val="20"/>
          <w:szCs w:val="20"/>
          <w:color w:val="auto"/>
        </w:rPr>
      </w:pPr>
    </w:p>
    <w:p>
      <w:pPr>
        <w:ind w:firstLine="642"/>
        <w:spacing w:after="0" w:line="245" w:lineRule="auto"/>
        <w:rPr>
          <w:sz w:val="20"/>
          <w:szCs w:val="20"/>
          <w:color w:val="auto"/>
        </w:rPr>
      </w:pPr>
      <w:r>
        <w:rPr>
          <w:rFonts w:ascii="Arial" w:cs="Arial" w:eastAsia="Arial" w:hAnsi="Arial"/>
          <w:sz w:val="16"/>
          <w:szCs w:val="16"/>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37" w:lineRule="exact"/>
        <w:rPr>
          <w:sz w:val="20"/>
          <w:szCs w:val="20"/>
          <w:color w:val="auto"/>
        </w:rPr>
      </w:pPr>
    </w:p>
    <w:p>
      <w:pPr>
        <w:jc w:val="both"/>
        <w:ind w:right="40" w:firstLine="642"/>
        <w:spacing w:after="0" w:line="250" w:lineRule="auto"/>
        <w:rPr>
          <w:sz w:val="20"/>
          <w:szCs w:val="20"/>
          <w:color w:val="auto"/>
        </w:rPr>
      </w:pPr>
      <w:r>
        <w:rPr>
          <w:rFonts w:ascii="Arial" w:cs="Arial" w:eastAsia="Arial" w:hAnsi="Arial"/>
          <w:sz w:val="16"/>
          <w:szCs w:val="16"/>
          <w:color w:val="auto"/>
        </w:rPr>
        <w:t>On November 1, 2021, we implemented a new ERP system in our Marketing and Distribution segment, which impacted recordkeeping processes for the general ledger, accounts receivable, inventory, accounts payable, purchasing, and shipping. We have focused on the maintenance of internal controls and the assessment of the design of new controls through the development and deployment of the new ERP system.</w:t>
      </w:r>
    </w:p>
    <w:p>
      <w:pPr>
        <w:spacing w:after="0" w:line="201" w:lineRule="exact"/>
        <w:rPr>
          <w:sz w:val="20"/>
          <w:szCs w:val="20"/>
          <w:color w:val="auto"/>
        </w:rPr>
      </w:pPr>
    </w:p>
    <w:p>
      <w:pPr>
        <w:ind w:right="80" w:firstLine="642"/>
        <w:spacing w:after="0" w:line="256" w:lineRule="auto"/>
        <w:rPr>
          <w:sz w:val="20"/>
          <w:szCs w:val="20"/>
          <w:color w:val="auto"/>
        </w:rPr>
      </w:pPr>
      <w:r>
        <w:rPr>
          <w:rFonts w:ascii="Arial" w:cs="Arial" w:eastAsia="Arial" w:hAnsi="Arial"/>
          <w:sz w:val="16"/>
          <w:szCs w:val="16"/>
          <w:color w:val="auto"/>
        </w:rPr>
        <w:t>There were no other changes in our internal control over financial reporting during the quarter ended January 31, 2022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237" w:lineRule="exact"/>
        <w:rPr>
          <w:sz w:val="20"/>
          <w:szCs w:val="20"/>
          <w:color w:val="auto"/>
        </w:rPr>
      </w:pPr>
    </w:p>
    <w:p>
      <w:pPr>
        <w:jc w:val="both"/>
        <w:ind w:right="180" w:firstLine="642"/>
        <w:spacing w:after="0" w:line="247"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48"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5"/>
          <w:szCs w:val="25"/>
          <w:b w:val="1"/>
          <w:bCs w:val="1"/>
          <w:color w:val="auto"/>
        </w:rPr>
        <w:t>PART II- OTHER INFORMATION</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25"/>
          <w:szCs w:val="25"/>
          <w:b w:val="1"/>
          <w:bCs w:val="1"/>
          <w:color w:val="auto"/>
        </w:rPr>
        <w:t>Item 1.</w:t>
      </w:r>
      <w:r>
        <w:rPr>
          <w:sz w:val="20"/>
          <w:szCs w:val="20"/>
          <w:color w:val="auto"/>
        </w:rPr>
        <w:tab/>
      </w:r>
      <w:r>
        <w:rPr>
          <w:rFonts w:ascii="Arial" w:cs="Arial" w:eastAsia="Arial" w:hAnsi="Arial"/>
          <w:sz w:val="24"/>
          <w:szCs w:val="24"/>
          <w:b w:val="1"/>
          <w:bCs w:val="1"/>
          <w:color w:val="auto"/>
        </w:rPr>
        <w:t>Legal Proceedings</w:t>
      </w:r>
    </w:p>
    <w:p>
      <w:pPr>
        <w:spacing w:after="0" w:line="251" w:lineRule="exact"/>
        <w:rPr>
          <w:sz w:val="20"/>
          <w:szCs w:val="20"/>
          <w:color w:val="auto"/>
        </w:rPr>
      </w:pPr>
    </w:p>
    <w:p>
      <w:pPr>
        <w:ind w:right="540" w:firstLine="642"/>
        <w:spacing w:after="0" w:line="256" w:lineRule="auto"/>
        <w:rPr>
          <w:sz w:val="20"/>
          <w:szCs w:val="20"/>
          <w:color w:val="auto"/>
        </w:rPr>
      </w:pPr>
      <w:r>
        <w:rPr>
          <w:rFonts w:ascii="Arial" w:cs="Arial" w:eastAsia="Arial" w:hAnsi="Arial"/>
          <w:sz w:val="16"/>
          <w:szCs w:val="16"/>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96" w:lineRule="exact"/>
        <w:rPr>
          <w:sz w:val="20"/>
          <w:szCs w:val="20"/>
          <w:color w:val="auto"/>
        </w:rPr>
      </w:pPr>
    </w:p>
    <w:p>
      <w:pPr>
        <w:ind w:right="180" w:firstLine="642"/>
        <w:spacing w:after="0" w:line="256" w:lineRule="auto"/>
        <w:rPr>
          <w:sz w:val="20"/>
          <w:szCs w:val="20"/>
          <w:color w:val="auto"/>
        </w:rPr>
      </w:pPr>
      <w:r>
        <w:rPr>
          <w:rFonts w:ascii="Arial" w:cs="Arial" w:eastAsia="Arial" w:hAnsi="Arial"/>
          <w:sz w:val="16"/>
          <w:szCs w:val="16"/>
          <w:color w:val="auto"/>
        </w:rPr>
        <w:t>The Company is involved from time to time in claims, proceedings, and litigation, including those discussed in “Part I, Item 3. Legal Proceedings” in our Annual Report on Form 10-K for the year ended October 31, 2021, to which there have been no material updates.</w:t>
      </w:r>
    </w:p>
    <w:p>
      <w:pPr>
        <w:spacing w:after="0" w:line="196" w:lineRule="exact"/>
        <w:rPr>
          <w:sz w:val="20"/>
          <w:szCs w:val="20"/>
          <w:color w:val="auto"/>
        </w:rPr>
      </w:pPr>
    </w:p>
    <w:p>
      <w:pPr>
        <w:ind w:right="40" w:firstLine="642"/>
        <w:spacing w:after="0" w:line="250" w:lineRule="auto"/>
        <w:rPr>
          <w:sz w:val="20"/>
          <w:szCs w:val="20"/>
          <w:color w:val="auto"/>
        </w:rPr>
      </w:pPr>
      <w:r>
        <w:rPr>
          <w:rFonts w:ascii="Arial" w:cs="Arial" w:eastAsia="Arial" w:hAnsi="Arial"/>
          <w:sz w:val="16"/>
          <w:szCs w:val="16"/>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30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auto"/>
        </w:rPr>
        <w:t>Item 1A.</w:t>
      </w:r>
      <w:r>
        <w:rPr>
          <w:sz w:val="20"/>
          <w:szCs w:val="20"/>
          <w:color w:val="auto"/>
        </w:rPr>
        <w:tab/>
      </w:r>
      <w:r>
        <w:rPr>
          <w:rFonts w:ascii="Arial" w:cs="Arial" w:eastAsia="Arial" w:hAnsi="Arial"/>
          <w:sz w:val="24"/>
          <w:szCs w:val="24"/>
          <w:b w:val="1"/>
          <w:bCs w:val="1"/>
          <w:color w:val="auto"/>
        </w:rPr>
        <w:t>Risk Factors</w:t>
      </w:r>
    </w:p>
    <w:p>
      <w:pPr>
        <w:spacing w:after="0" w:line="251" w:lineRule="exact"/>
        <w:rPr>
          <w:sz w:val="20"/>
          <w:szCs w:val="20"/>
          <w:color w:val="auto"/>
        </w:rPr>
      </w:pPr>
    </w:p>
    <w:p>
      <w:pPr>
        <w:ind w:right="80" w:firstLine="642"/>
        <w:spacing w:after="0" w:line="246" w:lineRule="auto"/>
        <w:rPr>
          <w:sz w:val="20"/>
          <w:szCs w:val="20"/>
          <w:color w:val="auto"/>
        </w:rPr>
      </w:pPr>
      <w:r>
        <w:rPr>
          <w:rFonts w:ascii="Arial" w:cs="Arial" w:eastAsia="Arial" w:hAnsi="Arial"/>
          <w:sz w:val="16"/>
          <w:szCs w:val="16"/>
          <w:color w:val="auto"/>
        </w:rPr>
        <w:t>For a discussion of our risk factors, see “Part I, Item 1A. Risk Factors” in our Annual Report on Form 10-K for the year ended October 31, 2021, filed with the SEC on December 22, 2021. There have been no material changes from the risk factors previously disclosed in such Annual Report on Form 10-K, except as set forth below. The risks and uncertainties that we face are not limited to those set forth in the 2021 Form 10-K and in this quarterly report. You should carefully consider the risk factors in the 2021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204" w:lineRule="exact"/>
        <w:rPr>
          <w:sz w:val="20"/>
          <w:szCs w:val="20"/>
          <w:color w:val="auto"/>
        </w:rPr>
      </w:pPr>
    </w:p>
    <w:p>
      <w:pPr>
        <w:ind w:right="20" w:firstLine="642"/>
        <w:spacing w:after="0" w:line="229" w:lineRule="auto"/>
        <w:rPr>
          <w:sz w:val="20"/>
          <w:szCs w:val="20"/>
          <w:color w:val="auto"/>
        </w:rPr>
      </w:pPr>
      <w:r>
        <w:rPr>
          <w:rFonts w:ascii="Arial" w:cs="Arial" w:eastAsia="Arial" w:hAnsi="Arial"/>
          <w:sz w:val="16"/>
          <w:szCs w:val="16"/>
          <w:color w:val="auto"/>
        </w:rPr>
        <w:t>Our internal computer systems and those of our current and any future partners, contractors and consultants are vulnerable to damage from cyber-attacks, computer viruses, unauthorized access, natural disasters, terrorism, war and telecommunication and electrical failures. System failures, accidents or security breaches can cause interruptions in our operations and can result in a material disruption of our business operations. Experienced computer programmers and hackers may be able to penetrate our information technology security and misappropriate or compromise our confidential information or that of third parties, create system disruptions or cause shutdowns, or develop and deploy viruses, worms, and other malicious software programs that attack our programs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production, distribution or other critical functions.</w:t>
      </w:r>
    </w:p>
    <w:p>
      <w:pPr>
        <w:spacing w:after="0" w:line="224" w:lineRule="exact"/>
        <w:rPr>
          <w:sz w:val="20"/>
          <w:szCs w:val="20"/>
          <w:color w:val="auto"/>
        </w:rPr>
      </w:pPr>
    </w:p>
    <w:p>
      <w:pPr>
        <w:ind w:firstLine="642"/>
        <w:spacing w:after="0" w:line="230" w:lineRule="auto"/>
        <w:rPr>
          <w:sz w:val="20"/>
          <w:szCs w:val="20"/>
          <w:color w:val="auto"/>
        </w:rPr>
      </w:pPr>
      <w:r>
        <w:rPr>
          <w:rFonts w:ascii="Arial" w:cs="Arial" w:eastAsia="Arial" w:hAnsi="Arial"/>
          <w:sz w:val="16"/>
          <w:szCs w:val="16"/>
          <w:color w:val="auto"/>
        </w:rPr>
        <w:t>Portions of our information technology infrastructure have and may in the future experience interruptions, delays or cessations of service or produce errors in connection with systems integration or migration work that takes place from time to time. We have experienced difficulties, and may not be successful in the future, with implementing new systems and transitioning data, which have and could cause business disruptions. These difficulties have resulted in and may result in increased costs, time consuming and resource-intensive remediation efforts to address issues, and disruption to the business. Such disruptions have and could adversely impact our ability to fulfill orders and interrupt other key business processes. We have experienced delays and lower profit from these disruptions and may experience such difficulties in the future. As a result, our financial results, stock price, or reputation have and may be adversely affected.</w:t>
      </w:r>
    </w:p>
    <w:p>
      <w:pPr>
        <w:spacing w:after="0" w:line="314" w:lineRule="exact"/>
        <w:rPr>
          <w:sz w:val="20"/>
          <w:szCs w:val="20"/>
          <w:color w:val="auto"/>
        </w:rPr>
      </w:pPr>
    </w:p>
    <w:p>
      <w:pPr>
        <w:spacing w:after="0"/>
        <w:tabs>
          <w:tab w:leader="none" w:pos="1060" w:val="left"/>
        </w:tabs>
        <w:rPr>
          <w:sz w:val="20"/>
          <w:szCs w:val="20"/>
          <w:color w:val="auto"/>
        </w:rPr>
      </w:pPr>
      <w:r>
        <w:rPr>
          <w:rFonts w:ascii="Arial" w:cs="Arial" w:eastAsia="Arial" w:hAnsi="Arial"/>
          <w:sz w:val="25"/>
          <w:szCs w:val="25"/>
          <w:b w:val="1"/>
          <w:bCs w:val="1"/>
          <w:color w:val="auto"/>
        </w:rPr>
        <w:t>Item 2.</w:t>
      </w:r>
      <w:r>
        <w:rPr>
          <w:sz w:val="20"/>
          <w:szCs w:val="20"/>
          <w:color w:val="auto"/>
        </w:rPr>
        <w:tab/>
      </w:r>
      <w:r>
        <w:rPr>
          <w:rFonts w:ascii="Arial" w:cs="Arial" w:eastAsia="Arial" w:hAnsi="Arial"/>
          <w:sz w:val="24"/>
          <w:szCs w:val="24"/>
          <w:b w:val="1"/>
          <w:bCs w:val="1"/>
          <w:color w:val="auto"/>
        </w:rPr>
        <w:t>Unregistered Sales of Equity Securities and Use of Proceeds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w:t>
      </w:r>
    </w:p>
    <w:p>
      <w:pPr>
        <w:spacing w:after="0" w:line="321" w:lineRule="exact"/>
        <w:rPr>
          <w:sz w:val="20"/>
          <w:szCs w:val="20"/>
          <w:color w:val="auto"/>
        </w:rPr>
      </w:pPr>
    </w:p>
    <w:p>
      <w:pPr>
        <w:spacing w:after="0"/>
        <w:tabs>
          <w:tab w:leader="none" w:pos="1060" w:val="left"/>
        </w:tabs>
        <w:rPr>
          <w:sz w:val="20"/>
          <w:szCs w:val="20"/>
          <w:color w:val="auto"/>
        </w:rPr>
      </w:pPr>
      <w:r>
        <w:rPr>
          <w:rFonts w:ascii="Arial" w:cs="Arial" w:eastAsia="Arial" w:hAnsi="Arial"/>
          <w:sz w:val="25"/>
          <w:szCs w:val="25"/>
          <w:b w:val="1"/>
          <w:bCs w:val="1"/>
          <w:color w:val="auto"/>
        </w:rPr>
        <w:t>Item 3.</w:t>
      </w:r>
      <w:r>
        <w:rPr>
          <w:sz w:val="20"/>
          <w:szCs w:val="20"/>
          <w:color w:val="auto"/>
        </w:rPr>
        <w:tab/>
      </w:r>
      <w:r>
        <w:rPr>
          <w:rFonts w:ascii="Arial" w:cs="Arial" w:eastAsia="Arial" w:hAnsi="Arial"/>
          <w:sz w:val="24"/>
          <w:szCs w:val="24"/>
          <w:b w:val="1"/>
          <w:bCs w:val="1"/>
          <w:color w:val="auto"/>
        </w:rPr>
        <w:t>Defaults Upon Senior Securities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8" w:right="339" w:bottom="1440" w:gutter="0" w:footer="0" w:header="0"/>
        </w:sectPr>
      </w:pPr>
    </w:p>
    <w:bookmarkStart w:id="23" w:name="page24"/>
    <w:bookmarkEnd w:id="23"/>
    <w:p>
      <w:pPr>
        <w:spacing w:after="0"/>
        <w:tabs>
          <w:tab w:leader="none" w:pos="1060" w:val="left"/>
        </w:tabs>
        <w:rPr>
          <w:sz w:val="20"/>
          <w:szCs w:val="20"/>
          <w:color w:val="auto"/>
        </w:rPr>
      </w:pPr>
      <w:r>
        <w:rPr>
          <w:rFonts w:ascii="Arial" w:cs="Arial" w:eastAsia="Arial" w:hAnsi="Arial"/>
          <w:sz w:val="25"/>
          <w:szCs w:val="25"/>
          <w:b w:val="1"/>
          <w:bCs w:val="1"/>
          <w:color w:val="auto"/>
        </w:rPr>
        <w:t>Item 4.</w:t>
      </w:r>
      <w:r>
        <w:rPr>
          <w:sz w:val="20"/>
          <w:szCs w:val="20"/>
          <w:color w:val="auto"/>
        </w:rPr>
        <w:tab/>
      </w:r>
      <w:r>
        <w:rPr>
          <w:rFonts w:ascii="Arial" w:cs="Arial" w:eastAsia="Arial" w:hAnsi="Arial"/>
          <w:sz w:val="24"/>
          <w:szCs w:val="24"/>
          <w:b w:val="1"/>
          <w:bCs w:val="1"/>
          <w:color w:val="auto"/>
        </w:rPr>
        <w:t>Mine Safety Disclosures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w:t>
      </w:r>
    </w:p>
    <w:p>
      <w:pPr>
        <w:spacing w:after="0" w:line="321" w:lineRule="exact"/>
        <w:rPr>
          <w:sz w:val="20"/>
          <w:szCs w:val="20"/>
          <w:color w:val="auto"/>
        </w:rPr>
      </w:pPr>
    </w:p>
    <w:p>
      <w:pPr>
        <w:spacing w:after="0"/>
        <w:tabs>
          <w:tab w:leader="none" w:pos="1060" w:val="left"/>
        </w:tabs>
        <w:rPr>
          <w:sz w:val="20"/>
          <w:szCs w:val="20"/>
          <w:color w:val="auto"/>
        </w:rPr>
      </w:pPr>
      <w:r>
        <w:rPr>
          <w:rFonts w:ascii="Arial" w:cs="Arial" w:eastAsia="Arial" w:hAnsi="Arial"/>
          <w:sz w:val="25"/>
          <w:szCs w:val="25"/>
          <w:b w:val="1"/>
          <w:bCs w:val="1"/>
          <w:color w:val="auto"/>
        </w:rPr>
        <w:t>Item 5.</w:t>
      </w:r>
      <w:r>
        <w:rPr>
          <w:sz w:val="20"/>
          <w:szCs w:val="20"/>
          <w:color w:val="auto"/>
        </w:rPr>
        <w:tab/>
      </w:r>
      <w:r>
        <w:rPr>
          <w:rFonts w:ascii="Arial" w:cs="Arial" w:eastAsia="Arial" w:hAnsi="Arial"/>
          <w:sz w:val="24"/>
          <w:szCs w:val="24"/>
          <w:b w:val="1"/>
          <w:bCs w:val="1"/>
          <w:color w:val="auto"/>
        </w:rPr>
        <w:t>Other Information</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w:t>
      </w:r>
    </w:p>
    <w:p>
      <w:pPr>
        <w:spacing w:after="0" w:line="80" w:lineRule="exact"/>
        <w:rPr>
          <w:sz w:val="20"/>
          <w:szCs w:val="20"/>
          <w:color w:val="auto"/>
        </w:rPr>
      </w:pPr>
    </w:p>
    <w:p>
      <w:pPr>
        <w:spacing w:after="0"/>
        <w:tabs>
          <w:tab w:leader="none" w:pos="1060" w:val="left"/>
        </w:tabs>
        <w:rPr>
          <w:sz w:val="20"/>
          <w:szCs w:val="20"/>
          <w:color w:val="auto"/>
        </w:rPr>
      </w:pPr>
      <w:r>
        <w:rPr>
          <w:rFonts w:ascii="Arial" w:cs="Arial" w:eastAsia="Arial" w:hAnsi="Arial"/>
          <w:sz w:val="25"/>
          <w:szCs w:val="25"/>
          <w:b w:val="1"/>
          <w:bCs w:val="1"/>
          <w:color w:val="auto"/>
        </w:rPr>
        <w:t>Item 6.</w:t>
      </w:r>
      <w:r>
        <w:rPr>
          <w:sz w:val="20"/>
          <w:szCs w:val="20"/>
          <w:color w:val="auto"/>
        </w:rPr>
        <w:tab/>
      </w:r>
      <w:r>
        <w:rPr>
          <w:rFonts w:ascii="Arial" w:cs="Arial" w:eastAsia="Arial" w:hAnsi="Arial"/>
          <w:sz w:val="24"/>
          <w:szCs w:val="24"/>
          <w:b w:val="1"/>
          <w:bCs w:val="1"/>
          <w:color w:val="auto"/>
        </w:rPr>
        <w:t>Exhibits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documents set forth are filed herewith or incorporated herein by reference.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0" w:type="dxa"/>
            <w:vAlign w:val="bottom"/>
            <w:shd w:val="clear" w:color="auto" w:fill="43C0B9"/>
          </w:tcPr>
          <w:p>
            <w:pPr>
              <w:spacing w:after="0"/>
              <w:rPr>
                <w:sz w:val="18"/>
                <w:szCs w:val="18"/>
                <w:color w:val="auto"/>
              </w:rPr>
            </w:pPr>
          </w:p>
        </w:tc>
        <w:tc>
          <w:tcPr>
            <w:tcW w:w="100" w:type="dxa"/>
            <w:vAlign w:val="bottom"/>
            <w:shd w:val="clear" w:color="auto" w:fill="43C0B9"/>
          </w:tcPr>
          <w:p>
            <w:pPr>
              <w:spacing w:after="0"/>
              <w:rPr>
                <w:sz w:val="18"/>
                <w:szCs w:val="18"/>
                <w:color w:val="auto"/>
              </w:rPr>
            </w:pPr>
          </w:p>
        </w:tc>
        <w:tc>
          <w:tcPr>
            <w:tcW w:w="320" w:type="dxa"/>
            <w:vAlign w:val="bottom"/>
            <w:shd w:val="clear" w:color="auto" w:fill="43C0B9"/>
          </w:tcPr>
          <w:p>
            <w:pPr>
              <w:spacing w:after="0"/>
              <w:rPr>
                <w:sz w:val="18"/>
                <w:szCs w:val="18"/>
                <w:color w:val="auto"/>
              </w:rPr>
            </w:pPr>
          </w:p>
        </w:tc>
        <w:tc>
          <w:tcPr>
            <w:tcW w:w="1660" w:type="dxa"/>
            <w:vAlign w:val="bottom"/>
            <w:shd w:val="clear" w:color="auto" w:fill="43C0B9"/>
          </w:tcPr>
          <w:p>
            <w:pPr>
              <w:spacing w:after="0"/>
              <w:rPr>
                <w:sz w:val="18"/>
                <w:szCs w:val="18"/>
                <w:color w:val="auto"/>
              </w:rPr>
            </w:pPr>
          </w:p>
        </w:tc>
        <w:tc>
          <w:tcPr>
            <w:tcW w:w="1220" w:type="dxa"/>
            <w:vAlign w:val="bottom"/>
            <w:shd w:val="clear" w:color="auto" w:fill="43C0B9"/>
          </w:tcPr>
          <w:p>
            <w:pPr>
              <w:spacing w:after="0"/>
              <w:rPr>
                <w:sz w:val="18"/>
                <w:szCs w:val="18"/>
                <w:color w:val="auto"/>
              </w:rPr>
            </w:pPr>
          </w:p>
        </w:tc>
        <w:tc>
          <w:tcPr>
            <w:tcW w:w="2780" w:type="dxa"/>
            <w:vAlign w:val="bottom"/>
            <w:shd w:val="clear" w:color="auto" w:fill="43C0B9"/>
          </w:tcPr>
          <w:p>
            <w:pPr>
              <w:spacing w:after="0"/>
              <w:rPr>
                <w:sz w:val="18"/>
                <w:szCs w:val="18"/>
                <w:color w:val="auto"/>
              </w:rPr>
            </w:pPr>
          </w:p>
        </w:tc>
        <w:tc>
          <w:tcPr>
            <w:tcW w:w="40" w:type="dxa"/>
            <w:vAlign w:val="bottom"/>
            <w:shd w:val="clear" w:color="auto" w:fill="43C0B9"/>
          </w:tcPr>
          <w:p>
            <w:pPr>
              <w:spacing w:after="0"/>
              <w:rPr>
                <w:sz w:val="18"/>
                <w:szCs w:val="18"/>
                <w:color w:val="auto"/>
              </w:rPr>
            </w:pPr>
          </w:p>
        </w:tc>
        <w:tc>
          <w:tcPr>
            <w:tcW w:w="100" w:type="dxa"/>
            <w:vAlign w:val="bottom"/>
            <w:shd w:val="clear" w:color="auto" w:fill="43C0B9"/>
          </w:tcPr>
          <w:p>
            <w:pPr>
              <w:spacing w:after="0"/>
              <w:rPr>
                <w:sz w:val="18"/>
                <w:szCs w:val="18"/>
                <w:color w:val="auto"/>
              </w:rPr>
            </w:pPr>
          </w:p>
        </w:tc>
        <w:tc>
          <w:tcPr>
            <w:tcW w:w="40" w:type="dxa"/>
            <w:vAlign w:val="bottom"/>
            <w:shd w:val="clear" w:color="auto" w:fill="43C0B9"/>
          </w:tcPr>
          <w:p>
            <w:pPr>
              <w:spacing w:after="0"/>
              <w:rPr>
                <w:sz w:val="18"/>
                <w:szCs w:val="18"/>
                <w:color w:val="auto"/>
              </w:rPr>
            </w:pPr>
          </w:p>
        </w:tc>
        <w:tc>
          <w:tcPr>
            <w:tcW w:w="120" w:type="dxa"/>
            <w:vAlign w:val="bottom"/>
            <w:shd w:val="clear" w:color="auto" w:fill="43C0B9"/>
          </w:tcPr>
          <w:p>
            <w:pPr>
              <w:spacing w:after="0"/>
              <w:rPr>
                <w:sz w:val="18"/>
                <w:szCs w:val="18"/>
                <w:color w:val="auto"/>
              </w:rPr>
            </w:pPr>
          </w:p>
        </w:tc>
        <w:tc>
          <w:tcPr>
            <w:tcW w:w="260" w:type="dxa"/>
            <w:vAlign w:val="bottom"/>
            <w:shd w:val="clear" w:color="auto" w:fill="43C0B9"/>
          </w:tcPr>
          <w:p>
            <w:pPr>
              <w:spacing w:after="0"/>
              <w:rPr>
                <w:sz w:val="18"/>
                <w:szCs w:val="18"/>
                <w:color w:val="auto"/>
              </w:rPr>
            </w:pPr>
          </w:p>
        </w:tc>
        <w:tc>
          <w:tcPr>
            <w:tcW w:w="2840" w:type="dxa"/>
            <w:vAlign w:val="bottom"/>
            <w:gridSpan w:val="3"/>
            <w:shd w:val="clear" w:color="auto" w:fill="43C0B9"/>
          </w:tcPr>
          <w:p>
            <w:pPr>
              <w:ind w:left="500"/>
              <w:spacing w:after="0"/>
              <w:rPr>
                <w:sz w:val="20"/>
                <w:szCs w:val="20"/>
                <w:color w:val="auto"/>
              </w:rPr>
            </w:pPr>
            <w:r>
              <w:rPr>
                <w:rFonts w:ascii="Arial" w:cs="Arial" w:eastAsia="Arial" w:hAnsi="Arial"/>
                <w:sz w:val="14"/>
                <w:szCs w:val="14"/>
                <w:b w:val="1"/>
                <w:bCs w:val="1"/>
                <w:color w:val="FFFFFF"/>
              </w:rPr>
              <w:t>Incorporated by Reference</w:t>
            </w:r>
          </w:p>
        </w:tc>
        <w:tc>
          <w:tcPr>
            <w:tcW w:w="920" w:type="dxa"/>
            <w:vAlign w:val="bottom"/>
            <w:shd w:val="clear" w:color="auto" w:fill="43C0B9"/>
          </w:tcPr>
          <w:p>
            <w:pPr>
              <w:spacing w:after="0"/>
              <w:rPr>
                <w:sz w:val="18"/>
                <w:szCs w:val="18"/>
                <w:color w:val="auto"/>
              </w:rPr>
            </w:pPr>
          </w:p>
        </w:tc>
      </w:tr>
      <w:tr>
        <w:trPr>
          <w:trHeight w:val="179"/>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b w:val="1"/>
                <w:bCs w:val="1"/>
                <w:color w:val="FFFFFF"/>
              </w:rPr>
              <w:t>Exhibit</w:t>
            </w:r>
          </w:p>
        </w:tc>
        <w:tc>
          <w:tcPr>
            <w:tcW w:w="100" w:type="dxa"/>
            <w:vAlign w:val="bottom"/>
            <w:shd w:val="clear" w:color="auto" w:fill="43C0B9"/>
          </w:tcPr>
          <w:p>
            <w:pPr>
              <w:spacing w:after="0"/>
              <w:rPr>
                <w:sz w:val="15"/>
                <w:szCs w:val="15"/>
                <w:color w:val="auto"/>
              </w:rPr>
            </w:pPr>
          </w:p>
        </w:tc>
        <w:tc>
          <w:tcPr>
            <w:tcW w:w="320" w:type="dxa"/>
            <w:vAlign w:val="bottom"/>
            <w:shd w:val="clear" w:color="auto" w:fill="43C0B9"/>
          </w:tcPr>
          <w:p>
            <w:pPr>
              <w:spacing w:after="0"/>
              <w:rPr>
                <w:sz w:val="15"/>
                <w:szCs w:val="15"/>
                <w:color w:val="auto"/>
              </w:rPr>
            </w:pPr>
          </w:p>
        </w:tc>
        <w:tc>
          <w:tcPr>
            <w:tcW w:w="1660" w:type="dxa"/>
            <w:vAlign w:val="bottom"/>
            <w:shd w:val="clear" w:color="auto" w:fill="43C0B9"/>
          </w:tcPr>
          <w:p>
            <w:pPr>
              <w:spacing w:after="0"/>
              <w:rPr>
                <w:sz w:val="15"/>
                <w:szCs w:val="15"/>
                <w:color w:val="auto"/>
              </w:rPr>
            </w:pPr>
          </w:p>
        </w:tc>
        <w:tc>
          <w:tcPr>
            <w:tcW w:w="1220" w:type="dxa"/>
            <w:vAlign w:val="bottom"/>
            <w:shd w:val="clear" w:color="auto" w:fill="43C0B9"/>
          </w:tcPr>
          <w:p>
            <w:pPr>
              <w:spacing w:after="0"/>
              <w:rPr>
                <w:sz w:val="15"/>
                <w:szCs w:val="15"/>
                <w:color w:val="auto"/>
              </w:rPr>
            </w:pPr>
          </w:p>
        </w:tc>
        <w:tc>
          <w:tcPr>
            <w:tcW w:w="2780" w:type="dxa"/>
            <w:vAlign w:val="bottom"/>
            <w:shd w:val="clear" w:color="auto" w:fill="43C0B9"/>
          </w:tcPr>
          <w:p>
            <w:pPr>
              <w:spacing w:after="0"/>
              <w:rPr>
                <w:sz w:val="15"/>
                <w:szCs w:val="15"/>
                <w:color w:val="auto"/>
              </w:rPr>
            </w:pPr>
          </w:p>
        </w:tc>
        <w:tc>
          <w:tcPr>
            <w:tcW w:w="40" w:type="dxa"/>
            <w:vAlign w:val="bottom"/>
            <w:shd w:val="clear" w:color="auto" w:fill="43C0B9"/>
          </w:tcPr>
          <w:p>
            <w:pPr>
              <w:spacing w:after="0"/>
              <w:rPr>
                <w:sz w:val="15"/>
                <w:szCs w:val="15"/>
                <w:color w:val="auto"/>
              </w:rPr>
            </w:pPr>
          </w:p>
        </w:tc>
        <w:tc>
          <w:tcPr>
            <w:tcW w:w="100" w:type="dxa"/>
            <w:vAlign w:val="bottom"/>
            <w:shd w:val="clear" w:color="auto" w:fill="43C0B9"/>
          </w:tcPr>
          <w:p>
            <w:pPr>
              <w:spacing w:after="0"/>
              <w:rPr>
                <w:sz w:val="15"/>
                <w:szCs w:val="15"/>
                <w:color w:val="auto"/>
              </w:rPr>
            </w:pPr>
          </w:p>
        </w:tc>
        <w:tc>
          <w:tcPr>
            <w:tcW w:w="40" w:type="dxa"/>
            <w:vAlign w:val="bottom"/>
            <w:shd w:val="clear" w:color="auto" w:fill="43C0B9"/>
          </w:tcPr>
          <w:p>
            <w:pPr>
              <w:spacing w:after="0"/>
              <w:rPr>
                <w:sz w:val="15"/>
                <w:szCs w:val="15"/>
                <w:color w:val="auto"/>
              </w:rPr>
            </w:pPr>
          </w:p>
        </w:tc>
        <w:tc>
          <w:tcPr>
            <w:tcW w:w="120" w:type="dxa"/>
            <w:vAlign w:val="bottom"/>
            <w:shd w:val="clear" w:color="auto" w:fill="43C0B9"/>
          </w:tcPr>
          <w:p>
            <w:pPr>
              <w:spacing w:after="0"/>
              <w:rPr>
                <w:sz w:val="15"/>
                <w:szCs w:val="15"/>
                <w:color w:val="auto"/>
              </w:rPr>
            </w:pPr>
          </w:p>
        </w:tc>
        <w:tc>
          <w:tcPr>
            <w:tcW w:w="260" w:type="dxa"/>
            <w:vAlign w:val="bottom"/>
            <w:shd w:val="clear" w:color="auto" w:fill="43C0B9"/>
          </w:tcPr>
          <w:p>
            <w:pPr>
              <w:spacing w:after="0"/>
              <w:rPr>
                <w:sz w:val="15"/>
                <w:szCs w:val="15"/>
                <w:color w:val="auto"/>
              </w:rPr>
            </w:pPr>
          </w:p>
        </w:tc>
        <w:tc>
          <w:tcPr>
            <w:tcW w:w="74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c>
          <w:tcPr>
            <w:tcW w:w="1000" w:type="dxa"/>
            <w:vAlign w:val="bottom"/>
            <w:shd w:val="clear" w:color="auto" w:fill="43C0B9"/>
          </w:tcPr>
          <w:p>
            <w:pPr>
              <w:spacing w:after="0"/>
              <w:rPr>
                <w:sz w:val="15"/>
                <w:szCs w:val="15"/>
                <w:color w:val="auto"/>
              </w:rPr>
            </w:pPr>
          </w:p>
        </w:tc>
        <w:tc>
          <w:tcPr>
            <w:tcW w:w="920" w:type="dxa"/>
            <w:vAlign w:val="bottom"/>
            <w:shd w:val="clear" w:color="auto" w:fill="43C0B9"/>
          </w:tcPr>
          <w:p>
            <w:pPr>
              <w:jc w:val="center"/>
              <w:spacing w:after="0"/>
              <w:rPr>
                <w:sz w:val="20"/>
                <w:szCs w:val="20"/>
                <w:color w:val="auto"/>
              </w:rPr>
            </w:pPr>
            <w:r>
              <w:rPr>
                <w:rFonts w:ascii="Arial" w:cs="Arial" w:eastAsia="Arial" w:hAnsi="Arial"/>
                <w:sz w:val="14"/>
                <w:szCs w:val="14"/>
                <w:b w:val="1"/>
                <w:bCs w:val="1"/>
                <w:color w:val="FFFFFF"/>
              </w:rPr>
              <w:t>Filed</w:t>
            </w:r>
          </w:p>
        </w:tc>
      </w:tr>
      <w:tr>
        <w:trPr>
          <w:trHeight w:val="201"/>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b w:val="1"/>
                <w:bCs w:val="1"/>
                <w:color w:val="FFFFFF"/>
                <w:w w:val="97"/>
              </w:rPr>
              <w:t>No.</w:t>
            </w:r>
          </w:p>
        </w:tc>
        <w:tc>
          <w:tcPr>
            <w:tcW w:w="100" w:type="dxa"/>
            <w:vAlign w:val="bottom"/>
            <w:shd w:val="clear" w:color="auto" w:fill="43C0B9"/>
          </w:tcPr>
          <w:p>
            <w:pPr>
              <w:spacing w:after="0"/>
              <w:rPr>
                <w:sz w:val="17"/>
                <w:szCs w:val="17"/>
                <w:color w:val="auto"/>
              </w:rPr>
            </w:pPr>
          </w:p>
        </w:tc>
        <w:tc>
          <w:tcPr>
            <w:tcW w:w="320" w:type="dxa"/>
            <w:vAlign w:val="bottom"/>
            <w:shd w:val="clear" w:color="auto" w:fill="43C0B9"/>
          </w:tcPr>
          <w:p>
            <w:pPr>
              <w:spacing w:after="0"/>
              <w:rPr>
                <w:sz w:val="17"/>
                <w:szCs w:val="17"/>
                <w:color w:val="auto"/>
              </w:rPr>
            </w:pPr>
          </w:p>
        </w:tc>
        <w:tc>
          <w:tcPr>
            <w:tcW w:w="1660" w:type="dxa"/>
            <w:vAlign w:val="bottom"/>
            <w:shd w:val="clear" w:color="auto" w:fill="43C0B9"/>
          </w:tcPr>
          <w:p>
            <w:pPr>
              <w:spacing w:after="0"/>
              <w:rPr>
                <w:sz w:val="17"/>
                <w:szCs w:val="17"/>
                <w:color w:val="auto"/>
              </w:rPr>
            </w:pPr>
          </w:p>
        </w:tc>
        <w:tc>
          <w:tcPr>
            <w:tcW w:w="4560" w:type="dxa"/>
            <w:vAlign w:val="bottom"/>
            <w:gridSpan w:val="7"/>
            <w:shd w:val="clear" w:color="auto" w:fill="43C0B9"/>
          </w:tcPr>
          <w:p>
            <w:pPr>
              <w:ind w:left="580"/>
              <w:spacing w:after="0"/>
              <w:rPr>
                <w:sz w:val="20"/>
                <w:szCs w:val="20"/>
                <w:color w:val="auto"/>
              </w:rPr>
            </w:pPr>
            <w:r>
              <w:rPr>
                <w:rFonts w:ascii="Arial" w:cs="Arial" w:eastAsia="Arial" w:hAnsi="Arial"/>
                <w:sz w:val="14"/>
                <w:szCs w:val="14"/>
                <w:b w:val="1"/>
                <w:bCs w:val="1"/>
                <w:color w:val="FFFFFF"/>
              </w:rPr>
              <w:t>Exhibit Description</w:t>
            </w:r>
          </w:p>
        </w:tc>
        <w:tc>
          <w:tcPr>
            <w:tcW w:w="740" w:type="dxa"/>
            <w:vAlign w:val="bottom"/>
            <w:shd w:val="clear" w:color="auto" w:fill="43C0B9"/>
          </w:tcPr>
          <w:p>
            <w:pPr>
              <w:jc w:val="center"/>
              <w:ind w:right="29"/>
              <w:spacing w:after="0"/>
              <w:rPr>
                <w:sz w:val="20"/>
                <w:szCs w:val="20"/>
                <w:color w:val="auto"/>
              </w:rPr>
            </w:pPr>
            <w:r>
              <w:rPr>
                <w:rFonts w:ascii="Arial" w:cs="Arial" w:eastAsia="Arial" w:hAnsi="Arial"/>
                <w:sz w:val="14"/>
                <w:szCs w:val="14"/>
                <w:b w:val="1"/>
                <w:bCs w:val="1"/>
                <w:color w:val="FFFFFF"/>
              </w:rPr>
              <w:t>Form</w:t>
            </w:r>
          </w:p>
        </w:tc>
        <w:tc>
          <w:tcPr>
            <w:tcW w:w="1100" w:type="dxa"/>
            <w:vAlign w:val="bottom"/>
            <w:shd w:val="clear" w:color="auto" w:fill="43C0B9"/>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000" w:type="dxa"/>
            <w:vAlign w:val="bottom"/>
            <w:shd w:val="clear" w:color="auto" w:fill="43C0B9"/>
          </w:tcPr>
          <w:p>
            <w:pPr>
              <w:jc w:val="center"/>
              <w:spacing w:after="0"/>
              <w:rPr>
                <w:sz w:val="20"/>
                <w:szCs w:val="20"/>
                <w:color w:val="auto"/>
              </w:rPr>
            </w:pPr>
            <w:r>
              <w:rPr>
                <w:rFonts w:ascii="Arial" w:cs="Arial" w:eastAsia="Arial" w:hAnsi="Arial"/>
                <w:sz w:val="14"/>
                <w:szCs w:val="14"/>
                <w:b w:val="1"/>
                <w:bCs w:val="1"/>
                <w:color w:val="FFFFFF"/>
              </w:rPr>
              <w:t>Number</w:t>
            </w:r>
          </w:p>
        </w:tc>
        <w:tc>
          <w:tcPr>
            <w:tcW w:w="920" w:type="dxa"/>
            <w:vAlign w:val="bottom"/>
            <w:shd w:val="clear" w:color="auto" w:fill="43C0B9"/>
          </w:tcPr>
          <w:p>
            <w:pPr>
              <w:jc w:val="center"/>
              <w:ind w:left="9"/>
              <w:spacing w:after="0"/>
              <w:rPr>
                <w:sz w:val="20"/>
                <w:szCs w:val="20"/>
                <w:color w:val="auto"/>
              </w:rPr>
            </w:pPr>
            <w:r>
              <w:rPr>
                <w:rFonts w:ascii="Arial" w:cs="Arial" w:eastAsia="Arial" w:hAnsi="Arial"/>
                <w:sz w:val="14"/>
                <w:szCs w:val="14"/>
                <w:b w:val="1"/>
                <w:bCs w:val="1"/>
                <w:color w:val="FFFFFF"/>
              </w:rPr>
              <w:t>Herewith</w:t>
            </w:r>
          </w:p>
        </w:tc>
      </w:tr>
      <w:tr>
        <w:trPr>
          <w:trHeight w:val="194"/>
        </w:trPr>
        <w:tc>
          <w:tcPr>
            <w:tcW w:w="7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3.1#</w:t>
            </w:r>
          </w:p>
        </w:tc>
        <w:tc>
          <w:tcPr>
            <w:tcW w:w="100" w:type="dxa"/>
            <w:vAlign w:val="bottom"/>
            <w:shd w:val="clear" w:color="auto" w:fill="DBDBDB"/>
          </w:tcPr>
          <w:p>
            <w:pPr>
              <w:spacing w:after="0"/>
              <w:rPr>
                <w:sz w:val="16"/>
                <w:szCs w:val="16"/>
                <w:color w:val="auto"/>
              </w:rPr>
            </w:pPr>
          </w:p>
        </w:tc>
        <w:tc>
          <w:tcPr>
            <w:tcW w:w="6540" w:type="dxa"/>
            <w:vAlign w:val="bottom"/>
            <w:gridSpan w:val="9"/>
            <w:shd w:val="clear" w:color="auto" w:fill="DBDBDB"/>
          </w:tcPr>
          <w:p>
            <w:pPr>
              <w:spacing w:after="0"/>
              <w:rPr>
                <w:rFonts w:ascii="Arial" w:cs="Arial" w:eastAsia="Arial" w:hAnsi="Arial"/>
                <w:sz w:val="14"/>
                <w:szCs w:val="14"/>
                <w:color w:val="0000FF"/>
              </w:rPr>
            </w:pPr>
            <w:hyperlink r:id="rId65">
              <w:r>
                <w:rPr>
                  <w:rFonts w:ascii="Arial" w:cs="Arial" w:eastAsia="Arial" w:hAnsi="Arial"/>
                  <w:sz w:val="14"/>
                  <w:szCs w:val="14"/>
                  <w:color w:val="0000FF"/>
                </w:rPr>
                <w:t>Amended and Restated Certificate of Incorporation</w:t>
              </w:r>
            </w:hyperlink>
          </w:p>
        </w:tc>
        <w:tc>
          <w:tcPr>
            <w:tcW w:w="740" w:type="dxa"/>
            <w:vAlign w:val="bottom"/>
            <w:shd w:val="clear" w:color="auto" w:fill="DBDBDB"/>
          </w:tcPr>
          <w:p>
            <w:pPr>
              <w:jc w:val="center"/>
              <w:ind w:right="49"/>
              <w:spacing w:after="0"/>
              <w:rPr>
                <w:sz w:val="20"/>
                <w:szCs w:val="20"/>
                <w:color w:val="auto"/>
              </w:rPr>
            </w:pPr>
            <w:r>
              <w:rPr>
                <w:rFonts w:ascii="Arial" w:cs="Arial" w:eastAsia="Arial" w:hAnsi="Arial"/>
                <w:sz w:val="14"/>
                <w:szCs w:val="14"/>
                <w:color w:val="auto"/>
              </w:rPr>
              <w:t>8-K</w:t>
            </w: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10/7/2020</w:t>
            </w: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3.1</w:t>
            </w:r>
          </w:p>
        </w:tc>
        <w:tc>
          <w:tcPr>
            <w:tcW w:w="920" w:type="dxa"/>
            <w:vAlign w:val="bottom"/>
            <w:shd w:val="clear" w:color="auto" w:fill="DBDBDB"/>
          </w:tcPr>
          <w:p>
            <w:pPr>
              <w:spacing w:after="0"/>
              <w:rPr>
                <w:sz w:val="16"/>
                <w:szCs w:val="16"/>
                <w:color w:val="auto"/>
              </w:rPr>
            </w:pPr>
          </w:p>
        </w:tc>
      </w:tr>
      <w:tr>
        <w:trPr>
          <w:trHeight w:val="174"/>
        </w:trPr>
        <w:tc>
          <w:tcPr>
            <w:tcW w:w="78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DBDBDB"/>
            </w:tcBorders>
          </w:tcPr>
          <w:p>
            <w:pPr>
              <w:spacing w:after="0"/>
              <w:rPr>
                <w:sz w:val="15"/>
                <w:szCs w:val="15"/>
                <w:color w:val="auto"/>
              </w:rPr>
            </w:pPr>
          </w:p>
        </w:tc>
        <w:tc>
          <w:tcPr>
            <w:tcW w:w="3200" w:type="dxa"/>
            <w:vAlign w:val="bottom"/>
            <w:tcBorders>
              <w:top w:val="single" w:sz="8" w:color="0000FF"/>
            </w:tcBorders>
            <w:gridSpan w:val="3"/>
          </w:tcPr>
          <w:p>
            <w:pPr>
              <w:spacing w:after="0"/>
              <w:rPr>
                <w:rFonts w:ascii="Arial" w:cs="Arial" w:eastAsia="Arial" w:hAnsi="Arial"/>
                <w:sz w:val="14"/>
                <w:szCs w:val="14"/>
                <w:color w:val="0000FF"/>
              </w:rPr>
            </w:pPr>
            <w:hyperlink r:id="rId66">
              <w:r>
                <w:rPr>
                  <w:rFonts w:ascii="Arial" w:cs="Arial" w:eastAsia="Arial" w:hAnsi="Arial"/>
                  <w:sz w:val="14"/>
                  <w:szCs w:val="14"/>
                  <w:color w:val="0000FF"/>
                </w:rPr>
                <w:t>Amended and Restated Bylaws</w:t>
              </w:r>
            </w:hyperlink>
          </w:p>
        </w:tc>
        <w:tc>
          <w:tcPr>
            <w:tcW w:w="3340" w:type="dxa"/>
            <w:vAlign w:val="bottom"/>
            <w:tcBorders>
              <w:top w:val="single" w:sz="8" w:color="DBDBDB"/>
            </w:tcBorders>
            <w:gridSpan w:val="6"/>
          </w:tcPr>
          <w:p>
            <w:pPr>
              <w:spacing w:after="0"/>
              <w:rPr>
                <w:sz w:val="15"/>
                <w:szCs w:val="15"/>
                <w:color w:val="auto"/>
              </w:rPr>
            </w:pPr>
          </w:p>
        </w:tc>
        <w:tc>
          <w:tcPr>
            <w:tcW w:w="740" w:type="dxa"/>
            <w:vAlign w:val="bottom"/>
            <w:tcBorders>
              <w:top w:val="single" w:sz="8" w:color="DBDBDB"/>
            </w:tcBorders>
          </w:tcPr>
          <w:p>
            <w:pPr>
              <w:jc w:val="center"/>
              <w:ind w:right="49"/>
              <w:spacing w:after="0"/>
              <w:rPr>
                <w:sz w:val="20"/>
                <w:szCs w:val="20"/>
                <w:color w:val="auto"/>
              </w:rPr>
            </w:pPr>
            <w:r>
              <w:rPr>
                <w:rFonts w:ascii="Arial" w:cs="Arial" w:eastAsia="Arial" w:hAnsi="Arial"/>
                <w:sz w:val="14"/>
                <w:szCs w:val="14"/>
                <w:color w:val="auto"/>
              </w:rPr>
              <w:t>8-K</w:t>
            </w:r>
          </w:p>
        </w:tc>
        <w:tc>
          <w:tcPr>
            <w:tcW w:w="110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rPr>
              <w:t>10/7/2020</w:t>
            </w:r>
          </w:p>
        </w:tc>
        <w:tc>
          <w:tcPr>
            <w:tcW w:w="100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rPr>
              <w:t>3.2</w:t>
            </w:r>
          </w:p>
        </w:tc>
        <w:tc>
          <w:tcPr>
            <w:tcW w:w="920" w:type="dxa"/>
            <w:vAlign w:val="bottom"/>
            <w:tcBorders>
              <w:top w:val="single" w:sz="8" w:color="DBDBDB"/>
            </w:tcBorders>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7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DBDBDB"/>
            </w:tcBorders>
            <w:shd w:val="clear" w:color="auto" w:fill="DBDBDB"/>
          </w:tcPr>
          <w:p>
            <w:pPr>
              <w:spacing w:after="0"/>
              <w:rPr>
                <w:sz w:val="15"/>
                <w:szCs w:val="15"/>
                <w:color w:val="auto"/>
              </w:rPr>
            </w:pPr>
          </w:p>
        </w:tc>
        <w:tc>
          <w:tcPr>
            <w:tcW w:w="6020" w:type="dxa"/>
            <w:vAlign w:val="bottom"/>
            <w:tcBorders>
              <w:bottom w:val="single" w:sz="8" w:color="0000FF"/>
            </w:tcBorders>
            <w:gridSpan w:val="5"/>
            <w:shd w:val="clear" w:color="auto" w:fill="DBDBDB"/>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Certification of Principal Executive Officer Pursuant to Rules 13a-14(a) and 15d-14(a) under the</w:t>
              </w:r>
            </w:hyperlink>
          </w:p>
        </w:tc>
        <w:tc>
          <w:tcPr>
            <w:tcW w:w="520" w:type="dxa"/>
            <w:vAlign w:val="bottom"/>
            <w:tcBorders>
              <w:bottom w:val="single" w:sz="8" w:color="DBDBDB"/>
            </w:tcBorders>
            <w:gridSpan w:val="4"/>
            <w:shd w:val="clear" w:color="auto" w:fill="DBDBDB"/>
          </w:tcPr>
          <w:p>
            <w:pPr>
              <w:spacing w:after="0"/>
              <w:rPr>
                <w:sz w:val="15"/>
                <w:szCs w:val="15"/>
                <w:color w:val="auto"/>
              </w:rPr>
            </w:pPr>
          </w:p>
        </w:tc>
        <w:tc>
          <w:tcPr>
            <w:tcW w:w="7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X</w:t>
            </w:r>
          </w:p>
        </w:tc>
      </w:tr>
      <w:tr>
        <w:trPr>
          <w:trHeight w:val="140"/>
        </w:trPr>
        <w:tc>
          <w:tcPr>
            <w:tcW w:w="7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540" w:type="dxa"/>
            <w:vAlign w:val="bottom"/>
            <w:gridSpan w:val="9"/>
            <w:shd w:val="clear" w:color="auto" w:fill="DBDBDB"/>
          </w:tcPr>
          <w:p>
            <w:pPr>
              <w:spacing w:after="0" w:line="141" w:lineRule="exact"/>
              <w:rPr>
                <w:rFonts w:ascii="Arial" w:cs="Arial" w:eastAsia="Arial" w:hAnsi="Arial"/>
                <w:sz w:val="14"/>
                <w:szCs w:val="14"/>
                <w:color w:val="0000FF"/>
              </w:rPr>
            </w:pPr>
            <w:hyperlink w:anchor="page25">
              <w:r>
                <w:rPr>
                  <w:rFonts w:ascii="Arial" w:cs="Arial" w:eastAsia="Arial" w:hAnsi="Arial"/>
                  <w:sz w:val="14"/>
                  <w:szCs w:val="14"/>
                  <w:color w:val="0000FF"/>
                </w:rPr>
                <w:t>Securities Exchange Act of 1934, as Adopted Pursuant to Section 302 of the Sarbanes-Oxley Act of</w:t>
              </w:r>
            </w:hyperlink>
          </w:p>
        </w:tc>
        <w:tc>
          <w:tcPr>
            <w:tcW w:w="74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r>
      <w:tr>
        <w:trPr>
          <w:trHeight w:val="161"/>
        </w:trPr>
        <w:tc>
          <w:tcPr>
            <w:tcW w:w="780" w:type="dxa"/>
            <w:vAlign w:val="bottom"/>
            <w:tcBorders>
              <w:top w:val="single" w:sz="8" w:color="DBDBDB"/>
              <w:bottom w:val="single" w:sz="8" w:color="DBDBDB"/>
            </w:tcBorders>
            <w:shd w:val="clear" w:color="auto" w:fill="DBDBDB"/>
          </w:tcPr>
          <w:p>
            <w:pPr>
              <w:spacing w:after="0"/>
              <w:rPr>
                <w:sz w:val="13"/>
                <w:szCs w:val="13"/>
                <w:color w:val="auto"/>
              </w:rPr>
            </w:pPr>
          </w:p>
        </w:tc>
        <w:tc>
          <w:tcPr>
            <w:tcW w:w="100" w:type="dxa"/>
            <w:vAlign w:val="bottom"/>
            <w:tcBorders>
              <w:top w:val="single" w:sz="8" w:color="DBDBDB"/>
              <w:bottom w:val="single" w:sz="8" w:color="DBDBDB"/>
            </w:tcBorders>
            <w:shd w:val="clear" w:color="auto" w:fill="DBDBDB"/>
          </w:tcPr>
          <w:p>
            <w:pPr>
              <w:spacing w:after="0"/>
              <w:rPr>
                <w:sz w:val="13"/>
                <w:szCs w:val="13"/>
                <w:color w:val="auto"/>
              </w:rPr>
            </w:pPr>
          </w:p>
        </w:tc>
        <w:tc>
          <w:tcPr>
            <w:tcW w:w="320" w:type="dxa"/>
            <w:vAlign w:val="bottom"/>
            <w:tcBorders>
              <w:top w:val="single" w:sz="8" w:color="0000FF"/>
              <w:bottom w:val="single" w:sz="8" w:color="0000FF"/>
            </w:tcBorders>
            <w:shd w:val="clear" w:color="auto" w:fill="DBDBDB"/>
          </w:tcPr>
          <w:p>
            <w:pPr>
              <w:spacing w:after="0" w:line="141" w:lineRule="exact"/>
              <w:rPr>
                <w:rFonts w:ascii="Arial" w:cs="Arial" w:eastAsia="Arial" w:hAnsi="Arial"/>
                <w:sz w:val="14"/>
                <w:szCs w:val="14"/>
                <w:color w:val="0000FF"/>
                <w:w w:val="96"/>
              </w:rPr>
            </w:pPr>
            <w:hyperlink w:anchor="page25">
              <w:r>
                <w:rPr>
                  <w:rFonts w:ascii="Arial" w:cs="Arial" w:eastAsia="Arial" w:hAnsi="Arial"/>
                  <w:sz w:val="14"/>
                  <w:szCs w:val="14"/>
                  <w:color w:val="0000FF"/>
                  <w:w w:val="96"/>
                </w:rPr>
                <w:t>2002</w:t>
              </w:r>
            </w:hyperlink>
          </w:p>
        </w:tc>
        <w:tc>
          <w:tcPr>
            <w:tcW w:w="1660" w:type="dxa"/>
            <w:vAlign w:val="bottom"/>
            <w:tcBorders>
              <w:top w:val="single" w:sz="8" w:color="0000FF"/>
              <w:bottom w:val="single" w:sz="8" w:color="DBDBDB"/>
            </w:tcBorders>
            <w:shd w:val="clear" w:color="auto" w:fill="DBDBDB"/>
          </w:tcPr>
          <w:p>
            <w:pPr>
              <w:spacing w:after="0"/>
              <w:rPr>
                <w:sz w:val="13"/>
                <w:szCs w:val="13"/>
                <w:color w:val="auto"/>
              </w:rPr>
            </w:pPr>
          </w:p>
        </w:tc>
        <w:tc>
          <w:tcPr>
            <w:tcW w:w="1220" w:type="dxa"/>
            <w:vAlign w:val="bottom"/>
            <w:tcBorders>
              <w:top w:val="single" w:sz="8" w:color="0000FF"/>
              <w:bottom w:val="single" w:sz="8" w:color="DBDBDB"/>
            </w:tcBorders>
            <w:shd w:val="clear" w:color="auto" w:fill="DBDBDB"/>
          </w:tcPr>
          <w:p>
            <w:pPr>
              <w:spacing w:after="0"/>
              <w:rPr>
                <w:sz w:val="13"/>
                <w:szCs w:val="13"/>
                <w:color w:val="auto"/>
              </w:rPr>
            </w:pPr>
          </w:p>
        </w:tc>
        <w:tc>
          <w:tcPr>
            <w:tcW w:w="2780" w:type="dxa"/>
            <w:vAlign w:val="bottom"/>
            <w:tcBorders>
              <w:top w:val="single" w:sz="8" w:color="0000FF"/>
              <w:bottom w:val="single" w:sz="8" w:color="DBDBDB"/>
            </w:tcBorders>
            <w:shd w:val="clear" w:color="auto" w:fill="DBDBDB"/>
          </w:tcPr>
          <w:p>
            <w:pPr>
              <w:spacing w:after="0"/>
              <w:rPr>
                <w:sz w:val="13"/>
                <w:szCs w:val="13"/>
                <w:color w:val="auto"/>
              </w:rPr>
            </w:pPr>
          </w:p>
        </w:tc>
        <w:tc>
          <w:tcPr>
            <w:tcW w:w="40" w:type="dxa"/>
            <w:vAlign w:val="bottom"/>
            <w:tcBorders>
              <w:top w:val="single" w:sz="8" w:color="0000FF"/>
              <w:bottom w:val="single" w:sz="8" w:color="DBDBDB"/>
            </w:tcBorders>
            <w:shd w:val="clear" w:color="auto" w:fill="DBDBDB"/>
          </w:tcPr>
          <w:p>
            <w:pPr>
              <w:spacing w:after="0"/>
              <w:rPr>
                <w:sz w:val="13"/>
                <w:szCs w:val="13"/>
                <w:color w:val="auto"/>
              </w:rPr>
            </w:pPr>
          </w:p>
        </w:tc>
        <w:tc>
          <w:tcPr>
            <w:tcW w:w="100" w:type="dxa"/>
            <w:vAlign w:val="bottom"/>
            <w:tcBorders>
              <w:top w:val="single" w:sz="8" w:color="0000FF"/>
              <w:bottom w:val="single" w:sz="8" w:color="DBDBDB"/>
            </w:tcBorders>
            <w:shd w:val="clear" w:color="auto" w:fill="DBDBDB"/>
          </w:tcPr>
          <w:p>
            <w:pPr>
              <w:spacing w:after="0"/>
              <w:rPr>
                <w:sz w:val="13"/>
                <w:szCs w:val="13"/>
                <w:color w:val="auto"/>
              </w:rPr>
            </w:pPr>
          </w:p>
        </w:tc>
        <w:tc>
          <w:tcPr>
            <w:tcW w:w="40" w:type="dxa"/>
            <w:vAlign w:val="bottom"/>
            <w:tcBorders>
              <w:top w:val="single" w:sz="8" w:color="0000FF"/>
              <w:bottom w:val="single" w:sz="8" w:color="DBDBDB"/>
            </w:tcBorders>
            <w:shd w:val="clear" w:color="auto" w:fill="DBDBDB"/>
          </w:tcPr>
          <w:p>
            <w:pPr>
              <w:spacing w:after="0"/>
              <w:rPr>
                <w:sz w:val="13"/>
                <w:szCs w:val="13"/>
                <w:color w:val="auto"/>
              </w:rPr>
            </w:pPr>
          </w:p>
        </w:tc>
        <w:tc>
          <w:tcPr>
            <w:tcW w:w="120" w:type="dxa"/>
            <w:vAlign w:val="bottom"/>
            <w:tcBorders>
              <w:top w:val="single" w:sz="8" w:color="0000FF"/>
              <w:bottom w:val="single" w:sz="8" w:color="DBDBDB"/>
            </w:tcBorders>
            <w:shd w:val="clear" w:color="auto" w:fill="DBDBDB"/>
          </w:tcPr>
          <w:p>
            <w:pPr>
              <w:spacing w:after="0"/>
              <w:rPr>
                <w:sz w:val="13"/>
                <w:szCs w:val="13"/>
                <w:color w:val="auto"/>
              </w:rPr>
            </w:pPr>
          </w:p>
        </w:tc>
        <w:tc>
          <w:tcPr>
            <w:tcW w:w="260" w:type="dxa"/>
            <w:vAlign w:val="bottom"/>
            <w:tcBorders>
              <w:top w:val="single" w:sz="8" w:color="DBDBDB"/>
              <w:bottom w:val="single" w:sz="8" w:color="DBDBDB"/>
            </w:tcBorders>
            <w:shd w:val="clear" w:color="auto" w:fill="DBDBDB"/>
          </w:tcPr>
          <w:p>
            <w:pPr>
              <w:spacing w:after="0"/>
              <w:rPr>
                <w:sz w:val="13"/>
                <w:szCs w:val="13"/>
                <w:color w:val="auto"/>
              </w:rPr>
            </w:pPr>
          </w:p>
        </w:tc>
        <w:tc>
          <w:tcPr>
            <w:tcW w:w="740" w:type="dxa"/>
            <w:vAlign w:val="bottom"/>
            <w:tcBorders>
              <w:top w:val="single" w:sz="8" w:color="DBDBDB"/>
              <w:bottom w:val="single" w:sz="8" w:color="DBDBDB"/>
            </w:tcBorders>
            <w:shd w:val="clear" w:color="auto" w:fill="DBDBDB"/>
          </w:tcPr>
          <w:p>
            <w:pPr>
              <w:spacing w:after="0"/>
              <w:rPr>
                <w:sz w:val="13"/>
                <w:szCs w:val="13"/>
                <w:color w:val="auto"/>
              </w:rPr>
            </w:pPr>
          </w:p>
        </w:tc>
        <w:tc>
          <w:tcPr>
            <w:tcW w:w="1100" w:type="dxa"/>
            <w:vAlign w:val="bottom"/>
            <w:tcBorders>
              <w:top w:val="single" w:sz="8" w:color="DBDBDB"/>
              <w:bottom w:val="single" w:sz="8" w:color="DBDBDB"/>
            </w:tcBorders>
            <w:shd w:val="clear" w:color="auto" w:fill="DBDBDB"/>
          </w:tcPr>
          <w:p>
            <w:pPr>
              <w:spacing w:after="0"/>
              <w:rPr>
                <w:sz w:val="13"/>
                <w:szCs w:val="13"/>
                <w:color w:val="auto"/>
              </w:rPr>
            </w:pPr>
          </w:p>
        </w:tc>
        <w:tc>
          <w:tcPr>
            <w:tcW w:w="1000" w:type="dxa"/>
            <w:vAlign w:val="bottom"/>
            <w:tcBorders>
              <w:top w:val="single" w:sz="8" w:color="DBDBDB"/>
              <w:bottom w:val="single" w:sz="8" w:color="DBDBDB"/>
            </w:tcBorders>
            <w:shd w:val="clear" w:color="auto" w:fill="DBDBDB"/>
          </w:tcPr>
          <w:p>
            <w:pPr>
              <w:spacing w:after="0"/>
              <w:rPr>
                <w:sz w:val="13"/>
                <w:szCs w:val="13"/>
                <w:color w:val="auto"/>
              </w:rPr>
            </w:pPr>
          </w:p>
        </w:tc>
        <w:tc>
          <w:tcPr>
            <w:tcW w:w="920" w:type="dxa"/>
            <w:vAlign w:val="bottom"/>
            <w:tcBorders>
              <w:top w:val="single" w:sz="8" w:color="DBDBDB"/>
              <w:bottom w:val="single" w:sz="8" w:color="DBDBDB"/>
            </w:tcBorders>
            <w:shd w:val="clear" w:color="auto" w:fill="DBDBDB"/>
          </w:tcPr>
          <w:p>
            <w:pPr>
              <w:spacing w:after="0"/>
              <w:rPr>
                <w:sz w:val="13"/>
                <w:szCs w:val="13"/>
                <w:color w:val="auto"/>
              </w:rPr>
            </w:pPr>
          </w:p>
        </w:tc>
      </w:tr>
      <w:tr>
        <w:trPr>
          <w:trHeight w:val="174"/>
        </w:trPr>
        <w:tc>
          <w:tcPr>
            <w:tcW w:w="780" w:type="dxa"/>
            <w:vAlign w:val="bottom"/>
          </w:tcPr>
          <w:p>
            <w:pPr>
              <w:jc w:val="center"/>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5980" w:type="dxa"/>
            <w:vAlign w:val="bottom"/>
            <w:tcBorders>
              <w:bottom w:val="single" w:sz="8" w:color="0000FF"/>
            </w:tcBorders>
            <w:gridSpan w:val="4"/>
          </w:tcPr>
          <w:p>
            <w:pPr>
              <w:spacing w:after="0"/>
              <w:rPr>
                <w:rFonts w:ascii="Arial" w:cs="Arial" w:eastAsia="Arial" w:hAnsi="Arial"/>
                <w:sz w:val="14"/>
                <w:szCs w:val="14"/>
                <w:color w:val="0000FF"/>
              </w:rPr>
            </w:pPr>
            <w:hyperlink w:anchor="page26">
              <w:r>
                <w:rPr>
                  <w:rFonts w:ascii="Arial" w:cs="Arial" w:eastAsia="Arial" w:hAnsi="Arial"/>
                  <w:sz w:val="14"/>
                  <w:szCs w:val="14"/>
                  <w:color w:val="0000FF"/>
                </w:rPr>
                <w:t>Certification of Principal Financial Officer Pursuant to Rules 13a-14(a) and 15d-14(a) under the</w:t>
              </w:r>
            </w:hyperlink>
          </w:p>
        </w:tc>
        <w:tc>
          <w:tcPr>
            <w:tcW w:w="560" w:type="dxa"/>
            <w:vAlign w:val="bottom"/>
            <w:gridSpan w:val="5"/>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40"/>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540" w:type="dxa"/>
            <w:vAlign w:val="bottom"/>
            <w:gridSpan w:val="9"/>
          </w:tcPr>
          <w:p>
            <w:pPr>
              <w:spacing w:after="0" w:line="141" w:lineRule="exact"/>
              <w:rPr>
                <w:rFonts w:ascii="Arial" w:cs="Arial" w:eastAsia="Arial" w:hAnsi="Arial"/>
                <w:sz w:val="14"/>
                <w:szCs w:val="14"/>
                <w:color w:val="0000FF"/>
              </w:rPr>
            </w:pPr>
            <w:hyperlink w:anchor="page26">
              <w:r>
                <w:rPr>
                  <w:rFonts w:ascii="Arial" w:cs="Arial" w:eastAsia="Arial" w:hAnsi="Arial"/>
                  <w:sz w:val="14"/>
                  <w:szCs w:val="14"/>
                  <w:color w:val="0000FF"/>
                </w:rPr>
                <w:t>Securities Exchange Act of 1934, as Adopted Pursuant to Section 302 of the Sarbanes-Oxley Act of</w:t>
              </w:r>
            </w:hyperlink>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0"/>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Borders>
              <w:top w:val="single" w:sz="8" w:color="0000FF"/>
            </w:tcBorders>
            <w:gridSpan w:val="2"/>
          </w:tcPr>
          <w:p>
            <w:pPr>
              <w:spacing w:after="0" w:line="141" w:lineRule="exact"/>
              <w:rPr>
                <w:rFonts w:ascii="Arial" w:cs="Arial" w:eastAsia="Arial" w:hAnsi="Arial"/>
                <w:sz w:val="14"/>
                <w:szCs w:val="14"/>
                <w:color w:val="0000FF"/>
              </w:rPr>
            </w:pPr>
            <w:hyperlink w:anchor="page26">
              <w:r>
                <w:rPr>
                  <w:rFonts w:ascii="Arial" w:cs="Arial" w:eastAsia="Arial" w:hAnsi="Arial"/>
                  <w:sz w:val="14"/>
                  <w:szCs w:val="14"/>
                  <w:color w:val="0000FF"/>
                </w:rPr>
                <w:t>2002</w:t>
              </w:r>
            </w:hyperlink>
          </w:p>
        </w:tc>
        <w:tc>
          <w:tcPr>
            <w:tcW w:w="1220" w:type="dxa"/>
            <w:vAlign w:val="bottom"/>
            <w:tcBorders>
              <w:top w:val="single" w:sz="8" w:color="0000FF"/>
            </w:tcBorders>
          </w:tcPr>
          <w:p>
            <w:pPr>
              <w:spacing w:after="0"/>
              <w:rPr>
                <w:sz w:val="12"/>
                <w:szCs w:val="12"/>
                <w:color w:val="auto"/>
              </w:rPr>
            </w:pPr>
          </w:p>
        </w:tc>
        <w:tc>
          <w:tcPr>
            <w:tcW w:w="27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7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DBDBDB"/>
          </w:tcPr>
          <w:p>
            <w:pPr>
              <w:spacing w:after="0"/>
              <w:rPr>
                <w:sz w:val="16"/>
                <w:szCs w:val="16"/>
                <w:color w:val="auto"/>
              </w:rPr>
            </w:pPr>
          </w:p>
        </w:tc>
        <w:tc>
          <w:tcPr>
            <w:tcW w:w="6540" w:type="dxa"/>
            <w:vAlign w:val="bottom"/>
            <w:gridSpan w:val="9"/>
            <w:shd w:val="clear" w:color="auto" w:fill="DBDBDB"/>
          </w:tcPr>
          <w:p>
            <w:pPr>
              <w:spacing w:after="0"/>
              <w:rPr>
                <w:rFonts w:ascii="Arial" w:cs="Arial" w:eastAsia="Arial" w:hAnsi="Arial"/>
                <w:sz w:val="14"/>
                <w:szCs w:val="14"/>
                <w:color w:val="0000FF"/>
              </w:rPr>
            </w:pPr>
            <w:hyperlink w:anchor="page27">
              <w:r>
                <w:rPr>
                  <w:rFonts w:ascii="Arial" w:cs="Arial" w:eastAsia="Arial" w:hAnsi="Arial"/>
                  <w:sz w:val="14"/>
                  <w:szCs w:val="14"/>
                  <w:color w:val="0000FF"/>
                </w:rPr>
                <w:t>Certification of Chief Executive Officer pursuant to Section 906 of the Sarbanes-Oxley Act of 2002</w:t>
              </w:r>
            </w:hyperlink>
          </w:p>
        </w:tc>
        <w:tc>
          <w:tcPr>
            <w:tcW w:w="7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X</w:t>
            </w:r>
          </w:p>
        </w:tc>
      </w:tr>
      <w:tr>
        <w:trPr>
          <w:trHeight w:val="174"/>
        </w:trPr>
        <w:tc>
          <w:tcPr>
            <w:tcW w:w="78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rPr>
              <w:t>32.2*</w:t>
            </w:r>
          </w:p>
        </w:tc>
        <w:tc>
          <w:tcPr>
            <w:tcW w:w="100" w:type="dxa"/>
            <w:vAlign w:val="bottom"/>
            <w:tcBorders>
              <w:top w:val="single" w:sz="8" w:color="DBDBDB"/>
            </w:tcBorders>
          </w:tcPr>
          <w:p>
            <w:pPr>
              <w:spacing w:after="0"/>
              <w:rPr>
                <w:sz w:val="15"/>
                <w:szCs w:val="15"/>
                <w:color w:val="auto"/>
              </w:rPr>
            </w:pPr>
          </w:p>
        </w:tc>
        <w:tc>
          <w:tcPr>
            <w:tcW w:w="6160" w:type="dxa"/>
            <w:vAlign w:val="bottom"/>
            <w:tcBorders>
              <w:top w:val="single" w:sz="8" w:color="0000FF"/>
            </w:tcBorders>
            <w:gridSpan w:val="7"/>
          </w:tcPr>
          <w:p>
            <w:pPr>
              <w:spacing w:after="0"/>
              <w:rPr>
                <w:rFonts w:ascii="Arial" w:cs="Arial" w:eastAsia="Arial" w:hAnsi="Arial"/>
                <w:sz w:val="14"/>
                <w:szCs w:val="14"/>
                <w:color w:val="0000FF"/>
              </w:rPr>
            </w:pPr>
            <w:hyperlink w:anchor="page28">
              <w:r>
                <w:rPr>
                  <w:rFonts w:ascii="Arial" w:cs="Arial" w:eastAsia="Arial" w:hAnsi="Arial"/>
                  <w:sz w:val="14"/>
                  <w:szCs w:val="14"/>
                  <w:color w:val="0000FF"/>
                </w:rPr>
                <w:t>Certification of Chief Financial Officer pursuant to Section 906 of the Sarbanes-Oxley Act of 2002</w:t>
              </w:r>
            </w:hyperlink>
          </w:p>
        </w:tc>
        <w:tc>
          <w:tcPr>
            <w:tcW w:w="380" w:type="dxa"/>
            <w:vAlign w:val="bottom"/>
            <w:tcBorders>
              <w:top w:val="single" w:sz="8" w:color="DBDBDB"/>
            </w:tcBorders>
            <w:gridSpan w:val="2"/>
          </w:tcPr>
          <w:p>
            <w:pPr>
              <w:spacing w:after="0"/>
              <w:rPr>
                <w:sz w:val="15"/>
                <w:szCs w:val="15"/>
                <w:color w:val="auto"/>
              </w:rPr>
            </w:pPr>
          </w:p>
        </w:tc>
        <w:tc>
          <w:tcPr>
            <w:tcW w:w="740" w:type="dxa"/>
            <w:vAlign w:val="bottom"/>
            <w:tcBorders>
              <w:top w:val="single" w:sz="8" w:color="DBDBDB"/>
            </w:tcBorders>
          </w:tcPr>
          <w:p>
            <w:pPr>
              <w:spacing w:after="0"/>
              <w:rPr>
                <w:sz w:val="15"/>
                <w:szCs w:val="15"/>
                <w:color w:val="auto"/>
              </w:rPr>
            </w:pPr>
          </w:p>
        </w:tc>
        <w:tc>
          <w:tcPr>
            <w:tcW w:w="1100" w:type="dxa"/>
            <w:vAlign w:val="bottom"/>
            <w:tcBorders>
              <w:top w:val="single" w:sz="8" w:color="DBDBDB"/>
            </w:tcBorders>
          </w:tcPr>
          <w:p>
            <w:pPr>
              <w:spacing w:after="0"/>
              <w:rPr>
                <w:sz w:val="15"/>
                <w:szCs w:val="15"/>
                <w:color w:val="auto"/>
              </w:rPr>
            </w:pPr>
          </w:p>
        </w:tc>
        <w:tc>
          <w:tcPr>
            <w:tcW w:w="1000" w:type="dxa"/>
            <w:vAlign w:val="bottom"/>
            <w:tcBorders>
              <w:top w:val="single" w:sz="8" w:color="DBDBDB"/>
            </w:tcBorders>
          </w:tcPr>
          <w:p>
            <w:pPr>
              <w:spacing w:after="0"/>
              <w:rPr>
                <w:sz w:val="15"/>
                <w:szCs w:val="15"/>
                <w:color w:val="auto"/>
              </w:rPr>
            </w:pPr>
          </w:p>
        </w:tc>
        <w:tc>
          <w:tcPr>
            <w:tcW w:w="920" w:type="dxa"/>
            <w:vAlign w:val="bottom"/>
            <w:tcBorders>
              <w:top w:val="single" w:sz="8" w:color="DBDBDB"/>
            </w:tcBorders>
          </w:tcPr>
          <w:p>
            <w:pPr>
              <w:jc w:val="center"/>
              <w:spacing w:after="0"/>
              <w:rPr>
                <w:sz w:val="20"/>
                <w:szCs w:val="20"/>
                <w:color w:val="auto"/>
              </w:rPr>
            </w:pPr>
            <w:r>
              <w:rPr>
                <w:rFonts w:ascii="Arial" w:cs="Arial" w:eastAsia="Arial" w:hAnsi="Arial"/>
                <w:sz w:val="14"/>
                <w:szCs w:val="14"/>
                <w:color w:val="auto"/>
              </w:rPr>
              <w:t>X</w:t>
            </w: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2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7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DBDBDB"/>
          </w:tcPr>
          <w:p>
            <w:pPr>
              <w:spacing w:after="0"/>
              <w:rPr>
                <w:sz w:val="16"/>
                <w:szCs w:val="16"/>
                <w:color w:val="auto"/>
              </w:rPr>
            </w:pPr>
          </w:p>
        </w:tc>
        <w:tc>
          <w:tcPr>
            <w:tcW w:w="6540" w:type="dxa"/>
            <w:vAlign w:val="bottom"/>
            <w:gridSpan w:val="9"/>
            <w:shd w:val="clear" w:color="auto" w:fill="DBDBDB"/>
          </w:tcPr>
          <w:p>
            <w:pPr>
              <w:spacing w:after="0"/>
              <w:rPr>
                <w:sz w:val="20"/>
                <w:szCs w:val="20"/>
                <w:color w:val="auto"/>
              </w:rPr>
            </w:pPr>
            <w:r>
              <w:rPr>
                <w:rFonts w:ascii="Arial" w:cs="Arial" w:eastAsia="Arial" w:hAnsi="Arial"/>
                <w:sz w:val="14"/>
                <w:szCs w:val="14"/>
                <w:color w:val="auto"/>
              </w:rPr>
              <w:t>The following financial statements from the Company's Quarterly Report on Form 10-Q for the quarter</w:t>
            </w:r>
          </w:p>
        </w:tc>
        <w:tc>
          <w:tcPr>
            <w:tcW w:w="7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X</w:t>
            </w:r>
          </w:p>
        </w:tc>
      </w:tr>
      <w:tr>
        <w:trPr>
          <w:trHeight w:val="160"/>
        </w:trPr>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540" w:type="dxa"/>
            <w:vAlign w:val="bottom"/>
            <w:gridSpan w:val="9"/>
            <w:shd w:val="clear" w:color="auto" w:fill="DBDBDB"/>
          </w:tcPr>
          <w:p>
            <w:pPr>
              <w:spacing w:after="0"/>
              <w:rPr>
                <w:sz w:val="20"/>
                <w:szCs w:val="20"/>
                <w:color w:val="auto"/>
              </w:rPr>
            </w:pPr>
            <w:r>
              <w:rPr>
                <w:rFonts w:ascii="Arial" w:cs="Arial" w:eastAsia="Arial" w:hAnsi="Arial"/>
                <w:sz w:val="14"/>
                <w:szCs w:val="14"/>
                <w:color w:val="auto"/>
              </w:rPr>
              <w:t>ended January 31, 2022 formatted in Inline XBRL: (i) Condensed Consolidated Balance Sheets, (ii)</w:t>
            </w:r>
          </w:p>
        </w:tc>
        <w:tc>
          <w:tcPr>
            <w:tcW w:w="7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160"/>
        </w:trPr>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540" w:type="dxa"/>
            <w:vAlign w:val="bottom"/>
            <w:gridSpan w:val="9"/>
            <w:shd w:val="clear" w:color="auto" w:fill="DBDBDB"/>
          </w:tcPr>
          <w:p>
            <w:pPr>
              <w:spacing w:after="0"/>
              <w:rPr>
                <w:sz w:val="20"/>
                <w:szCs w:val="20"/>
                <w:color w:val="auto"/>
              </w:rPr>
            </w:pPr>
            <w:r>
              <w:rPr>
                <w:rFonts w:ascii="Arial" w:cs="Arial" w:eastAsia="Arial" w:hAnsi="Arial"/>
                <w:sz w:val="14"/>
                <w:szCs w:val="14"/>
                <w:color w:val="auto"/>
              </w:rPr>
              <w:t>Condensed Consolidated Statements of Operations, (iii) Condensed Consolidated Statements of</w:t>
            </w:r>
          </w:p>
        </w:tc>
        <w:tc>
          <w:tcPr>
            <w:tcW w:w="7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160"/>
        </w:trPr>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540" w:type="dxa"/>
            <w:vAlign w:val="bottom"/>
            <w:gridSpan w:val="9"/>
            <w:shd w:val="clear" w:color="auto" w:fill="DBDBDB"/>
          </w:tcPr>
          <w:p>
            <w:pPr>
              <w:spacing w:after="0"/>
              <w:rPr>
                <w:sz w:val="20"/>
                <w:szCs w:val="20"/>
                <w:color w:val="auto"/>
              </w:rPr>
            </w:pPr>
            <w:r>
              <w:rPr>
                <w:rFonts w:ascii="Arial" w:cs="Arial" w:eastAsia="Arial" w:hAnsi="Arial"/>
                <w:sz w:val="14"/>
                <w:szCs w:val="14"/>
                <w:color w:val="auto"/>
              </w:rPr>
              <w:t>Comprehensive (Loss) Income, (iv) Condensed Consolidated Statements of Stockholders' Equity, (v)</w:t>
            </w:r>
          </w:p>
        </w:tc>
        <w:tc>
          <w:tcPr>
            <w:tcW w:w="7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160"/>
        </w:trPr>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540" w:type="dxa"/>
            <w:vAlign w:val="bottom"/>
            <w:gridSpan w:val="9"/>
            <w:shd w:val="clear" w:color="auto" w:fill="DBDBDB"/>
          </w:tcPr>
          <w:p>
            <w:pPr>
              <w:spacing w:after="0"/>
              <w:rPr>
                <w:sz w:val="20"/>
                <w:szCs w:val="20"/>
                <w:color w:val="auto"/>
              </w:rPr>
            </w:pPr>
            <w:r>
              <w:rPr>
                <w:rFonts w:ascii="Arial" w:cs="Arial" w:eastAsia="Arial" w:hAnsi="Arial"/>
                <w:sz w:val="14"/>
                <w:szCs w:val="14"/>
                <w:color w:val="auto"/>
              </w:rPr>
              <w:t>Condensed Consolidated Statements of Cash Flows, and (vi) Notes to Unaudited Condensed</w:t>
            </w:r>
          </w:p>
        </w:tc>
        <w:tc>
          <w:tcPr>
            <w:tcW w:w="7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183"/>
        </w:trPr>
        <w:tc>
          <w:tcPr>
            <w:tcW w:w="7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6540" w:type="dxa"/>
            <w:vAlign w:val="bottom"/>
            <w:gridSpan w:val="9"/>
            <w:shd w:val="clear" w:color="auto" w:fill="DBDBDB"/>
          </w:tcPr>
          <w:p>
            <w:pPr>
              <w:spacing w:after="0"/>
              <w:rPr>
                <w:sz w:val="20"/>
                <w:szCs w:val="20"/>
                <w:color w:val="auto"/>
              </w:rPr>
            </w:pPr>
            <w:r>
              <w:rPr>
                <w:rFonts w:ascii="Arial" w:cs="Arial" w:eastAsia="Arial" w:hAnsi="Arial"/>
                <w:sz w:val="14"/>
                <w:szCs w:val="14"/>
                <w:color w:val="auto"/>
              </w:rPr>
              <w:t>Consolidated Financial Statements, tagged as blocks of text and including detailed tags.</w:t>
            </w:r>
          </w:p>
        </w:tc>
        <w:tc>
          <w:tcPr>
            <w:tcW w:w="7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r>
      <w:tr>
        <w:trPr>
          <w:trHeight w:val="208"/>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-2249805</wp:posOffset>
            </wp:positionV>
            <wp:extent cx="17576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 Previously filed</w:t>
      </w:r>
    </w:p>
    <w:p>
      <w:pPr>
        <w:spacing w:after="0" w:line="103" w:lineRule="exact"/>
        <w:rPr>
          <w:sz w:val="20"/>
          <w:szCs w:val="20"/>
          <w:color w:val="auto"/>
        </w:rPr>
      </w:pPr>
    </w:p>
    <w:p>
      <w:pPr>
        <w:ind w:left="440" w:hanging="85"/>
        <w:spacing w:after="0"/>
        <w:tabs>
          <w:tab w:leader="none" w:pos="440" w:val="left"/>
        </w:tabs>
        <w:numPr>
          <w:ilvl w:val="0"/>
          <w:numId w:val="16"/>
        </w:numPr>
        <w:rPr>
          <w:rFonts w:ascii="Arial" w:cs="Arial" w:eastAsia="Arial" w:hAnsi="Arial"/>
          <w:sz w:val="25"/>
          <w:szCs w:val="25"/>
          <w:color w:val="auto"/>
          <w:vertAlign w:val="superscript"/>
        </w:rPr>
      </w:pPr>
      <w:r>
        <w:rPr>
          <w:rFonts w:ascii="Arial" w:cs="Arial" w:eastAsia="Arial" w:hAnsi="Arial"/>
          <w:sz w:val="12"/>
          <w:szCs w:val="12"/>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SIGNATURES</w:t>
      </w:r>
    </w:p>
    <w:p>
      <w:pPr>
        <w:spacing w:after="0" w:line="251" w:lineRule="exact"/>
        <w:rPr>
          <w:sz w:val="20"/>
          <w:szCs w:val="20"/>
          <w:color w:val="auto"/>
        </w:rPr>
      </w:pPr>
    </w:p>
    <w:p>
      <w:pPr>
        <w:ind w:right="20" w:firstLine="642"/>
        <w:spacing w:after="0" w:line="25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quarterly report to be signed on its behalf by the undersigned, thereunto duly authorized, on March 10, 2022.</w:t>
      </w:r>
    </w:p>
    <w:p>
      <w:pPr>
        <w:spacing w:after="0" w:line="256"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MISSION PRODUCE, INC.</w:t>
      </w:r>
    </w:p>
    <w:p>
      <w:pPr>
        <w:spacing w:after="0" w:line="160"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5080</wp:posOffset>
            </wp:positionV>
            <wp:extent cx="24714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471420" cy="8255"/>
                    </a:xfrm>
                    <a:prstGeom prst="rect">
                      <a:avLst/>
                    </a:prstGeom>
                    <a:noFill/>
                  </pic:spPr>
                </pic:pic>
              </a:graphicData>
            </a:graphic>
          </wp:anchor>
        </w:drawing>
      </w:r>
    </w:p>
    <w:p>
      <w:pPr>
        <w:spacing w:after="0" w:line="33"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Stephen J. Barnard</w:t>
      </w:r>
    </w:p>
    <w:p>
      <w:pPr>
        <w:spacing w:after="0" w:line="26" w:lineRule="exact"/>
        <w:rPr>
          <w:sz w:val="20"/>
          <w:szCs w:val="20"/>
          <w:color w:val="auto"/>
        </w:rPr>
      </w:pPr>
    </w:p>
    <w:p>
      <w:pPr>
        <w:ind w:left="8900"/>
        <w:spacing w:after="0"/>
        <w:rPr>
          <w:sz w:val="20"/>
          <w:szCs w:val="20"/>
          <w:color w:val="auto"/>
        </w:rPr>
      </w:pPr>
      <w:r>
        <w:rPr>
          <w:rFonts w:ascii="Arial" w:cs="Arial" w:eastAsia="Arial" w:hAnsi="Arial"/>
          <w:sz w:val="14"/>
          <w:szCs w:val="14"/>
          <w:i w:val="1"/>
          <w:iCs w:val="1"/>
          <w:color w:val="auto"/>
        </w:rPr>
        <w:t>Chief Executive Officer</w:t>
      </w:r>
    </w:p>
    <w:p>
      <w:pPr>
        <w:spacing w:after="0" w:line="268" w:lineRule="exact"/>
        <w:rPr>
          <w:sz w:val="20"/>
          <w:szCs w:val="20"/>
          <w:color w:val="auto"/>
        </w:rPr>
      </w:pPr>
    </w:p>
    <w:p>
      <w:pPr>
        <w:ind w:left="906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13970</wp:posOffset>
            </wp:positionV>
            <wp:extent cx="24714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471420" cy="8255"/>
                    </a:xfrm>
                    <a:prstGeom prst="rect">
                      <a:avLst/>
                    </a:prstGeom>
                    <a:noFill/>
                  </pic:spPr>
                </pic:pic>
              </a:graphicData>
            </a:graphic>
          </wp:anchor>
        </w:drawing>
      </w:r>
    </w:p>
    <w:p>
      <w:pPr>
        <w:spacing w:after="0" w:line="260" w:lineRule="exact"/>
        <w:rPr>
          <w:sz w:val="20"/>
          <w:szCs w:val="20"/>
          <w:color w:val="auto"/>
        </w:rPr>
      </w:pPr>
    </w:p>
    <w:p>
      <w:pPr>
        <w:jc w:val="center"/>
        <w:ind w:left="7980"/>
        <w:spacing w:after="0"/>
        <w:rPr>
          <w:sz w:val="20"/>
          <w:szCs w:val="20"/>
          <w:color w:val="auto"/>
        </w:rPr>
      </w:pPr>
      <w:r>
        <w:rPr>
          <w:rFonts w:ascii="Arial" w:cs="Arial" w:eastAsia="Arial" w:hAnsi="Arial"/>
          <w:sz w:val="14"/>
          <w:szCs w:val="14"/>
          <w:color w:val="auto"/>
        </w:rPr>
        <w:t>Bryan E. Giles</w:t>
      </w:r>
    </w:p>
    <w:p>
      <w:pPr>
        <w:spacing w:after="0" w:line="26" w:lineRule="exact"/>
        <w:rPr>
          <w:sz w:val="20"/>
          <w:szCs w:val="20"/>
          <w:color w:val="auto"/>
        </w:rPr>
      </w:pPr>
    </w:p>
    <w:p>
      <w:pPr>
        <w:jc w:val="center"/>
        <w:ind w:left="7980"/>
        <w:spacing w:after="0"/>
        <w:rPr>
          <w:sz w:val="20"/>
          <w:szCs w:val="20"/>
          <w:color w:val="auto"/>
        </w:rPr>
      </w:pPr>
      <w:r>
        <w:rPr>
          <w:rFonts w:ascii="Arial" w:cs="Arial" w:eastAsia="Arial" w:hAnsi="Arial"/>
          <w:sz w:val="14"/>
          <w:szCs w:val="14"/>
          <w:i w:val="1"/>
          <w:iCs w:val="1"/>
          <w:color w:val="auto"/>
        </w:rPr>
        <w:t>Chief Financial Officer</w:t>
      </w:r>
    </w:p>
    <w:p>
      <w:pPr>
        <w:sectPr>
          <w:pgSz w:w="11900" w:h="16838" w:orient="portrait"/>
          <w:cols w:equalWidth="0" w:num="1">
            <w:col w:w="11200"/>
          </w:cols>
          <w:pgMar w:left="320" w:top="1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00"/>
          </w:cols>
          <w:pgMar w:left="320" w:top="1248" w:right="37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CERTIFICATION OF CHIEF EXECUTIVE OFFICER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Stephen J. Barnard, certify that:</w:t>
      </w:r>
    </w:p>
    <w:p>
      <w:pPr>
        <w:spacing w:after="0" w:line="217" w:lineRule="exact"/>
        <w:rPr>
          <w:sz w:val="20"/>
          <w:szCs w:val="20"/>
          <w:color w:val="auto"/>
        </w:rPr>
      </w:pPr>
    </w:p>
    <w:p>
      <w:pPr>
        <w:ind w:left="640" w:hanging="312"/>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Mission Produce, Inc.;</w:t>
      </w:r>
    </w:p>
    <w:p>
      <w:pPr>
        <w:spacing w:after="0" w:line="217" w:lineRule="exact"/>
        <w:rPr>
          <w:rFonts w:ascii="Arial" w:cs="Arial" w:eastAsia="Arial" w:hAnsi="Arial"/>
          <w:sz w:val="16"/>
          <w:szCs w:val="16"/>
          <w:color w:val="auto"/>
        </w:rPr>
      </w:pPr>
    </w:p>
    <w:p>
      <w:pPr>
        <w:jc w:val="both"/>
        <w:ind w:left="640" w:right="220" w:hanging="312"/>
        <w:spacing w:after="0" w:line="250"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ind w:left="640" w:right="340" w:hanging="312"/>
        <w:spacing w:after="0" w:line="256"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jc w:val="both"/>
        <w:ind w:left="640" w:right="340" w:hanging="312"/>
        <w:spacing w:after="0" w:line="250"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6"/>
          <w:szCs w:val="16"/>
          <w:color w:val="auto"/>
        </w:rPr>
      </w:pPr>
    </w:p>
    <w:p>
      <w:pPr>
        <w:ind w:left="1300" w:right="360" w:hanging="330"/>
        <w:spacing w:after="0" w:line="250" w:lineRule="auto"/>
        <w:tabs>
          <w:tab w:leader="none" w:pos="132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ind w:left="1300" w:right="260" w:hanging="330"/>
        <w:spacing w:after="0" w:line="250" w:lineRule="auto"/>
        <w:tabs>
          <w:tab w:leader="none" w:pos="13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jc w:val="both"/>
        <w:ind w:left="1300" w:right="280" w:hanging="330"/>
        <w:spacing w:after="0" w:line="256" w:lineRule="auto"/>
        <w:tabs>
          <w:tab w:leader="none" w:pos="1313"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300" w:right="120" w:hanging="330"/>
        <w:spacing w:after="0" w:line="250" w:lineRule="auto"/>
        <w:tabs>
          <w:tab w:leader="none" w:pos="13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6"/>
          <w:szCs w:val="16"/>
          <w:color w:val="auto"/>
        </w:rPr>
      </w:pPr>
    </w:p>
    <w:p>
      <w:pPr>
        <w:ind w:left="640" w:right="100" w:hanging="312"/>
        <w:spacing w:after="0" w:line="256"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300" w:right="720" w:hanging="330"/>
        <w:spacing w:after="0" w:line="256" w:lineRule="auto"/>
        <w:tabs>
          <w:tab w:leader="none" w:pos="1322"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300" w:right="380" w:hanging="330"/>
        <w:spacing w:after="0" w:line="256" w:lineRule="auto"/>
        <w:tabs>
          <w:tab w:leader="none" w:pos="13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p>
      <w:pPr>
        <w:ind w:left="8200"/>
        <w:spacing w:after="0"/>
        <w:rPr>
          <w:sz w:val="20"/>
          <w:szCs w:val="20"/>
          <w:color w:val="auto"/>
        </w:rPr>
      </w:pPr>
      <w:r>
        <w:rPr>
          <w:rFonts w:ascii="Arial" w:cs="Arial" w:eastAsia="Arial" w:hAnsi="Arial"/>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9525</wp:posOffset>
            </wp:positionV>
            <wp:extent cx="26409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37"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Stephen J. Barnard</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2022</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CERTIFICATION OF CHIEF FINANCIAL OFFICER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Bryan E. Giles, certify that:</w:t>
      </w:r>
    </w:p>
    <w:p>
      <w:pPr>
        <w:spacing w:after="0" w:line="217" w:lineRule="exact"/>
        <w:rPr>
          <w:sz w:val="20"/>
          <w:szCs w:val="20"/>
          <w:color w:val="auto"/>
        </w:rPr>
      </w:pPr>
    </w:p>
    <w:p>
      <w:pPr>
        <w:ind w:left="640" w:hanging="312"/>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Mission Produce, Inc.;</w:t>
      </w:r>
    </w:p>
    <w:p>
      <w:pPr>
        <w:spacing w:after="0" w:line="217" w:lineRule="exact"/>
        <w:rPr>
          <w:rFonts w:ascii="Arial" w:cs="Arial" w:eastAsia="Arial" w:hAnsi="Arial"/>
          <w:sz w:val="16"/>
          <w:szCs w:val="16"/>
          <w:color w:val="auto"/>
        </w:rPr>
      </w:pPr>
    </w:p>
    <w:p>
      <w:pPr>
        <w:jc w:val="both"/>
        <w:ind w:left="640" w:right="220" w:hanging="312"/>
        <w:spacing w:after="0" w:line="250"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ind w:left="640" w:right="340" w:hanging="312"/>
        <w:spacing w:after="0" w:line="256"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jc w:val="both"/>
        <w:ind w:left="640" w:right="340" w:hanging="312"/>
        <w:spacing w:after="0" w:line="250"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6"/>
          <w:szCs w:val="16"/>
          <w:color w:val="auto"/>
        </w:rPr>
      </w:pPr>
    </w:p>
    <w:p>
      <w:pPr>
        <w:ind w:left="1300" w:right="360" w:hanging="330"/>
        <w:spacing w:after="0" w:line="250" w:lineRule="auto"/>
        <w:tabs>
          <w:tab w:leader="none" w:pos="1322"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ind w:left="1300" w:right="260" w:hanging="330"/>
        <w:spacing w:after="0" w:line="250" w:lineRule="auto"/>
        <w:tabs>
          <w:tab w:leader="none" w:pos="130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jc w:val="both"/>
        <w:ind w:left="1300" w:right="280" w:hanging="330"/>
        <w:spacing w:after="0" w:line="256" w:lineRule="auto"/>
        <w:tabs>
          <w:tab w:leader="none" w:pos="1313"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300" w:right="120" w:hanging="330"/>
        <w:spacing w:after="0" w:line="250" w:lineRule="auto"/>
        <w:tabs>
          <w:tab w:leader="none" w:pos="130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6"/>
          <w:szCs w:val="16"/>
          <w:color w:val="auto"/>
        </w:rPr>
      </w:pPr>
    </w:p>
    <w:p>
      <w:pPr>
        <w:ind w:left="640" w:right="100" w:hanging="312"/>
        <w:spacing w:after="0" w:line="256"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300" w:right="720" w:hanging="330"/>
        <w:spacing w:after="0" w:line="256" w:lineRule="auto"/>
        <w:tabs>
          <w:tab w:leader="none" w:pos="1322"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300" w:right="380" w:hanging="330"/>
        <w:spacing w:after="0" w:line="256" w:lineRule="auto"/>
        <w:tabs>
          <w:tab w:leader="none" w:pos="1309"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p>
      <w:pPr>
        <w:jc w:val="center"/>
        <w:ind w:left="6740"/>
        <w:spacing w:after="0"/>
        <w:rPr>
          <w:sz w:val="20"/>
          <w:szCs w:val="20"/>
          <w:color w:val="auto"/>
        </w:rPr>
      </w:pPr>
      <w:r>
        <w:rPr>
          <w:rFonts w:ascii="Arial" w:cs="Arial" w:eastAsia="Arial" w:hAnsi="Arial"/>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9525</wp:posOffset>
            </wp:positionV>
            <wp:extent cx="26409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37" w:lineRule="exact"/>
        <w:rPr>
          <w:sz w:val="20"/>
          <w:szCs w:val="20"/>
          <w:color w:val="auto"/>
        </w:rPr>
      </w:pPr>
    </w:p>
    <w:p>
      <w:pPr>
        <w:jc w:val="center"/>
        <w:ind w:left="6740"/>
        <w:spacing w:after="0"/>
        <w:rPr>
          <w:sz w:val="20"/>
          <w:szCs w:val="20"/>
          <w:color w:val="auto"/>
        </w:rPr>
      </w:pPr>
      <w:r>
        <w:rPr>
          <w:rFonts w:ascii="Arial" w:cs="Arial" w:eastAsia="Arial" w:hAnsi="Arial"/>
          <w:sz w:val="16"/>
          <w:szCs w:val="16"/>
          <w:color w:val="auto"/>
        </w:rPr>
        <w:t>Bryan E. Giles</w:t>
      </w:r>
    </w:p>
    <w:p>
      <w:pPr>
        <w:spacing w:after="0" w:line="41" w:lineRule="exact"/>
        <w:rPr>
          <w:sz w:val="20"/>
          <w:szCs w:val="20"/>
          <w:color w:val="auto"/>
        </w:rPr>
      </w:pPr>
    </w:p>
    <w:p>
      <w:pPr>
        <w:jc w:val="center"/>
        <w:ind w:left="6740"/>
        <w:spacing w:after="0"/>
        <w:rPr>
          <w:sz w:val="20"/>
          <w:szCs w:val="20"/>
          <w:color w:val="auto"/>
        </w:rPr>
      </w:pPr>
      <w:r>
        <w:rPr>
          <w:rFonts w:ascii="Arial" w:cs="Arial" w:eastAsia="Arial" w:hAnsi="Arial"/>
          <w:sz w:val="16"/>
          <w:szCs w:val="16"/>
          <w:i w:val="1"/>
          <w:iCs w:val="1"/>
          <w:color w:val="auto"/>
        </w:rPr>
        <w:t>Chief Financial Officer</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2022</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CERTIFICATION OF CHIEF EXECUTIVE OFFICER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PURSUANT TO SECTION 906 OF THE SARBANES-OXLEY ACT OF 2002</w:t>
      </w:r>
    </w:p>
    <w:p>
      <w:pPr>
        <w:spacing w:after="0" w:line="251"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Mission Produce, Inc. (the “Company”) hereby certifies, to the best of his knowledge, that:</w:t>
      </w:r>
    </w:p>
    <w:p>
      <w:pPr>
        <w:spacing w:after="0" w:line="196" w:lineRule="exact"/>
        <w:rPr>
          <w:sz w:val="20"/>
          <w:szCs w:val="20"/>
          <w:color w:val="auto"/>
        </w:rPr>
      </w:pPr>
    </w:p>
    <w:p>
      <w:pPr>
        <w:ind w:left="640" w:right="300" w:hanging="312"/>
        <w:spacing w:after="0" w:line="25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January 31, 2022 (the “Report”) fully complies with the requirements of Section 13(a) or Section 15(d), as applicable, of the Securities Exchange Act of 1934, as amended; and</w:t>
      </w:r>
    </w:p>
    <w:p>
      <w:pPr>
        <w:spacing w:after="0" w:line="195" w:lineRule="exact"/>
        <w:rPr>
          <w:rFonts w:ascii="Arial" w:cs="Arial" w:eastAsia="Arial" w:hAnsi="Arial"/>
          <w:sz w:val="16"/>
          <w:szCs w:val="16"/>
          <w:color w:val="auto"/>
        </w:rPr>
      </w:pPr>
    </w:p>
    <w:p>
      <w:pPr>
        <w:ind w:left="660" w:hanging="33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200"/>
        <w:spacing w:after="0"/>
        <w:rPr>
          <w:sz w:val="20"/>
          <w:szCs w:val="20"/>
          <w:color w:val="auto"/>
        </w:rPr>
      </w:pPr>
      <w:r>
        <w:rPr>
          <w:rFonts w:ascii="Arial" w:cs="Arial" w:eastAsia="Arial" w:hAnsi="Arial"/>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9525</wp:posOffset>
            </wp:positionV>
            <wp:extent cx="26409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37"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Stephen J. Barnard</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2022</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CERTIFICATION OF CHIEF FINANCIAL OFFICER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PURSUANT TO SECTION 906 OF THE SARBANES-OXLEY ACT OF 2002</w:t>
      </w:r>
    </w:p>
    <w:p>
      <w:pPr>
        <w:spacing w:after="0" w:line="251"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Mission Produce, Inc. (the “Company”) hereby certifies, to the best of his knowledge, that:</w:t>
      </w:r>
    </w:p>
    <w:p>
      <w:pPr>
        <w:spacing w:after="0" w:line="196" w:lineRule="exact"/>
        <w:rPr>
          <w:sz w:val="20"/>
          <w:szCs w:val="20"/>
          <w:color w:val="auto"/>
        </w:rPr>
      </w:pPr>
    </w:p>
    <w:p>
      <w:pPr>
        <w:ind w:left="640" w:right="300" w:hanging="312"/>
        <w:spacing w:after="0" w:line="25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January 31, 2022 (the “Report”) fully complies with the requirements of Section 13(a) or Section 15(d), as applicable, of the Securities Exchange Act of 1934, as amended; and</w:t>
      </w:r>
    </w:p>
    <w:p>
      <w:pPr>
        <w:spacing w:after="0" w:line="195" w:lineRule="exact"/>
        <w:rPr>
          <w:rFonts w:ascii="Arial" w:cs="Arial" w:eastAsia="Arial" w:hAnsi="Arial"/>
          <w:sz w:val="16"/>
          <w:szCs w:val="16"/>
          <w:color w:val="auto"/>
        </w:rPr>
      </w:pPr>
    </w:p>
    <w:p>
      <w:pPr>
        <w:ind w:left="660" w:hanging="33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8" w:lineRule="exact"/>
        <w:rPr>
          <w:sz w:val="20"/>
          <w:szCs w:val="20"/>
          <w:color w:val="auto"/>
        </w:rPr>
      </w:pPr>
    </w:p>
    <w:p>
      <w:pPr>
        <w:jc w:val="center"/>
        <w:ind w:left="6740"/>
        <w:spacing w:after="0"/>
        <w:rPr>
          <w:sz w:val="20"/>
          <w:szCs w:val="20"/>
          <w:color w:val="auto"/>
        </w:rPr>
      </w:pPr>
      <w:r>
        <w:rPr>
          <w:rFonts w:ascii="Arial" w:cs="Arial" w:eastAsia="Arial" w:hAnsi="Arial"/>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9525</wp:posOffset>
            </wp:positionV>
            <wp:extent cx="26409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37" w:lineRule="exact"/>
        <w:rPr>
          <w:sz w:val="20"/>
          <w:szCs w:val="20"/>
          <w:color w:val="auto"/>
        </w:rPr>
      </w:pPr>
    </w:p>
    <w:p>
      <w:pPr>
        <w:jc w:val="center"/>
        <w:ind w:left="6740"/>
        <w:spacing w:after="0"/>
        <w:rPr>
          <w:sz w:val="20"/>
          <w:szCs w:val="20"/>
          <w:color w:val="auto"/>
        </w:rPr>
      </w:pPr>
      <w:r>
        <w:rPr>
          <w:rFonts w:ascii="Arial" w:cs="Arial" w:eastAsia="Arial" w:hAnsi="Arial"/>
          <w:sz w:val="16"/>
          <w:szCs w:val="16"/>
          <w:color w:val="auto"/>
        </w:rPr>
        <w:t>Bryan E. Giles</w:t>
      </w:r>
    </w:p>
    <w:p>
      <w:pPr>
        <w:spacing w:after="0" w:line="41" w:lineRule="exact"/>
        <w:rPr>
          <w:sz w:val="20"/>
          <w:szCs w:val="20"/>
          <w:color w:val="auto"/>
        </w:rPr>
      </w:pPr>
    </w:p>
    <w:p>
      <w:pPr>
        <w:jc w:val="center"/>
        <w:ind w:left="6740"/>
        <w:spacing w:after="0"/>
        <w:rPr>
          <w:sz w:val="20"/>
          <w:szCs w:val="20"/>
          <w:color w:val="auto"/>
        </w:rPr>
      </w:pPr>
      <w:r>
        <w:rPr>
          <w:rFonts w:ascii="Arial" w:cs="Arial" w:eastAsia="Arial" w:hAnsi="Arial"/>
          <w:sz w:val="16"/>
          <w:szCs w:val="16"/>
          <w:i w:val="1"/>
          <w:iCs w:val="1"/>
          <w:color w:val="auto"/>
        </w:rPr>
        <w:t>Chief Financial Officer</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1."/>
      <w:numFmt w:val="decimal"/>
      <w:start w:val="10"/>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5" Type="http://schemas.openxmlformats.org/officeDocument/2006/relationships/hyperlink" Target="https://www.sec.gov/Archives/edgar/data/1802974/000119312520265099/d32849dex31.htm" TargetMode="External"/><Relationship Id="rId66"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2022-03-10T15:48:10Z</dcterms:created>
  <dcterms:modified xsi:type="dcterms:W3CDTF">2022-03-10T15:48:10Z</dcterms:modified>
</cp:coreProperties>
</file>