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205105</wp:posOffset>
            </wp:positionH>
            <wp:positionV relativeFrom="page">
              <wp:posOffset>514350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539115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jc w:val="center"/>
        <w:spacing w:after="0" w:line="234" w:lineRule="auto"/>
        <w:rPr>
          <w:sz w:val="20"/>
          <w:szCs w:val="20"/>
          <w:color w:val="auto"/>
        </w:rPr>
      </w:pPr>
      <w:r>
        <w:rPr>
          <w:rFonts w:ascii="Arial" w:cs="Arial" w:eastAsia="Arial" w:hAnsi="Arial"/>
          <w:sz w:val="24"/>
          <w:szCs w:val="24"/>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3" w:lineRule="exact"/>
        <w:rPr>
          <w:sz w:val="24"/>
          <w:szCs w:val="24"/>
          <w:color w:val="auto"/>
        </w:rPr>
      </w:pP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24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2" w:lineRule="exact"/>
        <w:rPr>
          <w:sz w:val="24"/>
          <w:szCs w:val="24"/>
          <w:color w:val="auto"/>
        </w:rPr>
      </w:pPr>
    </w:p>
    <w:p>
      <w:pPr>
        <w:ind w:left="400" w:hanging="380"/>
        <w:spacing w:after="0"/>
        <w:tabs>
          <w:tab w:leader="none" w:pos="40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January 31, 2023</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73" w:lineRule="exact"/>
        <w:rPr>
          <w:sz w:val="24"/>
          <w:szCs w:val="24"/>
          <w:color w:val="auto"/>
        </w:rPr>
      </w:pPr>
    </w:p>
    <w:p>
      <w:pPr>
        <w:ind w:left="400" w:hanging="380"/>
        <w:spacing w:after="0"/>
        <w:tabs>
          <w:tab w:leader="none" w:pos="40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90" w:lineRule="exact"/>
        <w:rPr>
          <w:sz w:val="24"/>
          <w:szCs w:val="24"/>
          <w:color w:val="auto"/>
        </w:rPr>
      </w:pPr>
    </w:p>
    <w:p>
      <w:pPr>
        <w:ind w:left="3780"/>
        <w:spacing w:after="0"/>
        <w:tabs>
          <w:tab w:leader="none" w:pos="65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3646170</wp:posOffset>
            </wp:positionH>
            <wp:positionV relativeFrom="paragraph">
              <wp:posOffset>-4445</wp:posOffset>
            </wp:positionV>
            <wp:extent cx="10998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001-39561</w:t>
      </w:r>
    </w:p>
    <w:p>
      <w:pPr>
        <w:spacing w:after="0" w:line="2" w:lineRule="exact"/>
        <w:rPr>
          <w:sz w:val="24"/>
          <w:szCs w:val="24"/>
          <w:color w:val="auto"/>
        </w:rPr>
      </w:pP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MISSION PRODUCE,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5560"/>
        <w:spacing w:after="0"/>
        <w:rPr>
          <w:sz w:val="20"/>
          <w:szCs w:val="20"/>
          <w:color w:val="auto"/>
        </w:rPr>
      </w:pPr>
      <w:r>
        <w:rPr>
          <w:rFonts w:ascii="Arial" w:cs="Arial" w:eastAsia="Arial" w:hAnsi="Arial"/>
          <w:sz w:val="10"/>
          <w:szCs w:val="10"/>
          <w:u w:val="single" w:color="auto"/>
          <w:color w:val="auto"/>
        </w:rPr>
        <w:t>_____________</w:t>
      </w:r>
    </w:p>
    <w:p>
      <w:pPr>
        <w:sectPr>
          <w:pgSz w:w="11900" w:h="16838" w:orient="portrait"/>
          <w:cols w:equalWidth="0" w:num="1">
            <w:col w:w="11240"/>
          </w:cols>
          <w:pgMar w:left="320" w:top="975" w:right="339" w:bottom="1440" w:gutter="0" w:footer="0" w:header="0"/>
        </w:sectPr>
      </w:pPr>
    </w:p>
    <w:p>
      <w:pPr>
        <w:spacing w:after="0" w:line="225"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Delaware</w:t>
      </w:r>
    </w:p>
    <w:p>
      <w:pPr>
        <w:spacing w:after="0" w:line="5"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(State or Other Jurisdiction of</w:t>
      </w:r>
    </w:p>
    <w:p>
      <w:pPr>
        <w:spacing w:after="0" w:line="5" w:lineRule="exact"/>
        <w:rPr>
          <w:sz w:val="24"/>
          <w:szCs w:val="24"/>
          <w:color w:val="auto"/>
        </w:rPr>
      </w:pPr>
    </w:p>
    <w:p>
      <w:pPr>
        <w:ind w:left="1700"/>
        <w:spacing w:after="0"/>
        <w:rPr>
          <w:sz w:val="20"/>
          <w:szCs w:val="20"/>
          <w:color w:val="auto"/>
        </w:rPr>
      </w:pPr>
      <w:r>
        <w:rPr>
          <w:rFonts w:ascii="Arial" w:cs="Arial" w:eastAsia="Arial" w:hAnsi="Arial"/>
          <w:sz w:val="13"/>
          <w:szCs w:val="13"/>
          <w:b w:val="1"/>
          <w:bCs w:val="1"/>
          <w:color w:val="auto"/>
        </w:rPr>
        <w:t>Incorporation or Organization)</w:t>
      </w:r>
    </w:p>
    <w:p>
      <w:pPr>
        <w:spacing w:after="0" w:line="149"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2710 Camino Del Sol</w:t>
      </w:r>
    </w:p>
    <w:p>
      <w:pPr>
        <w:spacing w:after="0" w:line="19" w:lineRule="exact"/>
        <w:rPr>
          <w:sz w:val="24"/>
          <w:szCs w:val="24"/>
          <w:color w:val="auto"/>
        </w:rPr>
      </w:pPr>
    </w:p>
    <w:p>
      <w:pPr>
        <w:jc w:val="center"/>
        <w:ind w:right="2600"/>
        <w:spacing w:after="0"/>
        <w:rPr>
          <w:sz w:val="20"/>
          <w:szCs w:val="20"/>
          <w:color w:val="auto"/>
        </w:rPr>
      </w:pPr>
      <w:r>
        <w:rPr>
          <w:rFonts w:ascii="Arial" w:cs="Arial" w:eastAsia="Arial" w:hAnsi="Arial"/>
          <w:sz w:val="14"/>
          <w:szCs w:val="14"/>
          <w:b w:val="1"/>
          <w:bCs w:val="1"/>
          <w:color w:val="auto"/>
        </w:rPr>
        <w:t>Oxnard, California</w:t>
      </w:r>
    </w:p>
    <w:p>
      <w:pPr>
        <w:spacing w:after="0" w:line="5" w:lineRule="exact"/>
        <w:rPr>
          <w:sz w:val="24"/>
          <w:szCs w:val="24"/>
          <w:color w:val="auto"/>
        </w:rPr>
      </w:pPr>
    </w:p>
    <w:p>
      <w:pPr>
        <w:ind w:left="140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14" w:lineRule="exact"/>
        <w:rPr>
          <w:sz w:val="24"/>
          <w:szCs w:val="24"/>
          <w:color w:val="auto"/>
        </w:rPr>
      </w:pPr>
    </w:p>
    <w:p>
      <w:pPr>
        <w:jc w:val="center"/>
        <w:ind w:left="3380"/>
        <w:spacing w:after="0"/>
        <w:rPr>
          <w:sz w:val="20"/>
          <w:szCs w:val="20"/>
          <w:color w:val="auto"/>
        </w:rPr>
      </w:pPr>
      <w:r>
        <w:rPr>
          <w:rFonts w:ascii="Arial" w:cs="Arial" w:eastAsia="Arial" w:hAnsi="Arial"/>
          <w:sz w:val="13"/>
          <w:szCs w:val="13"/>
          <w:b w:val="1"/>
          <w:bCs w:val="1"/>
          <w:color w:val="auto"/>
        </w:rPr>
        <w:t>Registrant’s Telephone Number, Including Area Code: (805) 981-3650</w:t>
      </w:r>
    </w:p>
    <w:p>
      <w:pPr>
        <w:spacing w:after="0" w:line="14" w:lineRule="exact"/>
        <w:rPr>
          <w:sz w:val="24"/>
          <w:szCs w:val="24"/>
          <w:color w:val="auto"/>
        </w:rPr>
      </w:pPr>
    </w:p>
    <w:p>
      <w:pPr>
        <w:ind w:left="5260"/>
        <w:spacing w:after="0"/>
        <w:rPr>
          <w:sz w:val="20"/>
          <w:szCs w:val="20"/>
          <w:color w:val="auto"/>
        </w:rPr>
      </w:pPr>
      <w:r>
        <w:rPr>
          <w:rFonts w:ascii="Arial" w:cs="Arial" w:eastAsia="Arial" w:hAnsi="Arial"/>
          <w:sz w:val="10"/>
          <w:szCs w:val="10"/>
          <w:u w:val="single" w:color="auto"/>
          <w:color w:val="auto"/>
        </w:rPr>
        <w:t>_____________</w:t>
      </w:r>
    </w:p>
    <w:p>
      <w:pPr>
        <w:spacing w:after="0" w:line="96" w:lineRule="exact"/>
        <w:rPr>
          <w:sz w:val="24"/>
          <w:szCs w:val="24"/>
          <w:color w:val="auto"/>
        </w:rPr>
      </w:pPr>
    </w:p>
    <w:p>
      <w:pPr>
        <w:ind w:left="37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95-3847744</w:t>
      </w:r>
    </w:p>
    <w:p>
      <w:pPr>
        <w:spacing w:after="0" w:line="5" w:lineRule="exact"/>
        <w:rPr>
          <w:sz w:val="24"/>
          <w:szCs w:val="24"/>
          <w:color w:val="auto"/>
        </w:rPr>
      </w:pPr>
    </w:p>
    <w:p>
      <w:pPr>
        <w:jc w:val="center"/>
        <w:ind w:right="2180"/>
        <w:spacing w:after="0"/>
        <w:rPr>
          <w:sz w:val="20"/>
          <w:szCs w:val="20"/>
          <w:color w:val="auto"/>
        </w:rPr>
      </w:pPr>
      <w:r>
        <w:rPr>
          <w:rFonts w:ascii="Arial" w:cs="Arial" w:eastAsia="Arial" w:hAnsi="Arial"/>
          <w:sz w:val="13"/>
          <w:szCs w:val="13"/>
          <w:b w:val="1"/>
          <w:bCs w:val="1"/>
          <w:color w:val="auto"/>
        </w:rPr>
        <w:t>(I.R.S. Employer</w:t>
      </w:r>
    </w:p>
    <w:p>
      <w:pPr>
        <w:spacing w:after="0" w:line="5" w:lineRule="exact"/>
        <w:rPr>
          <w:sz w:val="24"/>
          <w:szCs w:val="24"/>
          <w:color w:val="auto"/>
        </w:rPr>
      </w:pPr>
    </w:p>
    <w:p>
      <w:pPr>
        <w:jc w:val="center"/>
        <w:ind w:right="218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93030</w:t>
      </w:r>
    </w:p>
    <w:p>
      <w:pPr>
        <w:spacing w:after="0" w:line="17" w:lineRule="exact"/>
        <w:rPr>
          <w:sz w:val="24"/>
          <w:szCs w:val="24"/>
          <w:color w:val="auto"/>
        </w:rPr>
      </w:pPr>
    </w:p>
    <w:p>
      <w:pPr>
        <w:ind w:left="240"/>
        <w:spacing w:after="0"/>
        <w:rPr>
          <w:sz w:val="20"/>
          <w:szCs w:val="20"/>
          <w:color w:val="auto"/>
        </w:rPr>
      </w:pPr>
      <w:r>
        <w:rPr>
          <w:rFonts w:ascii="Arial" w:cs="Arial" w:eastAsia="Arial" w:hAnsi="Arial"/>
          <w:sz w:val="13"/>
          <w:szCs w:val="13"/>
          <w:b w:val="1"/>
          <w:bCs w:val="1"/>
          <w:color w:val="auto"/>
        </w:rPr>
        <w:t>(Zip Code)</w:t>
      </w:r>
    </w:p>
    <w:p>
      <w:pPr>
        <w:spacing w:after="0" w:line="1103" w:lineRule="exact"/>
        <w:rPr>
          <w:sz w:val="24"/>
          <w:szCs w:val="24"/>
          <w:color w:val="auto"/>
        </w:rPr>
      </w:pPr>
    </w:p>
    <w:p>
      <w:pPr>
        <w:sectPr>
          <w:pgSz w:w="11900" w:h="16838" w:orient="portrait"/>
          <w:cols w:equalWidth="0" w:num="2">
            <w:col w:w="7860" w:space="100"/>
            <w:col w:w="3280"/>
          </w:cols>
          <w:pgMar w:left="320" w:top="975" w:right="339" w:bottom="1440" w:gutter="0" w:footer="0" w:header="0"/>
          <w:type w:val="continuous"/>
        </w:sectPr>
      </w:pPr>
    </w:p>
    <w:p>
      <w:pPr>
        <w:spacing w:after="0" w:line="116" w:lineRule="exact"/>
        <w:rPr>
          <w:sz w:val="24"/>
          <w:szCs w:val="24"/>
          <w:color w:val="auto"/>
        </w:rPr>
      </w:pPr>
    </w:p>
    <w:tbl>
      <w:tblPr>
        <w:tblLayout w:type="fixed"/>
        <w:tblInd w:w="860" w:type="dxa"/>
        <w:tblCellMar>
          <w:top w:w="0" w:type="dxa"/>
          <w:left w:w="0" w:type="dxa"/>
          <w:bottom w:w="0" w:type="dxa"/>
          <w:right w:w="0" w:type="dxa"/>
        </w:tblCellMar>
      </w:tblPr>
      <w:tr>
        <w:trPr>
          <w:trHeight w:val="186"/>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 of each class</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Trading Symbol(s)</w:t>
            </w:r>
          </w:p>
        </w:tc>
        <w:tc>
          <w:tcPr>
            <w:tcW w:w="120" w:type="dxa"/>
            <w:vAlign w:val="bottom"/>
          </w:tcPr>
          <w:p>
            <w:pPr>
              <w:spacing w:after="0"/>
              <w:rPr>
                <w:sz w:val="16"/>
                <w:szCs w:val="16"/>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80"/>
        </w:trPr>
        <w:tc>
          <w:tcPr>
            <w:tcW w:w="3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Common Stock, par value $0.001 per share</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AVO</w:t>
            </w: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8"/>
              </w:rPr>
              <w:t>NASDAQ Global Select Market</w:t>
            </w:r>
          </w:p>
        </w:tc>
      </w:tr>
    </w:tbl>
    <w:p>
      <w:pPr>
        <w:spacing w:after="0" w:line="200" w:lineRule="exact"/>
        <w:rPr>
          <w:sz w:val="24"/>
          <w:szCs w:val="24"/>
          <w:color w:val="auto"/>
        </w:rPr>
      </w:pPr>
    </w:p>
    <w:p>
      <w:pPr>
        <w:spacing w:after="0" w:line="231" w:lineRule="exact"/>
        <w:rPr>
          <w:sz w:val="24"/>
          <w:szCs w:val="24"/>
          <w:color w:val="auto"/>
        </w:rPr>
      </w:pPr>
    </w:p>
    <w:p>
      <w:pPr>
        <w:ind w:right="40" w:firstLine="421"/>
        <w:spacing w:after="0" w:line="143"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4" w:lineRule="exact"/>
        <w:rPr>
          <w:sz w:val="24"/>
          <w:szCs w:val="24"/>
          <w:color w:val="auto"/>
        </w:rPr>
      </w:pPr>
    </w:p>
    <w:p>
      <w:pPr>
        <w:ind w:right="20" w:firstLine="421"/>
        <w:spacing w:after="0" w:line="143"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4" w:lineRule="exact"/>
        <w:rPr>
          <w:sz w:val="24"/>
          <w:szCs w:val="24"/>
          <w:color w:val="auto"/>
        </w:rPr>
      </w:pPr>
    </w:p>
    <w:p>
      <w:pPr>
        <w:ind w:right="120" w:firstLine="421"/>
        <w:spacing w:after="0" w:line="23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4" w:lineRule="exact"/>
        <w:rPr>
          <w:sz w:val="24"/>
          <w:szCs w:val="24"/>
          <w:color w:val="auto"/>
        </w:rPr>
      </w:pPr>
    </w:p>
    <w:tbl>
      <w:tblPr>
        <w:tblLayout w:type="fixed"/>
        <w:tblInd w:w="640" w:type="dxa"/>
        <w:tblCellMar>
          <w:top w:w="0" w:type="dxa"/>
          <w:left w:w="0" w:type="dxa"/>
          <w:bottom w:w="0" w:type="dxa"/>
          <w:right w:w="0" w:type="dxa"/>
        </w:tblCellMar>
      </w:tblPr>
      <w:tr>
        <w:trPr>
          <w:trHeight w:val="168"/>
        </w:trPr>
        <w:tc>
          <w:tcPr>
            <w:tcW w:w="178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920" w:type="dxa"/>
            <w:vAlign w:val="bottom"/>
          </w:tcPr>
          <w:p>
            <w:pPr>
              <w:ind w:left="340"/>
              <w:spacing w:after="0" w:line="121" w:lineRule="exact"/>
              <w:rPr>
                <w:sz w:val="20"/>
                <w:szCs w:val="20"/>
                <w:color w:val="auto"/>
              </w:rPr>
            </w:pPr>
            <w:r>
              <w:rPr>
                <w:rFonts w:ascii="MS PGothic" w:cs="MS PGothic" w:eastAsia="MS PGothic" w:hAnsi="MS PGothic"/>
                <w:sz w:val="12"/>
                <w:szCs w:val="12"/>
                <w:color w:val="auto"/>
              </w:rPr>
              <w:t>☒</w:t>
            </w:r>
          </w:p>
        </w:tc>
        <w:tc>
          <w:tcPr>
            <w:tcW w:w="4260" w:type="dxa"/>
            <w:vAlign w:val="bottom"/>
          </w:tcPr>
          <w:p>
            <w:pPr>
              <w:ind w:left="2480"/>
              <w:spacing w:after="0"/>
              <w:rPr>
                <w:sz w:val="20"/>
                <w:szCs w:val="20"/>
                <w:color w:val="auto"/>
              </w:rPr>
            </w:pPr>
            <w:r>
              <w:rPr>
                <w:rFonts w:ascii="Arial" w:cs="Arial" w:eastAsia="Arial" w:hAnsi="Arial"/>
                <w:sz w:val="12"/>
                <w:szCs w:val="12"/>
                <w:color w:val="auto"/>
              </w:rPr>
              <w:t>Accelerated filer</w:t>
            </w:r>
          </w:p>
        </w:tc>
        <w:tc>
          <w:tcPr>
            <w:tcW w:w="460" w:type="dxa"/>
            <w:vAlign w:val="bottom"/>
          </w:tcPr>
          <w:p>
            <w:pPr>
              <w:ind w:left="3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68"/>
        </w:trPr>
        <w:tc>
          <w:tcPr>
            <w:tcW w:w="1780" w:type="dxa"/>
            <w:vAlign w:val="bottom"/>
          </w:tcPr>
          <w:p>
            <w:pPr>
              <w:spacing w:after="0"/>
              <w:rPr>
                <w:sz w:val="20"/>
                <w:szCs w:val="20"/>
                <w:color w:val="auto"/>
              </w:rPr>
            </w:pPr>
            <w:r>
              <w:rPr>
                <w:rFonts w:ascii="Arial" w:cs="Arial" w:eastAsia="Arial" w:hAnsi="Arial"/>
                <w:sz w:val="12"/>
                <w:szCs w:val="12"/>
                <w:color w:val="auto"/>
              </w:rPr>
              <w:t>Non-accelerated filer</w:t>
            </w:r>
          </w:p>
        </w:tc>
        <w:tc>
          <w:tcPr>
            <w:tcW w:w="2920" w:type="dxa"/>
            <w:vAlign w:val="bottom"/>
          </w:tcPr>
          <w:p>
            <w:pPr>
              <w:ind w:left="340"/>
              <w:spacing w:after="0" w:line="121" w:lineRule="exact"/>
              <w:rPr>
                <w:sz w:val="20"/>
                <w:szCs w:val="20"/>
                <w:color w:val="auto"/>
              </w:rPr>
            </w:pPr>
            <w:r>
              <w:rPr>
                <w:rFonts w:ascii="MS PGothic" w:cs="MS PGothic" w:eastAsia="MS PGothic" w:hAnsi="MS PGothic"/>
                <w:sz w:val="12"/>
                <w:szCs w:val="12"/>
                <w:color w:val="auto"/>
              </w:rPr>
              <w:t>☐</w:t>
            </w:r>
          </w:p>
        </w:tc>
        <w:tc>
          <w:tcPr>
            <w:tcW w:w="4260" w:type="dxa"/>
            <w:vAlign w:val="bottom"/>
          </w:tcPr>
          <w:p>
            <w:pPr>
              <w:ind w:left="2480"/>
              <w:spacing w:after="0"/>
              <w:rPr>
                <w:sz w:val="20"/>
                <w:szCs w:val="20"/>
                <w:color w:val="auto"/>
              </w:rPr>
            </w:pPr>
            <w:r>
              <w:rPr>
                <w:rFonts w:ascii="Arial" w:cs="Arial" w:eastAsia="Arial" w:hAnsi="Arial"/>
                <w:sz w:val="12"/>
                <w:szCs w:val="12"/>
                <w:color w:val="auto"/>
              </w:rPr>
              <w:t>Smaller reporting company</w:t>
            </w:r>
          </w:p>
        </w:tc>
        <w:tc>
          <w:tcPr>
            <w:tcW w:w="460" w:type="dxa"/>
            <w:vAlign w:val="bottom"/>
          </w:tcPr>
          <w:p>
            <w:pPr>
              <w:ind w:left="34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88"/>
        </w:trPr>
        <w:tc>
          <w:tcPr>
            <w:tcW w:w="178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2920" w:type="dxa"/>
            <w:vAlign w:val="bottom"/>
          </w:tcPr>
          <w:p>
            <w:pPr>
              <w:ind w:left="340"/>
              <w:spacing w:after="0" w:line="121" w:lineRule="exact"/>
              <w:rPr>
                <w:sz w:val="20"/>
                <w:szCs w:val="20"/>
                <w:color w:val="auto"/>
              </w:rPr>
            </w:pPr>
            <w:r>
              <w:rPr>
                <w:rFonts w:ascii="MS PGothic" w:cs="MS PGothic" w:eastAsia="MS PGothic" w:hAnsi="MS PGothic"/>
                <w:sz w:val="12"/>
                <w:szCs w:val="12"/>
                <w:color w:val="auto"/>
              </w:rPr>
              <w:t>☐</w:t>
            </w:r>
          </w:p>
        </w:tc>
        <w:tc>
          <w:tcPr>
            <w:tcW w:w="4260" w:type="dxa"/>
            <w:vAlign w:val="bottom"/>
          </w:tcPr>
          <w:p>
            <w:pPr>
              <w:spacing w:after="0"/>
              <w:rPr>
                <w:sz w:val="16"/>
                <w:szCs w:val="16"/>
                <w:color w:val="auto"/>
              </w:rPr>
            </w:pPr>
          </w:p>
        </w:tc>
        <w:tc>
          <w:tcPr>
            <w:tcW w:w="460" w:type="dxa"/>
            <w:vAlign w:val="bottom"/>
          </w:tcPr>
          <w:p>
            <w:pPr>
              <w:spacing w:after="0"/>
              <w:rPr>
                <w:sz w:val="16"/>
                <w:szCs w:val="16"/>
                <w:color w:val="auto"/>
              </w:rPr>
            </w:pPr>
          </w:p>
        </w:tc>
      </w:tr>
    </w:tbl>
    <w:p>
      <w:pPr>
        <w:spacing w:after="0" w:line="320" w:lineRule="exact"/>
        <w:rPr>
          <w:sz w:val="24"/>
          <w:szCs w:val="24"/>
          <w:color w:val="auto"/>
        </w:rPr>
      </w:pPr>
    </w:p>
    <w:p>
      <w:pPr>
        <w:ind w:firstLine="421"/>
        <w:spacing w:after="0" w:line="14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ind w:left="420" w:right="4520"/>
        <w:spacing w:after="0" w:line="16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March 1, 2023, the registrant had 70,733,090 shares of common stock at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725805</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386715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4"/>
          <w:szCs w:val="24"/>
          <w:b w:val="1"/>
          <w:bCs w:val="1"/>
          <w:color w:val="auto"/>
        </w:rPr>
        <w:t>MISSION PRODUCE, INC.</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FISCAL FIRST QUARTER 2023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8400" w:type="dxa"/>
            <w:vAlign w:val="bottom"/>
            <w:gridSpan w:val="24"/>
          </w:tcPr>
          <w:p>
            <w:pPr>
              <w:spacing w:after="0"/>
              <w:rPr>
                <w:sz w:val="20"/>
                <w:szCs w:val="20"/>
                <w:color w:val="auto"/>
              </w:rPr>
            </w:pPr>
            <w:r>
              <w:rPr>
                <w:rFonts w:ascii="Arial" w:cs="Arial" w:eastAsia="Arial" w:hAnsi="Arial"/>
                <w:sz w:val="14"/>
                <w:szCs w:val="14"/>
                <w:color w:val="0000FF"/>
              </w:rPr>
              <w:t>PART I- FINANCIAL INFORMATION</w:t>
            </w:r>
          </w:p>
        </w:tc>
        <w:tc>
          <w:tcPr>
            <w:tcW w:w="2060" w:type="dxa"/>
            <w:vAlign w:val="bottom"/>
            <w:gridSpan w:val="2"/>
          </w:tcPr>
          <w:p>
            <w:pPr>
              <w:ind w:left="1980"/>
              <w:spacing w:after="0"/>
              <w:rPr>
                <w:sz w:val="20"/>
                <w:szCs w:val="20"/>
                <w:color w:val="auto"/>
              </w:rPr>
            </w:pPr>
            <w:r>
              <w:rPr>
                <w:rFonts w:ascii="Arial" w:cs="Arial" w:eastAsia="Arial" w:hAnsi="Arial"/>
                <w:sz w:val="10"/>
                <w:szCs w:val="10"/>
                <w:color w:val="0000FF"/>
                <w:w w:val="71"/>
              </w:rPr>
              <w:t>5</w:t>
            </w:r>
          </w:p>
        </w:tc>
        <w:tc>
          <w:tcPr>
            <w:tcW w:w="14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41"/>
        </w:trPr>
        <w:tc>
          <w:tcPr>
            <w:tcW w:w="6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4"/>
                <w:szCs w:val="14"/>
                <w:color w:val="0000FF"/>
                <w:w w:val="93"/>
              </w:rPr>
              <w:t>Item 1.</w:t>
            </w:r>
          </w:p>
        </w:tc>
        <w:tc>
          <w:tcPr>
            <w:tcW w:w="620" w:type="dxa"/>
            <w:vAlign w:val="bottom"/>
            <w:gridSpan w:val="2"/>
          </w:tcPr>
          <w:p>
            <w:pPr>
              <w:spacing w:after="0"/>
              <w:rPr>
                <w:sz w:val="24"/>
                <w:szCs w:val="24"/>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Financial Statements</w:t>
            </w:r>
          </w:p>
        </w:tc>
        <w:tc>
          <w:tcPr>
            <w:tcW w:w="2060" w:type="dxa"/>
            <w:vAlign w:val="bottom"/>
            <w:gridSpan w:val="2"/>
          </w:tcPr>
          <w:p>
            <w:pPr>
              <w:ind w:left="1980"/>
              <w:spacing w:after="0"/>
              <w:rPr>
                <w:sz w:val="20"/>
                <w:szCs w:val="20"/>
                <w:color w:val="auto"/>
              </w:rPr>
            </w:pPr>
            <w:r>
              <w:rPr>
                <w:rFonts w:ascii="Arial" w:cs="Arial" w:eastAsia="Arial" w:hAnsi="Arial"/>
                <w:sz w:val="10"/>
                <w:szCs w:val="10"/>
                <w:color w:val="0000FF"/>
                <w:w w:val="71"/>
              </w:rPr>
              <w:t>5</w:t>
            </w:r>
          </w:p>
        </w:tc>
        <w:tc>
          <w:tcPr>
            <w:tcW w:w="1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Condensed Consolidated Balance Sheets (Unaudited)</w:t>
            </w:r>
          </w:p>
        </w:tc>
        <w:tc>
          <w:tcPr>
            <w:tcW w:w="2060" w:type="dxa"/>
            <w:vAlign w:val="bottom"/>
            <w:gridSpan w:val="2"/>
          </w:tcPr>
          <w:p>
            <w:pPr>
              <w:ind w:left="1980"/>
              <w:spacing w:after="0"/>
              <w:rPr>
                <w:sz w:val="20"/>
                <w:szCs w:val="20"/>
                <w:color w:val="auto"/>
              </w:rPr>
            </w:pPr>
            <w:r>
              <w:rPr>
                <w:rFonts w:ascii="Arial" w:cs="Arial" w:eastAsia="Arial" w:hAnsi="Arial"/>
                <w:sz w:val="10"/>
                <w:szCs w:val="10"/>
                <w:color w:val="0000FF"/>
                <w:w w:val="71"/>
              </w:rPr>
              <w:t>5</w:t>
            </w:r>
          </w:p>
        </w:tc>
        <w:tc>
          <w:tcPr>
            <w:tcW w:w="1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 xml:space="preserve">Condensed Consolidated Statements of </w:t>
            </w:r>
            <w:r>
              <w:rPr>
                <w:rFonts w:ascii="Arial" w:cs="Arial" w:eastAsia="Arial" w:hAnsi="Arial"/>
                <w:sz w:val="14"/>
                <w:szCs w:val="14"/>
                <w:color w:val="3051F2"/>
              </w:rPr>
              <w:t>Loss (Unaudited)</w:t>
            </w:r>
          </w:p>
        </w:tc>
        <w:tc>
          <w:tcPr>
            <w:tcW w:w="2060" w:type="dxa"/>
            <w:vAlign w:val="bottom"/>
            <w:gridSpan w:val="2"/>
          </w:tcPr>
          <w:p>
            <w:pPr>
              <w:ind w:left="1980"/>
              <w:spacing w:after="0"/>
              <w:rPr>
                <w:sz w:val="20"/>
                <w:szCs w:val="20"/>
                <w:color w:val="auto"/>
              </w:rPr>
            </w:pPr>
            <w:r>
              <w:rPr>
                <w:rFonts w:ascii="Arial" w:cs="Arial" w:eastAsia="Arial" w:hAnsi="Arial"/>
                <w:sz w:val="10"/>
                <w:szCs w:val="10"/>
                <w:color w:val="0000FF"/>
                <w:w w:val="71"/>
              </w:rPr>
              <w:t>6</w:t>
            </w:r>
          </w:p>
        </w:tc>
        <w:tc>
          <w:tcPr>
            <w:tcW w:w="1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 xml:space="preserve">Condensed Consolidated Statements of </w:t>
            </w:r>
            <w:r>
              <w:rPr>
                <w:rFonts w:ascii="Arial" w:cs="Arial" w:eastAsia="Arial" w:hAnsi="Arial"/>
                <w:sz w:val="14"/>
                <w:szCs w:val="14"/>
                <w:color w:val="3051F2"/>
              </w:rPr>
              <w:t>Comprehensive Loss (Unaudited)</w:t>
            </w:r>
          </w:p>
        </w:tc>
        <w:tc>
          <w:tcPr>
            <w:tcW w:w="2060" w:type="dxa"/>
            <w:vAlign w:val="bottom"/>
            <w:gridSpan w:val="2"/>
          </w:tcPr>
          <w:p>
            <w:pPr>
              <w:ind w:left="1980"/>
              <w:spacing w:after="0"/>
              <w:rPr>
                <w:sz w:val="20"/>
                <w:szCs w:val="20"/>
                <w:color w:val="auto"/>
              </w:rPr>
            </w:pPr>
            <w:r>
              <w:rPr>
                <w:rFonts w:ascii="Arial" w:cs="Arial" w:eastAsia="Arial" w:hAnsi="Arial"/>
                <w:sz w:val="10"/>
                <w:szCs w:val="10"/>
                <w:color w:val="0000FF"/>
                <w:w w:val="71"/>
              </w:rPr>
              <w:t>7</w:t>
            </w:r>
          </w:p>
        </w:tc>
        <w:tc>
          <w:tcPr>
            <w:tcW w:w="1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gridSpan w:val="3"/>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0" w:type="dxa"/>
            <w:vAlign w:val="bottom"/>
            <w:gridSpan w:val="20"/>
          </w:tcPr>
          <w:p>
            <w:pPr>
              <w:spacing w:after="0"/>
              <w:rPr>
                <w:sz w:val="20"/>
                <w:szCs w:val="20"/>
                <w:color w:val="auto"/>
              </w:rPr>
            </w:pPr>
            <w:r>
              <w:rPr>
                <w:rFonts w:ascii="Arial" w:cs="Arial" w:eastAsia="Arial" w:hAnsi="Arial"/>
                <w:sz w:val="14"/>
                <w:szCs w:val="14"/>
                <w:color w:val="0000FF"/>
              </w:rPr>
              <w:t>Condensed Consolidated Statements of Changes in Equity (Unaudited)</w:t>
            </w:r>
          </w:p>
        </w:tc>
        <w:tc>
          <w:tcPr>
            <w:tcW w:w="1960" w:type="dxa"/>
            <w:vAlign w:val="bottom"/>
          </w:tcPr>
          <w:p>
            <w:pPr>
              <w:spacing w:after="0"/>
              <w:rPr>
                <w:sz w:val="17"/>
                <w:szCs w:val="17"/>
                <w:color w:val="auto"/>
              </w:rPr>
            </w:pPr>
          </w:p>
        </w:tc>
        <w:tc>
          <w:tcPr>
            <w:tcW w:w="2060" w:type="dxa"/>
            <w:vAlign w:val="bottom"/>
            <w:gridSpan w:val="2"/>
          </w:tcPr>
          <w:p>
            <w:pPr>
              <w:ind w:left="1980"/>
              <w:spacing w:after="0"/>
              <w:rPr>
                <w:sz w:val="20"/>
                <w:szCs w:val="20"/>
                <w:color w:val="auto"/>
              </w:rPr>
            </w:pPr>
            <w:r>
              <w:rPr>
                <w:rFonts w:ascii="Arial" w:cs="Arial" w:eastAsia="Arial" w:hAnsi="Arial"/>
                <w:sz w:val="10"/>
                <w:szCs w:val="10"/>
                <w:color w:val="0000FF"/>
                <w:w w:val="71"/>
              </w:rPr>
              <w:t>8</w:t>
            </w:r>
          </w:p>
        </w:tc>
        <w:tc>
          <w:tcPr>
            <w:tcW w:w="1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40" w:type="dxa"/>
            <w:vAlign w:val="bottom"/>
            <w:gridSpan w:val="16"/>
          </w:tcPr>
          <w:p>
            <w:pPr>
              <w:spacing w:after="0"/>
              <w:rPr>
                <w:sz w:val="20"/>
                <w:szCs w:val="20"/>
                <w:color w:val="auto"/>
              </w:rPr>
            </w:pPr>
            <w:r>
              <w:rPr>
                <w:rFonts w:ascii="Arial" w:cs="Arial" w:eastAsia="Arial" w:hAnsi="Arial"/>
                <w:sz w:val="14"/>
                <w:szCs w:val="14"/>
                <w:color w:val="0000FF"/>
                <w:w w:val="97"/>
              </w:rPr>
              <w:t>Condensed Consolidated Statements of Cash Flows (Unaudited)</w:t>
            </w:r>
          </w:p>
        </w:tc>
        <w:tc>
          <w:tcPr>
            <w:tcW w:w="1460" w:type="dxa"/>
            <w:vAlign w:val="bottom"/>
            <w:gridSpan w:val="4"/>
          </w:tcPr>
          <w:p>
            <w:pPr>
              <w:spacing w:after="0"/>
              <w:rPr>
                <w:sz w:val="17"/>
                <w:szCs w:val="17"/>
                <w:color w:val="auto"/>
              </w:rPr>
            </w:pPr>
          </w:p>
        </w:tc>
        <w:tc>
          <w:tcPr>
            <w:tcW w:w="1960" w:type="dxa"/>
            <w:vAlign w:val="bottom"/>
          </w:tcPr>
          <w:p>
            <w:pPr>
              <w:spacing w:after="0"/>
              <w:rPr>
                <w:sz w:val="17"/>
                <w:szCs w:val="17"/>
                <w:color w:val="auto"/>
              </w:rPr>
            </w:pPr>
          </w:p>
        </w:tc>
        <w:tc>
          <w:tcPr>
            <w:tcW w:w="2060" w:type="dxa"/>
            <w:vAlign w:val="bottom"/>
            <w:gridSpan w:val="2"/>
          </w:tcPr>
          <w:p>
            <w:pPr>
              <w:ind w:left="1980"/>
              <w:spacing w:after="0"/>
              <w:rPr>
                <w:sz w:val="20"/>
                <w:szCs w:val="20"/>
                <w:color w:val="auto"/>
              </w:rPr>
            </w:pPr>
            <w:r>
              <w:rPr>
                <w:rFonts w:ascii="Arial" w:cs="Arial" w:eastAsia="Arial" w:hAnsi="Arial"/>
                <w:sz w:val="10"/>
                <w:szCs w:val="10"/>
                <w:color w:val="0000FF"/>
                <w:w w:val="71"/>
              </w:rPr>
              <w:t>9</w:t>
            </w:r>
          </w:p>
        </w:tc>
        <w:tc>
          <w:tcPr>
            <w:tcW w:w="14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Notes to Unaudited Condensed Consolidated Financial Statements</w:t>
            </w:r>
          </w:p>
        </w:tc>
        <w:tc>
          <w:tcPr>
            <w:tcW w:w="2200" w:type="dxa"/>
            <w:vAlign w:val="bottom"/>
            <w:gridSpan w:val="3"/>
          </w:tcPr>
          <w:p>
            <w:pPr>
              <w:ind w:left="1980"/>
              <w:spacing w:after="0"/>
              <w:rPr>
                <w:sz w:val="20"/>
                <w:szCs w:val="20"/>
                <w:color w:val="auto"/>
              </w:rPr>
            </w:pPr>
            <w:r>
              <w:rPr>
                <w:rFonts w:ascii="Arial" w:cs="Arial" w:eastAsia="Arial" w:hAnsi="Arial"/>
                <w:sz w:val="14"/>
                <w:szCs w:val="14"/>
                <w:color w:val="0000FF"/>
              </w:rPr>
              <w:t>11</w:t>
            </w:r>
          </w:p>
        </w:tc>
      </w:tr>
      <w:tr>
        <w:trPr>
          <w:trHeight w:val="20"/>
        </w:trPr>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4"/>
                <w:szCs w:val="14"/>
                <w:color w:val="0000FF"/>
                <w:w w:val="93"/>
              </w:rPr>
              <w:t>Item 2.</w:t>
            </w:r>
          </w:p>
        </w:tc>
        <w:tc>
          <w:tcPr>
            <w:tcW w:w="620" w:type="dxa"/>
            <w:vAlign w:val="bottom"/>
            <w:gridSpan w:val="2"/>
          </w:tcPr>
          <w:p>
            <w:pPr>
              <w:spacing w:after="0"/>
              <w:rPr>
                <w:sz w:val="17"/>
                <w:szCs w:val="17"/>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2200" w:type="dxa"/>
            <w:vAlign w:val="bottom"/>
            <w:gridSpan w:val="3"/>
          </w:tcPr>
          <w:p>
            <w:pPr>
              <w:ind w:left="1980"/>
              <w:spacing w:after="0"/>
              <w:rPr>
                <w:sz w:val="20"/>
                <w:szCs w:val="20"/>
                <w:color w:val="auto"/>
              </w:rPr>
            </w:pPr>
            <w:r>
              <w:rPr>
                <w:rFonts w:ascii="Arial" w:cs="Arial" w:eastAsia="Arial" w:hAnsi="Arial"/>
                <w:sz w:val="14"/>
                <w:szCs w:val="14"/>
                <w:color w:val="0000FF"/>
              </w:rPr>
              <w:t>20</w:t>
            </w: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4"/>
                <w:szCs w:val="14"/>
                <w:color w:val="0000FF"/>
                <w:w w:val="93"/>
              </w:rPr>
              <w:t>Item 3.</w:t>
            </w:r>
          </w:p>
        </w:tc>
        <w:tc>
          <w:tcPr>
            <w:tcW w:w="620" w:type="dxa"/>
            <w:vAlign w:val="bottom"/>
            <w:gridSpan w:val="2"/>
          </w:tcPr>
          <w:p>
            <w:pPr>
              <w:spacing w:after="0"/>
              <w:rPr>
                <w:sz w:val="17"/>
                <w:szCs w:val="17"/>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2200" w:type="dxa"/>
            <w:vAlign w:val="bottom"/>
            <w:gridSpan w:val="3"/>
          </w:tcPr>
          <w:p>
            <w:pPr>
              <w:ind w:left="1980"/>
              <w:spacing w:after="0"/>
              <w:rPr>
                <w:sz w:val="20"/>
                <w:szCs w:val="20"/>
                <w:color w:val="auto"/>
              </w:rPr>
            </w:pPr>
            <w:r>
              <w:rPr>
                <w:rFonts w:ascii="Arial" w:cs="Arial" w:eastAsia="Arial" w:hAnsi="Arial"/>
                <w:sz w:val="14"/>
                <w:szCs w:val="14"/>
                <w:color w:val="0000FF"/>
              </w:rPr>
              <w:t>28</w:t>
            </w: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4"/>
                <w:szCs w:val="14"/>
                <w:color w:val="0000FF"/>
                <w:w w:val="93"/>
              </w:rPr>
              <w:t>Item 4.</w:t>
            </w:r>
          </w:p>
        </w:tc>
        <w:tc>
          <w:tcPr>
            <w:tcW w:w="620" w:type="dxa"/>
            <w:vAlign w:val="bottom"/>
            <w:gridSpan w:val="2"/>
          </w:tcPr>
          <w:p>
            <w:pPr>
              <w:spacing w:after="0"/>
              <w:rPr>
                <w:sz w:val="17"/>
                <w:szCs w:val="17"/>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Controls and Procedures</w:t>
            </w:r>
          </w:p>
        </w:tc>
        <w:tc>
          <w:tcPr>
            <w:tcW w:w="2200" w:type="dxa"/>
            <w:vAlign w:val="bottom"/>
            <w:gridSpan w:val="3"/>
          </w:tcPr>
          <w:p>
            <w:pPr>
              <w:ind w:left="1980"/>
              <w:spacing w:after="0"/>
              <w:rPr>
                <w:sz w:val="20"/>
                <w:szCs w:val="20"/>
                <w:color w:val="auto"/>
              </w:rPr>
            </w:pPr>
            <w:r>
              <w:rPr>
                <w:rFonts w:ascii="Arial" w:cs="Arial" w:eastAsia="Arial" w:hAnsi="Arial"/>
                <w:sz w:val="14"/>
                <w:szCs w:val="14"/>
                <w:color w:val="0000FF"/>
              </w:rPr>
              <w:t>28</w:t>
            </w: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457"/>
        </w:trPr>
        <w:tc>
          <w:tcPr>
            <w:tcW w:w="640" w:type="dxa"/>
            <w:vAlign w:val="bottom"/>
          </w:tcPr>
          <w:p>
            <w:pPr>
              <w:spacing w:after="0"/>
              <w:rPr>
                <w:sz w:val="24"/>
                <w:szCs w:val="24"/>
                <w:color w:val="auto"/>
              </w:rPr>
            </w:pPr>
          </w:p>
        </w:tc>
        <w:tc>
          <w:tcPr>
            <w:tcW w:w="8400" w:type="dxa"/>
            <w:vAlign w:val="bottom"/>
            <w:gridSpan w:val="24"/>
          </w:tcPr>
          <w:p>
            <w:pPr>
              <w:spacing w:after="0"/>
              <w:rPr>
                <w:sz w:val="20"/>
                <w:szCs w:val="20"/>
                <w:color w:val="auto"/>
              </w:rPr>
            </w:pPr>
            <w:r>
              <w:rPr>
                <w:rFonts w:ascii="Arial" w:cs="Arial" w:eastAsia="Arial" w:hAnsi="Arial"/>
                <w:sz w:val="14"/>
                <w:szCs w:val="14"/>
                <w:color w:val="0000FF"/>
              </w:rPr>
              <w:t>PART II- OTHER INFORMATION</w:t>
            </w:r>
          </w:p>
        </w:tc>
        <w:tc>
          <w:tcPr>
            <w:tcW w:w="2200" w:type="dxa"/>
            <w:vAlign w:val="bottom"/>
            <w:gridSpan w:val="3"/>
          </w:tcPr>
          <w:p>
            <w:pPr>
              <w:ind w:left="1980"/>
              <w:spacing w:after="0"/>
              <w:rPr>
                <w:sz w:val="20"/>
                <w:szCs w:val="20"/>
                <w:color w:val="auto"/>
              </w:rPr>
            </w:pPr>
            <w:r>
              <w:rPr>
                <w:rFonts w:ascii="Arial" w:cs="Arial" w:eastAsia="Arial" w:hAnsi="Arial"/>
                <w:sz w:val="14"/>
                <w:szCs w:val="14"/>
                <w:color w:val="0000FF"/>
              </w:rPr>
              <w:t>29</w:t>
            </w:r>
          </w:p>
        </w:tc>
      </w:tr>
      <w:tr>
        <w:trPr>
          <w:trHeight w:val="20"/>
        </w:trPr>
        <w:tc>
          <w:tcPr>
            <w:tcW w:w="6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341"/>
        </w:trPr>
        <w:tc>
          <w:tcPr>
            <w:tcW w:w="6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4"/>
                <w:szCs w:val="14"/>
                <w:color w:val="0000FF"/>
                <w:w w:val="93"/>
              </w:rPr>
              <w:t>Item 1.</w:t>
            </w:r>
          </w:p>
        </w:tc>
        <w:tc>
          <w:tcPr>
            <w:tcW w:w="620" w:type="dxa"/>
            <w:vAlign w:val="bottom"/>
            <w:gridSpan w:val="2"/>
          </w:tcPr>
          <w:p>
            <w:pPr>
              <w:spacing w:after="0"/>
              <w:rPr>
                <w:sz w:val="24"/>
                <w:szCs w:val="24"/>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Legal Proceedings</w:t>
            </w:r>
          </w:p>
        </w:tc>
        <w:tc>
          <w:tcPr>
            <w:tcW w:w="2200" w:type="dxa"/>
            <w:vAlign w:val="bottom"/>
            <w:gridSpan w:val="3"/>
          </w:tcPr>
          <w:p>
            <w:pPr>
              <w:ind w:left="1980"/>
              <w:spacing w:after="0"/>
              <w:rPr>
                <w:sz w:val="20"/>
                <w:szCs w:val="20"/>
                <w:color w:val="auto"/>
              </w:rPr>
            </w:pPr>
            <w:r>
              <w:rPr>
                <w:rFonts w:ascii="Arial" w:cs="Arial" w:eastAsia="Arial" w:hAnsi="Arial"/>
                <w:sz w:val="14"/>
                <w:szCs w:val="14"/>
                <w:color w:val="0000FF"/>
              </w:rPr>
              <w:t>29</w:t>
            </w: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Arial" w:cs="Arial" w:eastAsia="Arial" w:hAnsi="Arial"/>
                <w:sz w:val="14"/>
                <w:szCs w:val="14"/>
                <w:color w:val="0000FF"/>
                <w:w w:val="95"/>
              </w:rPr>
              <w:t>Item 1A.</w:t>
            </w:r>
          </w:p>
        </w:tc>
        <w:tc>
          <w:tcPr>
            <w:tcW w:w="520" w:type="dxa"/>
            <w:vAlign w:val="bottom"/>
          </w:tcPr>
          <w:p>
            <w:pPr>
              <w:spacing w:after="0"/>
              <w:rPr>
                <w:sz w:val="17"/>
                <w:szCs w:val="17"/>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Risk Factors</w:t>
            </w:r>
          </w:p>
        </w:tc>
        <w:tc>
          <w:tcPr>
            <w:tcW w:w="2200" w:type="dxa"/>
            <w:vAlign w:val="bottom"/>
            <w:gridSpan w:val="3"/>
          </w:tcPr>
          <w:p>
            <w:pPr>
              <w:ind w:left="1980"/>
              <w:spacing w:after="0"/>
              <w:rPr>
                <w:sz w:val="20"/>
                <w:szCs w:val="20"/>
                <w:color w:val="auto"/>
              </w:rPr>
            </w:pPr>
            <w:r>
              <w:rPr>
                <w:rFonts w:ascii="Arial" w:cs="Arial" w:eastAsia="Arial" w:hAnsi="Arial"/>
                <w:sz w:val="14"/>
                <w:szCs w:val="14"/>
                <w:color w:val="0000FF"/>
              </w:rPr>
              <w:t>29</w:t>
            </w:r>
          </w:p>
        </w:tc>
      </w:tr>
      <w:tr>
        <w:trPr>
          <w:trHeight w:val="20"/>
        </w:trPr>
        <w:tc>
          <w:tcPr>
            <w:tcW w:w="64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4"/>
                <w:szCs w:val="14"/>
                <w:color w:val="0000FF"/>
                <w:w w:val="93"/>
              </w:rPr>
              <w:t>Item 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Unregistered Sales of Equity Securities and Use of Proceeds</w:t>
            </w:r>
          </w:p>
        </w:tc>
        <w:tc>
          <w:tcPr>
            <w:tcW w:w="2200" w:type="dxa"/>
            <w:vAlign w:val="bottom"/>
            <w:gridSpan w:val="3"/>
          </w:tcPr>
          <w:p>
            <w:pPr>
              <w:ind w:left="1980"/>
              <w:spacing w:after="0"/>
              <w:rPr>
                <w:sz w:val="20"/>
                <w:szCs w:val="20"/>
                <w:color w:val="auto"/>
              </w:rPr>
            </w:pPr>
            <w:r>
              <w:rPr>
                <w:rFonts w:ascii="Arial" w:cs="Arial" w:eastAsia="Arial" w:hAnsi="Arial"/>
                <w:sz w:val="14"/>
                <w:szCs w:val="14"/>
                <w:color w:val="0000FF"/>
              </w:rPr>
              <w:t>30</w:t>
            </w: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366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4"/>
                <w:szCs w:val="14"/>
                <w:color w:val="0000FF"/>
                <w:w w:val="93"/>
              </w:rPr>
              <w:t>Item 3.</w:t>
            </w:r>
          </w:p>
        </w:tc>
        <w:tc>
          <w:tcPr>
            <w:tcW w:w="620" w:type="dxa"/>
            <w:vAlign w:val="bottom"/>
            <w:gridSpan w:val="2"/>
          </w:tcPr>
          <w:p>
            <w:pPr>
              <w:spacing w:after="0"/>
              <w:rPr>
                <w:sz w:val="17"/>
                <w:szCs w:val="17"/>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Defaults Upon Senior Securities</w:t>
            </w:r>
          </w:p>
        </w:tc>
        <w:tc>
          <w:tcPr>
            <w:tcW w:w="2200" w:type="dxa"/>
            <w:vAlign w:val="bottom"/>
            <w:gridSpan w:val="3"/>
          </w:tcPr>
          <w:p>
            <w:pPr>
              <w:ind w:left="1980"/>
              <w:spacing w:after="0"/>
              <w:rPr>
                <w:sz w:val="20"/>
                <w:szCs w:val="20"/>
                <w:color w:val="auto"/>
              </w:rPr>
            </w:pPr>
            <w:r>
              <w:rPr>
                <w:rFonts w:ascii="Arial" w:cs="Arial" w:eastAsia="Arial" w:hAnsi="Arial"/>
                <w:sz w:val="14"/>
                <w:szCs w:val="14"/>
                <w:color w:val="0000FF"/>
              </w:rPr>
              <w:t>30</w:t>
            </w: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5420" w:type="dxa"/>
            <w:vAlign w:val="bottom"/>
            <w:gridSpan w:val="11"/>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4"/>
                <w:szCs w:val="14"/>
                <w:color w:val="0000FF"/>
                <w:w w:val="93"/>
              </w:rPr>
              <w:t>Item 4.</w:t>
            </w:r>
          </w:p>
        </w:tc>
        <w:tc>
          <w:tcPr>
            <w:tcW w:w="620" w:type="dxa"/>
            <w:vAlign w:val="bottom"/>
            <w:gridSpan w:val="2"/>
          </w:tcPr>
          <w:p>
            <w:pPr>
              <w:spacing w:after="0"/>
              <w:rPr>
                <w:sz w:val="17"/>
                <w:szCs w:val="17"/>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Mine Safety Disclosures</w:t>
            </w:r>
          </w:p>
        </w:tc>
        <w:tc>
          <w:tcPr>
            <w:tcW w:w="2200" w:type="dxa"/>
            <w:vAlign w:val="bottom"/>
            <w:gridSpan w:val="3"/>
          </w:tcPr>
          <w:p>
            <w:pPr>
              <w:ind w:left="1980"/>
              <w:spacing w:after="0"/>
              <w:rPr>
                <w:sz w:val="20"/>
                <w:szCs w:val="20"/>
                <w:color w:val="auto"/>
              </w:rPr>
            </w:pPr>
            <w:r>
              <w:rPr>
                <w:rFonts w:ascii="Arial" w:cs="Arial" w:eastAsia="Arial" w:hAnsi="Arial"/>
                <w:sz w:val="14"/>
                <w:szCs w:val="14"/>
                <w:color w:val="0000FF"/>
              </w:rPr>
              <w:t>30</w:t>
            </w: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5900" w:type="dxa"/>
            <w:vAlign w:val="bottom"/>
            <w:gridSpan w:val="1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4"/>
                <w:szCs w:val="14"/>
                <w:color w:val="0000FF"/>
                <w:w w:val="93"/>
              </w:rPr>
              <w:t>Item 5.</w:t>
            </w:r>
          </w:p>
        </w:tc>
        <w:tc>
          <w:tcPr>
            <w:tcW w:w="620" w:type="dxa"/>
            <w:vAlign w:val="bottom"/>
            <w:gridSpan w:val="2"/>
          </w:tcPr>
          <w:p>
            <w:pPr>
              <w:spacing w:after="0"/>
              <w:rPr>
                <w:sz w:val="17"/>
                <w:szCs w:val="17"/>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Other Information</w:t>
            </w:r>
          </w:p>
        </w:tc>
        <w:tc>
          <w:tcPr>
            <w:tcW w:w="2200" w:type="dxa"/>
            <w:vAlign w:val="bottom"/>
            <w:gridSpan w:val="3"/>
          </w:tcPr>
          <w:p>
            <w:pPr>
              <w:ind w:left="1980"/>
              <w:spacing w:after="0"/>
              <w:rPr>
                <w:sz w:val="20"/>
                <w:szCs w:val="20"/>
                <w:color w:val="auto"/>
              </w:rPr>
            </w:pPr>
            <w:r>
              <w:rPr>
                <w:rFonts w:ascii="Arial" w:cs="Arial" w:eastAsia="Arial" w:hAnsi="Arial"/>
                <w:sz w:val="14"/>
                <w:szCs w:val="14"/>
                <w:color w:val="0000FF"/>
              </w:rPr>
              <w:t>30</w:t>
            </w: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300" w:type="dxa"/>
            <w:vAlign w:val="bottom"/>
            <w:gridSpan w:val="1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199"/>
        </w:trPr>
        <w:tc>
          <w:tcPr>
            <w:tcW w:w="64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4"/>
                <w:szCs w:val="14"/>
                <w:color w:val="0000FF"/>
                <w:w w:val="93"/>
              </w:rPr>
              <w:t>Item 6.</w:t>
            </w:r>
          </w:p>
        </w:tc>
        <w:tc>
          <w:tcPr>
            <w:tcW w:w="620" w:type="dxa"/>
            <w:vAlign w:val="bottom"/>
            <w:gridSpan w:val="2"/>
          </w:tcPr>
          <w:p>
            <w:pPr>
              <w:spacing w:after="0"/>
              <w:rPr>
                <w:sz w:val="17"/>
                <w:szCs w:val="17"/>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Exhibits</w:t>
            </w:r>
          </w:p>
        </w:tc>
        <w:tc>
          <w:tcPr>
            <w:tcW w:w="2200" w:type="dxa"/>
            <w:vAlign w:val="bottom"/>
            <w:gridSpan w:val="3"/>
          </w:tcPr>
          <w:p>
            <w:pPr>
              <w:ind w:left="1980"/>
              <w:spacing w:after="0"/>
              <w:rPr>
                <w:sz w:val="20"/>
                <w:szCs w:val="20"/>
                <w:color w:val="auto"/>
              </w:rPr>
            </w:pPr>
            <w:r>
              <w:rPr>
                <w:rFonts w:ascii="Arial" w:cs="Arial" w:eastAsia="Arial" w:hAnsi="Arial"/>
                <w:sz w:val="14"/>
                <w:szCs w:val="14"/>
                <w:color w:val="0000FF"/>
              </w:rPr>
              <w:t>30</w:t>
            </w:r>
          </w:p>
        </w:tc>
      </w:tr>
      <w:tr>
        <w:trPr>
          <w:trHeight w:val="20"/>
        </w:trPr>
        <w:tc>
          <w:tcPr>
            <w:tcW w:w="6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720" w:type="dxa"/>
            <w:vAlign w:val="bottom"/>
            <w:gridSpan w:val="18"/>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405"/>
        </w:trPr>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360" w:type="dxa"/>
            <w:vAlign w:val="bottom"/>
            <w:gridSpan w:val="21"/>
          </w:tcPr>
          <w:p>
            <w:pPr>
              <w:spacing w:after="0"/>
              <w:rPr>
                <w:sz w:val="20"/>
                <w:szCs w:val="20"/>
                <w:color w:val="auto"/>
              </w:rPr>
            </w:pPr>
            <w:r>
              <w:rPr>
                <w:rFonts w:ascii="Arial" w:cs="Arial" w:eastAsia="Arial" w:hAnsi="Arial"/>
                <w:sz w:val="14"/>
                <w:szCs w:val="14"/>
                <w:color w:val="0000FF"/>
              </w:rPr>
              <w:t>Signatures</w:t>
            </w:r>
          </w:p>
        </w:tc>
        <w:tc>
          <w:tcPr>
            <w:tcW w:w="2200" w:type="dxa"/>
            <w:vAlign w:val="bottom"/>
            <w:gridSpan w:val="3"/>
          </w:tcPr>
          <w:p>
            <w:pPr>
              <w:ind w:left="1980"/>
              <w:spacing w:after="0"/>
              <w:rPr>
                <w:sz w:val="20"/>
                <w:szCs w:val="20"/>
                <w:color w:val="auto"/>
              </w:rPr>
            </w:pPr>
            <w:r>
              <w:rPr>
                <w:rFonts w:ascii="Arial" w:cs="Arial" w:eastAsia="Arial" w:hAnsi="Arial"/>
                <w:sz w:val="14"/>
                <w:szCs w:val="14"/>
                <w:color w:val="0000FF"/>
              </w:rPr>
              <w:t>31</w:t>
            </w:r>
          </w:p>
        </w:tc>
      </w:tr>
      <w:tr>
        <w:trPr>
          <w:trHeight w:val="1468"/>
        </w:trPr>
        <w:tc>
          <w:tcPr>
            <w:tcW w:w="6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FORWARD LOOKING STATEMENTS</w:t>
      </w:r>
    </w:p>
    <w:p>
      <w:pPr>
        <w:spacing w:after="0" w:line="252" w:lineRule="exact"/>
        <w:rPr>
          <w:sz w:val="20"/>
          <w:szCs w:val="20"/>
          <w:color w:val="auto"/>
        </w:rPr>
      </w:pPr>
    </w:p>
    <w:p>
      <w:pPr>
        <w:ind w:right="40" w:firstLine="619"/>
        <w:spacing w:after="0" w:line="244" w:lineRule="auto"/>
        <w:rPr>
          <w:sz w:val="20"/>
          <w:szCs w:val="20"/>
          <w:color w:val="auto"/>
        </w:rPr>
      </w:pPr>
      <w:r>
        <w:rPr>
          <w:rFonts w:ascii="Arial" w:cs="Arial" w:eastAsia="Arial" w:hAnsi="Arial"/>
          <w:sz w:val="14"/>
          <w:szCs w:val="14"/>
          <w:color w:val="auto"/>
        </w:rPr>
        <w:t>This quarterly report on Form 10-Q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208" w:lineRule="exact"/>
        <w:rPr>
          <w:sz w:val="20"/>
          <w:szCs w:val="20"/>
          <w:color w:val="auto"/>
        </w:rPr>
      </w:pPr>
    </w:p>
    <w:p>
      <w:pPr>
        <w:ind w:left="620" w:right="20" w:hanging="307"/>
        <w:spacing w:after="0" w:line="248" w:lineRule="auto"/>
        <w:tabs>
          <w:tab w:leader="none" w:pos="591"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business, including: limitations regarding the supply of avocados, either through purchasing or growing; fluctuations in the market price of avocados; increasing competition; risks associated with doing business internationally, including Mexican and Peruvian economic, political and/or societal conditions; inflationary pressures;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seasonality in operating results; failures associated with information technology infrastructure, system security and cyber risks; new and changing privacy laws and our compliance with such laws; food safety events and recalls; failure to comply with laws and regulations, including those promulgated by the USDA and FDA, health and safety laws, environmental laws, and other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and risks associated with the ongoing conflict in Russia and Ukraine.</w:t>
      </w:r>
    </w:p>
    <w:p>
      <w:pPr>
        <w:spacing w:after="0" w:line="191" w:lineRule="exact"/>
        <w:rPr>
          <w:rFonts w:ascii="Arial" w:cs="Arial" w:eastAsia="Arial" w:hAnsi="Arial"/>
          <w:sz w:val="14"/>
          <w:szCs w:val="14"/>
          <w:color w:val="auto"/>
        </w:rPr>
      </w:pPr>
    </w:p>
    <w:p>
      <w:pPr>
        <w:ind w:left="620" w:right="80" w:hanging="307"/>
        <w:spacing w:after="0" w:line="251" w:lineRule="auto"/>
        <w:tabs>
          <w:tab w:leader="none" w:pos="591"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our common stock, including: the viability of an active, liquid, and orderly market for our common stock; volatility in the trading price of our common stock; concentration of control in our executive officers, directors and principal stockholders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w:t>
      </w:r>
    </w:p>
    <w:p>
      <w:pPr>
        <w:spacing w:after="0" w:line="189" w:lineRule="exact"/>
        <w:rPr>
          <w:rFonts w:ascii="Arial" w:cs="Arial" w:eastAsia="Arial" w:hAnsi="Arial"/>
          <w:sz w:val="14"/>
          <w:szCs w:val="14"/>
          <w:color w:val="auto"/>
        </w:rPr>
      </w:pPr>
    </w:p>
    <w:p>
      <w:pPr>
        <w:ind w:left="620" w:right="100" w:hanging="307"/>
        <w:spacing w:after="0" w:line="254" w:lineRule="auto"/>
        <w:tabs>
          <w:tab w:leader="none" w:pos="591"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w:t>
      </w:r>
    </w:p>
    <w:p>
      <w:pPr>
        <w:spacing w:after="0" w:line="200" w:lineRule="exact"/>
        <w:rPr>
          <w:rFonts w:ascii="Arial" w:cs="Arial" w:eastAsia="Arial" w:hAnsi="Arial"/>
          <w:sz w:val="14"/>
          <w:szCs w:val="14"/>
          <w:color w:val="auto"/>
        </w:rPr>
      </w:pPr>
    </w:p>
    <w:p>
      <w:pPr>
        <w:ind w:left="600" w:hanging="287"/>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Other risks and factors listed under “Item 1A. Risk Factors” in our most recent Annual Report on Form 10-K for the year ended October 31, 2022 and elsewhere in this report.</w:t>
      </w:r>
    </w:p>
    <w:p>
      <w:pPr>
        <w:spacing w:after="0" w:line="224" w:lineRule="exact"/>
        <w:rPr>
          <w:sz w:val="20"/>
          <w:szCs w:val="20"/>
          <w:color w:val="auto"/>
        </w:rPr>
      </w:pPr>
    </w:p>
    <w:p>
      <w:pPr>
        <w:ind w:right="100" w:firstLine="619"/>
        <w:spacing w:after="0" w:line="247" w:lineRule="auto"/>
        <w:rPr>
          <w:sz w:val="20"/>
          <w:szCs w:val="20"/>
          <w:color w:val="auto"/>
        </w:rPr>
      </w:pPr>
      <w:r>
        <w:rPr>
          <w:rFonts w:ascii="Arial" w:cs="Arial" w:eastAsia="Arial" w:hAnsi="Arial"/>
          <w:sz w:val="14"/>
          <w:szCs w:val="14"/>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in our most recent Annual Report on Form 10-K for the year ended October 31, 2022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4"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0" w:lineRule="exact"/>
        <w:rPr>
          <w:sz w:val="20"/>
          <w:szCs w:val="20"/>
          <w:color w:val="auto"/>
        </w:rPr>
      </w:pPr>
    </w:p>
    <w:p>
      <w:pPr>
        <w:ind w:right="400" w:firstLine="619"/>
        <w:spacing w:after="0" w:line="252" w:lineRule="auto"/>
        <w:rPr>
          <w:sz w:val="20"/>
          <w:szCs w:val="20"/>
          <w:color w:val="auto"/>
        </w:rPr>
      </w:pPr>
      <w:r>
        <w:rPr>
          <w:rFonts w:ascii="Arial" w:cs="Arial" w:eastAsia="Arial" w:hAnsi="Arial"/>
          <w:sz w:val="14"/>
          <w:szCs w:val="14"/>
          <w:color w:val="auto"/>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2" w:lineRule="exact"/>
        <w:rPr>
          <w:sz w:val="20"/>
          <w:szCs w:val="20"/>
          <w:color w:val="auto"/>
        </w:rPr>
      </w:pPr>
    </w:p>
    <w:p>
      <w:pPr>
        <w:ind w:right="520" w:firstLine="619"/>
        <w:spacing w:after="0" w:line="254" w:lineRule="auto"/>
        <w:rPr>
          <w:sz w:val="20"/>
          <w:szCs w:val="20"/>
          <w:color w:val="auto"/>
        </w:rPr>
      </w:pPr>
      <w:r>
        <w:rPr>
          <w:rFonts w:ascii="Arial" w:cs="Arial" w:eastAsia="Arial" w:hAnsi="Arial"/>
          <w:sz w:val="14"/>
          <w:szCs w:val="14"/>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188" w:lineRule="exact"/>
        <w:rPr>
          <w:sz w:val="20"/>
          <w:szCs w:val="20"/>
          <w:color w:val="auto"/>
        </w:rPr>
      </w:pPr>
    </w:p>
    <w:p>
      <w:pPr>
        <w:ind w:firstLine="619"/>
        <w:spacing w:after="0" w:line="251" w:lineRule="auto"/>
        <w:rPr>
          <w:sz w:val="20"/>
          <w:szCs w:val="20"/>
          <w:color w:val="auto"/>
        </w:rPr>
      </w:pPr>
      <w:r>
        <w:rPr>
          <w:rFonts w:ascii="Arial" w:cs="Arial" w:eastAsia="Arial" w:hAnsi="Arial"/>
          <w:sz w:val="14"/>
          <w:szCs w:val="14"/>
          <w:color w:val="auto"/>
        </w:rPr>
        <w:t>This quarterly report may also include trademarks, tradenames and service marks that are the property of the Company and also certain trademarks, tradenames and service marks that are the property of other organizations. Solely for convenience, trademarks and tradenames referred to in this quarterly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ind w:firstLine="619"/>
        <w:spacing w:after="0" w:line="252" w:lineRule="auto"/>
        <w:rPr>
          <w:sz w:val="20"/>
          <w:szCs w:val="20"/>
          <w:color w:val="auto"/>
        </w:rPr>
      </w:pPr>
      <w:r>
        <w:rPr>
          <w:rFonts w:ascii="Arial" w:cs="Arial" w:eastAsia="Arial" w:hAnsi="Arial"/>
          <w:sz w:val="14"/>
          <w:szCs w:val="14"/>
          <w:color w:val="auto"/>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969"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800" w:type="dxa"/>
            <w:vAlign w:val="bottom"/>
          </w:tcPr>
          <w:p>
            <w:pPr>
              <w:spacing w:after="0"/>
              <w:rPr>
                <w:sz w:val="23"/>
                <w:szCs w:val="23"/>
                <w:color w:val="auto"/>
              </w:rPr>
            </w:pPr>
          </w:p>
        </w:tc>
        <w:tc>
          <w:tcPr>
            <w:tcW w:w="6800" w:type="dxa"/>
            <w:vAlign w:val="bottom"/>
          </w:tcPr>
          <w:p>
            <w:pPr>
              <w:jc w:val="center"/>
              <w:ind w:left="2766"/>
              <w:spacing w:after="0"/>
              <w:rPr>
                <w:sz w:val="20"/>
                <w:szCs w:val="20"/>
                <w:color w:val="auto"/>
              </w:rPr>
            </w:pPr>
            <w:r>
              <w:rPr>
                <w:rFonts w:ascii="Arial" w:cs="Arial" w:eastAsia="Arial" w:hAnsi="Arial"/>
                <w:sz w:val="21"/>
                <w:szCs w:val="21"/>
                <w:b w:val="1"/>
                <w:bCs w:val="1"/>
                <w:color w:val="auto"/>
                <w:w w:val="97"/>
              </w:rPr>
              <w:t>PART I- FINANCIAL INFORMATION</w:t>
            </w:r>
          </w:p>
        </w:tc>
        <w:tc>
          <w:tcPr>
            <w:tcW w:w="3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451"/>
        </w:trPr>
        <w:tc>
          <w:tcPr>
            <w:tcW w:w="800" w:type="dxa"/>
            <w:vAlign w:val="bottom"/>
          </w:tcPr>
          <w:p>
            <w:pPr>
              <w:spacing w:after="0"/>
              <w:rPr>
                <w:sz w:val="20"/>
                <w:szCs w:val="20"/>
                <w:color w:val="auto"/>
              </w:rPr>
            </w:pPr>
            <w:r>
              <w:rPr>
                <w:rFonts w:ascii="Arial" w:cs="Arial" w:eastAsia="Arial" w:hAnsi="Arial"/>
                <w:sz w:val="21"/>
                <w:szCs w:val="21"/>
                <w:b w:val="1"/>
                <w:bCs w:val="1"/>
                <w:color w:val="auto"/>
              </w:rPr>
              <w:t>Item 1.</w:t>
            </w:r>
          </w:p>
        </w:tc>
        <w:tc>
          <w:tcPr>
            <w:tcW w:w="6800" w:type="dxa"/>
            <w:vAlign w:val="bottom"/>
          </w:tcPr>
          <w:p>
            <w:pPr>
              <w:ind w:left="320"/>
              <w:spacing w:after="0"/>
              <w:rPr>
                <w:sz w:val="20"/>
                <w:szCs w:val="20"/>
                <w:color w:val="auto"/>
              </w:rPr>
            </w:pPr>
            <w:r>
              <w:rPr>
                <w:rFonts w:ascii="Arial" w:cs="Arial" w:eastAsia="Arial" w:hAnsi="Arial"/>
                <w:sz w:val="21"/>
                <w:szCs w:val="21"/>
                <w:b w:val="1"/>
                <w:bCs w:val="1"/>
                <w:color w:val="auto"/>
              </w:rPr>
              <w:t>Financial Statements</w:t>
            </w: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16"/>
        </w:trPr>
        <w:tc>
          <w:tcPr>
            <w:tcW w:w="800" w:type="dxa"/>
            <w:vAlign w:val="bottom"/>
          </w:tcPr>
          <w:p>
            <w:pPr>
              <w:spacing w:after="0"/>
              <w:rPr>
                <w:sz w:val="24"/>
                <w:szCs w:val="24"/>
                <w:color w:val="auto"/>
              </w:rPr>
            </w:pPr>
          </w:p>
        </w:tc>
        <w:tc>
          <w:tcPr>
            <w:tcW w:w="6800" w:type="dxa"/>
            <w:vAlign w:val="bottom"/>
          </w:tcPr>
          <w:p>
            <w:pPr>
              <w:jc w:val="center"/>
              <w:ind w:left="2766"/>
              <w:spacing w:after="0"/>
              <w:rPr>
                <w:sz w:val="20"/>
                <w:szCs w:val="20"/>
                <w:color w:val="auto"/>
              </w:rPr>
            </w:pPr>
            <w:r>
              <w:rPr>
                <w:rFonts w:ascii="Arial" w:cs="Arial" w:eastAsia="Arial" w:hAnsi="Arial"/>
                <w:sz w:val="19"/>
                <w:szCs w:val="19"/>
                <w:b w:val="1"/>
                <w:bCs w:val="1"/>
                <w:color w:val="auto"/>
                <w:w w:val="99"/>
              </w:rPr>
              <w:t>MISSION PRODUCE, INC.</w:t>
            </w: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84"/>
        </w:trPr>
        <w:tc>
          <w:tcPr>
            <w:tcW w:w="800" w:type="dxa"/>
            <w:vAlign w:val="bottom"/>
          </w:tcPr>
          <w:p>
            <w:pPr>
              <w:spacing w:after="0"/>
              <w:rPr>
                <w:sz w:val="24"/>
                <w:szCs w:val="24"/>
                <w:color w:val="auto"/>
              </w:rPr>
            </w:pPr>
          </w:p>
        </w:tc>
        <w:tc>
          <w:tcPr>
            <w:tcW w:w="8660" w:type="dxa"/>
            <w:vAlign w:val="bottom"/>
            <w:gridSpan w:val="3"/>
          </w:tcPr>
          <w:p>
            <w:pPr>
              <w:jc w:val="center"/>
              <w:ind w:left="906"/>
              <w:spacing w:after="0"/>
              <w:rPr>
                <w:sz w:val="20"/>
                <w:szCs w:val="20"/>
                <w:color w:val="auto"/>
              </w:rPr>
            </w:pPr>
            <w:r>
              <w:rPr>
                <w:rFonts w:ascii="Arial" w:cs="Arial" w:eastAsia="Arial" w:hAnsi="Arial"/>
                <w:sz w:val="19"/>
                <w:szCs w:val="19"/>
                <w:b w:val="1"/>
                <w:bCs w:val="1"/>
                <w:color w:val="auto"/>
                <w:w w:val="99"/>
              </w:rPr>
              <w:t>CONDENSED CONSOLIDATED BALANCE SHEETS (UNAUDITED)</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513"/>
        </w:trPr>
        <w:tc>
          <w:tcPr>
            <w:tcW w:w="76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for shares)</w:t>
            </w:r>
          </w:p>
        </w:tc>
        <w:tc>
          <w:tcPr>
            <w:tcW w:w="380" w:type="dxa"/>
            <w:vAlign w:val="bottom"/>
          </w:tcPr>
          <w:p>
            <w:pPr>
              <w:spacing w:after="0"/>
              <w:rPr>
                <w:sz w:val="24"/>
                <w:szCs w:val="24"/>
                <w:color w:val="auto"/>
              </w:rPr>
            </w:pPr>
          </w:p>
        </w:tc>
        <w:tc>
          <w:tcPr>
            <w:tcW w:w="1480" w:type="dxa"/>
            <w:vAlign w:val="bottom"/>
          </w:tcPr>
          <w:p>
            <w:pPr>
              <w:jc w:val="right"/>
              <w:ind w:right="100"/>
              <w:spacing w:after="0"/>
              <w:rPr>
                <w:sz w:val="20"/>
                <w:szCs w:val="20"/>
                <w:color w:val="auto"/>
              </w:rPr>
            </w:pPr>
            <w:r>
              <w:rPr>
                <w:rFonts w:ascii="Arial" w:cs="Arial" w:eastAsia="Arial" w:hAnsi="Arial"/>
                <w:sz w:val="14"/>
                <w:szCs w:val="14"/>
                <w:b w:val="1"/>
                <w:bCs w:val="1"/>
                <w:color w:val="auto"/>
              </w:rPr>
              <w:t>January 31, 2023</w:t>
            </w:r>
          </w:p>
        </w:tc>
        <w:tc>
          <w:tcPr>
            <w:tcW w:w="4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October 31, 2022</w:t>
            </w:r>
          </w:p>
        </w:tc>
      </w:tr>
      <w:tr>
        <w:trPr>
          <w:trHeight w:val="24"/>
        </w:trPr>
        <w:tc>
          <w:tcPr>
            <w:tcW w:w="80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66"/>
        </w:trPr>
        <w:tc>
          <w:tcPr>
            <w:tcW w:w="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Assets</w:t>
            </w:r>
          </w:p>
        </w:tc>
        <w:tc>
          <w:tcPr>
            <w:tcW w:w="6800" w:type="dxa"/>
            <w:vAlign w:val="bottom"/>
            <w:tcBorders>
              <w:bottom w:val="single" w:sz="8" w:color="DBDBDB"/>
            </w:tcBorders>
            <w:shd w:val="clear" w:color="auto" w:fill="DBDBDB"/>
          </w:tcPr>
          <w:p>
            <w:pPr>
              <w:spacing w:after="0"/>
              <w:rPr>
                <w:sz w:val="14"/>
                <w:szCs w:val="14"/>
                <w:color w:val="auto"/>
              </w:rPr>
            </w:pPr>
          </w:p>
        </w:tc>
        <w:tc>
          <w:tcPr>
            <w:tcW w:w="380" w:type="dxa"/>
            <w:vAlign w:val="bottom"/>
            <w:tcBorders>
              <w:bottom w:val="single" w:sz="8" w:color="DBDBDB"/>
            </w:tcBorders>
            <w:shd w:val="clear" w:color="auto" w:fill="DBDBDB"/>
          </w:tcPr>
          <w:p>
            <w:pPr>
              <w:spacing w:after="0"/>
              <w:rPr>
                <w:sz w:val="14"/>
                <w:szCs w:val="14"/>
                <w:color w:val="auto"/>
              </w:rPr>
            </w:pPr>
          </w:p>
        </w:tc>
        <w:tc>
          <w:tcPr>
            <w:tcW w:w="1480" w:type="dxa"/>
            <w:vAlign w:val="bottom"/>
            <w:tcBorders>
              <w:bottom w:val="single" w:sz="8" w:color="DBDBDB"/>
            </w:tcBorders>
            <w:shd w:val="clear" w:color="auto" w:fill="DBDBDB"/>
          </w:tcPr>
          <w:p>
            <w:pPr>
              <w:spacing w:after="0"/>
              <w:rPr>
                <w:sz w:val="14"/>
                <w:szCs w:val="14"/>
                <w:color w:val="auto"/>
              </w:rPr>
            </w:pPr>
          </w:p>
        </w:tc>
        <w:tc>
          <w:tcPr>
            <w:tcW w:w="440" w:type="dxa"/>
            <w:vAlign w:val="bottom"/>
            <w:tcBorders>
              <w:bottom w:val="single" w:sz="8" w:color="DBDBDB"/>
            </w:tcBorders>
            <w:shd w:val="clear" w:color="auto" w:fill="DBDBDB"/>
          </w:tcPr>
          <w:p>
            <w:pPr>
              <w:spacing w:after="0"/>
              <w:rPr>
                <w:sz w:val="14"/>
                <w:szCs w:val="14"/>
                <w:color w:val="auto"/>
              </w:rPr>
            </w:pPr>
          </w:p>
        </w:tc>
        <w:tc>
          <w:tcPr>
            <w:tcW w:w="1340" w:type="dxa"/>
            <w:vAlign w:val="bottom"/>
            <w:tcBorders>
              <w:bottom w:val="single" w:sz="8" w:color="DBDBDB"/>
            </w:tcBorders>
            <w:shd w:val="clear" w:color="auto" w:fill="DBDBDB"/>
          </w:tcPr>
          <w:p>
            <w:pPr>
              <w:spacing w:after="0"/>
              <w:rPr>
                <w:sz w:val="14"/>
                <w:szCs w:val="14"/>
                <w:color w:val="auto"/>
              </w:rPr>
            </w:pPr>
          </w:p>
        </w:tc>
      </w:tr>
      <w:tr>
        <w:trPr>
          <w:trHeight w:val="165"/>
        </w:trPr>
        <w:tc>
          <w:tcPr>
            <w:tcW w:w="760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7600" w:type="dxa"/>
            <w:vAlign w:val="bottom"/>
            <w:tcBorders>
              <w:bottom w:val="single" w:sz="8" w:color="DBDBDB"/>
            </w:tcBorders>
            <w:gridSpan w:val="2"/>
            <w:shd w:val="clear" w:color="auto" w:fill="DBDBDB"/>
          </w:tcPr>
          <w:p>
            <w:pPr>
              <w:ind w:left="440"/>
              <w:spacing w:after="0"/>
              <w:rPr>
                <w:sz w:val="20"/>
                <w:szCs w:val="20"/>
                <w:color w:val="auto"/>
              </w:rPr>
            </w:pPr>
            <w:r>
              <w:rPr>
                <w:rFonts w:ascii="Arial" w:cs="Arial" w:eastAsia="Arial" w:hAnsi="Arial"/>
                <w:sz w:val="12"/>
                <w:szCs w:val="12"/>
                <w:color w:val="auto"/>
              </w:rPr>
              <w:t>Cash and cash equivalents</w:t>
            </w:r>
          </w:p>
        </w:tc>
        <w:tc>
          <w:tcPr>
            <w:tcW w:w="3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w:t>
            </w: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39.2</w:t>
            </w:r>
          </w:p>
        </w:tc>
        <w:tc>
          <w:tcPr>
            <w:tcW w:w="44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52.8</w:t>
            </w:r>
          </w:p>
        </w:tc>
      </w:tr>
      <w:tr>
        <w:trPr>
          <w:trHeight w:val="165"/>
        </w:trPr>
        <w:tc>
          <w:tcPr>
            <w:tcW w:w="7600" w:type="dxa"/>
            <w:vAlign w:val="bottom"/>
            <w:gridSpan w:val="2"/>
          </w:tcPr>
          <w:p>
            <w:pPr>
              <w:ind w:left="440"/>
              <w:spacing w:after="0"/>
              <w:rPr>
                <w:sz w:val="20"/>
                <w:szCs w:val="20"/>
                <w:color w:val="auto"/>
              </w:rPr>
            </w:pPr>
            <w:r>
              <w:rPr>
                <w:rFonts w:ascii="Arial" w:cs="Arial" w:eastAsia="Arial" w:hAnsi="Arial"/>
                <w:sz w:val="12"/>
                <w:szCs w:val="12"/>
                <w:color w:val="auto"/>
              </w:rPr>
              <w:t>Restricted cash</w:t>
            </w:r>
          </w:p>
        </w:tc>
        <w:tc>
          <w:tcPr>
            <w:tcW w:w="380" w:type="dxa"/>
            <w:vAlign w:val="bottom"/>
          </w:tcPr>
          <w:p>
            <w:pPr>
              <w:spacing w:after="0"/>
              <w:rPr>
                <w:sz w:val="14"/>
                <w:szCs w:val="14"/>
                <w:color w:val="auto"/>
              </w:rPr>
            </w:pP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1.0</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7600" w:type="dxa"/>
            <w:vAlign w:val="bottom"/>
            <w:tcBorders>
              <w:bottom w:val="single" w:sz="8" w:color="DBDBDB"/>
            </w:tcBorders>
            <w:gridSpan w:val="2"/>
            <w:shd w:val="clear" w:color="auto" w:fill="DBDBDB"/>
          </w:tcPr>
          <w:p>
            <w:pPr>
              <w:ind w:left="440"/>
              <w:spacing w:after="0"/>
              <w:rPr>
                <w:sz w:val="20"/>
                <w:szCs w:val="20"/>
                <w:color w:val="auto"/>
              </w:rPr>
            </w:pPr>
            <w:r>
              <w:rPr>
                <w:rFonts w:ascii="Arial" w:cs="Arial" w:eastAsia="Arial" w:hAnsi="Arial"/>
                <w:sz w:val="12"/>
                <w:szCs w:val="12"/>
                <w:color w:val="auto"/>
              </w:rPr>
              <w:t>Accounts receivable</w:t>
            </w: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spacing w:after="0"/>
              <w:rPr>
                <w:sz w:val="15"/>
                <w:szCs w:val="15"/>
                <w:color w:val="auto"/>
              </w:rPr>
            </w:pP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spacing w:after="0"/>
              <w:rPr>
                <w:sz w:val="15"/>
                <w:szCs w:val="15"/>
                <w:color w:val="auto"/>
              </w:rPr>
            </w:pPr>
          </w:p>
        </w:tc>
      </w:tr>
      <w:tr>
        <w:trPr>
          <w:trHeight w:val="165"/>
        </w:trPr>
        <w:tc>
          <w:tcPr>
            <w:tcW w:w="800" w:type="dxa"/>
            <w:vAlign w:val="bottom"/>
          </w:tcPr>
          <w:p>
            <w:pPr>
              <w:spacing w:after="0"/>
              <w:rPr>
                <w:sz w:val="14"/>
                <w:szCs w:val="14"/>
                <w:color w:val="auto"/>
              </w:rPr>
            </w:pPr>
          </w:p>
        </w:tc>
        <w:tc>
          <w:tcPr>
            <w:tcW w:w="6800" w:type="dxa"/>
            <w:vAlign w:val="bottom"/>
          </w:tcPr>
          <w:p>
            <w:pPr>
              <w:ind w:left="40"/>
              <w:spacing w:after="0"/>
              <w:rPr>
                <w:sz w:val="20"/>
                <w:szCs w:val="20"/>
                <w:color w:val="auto"/>
              </w:rPr>
            </w:pPr>
            <w:r>
              <w:rPr>
                <w:rFonts w:ascii="Arial" w:cs="Arial" w:eastAsia="Arial" w:hAnsi="Arial"/>
                <w:sz w:val="12"/>
                <w:szCs w:val="12"/>
                <w:color w:val="auto"/>
              </w:rPr>
              <w:t>Trade, net of allowances of $0.3 and $0.3, respectively</w:t>
            </w:r>
          </w:p>
        </w:tc>
        <w:tc>
          <w:tcPr>
            <w:tcW w:w="380" w:type="dxa"/>
            <w:vAlign w:val="bottom"/>
          </w:tcPr>
          <w:p>
            <w:pPr>
              <w:spacing w:after="0"/>
              <w:rPr>
                <w:sz w:val="14"/>
                <w:szCs w:val="14"/>
                <w:color w:val="auto"/>
              </w:rPr>
            </w:pP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64.3</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62.9</w:t>
            </w:r>
          </w:p>
        </w:tc>
      </w:tr>
      <w:tr>
        <w:trPr>
          <w:trHeight w:val="28"/>
        </w:trPr>
        <w:tc>
          <w:tcPr>
            <w:tcW w:w="8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800" w:type="dxa"/>
            <w:vAlign w:val="bottom"/>
            <w:tcBorders>
              <w:bottom w:val="single" w:sz="8" w:color="DBDBDB"/>
            </w:tcBorders>
            <w:shd w:val="clear" w:color="auto" w:fill="DBDBDB"/>
          </w:tcPr>
          <w:p>
            <w:pPr>
              <w:spacing w:after="0"/>
              <w:rPr>
                <w:sz w:val="15"/>
                <w:szCs w:val="15"/>
                <w:color w:val="auto"/>
              </w:rPr>
            </w:pPr>
          </w:p>
        </w:tc>
        <w:tc>
          <w:tcPr>
            <w:tcW w:w="6800" w:type="dxa"/>
            <w:vAlign w:val="bottom"/>
            <w:tcBorders>
              <w:bottom w:val="single" w:sz="8" w:color="DBDBDB"/>
            </w:tcBorders>
            <w:shd w:val="clear" w:color="auto" w:fill="DBDBDB"/>
          </w:tcPr>
          <w:p>
            <w:pPr>
              <w:ind w:left="40"/>
              <w:spacing w:after="0"/>
              <w:rPr>
                <w:sz w:val="20"/>
                <w:szCs w:val="20"/>
                <w:color w:val="auto"/>
              </w:rPr>
            </w:pPr>
            <w:r>
              <w:rPr>
                <w:rFonts w:ascii="Arial" w:cs="Arial" w:eastAsia="Arial" w:hAnsi="Arial"/>
                <w:sz w:val="12"/>
                <w:szCs w:val="12"/>
                <w:color w:val="auto"/>
              </w:rPr>
              <w:t>Grower and fruit advances</w:t>
            </w: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1.8</w:t>
            </w: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1.8</w:t>
            </w:r>
          </w:p>
        </w:tc>
      </w:tr>
      <w:tr>
        <w:trPr>
          <w:trHeight w:val="165"/>
        </w:trPr>
        <w:tc>
          <w:tcPr>
            <w:tcW w:w="800" w:type="dxa"/>
            <w:vAlign w:val="bottom"/>
          </w:tcPr>
          <w:p>
            <w:pPr>
              <w:spacing w:after="0"/>
              <w:rPr>
                <w:sz w:val="14"/>
                <w:szCs w:val="14"/>
                <w:color w:val="auto"/>
              </w:rPr>
            </w:pPr>
          </w:p>
        </w:tc>
        <w:tc>
          <w:tcPr>
            <w:tcW w:w="6800" w:type="dxa"/>
            <w:vAlign w:val="bottom"/>
          </w:tcPr>
          <w:p>
            <w:pPr>
              <w:ind w:left="40"/>
              <w:spacing w:after="0"/>
              <w:rPr>
                <w:sz w:val="20"/>
                <w:szCs w:val="20"/>
                <w:color w:val="auto"/>
              </w:rPr>
            </w:pPr>
            <w:r>
              <w:rPr>
                <w:rFonts w:ascii="Arial" w:cs="Arial" w:eastAsia="Arial" w:hAnsi="Arial"/>
                <w:sz w:val="12"/>
                <w:szCs w:val="12"/>
                <w:color w:val="auto"/>
              </w:rPr>
              <w:t>Other</w:t>
            </w:r>
          </w:p>
        </w:tc>
        <w:tc>
          <w:tcPr>
            <w:tcW w:w="380" w:type="dxa"/>
            <w:vAlign w:val="bottom"/>
          </w:tcPr>
          <w:p>
            <w:pPr>
              <w:spacing w:after="0"/>
              <w:rPr>
                <w:sz w:val="14"/>
                <w:szCs w:val="14"/>
                <w:color w:val="auto"/>
              </w:rPr>
            </w:pP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11.2</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17.3</w:t>
            </w: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7600" w:type="dxa"/>
            <w:vAlign w:val="bottom"/>
            <w:tcBorders>
              <w:bottom w:val="single" w:sz="8" w:color="DBDBDB"/>
            </w:tcBorders>
            <w:gridSpan w:val="2"/>
            <w:shd w:val="clear" w:color="auto" w:fill="DBDBDB"/>
          </w:tcPr>
          <w:p>
            <w:pPr>
              <w:ind w:left="440"/>
              <w:spacing w:after="0"/>
              <w:rPr>
                <w:sz w:val="20"/>
                <w:szCs w:val="20"/>
                <w:color w:val="auto"/>
              </w:rPr>
            </w:pPr>
            <w:r>
              <w:rPr>
                <w:rFonts w:ascii="Arial" w:cs="Arial" w:eastAsia="Arial" w:hAnsi="Arial"/>
                <w:sz w:val="12"/>
                <w:szCs w:val="12"/>
                <w:color w:val="auto"/>
              </w:rPr>
              <w:t>Inventory</w:t>
            </w: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76.8</w:t>
            </w: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73.1</w:t>
            </w:r>
          </w:p>
        </w:tc>
      </w:tr>
      <w:tr>
        <w:trPr>
          <w:trHeight w:val="165"/>
        </w:trPr>
        <w:tc>
          <w:tcPr>
            <w:tcW w:w="7600" w:type="dxa"/>
            <w:vAlign w:val="bottom"/>
            <w:gridSpan w:val="2"/>
          </w:tcPr>
          <w:p>
            <w:pPr>
              <w:ind w:left="440"/>
              <w:spacing w:after="0"/>
              <w:rPr>
                <w:sz w:val="20"/>
                <w:szCs w:val="20"/>
                <w:color w:val="auto"/>
              </w:rPr>
            </w:pPr>
            <w:r>
              <w:rPr>
                <w:rFonts w:ascii="Arial" w:cs="Arial" w:eastAsia="Arial" w:hAnsi="Arial"/>
                <w:sz w:val="12"/>
                <w:szCs w:val="12"/>
                <w:color w:val="auto"/>
              </w:rPr>
              <w:t>Prepaid expenses and other current assets</w:t>
            </w:r>
          </w:p>
        </w:tc>
        <w:tc>
          <w:tcPr>
            <w:tcW w:w="380" w:type="dxa"/>
            <w:vAlign w:val="bottom"/>
          </w:tcPr>
          <w:p>
            <w:pPr>
              <w:spacing w:after="0"/>
              <w:rPr>
                <w:sz w:val="14"/>
                <w:szCs w:val="14"/>
                <w:color w:val="auto"/>
              </w:rPr>
            </w:pP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10.1</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8"/>
        </w:trPr>
        <w:tc>
          <w:tcPr>
            <w:tcW w:w="7600" w:type="dxa"/>
            <w:vAlign w:val="bottom"/>
            <w:tcBorders>
              <w:bottom w:val="single" w:sz="8" w:color="DBDBDB"/>
            </w:tcBorders>
            <w:gridSpan w:val="2"/>
            <w:shd w:val="clear" w:color="auto" w:fill="DBDBDB"/>
          </w:tcPr>
          <w:p>
            <w:pPr>
              <w:ind w:left="440"/>
              <w:spacing w:after="0"/>
              <w:rPr>
                <w:sz w:val="20"/>
                <w:szCs w:val="20"/>
                <w:color w:val="auto"/>
              </w:rPr>
            </w:pPr>
            <w:r>
              <w:rPr>
                <w:rFonts w:ascii="Arial" w:cs="Arial" w:eastAsia="Arial" w:hAnsi="Arial"/>
                <w:sz w:val="12"/>
                <w:szCs w:val="12"/>
                <w:color w:val="auto"/>
              </w:rPr>
              <w:t>Income taxes receivable</w:t>
            </w:r>
          </w:p>
        </w:tc>
        <w:tc>
          <w:tcPr>
            <w:tcW w:w="380" w:type="dxa"/>
            <w:vAlign w:val="bottom"/>
            <w:tcBorders>
              <w:bottom w:val="single" w:sz="8" w:color="DBDBDB"/>
            </w:tcBorders>
            <w:shd w:val="clear" w:color="auto" w:fill="DBDBDB"/>
          </w:tcPr>
          <w:p>
            <w:pPr>
              <w:spacing w:after="0"/>
              <w:rPr>
                <w:sz w:val="16"/>
                <w:szCs w:val="16"/>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11.2</w:t>
            </w:r>
          </w:p>
        </w:tc>
        <w:tc>
          <w:tcPr>
            <w:tcW w:w="440" w:type="dxa"/>
            <w:vAlign w:val="bottom"/>
            <w:tcBorders>
              <w:bottom w:val="single" w:sz="8" w:color="DBDBDB"/>
            </w:tcBorders>
            <w:shd w:val="clear" w:color="auto" w:fill="DBDBDB"/>
          </w:tcPr>
          <w:p>
            <w:pPr>
              <w:spacing w:after="0"/>
              <w:rPr>
                <w:sz w:val="16"/>
                <w:szCs w:val="16"/>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8.0</w:t>
            </w:r>
          </w:p>
        </w:tc>
      </w:tr>
      <w:tr>
        <w:trPr>
          <w:trHeight w:val="158"/>
        </w:trPr>
        <w:tc>
          <w:tcPr>
            <w:tcW w:w="800" w:type="dxa"/>
            <w:vAlign w:val="bottom"/>
            <w:tcBorders>
              <w:top w:val="single" w:sz="8" w:color="auto"/>
            </w:tcBorders>
          </w:tcPr>
          <w:p>
            <w:pPr>
              <w:spacing w:after="0"/>
              <w:rPr>
                <w:sz w:val="13"/>
                <w:szCs w:val="13"/>
                <w:color w:val="auto"/>
              </w:rPr>
            </w:pPr>
          </w:p>
        </w:tc>
        <w:tc>
          <w:tcPr>
            <w:tcW w:w="6800" w:type="dxa"/>
            <w:vAlign w:val="bottom"/>
            <w:tcBorders>
              <w:top w:val="single" w:sz="8" w:color="auto"/>
            </w:tcBorders>
          </w:tcPr>
          <w:p>
            <w:pPr>
              <w:ind w:left="460"/>
              <w:spacing w:after="0"/>
              <w:rPr>
                <w:sz w:val="20"/>
                <w:szCs w:val="20"/>
                <w:color w:val="auto"/>
              </w:rPr>
            </w:pPr>
            <w:r>
              <w:rPr>
                <w:rFonts w:ascii="Arial" w:cs="Arial" w:eastAsia="Arial" w:hAnsi="Arial"/>
                <w:sz w:val="12"/>
                <w:szCs w:val="12"/>
                <w:color w:val="auto"/>
              </w:rPr>
              <w:t>Total current assets</w:t>
            </w:r>
          </w:p>
        </w:tc>
        <w:tc>
          <w:tcPr>
            <w:tcW w:w="3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215.6</w:t>
            </w:r>
          </w:p>
        </w:tc>
        <w:tc>
          <w:tcPr>
            <w:tcW w:w="4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228.1</w:t>
            </w: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76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Property, plant and equipment, net</w:t>
            </w: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511.6</w:t>
            </w: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489.7</w:t>
            </w:r>
          </w:p>
        </w:tc>
      </w:tr>
      <w:tr>
        <w:trPr>
          <w:trHeight w:val="165"/>
        </w:trPr>
        <w:tc>
          <w:tcPr>
            <w:tcW w:w="7600" w:type="dxa"/>
            <w:vAlign w:val="bottom"/>
            <w:gridSpan w:val="2"/>
          </w:tcPr>
          <w:p>
            <w:pPr>
              <w:ind w:left="20"/>
              <w:spacing w:after="0"/>
              <w:rPr>
                <w:sz w:val="20"/>
                <w:szCs w:val="20"/>
                <w:color w:val="auto"/>
              </w:rPr>
            </w:pPr>
            <w:r>
              <w:rPr>
                <w:rFonts w:ascii="Arial" w:cs="Arial" w:eastAsia="Arial" w:hAnsi="Arial"/>
                <w:sz w:val="12"/>
                <w:szCs w:val="12"/>
                <w:color w:val="auto"/>
              </w:rPr>
              <w:t>Operating lease right-of-use assets</w:t>
            </w:r>
          </w:p>
        </w:tc>
        <w:tc>
          <w:tcPr>
            <w:tcW w:w="380" w:type="dxa"/>
            <w:vAlign w:val="bottom"/>
          </w:tcPr>
          <w:p>
            <w:pPr>
              <w:spacing w:after="0"/>
              <w:rPr>
                <w:sz w:val="14"/>
                <w:szCs w:val="14"/>
                <w:color w:val="auto"/>
              </w:rPr>
            </w:pP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74.2</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65.4</w:t>
            </w: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76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Equity method investees</w:t>
            </w: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25.5</w:t>
            </w: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27.1</w:t>
            </w:r>
          </w:p>
        </w:tc>
      </w:tr>
      <w:tr>
        <w:trPr>
          <w:trHeight w:val="165"/>
        </w:trPr>
        <w:tc>
          <w:tcPr>
            <w:tcW w:w="7600" w:type="dxa"/>
            <w:vAlign w:val="bottom"/>
            <w:gridSpan w:val="2"/>
          </w:tcPr>
          <w:p>
            <w:pPr>
              <w:ind w:left="20"/>
              <w:spacing w:after="0"/>
              <w:rPr>
                <w:sz w:val="20"/>
                <w:szCs w:val="20"/>
                <w:color w:val="auto"/>
              </w:rPr>
            </w:pPr>
            <w:r>
              <w:rPr>
                <w:rFonts w:ascii="Arial" w:cs="Arial" w:eastAsia="Arial" w:hAnsi="Arial"/>
                <w:sz w:val="12"/>
                <w:szCs w:val="12"/>
                <w:color w:val="auto"/>
              </w:rPr>
              <w:t>Deferred income tax assets, net</w:t>
            </w:r>
          </w:p>
        </w:tc>
        <w:tc>
          <w:tcPr>
            <w:tcW w:w="380" w:type="dxa"/>
            <w:vAlign w:val="bottom"/>
          </w:tcPr>
          <w:p>
            <w:pPr>
              <w:spacing w:after="0"/>
              <w:rPr>
                <w:sz w:val="14"/>
                <w:szCs w:val="14"/>
                <w:color w:val="auto"/>
              </w:rPr>
            </w:pP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8.3</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28"/>
        </w:trPr>
        <w:tc>
          <w:tcPr>
            <w:tcW w:w="8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Goodwill</w:t>
            </w:r>
          </w:p>
        </w:tc>
        <w:tc>
          <w:tcPr>
            <w:tcW w:w="680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39.4</w:t>
            </w: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39.4</w:t>
            </w:r>
          </w:p>
        </w:tc>
      </w:tr>
      <w:tr>
        <w:trPr>
          <w:trHeight w:val="165"/>
        </w:trPr>
        <w:tc>
          <w:tcPr>
            <w:tcW w:w="7600" w:type="dxa"/>
            <w:vAlign w:val="bottom"/>
            <w:gridSpan w:val="2"/>
          </w:tcPr>
          <w:p>
            <w:pPr>
              <w:ind w:left="20"/>
              <w:spacing w:after="0"/>
              <w:rPr>
                <w:sz w:val="20"/>
                <w:szCs w:val="20"/>
                <w:color w:val="auto"/>
              </w:rPr>
            </w:pPr>
            <w:r>
              <w:rPr>
                <w:rFonts w:ascii="Arial" w:cs="Arial" w:eastAsia="Arial" w:hAnsi="Arial"/>
                <w:sz w:val="12"/>
                <w:szCs w:val="12"/>
                <w:color w:val="auto"/>
              </w:rPr>
              <w:t>Intangible asset, net</w:t>
            </w:r>
          </w:p>
        </w:tc>
        <w:tc>
          <w:tcPr>
            <w:tcW w:w="380" w:type="dxa"/>
            <w:vAlign w:val="bottom"/>
          </w:tcPr>
          <w:p>
            <w:pPr>
              <w:spacing w:after="0"/>
              <w:rPr>
                <w:sz w:val="14"/>
                <w:szCs w:val="14"/>
                <w:color w:val="auto"/>
              </w:rPr>
            </w:pP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0.8</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28"/>
        </w:trPr>
        <w:tc>
          <w:tcPr>
            <w:tcW w:w="8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8"/>
        </w:trPr>
        <w:tc>
          <w:tcPr>
            <w:tcW w:w="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Other assets</w:t>
            </w:r>
          </w:p>
        </w:tc>
        <w:tc>
          <w:tcPr>
            <w:tcW w:w="680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DBDBDB"/>
            </w:tcBorders>
            <w:shd w:val="clear" w:color="auto" w:fill="DBDBDB"/>
          </w:tcPr>
          <w:p>
            <w:pPr>
              <w:spacing w:after="0"/>
              <w:rPr>
                <w:sz w:val="16"/>
                <w:szCs w:val="16"/>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21.6</w:t>
            </w:r>
          </w:p>
        </w:tc>
        <w:tc>
          <w:tcPr>
            <w:tcW w:w="440" w:type="dxa"/>
            <w:vAlign w:val="bottom"/>
            <w:tcBorders>
              <w:bottom w:val="single" w:sz="8" w:color="DBDBDB"/>
            </w:tcBorders>
            <w:shd w:val="clear" w:color="auto" w:fill="DBDBDB"/>
          </w:tcPr>
          <w:p>
            <w:pPr>
              <w:spacing w:after="0"/>
              <w:rPr>
                <w:sz w:val="16"/>
                <w:szCs w:val="16"/>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19.7</w:t>
            </w:r>
          </w:p>
        </w:tc>
      </w:tr>
      <w:tr>
        <w:trPr>
          <w:trHeight w:val="158"/>
        </w:trPr>
        <w:tc>
          <w:tcPr>
            <w:tcW w:w="8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Total assets</w:t>
            </w:r>
          </w:p>
        </w:tc>
        <w:tc>
          <w:tcPr>
            <w:tcW w:w="68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4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897.0</w:t>
            </w:r>
          </w:p>
        </w:tc>
        <w:tc>
          <w:tcPr>
            <w:tcW w:w="44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879.5</w:t>
            </w:r>
          </w:p>
        </w:tc>
      </w:tr>
      <w:tr>
        <w:trPr>
          <w:trHeight w:val="28"/>
        </w:trPr>
        <w:tc>
          <w:tcPr>
            <w:tcW w:w="7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800" w:type="dxa"/>
            <w:vAlign w:val="bottom"/>
            <w:shd w:val="clear" w:color="auto" w:fill="DBDBDB"/>
          </w:tcPr>
          <w:p>
            <w:pPr>
              <w:spacing w:after="0"/>
              <w:rPr>
                <w:sz w:val="16"/>
                <w:szCs w:val="16"/>
                <w:color w:val="auto"/>
              </w:rPr>
            </w:pPr>
          </w:p>
        </w:tc>
        <w:tc>
          <w:tcPr>
            <w:tcW w:w="680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4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1340" w:type="dxa"/>
            <w:vAlign w:val="bottom"/>
            <w:shd w:val="clear" w:color="auto" w:fill="DBDBDB"/>
          </w:tcPr>
          <w:p>
            <w:pPr>
              <w:spacing w:after="0"/>
              <w:rPr>
                <w:sz w:val="16"/>
                <w:szCs w:val="16"/>
                <w:color w:val="auto"/>
              </w:rPr>
            </w:pPr>
          </w:p>
        </w:tc>
      </w:tr>
      <w:tr>
        <w:trPr>
          <w:trHeight w:val="165"/>
        </w:trPr>
        <w:tc>
          <w:tcPr>
            <w:tcW w:w="7600" w:type="dxa"/>
            <w:vAlign w:val="bottom"/>
            <w:gridSpan w:val="2"/>
          </w:tcPr>
          <w:p>
            <w:pPr>
              <w:ind w:left="20"/>
              <w:spacing w:after="0"/>
              <w:rPr>
                <w:sz w:val="20"/>
                <w:szCs w:val="20"/>
                <w:color w:val="auto"/>
              </w:rPr>
            </w:pPr>
            <w:r>
              <w:rPr>
                <w:rFonts w:ascii="Arial" w:cs="Arial" w:eastAsia="Arial" w:hAnsi="Arial"/>
                <w:sz w:val="12"/>
                <w:szCs w:val="12"/>
                <w:b w:val="1"/>
                <w:bCs w:val="1"/>
                <w:color w:val="auto"/>
              </w:rPr>
              <w:t>Liabilities and Equity</w:t>
            </w: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8"/>
        </w:trPr>
        <w:tc>
          <w:tcPr>
            <w:tcW w:w="8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Liabilities</w:t>
            </w:r>
          </w:p>
        </w:tc>
        <w:tc>
          <w:tcPr>
            <w:tcW w:w="680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spacing w:after="0"/>
              <w:rPr>
                <w:sz w:val="15"/>
                <w:szCs w:val="15"/>
                <w:color w:val="auto"/>
              </w:rPr>
            </w:pP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spacing w:after="0"/>
              <w:rPr>
                <w:sz w:val="15"/>
                <w:szCs w:val="15"/>
                <w:color w:val="auto"/>
              </w:rPr>
            </w:pPr>
          </w:p>
        </w:tc>
      </w:tr>
      <w:tr>
        <w:trPr>
          <w:trHeight w:val="165"/>
        </w:trPr>
        <w:tc>
          <w:tcPr>
            <w:tcW w:w="7600" w:type="dxa"/>
            <w:vAlign w:val="bottom"/>
            <w:gridSpan w:val="2"/>
          </w:tcPr>
          <w:p>
            <w:pPr>
              <w:ind w:left="440"/>
              <w:spacing w:after="0"/>
              <w:rPr>
                <w:sz w:val="20"/>
                <w:szCs w:val="20"/>
                <w:color w:val="auto"/>
              </w:rPr>
            </w:pPr>
            <w:r>
              <w:rPr>
                <w:rFonts w:ascii="Arial" w:cs="Arial" w:eastAsia="Arial" w:hAnsi="Arial"/>
                <w:sz w:val="12"/>
                <w:szCs w:val="12"/>
                <w:color w:val="auto"/>
              </w:rPr>
              <w:t>Accounts payable</w:t>
            </w:r>
          </w:p>
        </w:tc>
        <w:tc>
          <w:tcPr>
            <w:tcW w:w="3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30.5</w:t>
            </w:r>
          </w:p>
        </w:tc>
        <w:tc>
          <w:tcPr>
            <w:tcW w:w="4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340" w:type="dxa"/>
            <w:vAlign w:val="bottom"/>
          </w:tcPr>
          <w:p>
            <w:pPr>
              <w:jc w:val="right"/>
              <w:spacing w:after="0"/>
              <w:rPr>
                <w:sz w:val="20"/>
                <w:szCs w:val="20"/>
                <w:color w:val="auto"/>
              </w:rPr>
            </w:pPr>
            <w:r>
              <w:rPr>
                <w:rFonts w:ascii="Arial" w:cs="Arial" w:eastAsia="Arial" w:hAnsi="Arial"/>
                <w:sz w:val="12"/>
                <w:szCs w:val="12"/>
                <w:color w:val="auto"/>
              </w:rPr>
              <w:t>34.4</w:t>
            </w: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7600" w:type="dxa"/>
            <w:vAlign w:val="bottom"/>
            <w:tcBorders>
              <w:bottom w:val="single" w:sz="8" w:color="DBDBDB"/>
            </w:tcBorders>
            <w:gridSpan w:val="2"/>
            <w:shd w:val="clear" w:color="auto" w:fill="DBDBDB"/>
          </w:tcPr>
          <w:p>
            <w:pPr>
              <w:ind w:left="440"/>
              <w:spacing w:after="0"/>
              <w:rPr>
                <w:sz w:val="20"/>
                <w:szCs w:val="20"/>
                <w:color w:val="auto"/>
              </w:rPr>
            </w:pPr>
            <w:r>
              <w:rPr>
                <w:rFonts w:ascii="Arial" w:cs="Arial" w:eastAsia="Arial" w:hAnsi="Arial"/>
                <w:sz w:val="12"/>
                <w:szCs w:val="12"/>
                <w:color w:val="auto"/>
              </w:rPr>
              <w:t>Accrued expenses</w:t>
            </w: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29.4</w:t>
            </w: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30.1</w:t>
            </w:r>
          </w:p>
        </w:tc>
      </w:tr>
      <w:tr>
        <w:trPr>
          <w:trHeight w:val="165"/>
        </w:trPr>
        <w:tc>
          <w:tcPr>
            <w:tcW w:w="7600" w:type="dxa"/>
            <w:vAlign w:val="bottom"/>
            <w:gridSpan w:val="2"/>
          </w:tcPr>
          <w:p>
            <w:pPr>
              <w:ind w:left="440"/>
              <w:spacing w:after="0"/>
              <w:rPr>
                <w:sz w:val="20"/>
                <w:szCs w:val="20"/>
                <w:color w:val="auto"/>
              </w:rPr>
            </w:pPr>
            <w:r>
              <w:rPr>
                <w:rFonts w:ascii="Arial" w:cs="Arial" w:eastAsia="Arial" w:hAnsi="Arial"/>
                <w:sz w:val="12"/>
                <w:szCs w:val="12"/>
                <w:color w:val="auto"/>
              </w:rPr>
              <w:t>Income taxes payable</w:t>
            </w:r>
          </w:p>
        </w:tc>
        <w:tc>
          <w:tcPr>
            <w:tcW w:w="380" w:type="dxa"/>
            <w:vAlign w:val="bottom"/>
          </w:tcPr>
          <w:p>
            <w:pPr>
              <w:spacing w:after="0"/>
              <w:rPr>
                <w:sz w:val="14"/>
                <w:szCs w:val="14"/>
                <w:color w:val="auto"/>
              </w:rPr>
            </w:pP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0.5</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7600" w:type="dxa"/>
            <w:vAlign w:val="bottom"/>
            <w:tcBorders>
              <w:bottom w:val="single" w:sz="8" w:color="DBDBDB"/>
            </w:tcBorders>
            <w:gridSpan w:val="2"/>
            <w:shd w:val="clear" w:color="auto" w:fill="DBDBDB"/>
          </w:tcPr>
          <w:p>
            <w:pPr>
              <w:ind w:left="440"/>
              <w:spacing w:after="0"/>
              <w:rPr>
                <w:sz w:val="20"/>
                <w:szCs w:val="20"/>
                <w:color w:val="auto"/>
              </w:rPr>
            </w:pPr>
            <w:r>
              <w:rPr>
                <w:rFonts w:ascii="Arial" w:cs="Arial" w:eastAsia="Arial" w:hAnsi="Arial"/>
                <w:sz w:val="12"/>
                <w:szCs w:val="12"/>
                <w:color w:val="auto"/>
              </w:rPr>
              <w:t>Grower payables</w:t>
            </w: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25.4</w:t>
            </w: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24.3</w:t>
            </w:r>
          </w:p>
        </w:tc>
      </w:tr>
      <w:tr>
        <w:trPr>
          <w:trHeight w:val="165"/>
        </w:trPr>
        <w:tc>
          <w:tcPr>
            <w:tcW w:w="7600" w:type="dxa"/>
            <w:vAlign w:val="bottom"/>
            <w:gridSpan w:val="2"/>
          </w:tcPr>
          <w:p>
            <w:pPr>
              <w:ind w:left="440"/>
              <w:spacing w:after="0"/>
              <w:rPr>
                <w:sz w:val="20"/>
                <w:szCs w:val="20"/>
                <w:color w:val="auto"/>
              </w:rPr>
            </w:pPr>
            <w:r>
              <w:rPr>
                <w:rFonts w:ascii="Arial" w:cs="Arial" w:eastAsia="Arial" w:hAnsi="Arial"/>
                <w:sz w:val="12"/>
                <w:szCs w:val="12"/>
                <w:color w:val="auto"/>
              </w:rPr>
              <w:t>Short-term borrowings</w:t>
            </w:r>
          </w:p>
        </w:tc>
        <w:tc>
          <w:tcPr>
            <w:tcW w:w="380" w:type="dxa"/>
            <w:vAlign w:val="bottom"/>
          </w:tcPr>
          <w:p>
            <w:pPr>
              <w:spacing w:after="0"/>
              <w:rPr>
                <w:sz w:val="14"/>
                <w:szCs w:val="14"/>
                <w:color w:val="auto"/>
              </w:rPr>
            </w:pP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7600" w:type="dxa"/>
            <w:vAlign w:val="bottom"/>
            <w:tcBorders>
              <w:bottom w:val="single" w:sz="8" w:color="DBDBDB"/>
            </w:tcBorders>
            <w:gridSpan w:val="2"/>
            <w:shd w:val="clear" w:color="auto" w:fill="DBDBDB"/>
          </w:tcPr>
          <w:p>
            <w:pPr>
              <w:ind w:left="440"/>
              <w:spacing w:after="0"/>
              <w:rPr>
                <w:sz w:val="20"/>
                <w:szCs w:val="20"/>
                <w:color w:val="auto"/>
              </w:rPr>
            </w:pPr>
            <w:r>
              <w:rPr>
                <w:rFonts w:ascii="Arial" w:cs="Arial" w:eastAsia="Arial" w:hAnsi="Arial"/>
                <w:sz w:val="12"/>
                <w:szCs w:val="12"/>
                <w:color w:val="auto"/>
              </w:rPr>
              <w:t>Long-term debt—current portion</w:t>
            </w: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3.6</w:t>
            </w: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3.5</w:t>
            </w:r>
          </w:p>
        </w:tc>
      </w:tr>
      <w:tr>
        <w:trPr>
          <w:trHeight w:val="165"/>
        </w:trPr>
        <w:tc>
          <w:tcPr>
            <w:tcW w:w="7600" w:type="dxa"/>
            <w:vAlign w:val="bottom"/>
            <w:gridSpan w:val="2"/>
          </w:tcPr>
          <w:p>
            <w:pPr>
              <w:ind w:left="440"/>
              <w:spacing w:after="0"/>
              <w:rPr>
                <w:sz w:val="20"/>
                <w:szCs w:val="20"/>
                <w:color w:val="auto"/>
              </w:rPr>
            </w:pPr>
            <w:r>
              <w:rPr>
                <w:rFonts w:ascii="Arial" w:cs="Arial" w:eastAsia="Arial" w:hAnsi="Arial"/>
                <w:sz w:val="12"/>
                <w:szCs w:val="12"/>
                <w:color w:val="auto"/>
              </w:rPr>
              <w:t>Operating leases—current portion</w:t>
            </w:r>
          </w:p>
        </w:tc>
        <w:tc>
          <w:tcPr>
            <w:tcW w:w="380" w:type="dxa"/>
            <w:vAlign w:val="bottom"/>
          </w:tcPr>
          <w:p>
            <w:pPr>
              <w:spacing w:after="0"/>
              <w:rPr>
                <w:sz w:val="14"/>
                <w:szCs w:val="14"/>
                <w:color w:val="auto"/>
              </w:rPr>
            </w:pP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4.9</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4.7</w:t>
            </w: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8"/>
        </w:trPr>
        <w:tc>
          <w:tcPr>
            <w:tcW w:w="7600" w:type="dxa"/>
            <w:vAlign w:val="bottom"/>
            <w:tcBorders>
              <w:bottom w:val="single" w:sz="8" w:color="DBDBDB"/>
            </w:tcBorders>
            <w:gridSpan w:val="2"/>
            <w:shd w:val="clear" w:color="auto" w:fill="DBDBDB"/>
          </w:tcPr>
          <w:p>
            <w:pPr>
              <w:ind w:left="440"/>
              <w:spacing w:after="0"/>
              <w:rPr>
                <w:sz w:val="20"/>
                <w:szCs w:val="20"/>
                <w:color w:val="auto"/>
              </w:rPr>
            </w:pPr>
            <w:r>
              <w:rPr>
                <w:rFonts w:ascii="Arial" w:cs="Arial" w:eastAsia="Arial" w:hAnsi="Arial"/>
                <w:sz w:val="12"/>
                <w:szCs w:val="12"/>
                <w:color w:val="auto"/>
              </w:rPr>
              <w:t>Finance leases—current portion</w:t>
            </w:r>
          </w:p>
        </w:tc>
        <w:tc>
          <w:tcPr>
            <w:tcW w:w="380" w:type="dxa"/>
            <w:vAlign w:val="bottom"/>
            <w:tcBorders>
              <w:bottom w:val="single" w:sz="8" w:color="DBDBDB"/>
            </w:tcBorders>
            <w:shd w:val="clear" w:color="auto" w:fill="DBDBDB"/>
          </w:tcPr>
          <w:p>
            <w:pPr>
              <w:spacing w:after="0"/>
              <w:rPr>
                <w:sz w:val="16"/>
                <w:szCs w:val="16"/>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1.2</w:t>
            </w:r>
          </w:p>
        </w:tc>
        <w:tc>
          <w:tcPr>
            <w:tcW w:w="440" w:type="dxa"/>
            <w:vAlign w:val="bottom"/>
            <w:tcBorders>
              <w:bottom w:val="single" w:sz="8" w:color="DBDBDB"/>
            </w:tcBorders>
            <w:shd w:val="clear" w:color="auto" w:fill="DBDBDB"/>
          </w:tcPr>
          <w:p>
            <w:pPr>
              <w:spacing w:after="0"/>
              <w:rPr>
                <w:sz w:val="16"/>
                <w:szCs w:val="16"/>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1.2</w:t>
            </w:r>
          </w:p>
        </w:tc>
      </w:tr>
      <w:tr>
        <w:trPr>
          <w:trHeight w:val="158"/>
        </w:trPr>
        <w:tc>
          <w:tcPr>
            <w:tcW w:w="800" w:type="dxa"/>
            <w:vAlign w:val="bottom"/>
            <w:tcBorders>
              <w:top w:val="single" w:sz="8" w:color="auto"/>
            </w:tcBorders>
          </w:tcPr>
          <w:p>
            <w:pPr>
              <w:spacing w:after="0"/>
              <w:rPr>
                <w:sz w:val="13"/>
                <w:szCs w:val="13"/>
                <w:color w:val="auto"/>
              </w:rPr>
            </w:pPr>
          </w:p>
        </w:tc>
        <w:tc>
          <w:tcPr>
            <w:tcW w:w="6800" w:type="dxa"/>
            <w:vAlign w:val="bottom"/>
            <w:tcBorders>
              <w:top w:val="single" w:sz="8" w:color="auto"/>
            </w:tcBorders>
          </w:tcPr>
          <w:p>
            <w:pPr>
              <w:ind w:left="460"/>
              <w:spacing w:after="0"/>
              <w:rPr>
                <w:sz w:val="20"/>
                <w:szCs w:val="20"/>
                <w:color w:val="auto"/>
              </w:rPr>
            </w:pPr>
            <w:r>
              <w:rPr>
                <w:rFonts w:ascii="Arial" w:cs="Arial" w:eastAsia="Arial" w:hAnsi="Arial"/>
                <w:sz w:val="12"/>
                <w:szCs w:val="12"/>
                <w:color w:val="auto"/>
              </w:rPr>
              <w:t>Total current liabilities</w:t>
            </w:r>
          </w:p>
        </w:tc>
        <w:tc>
          <w:tcPr>
            <w:tcW w:w="3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95.5</w:t>
            </w:r>
          </w:p>
        </w:tc>
        <w:tc>
          <w:tcPr>
            <w:tcW w:w="4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101.7</w:t>
            </w: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76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Long-term debt, net of current portion</w:t>
            </w: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146.0</w:t>
            </w: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136.9</w:t>
            </w:r>
          </w:p>
        </w:tc>
      </w:tr>
      <w:tr>
        <w:trPr>
          <w:trHeight w:val="165"/>
        </w:trPr>
        <w:tc>
          <w:tcPr>
            <w:tcW w:w="7600" w:type="dxa"/>
            <w:vAlign w:val="bottom"/>
            <w:gridSpan w:val="2"/>
          </w:tcPr>
          <w:p>
            <w:pPr>
              <w:ind w:left="20"/>
              <w:spacing w:after="0"/>
              <w:rPr>
                <w:sz w:val="20"/>
                <w:szCs w:val="20"/>
                <w:color w:val="auto"/>
              </w:rPr>
            </w:pPr>
            <w:r>
              <w:rPr>
                <w:rFonts w:ascii="Arial" w:cs="Arial" w:eastAsia="Arial" w:hAnsi="Arial"/>
                <w:sz w:val="12"/>
                <w:szCs w:val="12"/>
                <w:color w:val="auto"/>
              </w:rPr>
              <w:t>Operating leases, net of current portion</w:t>
            </w:r>
          </w:p>
        </w:tc>
        <w:tc>
          <w:tcPr>
            <w:tcW w:w="380" w:type="dxa"/>
            <w:vAlign w:val="bottom"/>
          </w:tcPr>
          <w:p>
            <w:pPr>
              <w:spacing w:after="0"/>
              <w:rPr>
                <w:sz w:val="14"/>
                <w:szCs w:val="14"/>
                <w:color w:val="auto"/>
              </w:rPr>
            </w:pP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72.6</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63.9</w:t>
            </w: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76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Finance leases, net of current portion</w:t>
            </w: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15.3</w:t>
            </w: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1.4</w:t>
            </w:r>
          </w:p>
        </w:tc>
      </w:tr>
      <w:tr>
        <w:trPr>
          <w:trHeight w:val="165"/>
        </w:trPr>
        <w:tc>
          <w:tcPr>
            <w:tcW w:w="7600" w:type="dxa"/>
            <w:vAlign w:val="bottom"/>
            <w:gridSpan w:val="2"/>
          </w:tcPr>
          <w:p>
            <w:pPr>
              <w:ind w:left="20"/>
              <w:spacing w:after="0"/>
              <w:rPr>
                <w:sz w:val="20"/>
                <w:szCs w:val="20"/>
                <w:color w:val="auto"/>
              </w:rPr>
            </w:pPr>
            <w:r>
              <w:rPr>
                <w:rFonts w:ascii="Arial" w:cs="Arial" w:eastAsia="Arial" w:hAnsi="Arial"/>
                <w:sz w:val="12"/>
                <w:szCs w:val="12"/>
                <w:color w:val="auto"/>
              </w:rPr>
              <w:t>Income taxes payable</w:t>
            </w:r>
          </w:p>
        </w:tc>
        <w:tc>
          <w:tcPr>
            <w:tcW w:w="380" w:type="dxa"/>
            <w:vAlign w:val="bottom"/>
          </w:tcPr>
          <w:p>
            <w:pPr>
              <w:spacing w:after="0"/>
              <w:rPr>
                <w:sz w:val="14"/>
                <w:szCs w:val="14"/>
                <w:color w:val="auto"/>
              </w:rPr>
            </w:pP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3.1</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76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Deferred income tax liabilities, net</w:t>
            </w: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29.0</w:t>
            </w: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29.4</w:t>
            </w:r>
          </w:p>
        </w:tc>
      </w:tr>
      <w:tr>
        <w:trPr>
          <w:trHeight w:val="165"/>
        </w:trPr>
        <w:tc>
          <w:tcPr>
            <w:tcW w:w="7600" w:type="dxa"/>
            <w:vAlign w:val="bottom"/>
            <w:gridSpan w:val="2"/>
          </w:tcPr>
          <w:p>
            <w:pPr>
              <w:ind w:left="20"/>
              <w:spacing w:after="0"/>
              <w:rPr>
                <w:sz w:val="20"/>
                <w:szCs w:val="20"/>
                <w:color w:val="auto"/>
              </w:rPr>
            </w:pPr>
            <w:r>
              <w:rPr>
                <w:rFonts w:ascii="Arial" w:cs="Arial" w:eastAsia="Arial" w:hAnsi="Arial"/>
                <w:sz w:val="12"/>
                <w:szCs w:val="12"/>
                <w:color w:val="auto"/>
              </w:rPr>
              <w:t>Other long-term liabilities</w:t>
            </w:r>
          </w:p>
        </w:tc>
        <w:tc>
          <w:tcPr>
            <w:tcW w:w="380" w:type="dxa"/>
            <w:vAlign w:val="bottom"/>
          </w:tcPr>
          <w:p>
            <w:pPr>
              <w:spacing w:after="0"/>
              <w:rPr>
                <w:sz w:val="14"/>
                <w:szCs w:val="14"/>
                <w:color w:val="auto"/>
              </w:rPr>
            </w:pP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21.4</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20.2</w:t>
            </w:r>
          </w:p>
        </w:tc>
      </w:tr>
      <w:tr>
        <w:trPr>
          <w:trHeight w:val="28"/>
        </w:trPr>
        <w:tc>
          <w:tcPr>
            <w:tcW w:w="800" w:type="dxa"/>
            <w:vAlign w:val="bottom"/>
            <w:tcBorders>
              <w:bottom w:val="single" w:sz="8" w:color="auto"/>
            </w:tcBorders>
          </w:tcPr>
          <w:p>
            <w:pPr>
              <w:spacing w:after="0"/>
              <w:rPr>
                <w:sz w:val="2"/>
                <w:szCs w:val="2"/>
                <w:color w:val="auto"/>
              </w:rPr>
            </w:pPr>
          </w:p>
        </w:tc>
        <w:tc>
          <w:tcPr>
            <w:tcW w:w="6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66"/>
        </w:trPr>
        <w:tc>
          <w:tcPr>
            <w:tcW w:w="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Total liabilities</w:t>
            </w:r>
          </w:p>
        </w:tc>
        <w:tc>
          <w:tcPr>
            <w:tcW w:w="6800" w:type="dxa"/>
            <w:vAlign w:val="bottom"/>
            <w:tcBorders>
              <w:bottom w:val="single" w:sz="8" w:color="DBDBDB"/>
            </w:tcBorders>
            <w:shd w:val="clear" w:color="auto" w:fill="DBDBDB"/>
          </w:tcPr>
          <w:p>
            <w:pPr>
              <w:spacing w:after="0"/>
              <w:rPr>
                <w:sz w:val="14"/>
                <w:szCs w:val="14"/>
                <w:color w:val="auto"/>
              </w:rPr>
            </w:pPr>
          </w:p>
        </w:tc>
        <w:tc>
          <w:tcPr>
            <w:tcW w:w="380" w:type="dxa"/>
            <w:vAlign w:val="bottom"/>
            <w:tcBorders>
              <w:bottom w:val="single" w:sz="8" w:color="DBDBDB"/>
            </w:tcBorders>
            <w:shd w:val="clear" w:color="auto" w:fill="DBDBDB"/>
          </w:tcPr>
          <w:p>
            <w:pPr>
              <w:spacing w:after="0"/>
              <w:rPr>
                <w:sz w:val="14"/>
                <w:szCs w:val="14"/>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382.9</w:t>
            </w:r>
          </w:p>
        </w:tc>
        <w:tc>
          <w:tcPr>
            <w:tcW w:w="440" w:type="dxa"/>
            <w:vAlign w:val="bottom"/>
            <w:tcBorders>
              <w:bottom w:val="single" w:sz="8" w:color="DBDBDB"/>
            </w:tcBorders>
            <w:shd w:val="clear" w:color="auto" w:fill="DBDBDB"/>
          </w:tcPr>
          <w:p>
            <w:pPr>
              <w:spacing w:after="0"/>
              <w:rPr>
                <w:sz w:val="14"/>
                <w:szCs w:val="14"/>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356.6</w:t>
            </w:r>
          </w:p>
        </w:tc>
      </w:tr>
      <w:tr>
        <w:trPr>
          <w:trHeight w:val="165"/>
        </w:trPr>
        <w:tc>
          <w:tcPr>
            <w:tcW w:w="7600" w:type="dxa"/>
            <w:vAlign w:val="bottom"/>
            <w:gridSpan w:val="2"/>
          </w:tcPr>
          <w:p>
            <w:pPr>
              <w:ind w:left="20"/>
              <w:spacing w:after="0"/>
              <w:rPr>
                <w:sz w:val="20"/>
                <w:szCs w:val="20"/>
                <w:color w:val="auto"/>
              </w:rPr>
            </w:pPr>
            <w:r>
              <w:rPr>
                <w:rFonts w:ascii="Arial" w:cs="Arial" w:eastAsia="Arial" w:hAnsi="Arial"/>
                <w:sz w:val="12"/>
                <w:szCs w:val="12"/>
                <w:color w:val="auto"/>
              </w:rPr>
              <w:t>Commitments and contingencies (Note 6)</w:t>
            </w: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76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Shareholders’ Equity</w:t>
            </w: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spacing w:after="0"/>
              <w:rPr>
                <w:sz w:val="15"/>
                <w:szCs w:val="15"/>
                <w:color w:val="auto"/>
              </w:rPr>
            </w:pP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spacing w:after="0"/>
              <w:rPr>
                <w:sz w:val="15"/>
                <w:szCs w:val="15"/>
                <w:color w:val="auto"/>
              </w:rPr>
            </w:pPr>
          </w:p>
        </w:tc>
      </w:tr>
      <w:tr>
        <w:trPr>
          <w:trHeight w:val="162"/>
        </w:trPr>
        <w:tc>
          <w:tcPr>
            <w:tcW w:w="7600" w:type="dxa"/>
            <w:vAlign w:val="bottom"/>
            <w:gridSpan w:val="2"/>
          </w:tcPr>
          <w:p>
            <w:pPr>
              <w:ind w:left="440"/>
              <w:spacing w:after="0"/>
              <w:rPr>
                <w:sz w:val="20"/>
                <w:szCs w:val="20"/>
                <w:color w:val="auto"/>
              </w:rPr>
            </w:pPr>
            <w:r>
              <w:rPr>
                <w:rFonts w:ascii="Arial" w:cs="Arial" w:eastAsia="Arial" w:hAnsi="Arial"/>
                <w:sz w:val="12"/>
                <w:szCs w:val="12"/>
                <w:color w:val="auto"/>
              </w:rPr>
              <w:t>Common stock ($0.001 par value, 1,000,000,000 shares authorized; 70,733,090 and 70,669,535 shares issued and outstanding as of</w:t>
            </w:r>
          </w:p>
        </w:tc>
        <w:tc>
          <w:tcPr>
            <w:tcW w:w="380" w:type="dxa"/>
            <w:vAlign w:val="bottom"/>
          </w:tcPr>
          <w:p>
            <w:pPr>
              <w:spacing w:after="0"/>
              <w:rPr>
                <w:sz w:val="14"/>
                <w:szCs w:val="14"/>
                <w:color w:val="auto"/>
              </w:rPr>
            </w:pPr>
          </w:p>
        </w:tc>
        <w:tc>
          <w:tcPr>
            <w:tcW w:w="1480" w:type="dxa"/>
            <w:vAlign w:val="bottom"/>
          </w:tcPr>
          <w:p>
            <w:pPr>
              <w:jc w:val="right"/>
              <w:ind w:right="140"/>
              <w:spacing w:after="0"/>
              <w:rPr>
                <w:sz w:val="20"/>
                <w:szCs w:val="20"/>
                <w:color w:val="auto"/>
              </w:rPr>
            </w:pPr>
            <w:r>
              <w:rPr>
                <w:rFonts w:ascii="Arial" w:cs="Arial" w:eastAsia="Arial" w:hAnsi="Arial"/>
                <w:sz w:val="12"/>
                <w:szCs w:val="12"/>
                <w:color w:val="auto"/>
              </w:rPr>
              <w:t>0.1</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145"/>
        </w:trPr>
        <w:tc>
          <w:tcPr>
            <w:tcW w:w="7600" w:type="dxa"/>
            <w:vAlign w:val="bottom"/>
            <w:gridSpan w:val="2"/>
          </w:tcPr>
          <w:p>
            <w:pPr>
              <w:ind w:left="440"/>
              <w:spacing w:after="0"/>
              <w:rPr>
                <w:sz w:val="20"/>
                <w:szCs w:val="20"/>
                <w:color w:val="auto"/>
              </w:rPr>
            </w:pPr>
            <w:r>
              <w:rPr>
                <w:rFonts w:ascii="Arial" w:cs="Arial" w:eastAsia="Arial" w:hAnsi="Arial"/>
                <w:sz w:val="12"/>
                <w:szCs w:val="12"/>
                <w:color w:val="auto"/>
              </w:rPr>
              <w:t>January 31, 2023 and October 31, 2022, respectively)</w:t>
            </w:r>
          </w:p>
        </w:tc>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7600" w:type="dxa"/>
            <w:vAlign w:val="bottom"/>
            <w:tcBorders>
              <w:bottom w:val="single" w:sz="8" w:color="DBDBDB"/>
            </w:tcBorders>
            <w:gridSpan w:val="2"/>
            <w:shd w:val="clear" w:color="auto" w:fill="DBDBDB"/>
          </w:tcPr>
          <w:p>
            <w:pPr>
              <w:ind w:left="440"/>
              <w:spacing w:after="0"/>
              <w:rPr>
                <w:sz w:val="20"/>
                <w:szCs w:val="20"/>
                <w:color w:val="auto"/>
              </w:rPr>
            </w:pPr>
            <w:r>
              <w:rPr>
                <w:rFonts w:ascii="Arial" w:cs="Arial" w:eastAsia="Arial" w:hAnsi="Arial"/>
                <w:sz w:val="12"/>
                <w:szCs w:val="12"/>
                <w:color w:val="auto"/>
              </w:rPr>
              <w:t>Additional paid-in capital</w:t>
            </w:r>
          </w:p>
        </w:tc>
        <w:tc>
          <w:tcPr>
            <w:tcW w:w="380" w:type="dxa"/>
            <w:vAlign w:val="bottom"/>
            <w:tcBorders>
              <w:bottom w:val="single" w:sz="8" w:color="DBDBDB"/>
            </w:tcBorders>
            <w:shd w:val="clear" w:color="auto" w:fill="DBDBDB"/>
          </w:tcPr>
          <w:p>
            <w:pPr>
              <w:spacing w:after="0"/>
              <w:rPr>
                <w:sz w:val="15"/>
                <w:szCs w:val="15"/>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229.6</w:t>
            </w:r>
          </w:p>
        </w:tc>
        <w:tc>
          <w:tcPr>
            <w:tcW w:w="440" w:type="dxa"/>
            <w:vAlign w:val="bottom"/>
            <w:tcBorders>
              <w:bottom w:val="single" w:sz="8" w:color="DBDBDB"/>
            </w:tcBorders>
            <w:shd w:val="clear" w:color="auto" w:fill="DBDBDB"/>
          </w:tcPr>
          <w:p>
            <w:pPr>
              <w:spacing w:after="0"/>
              <w:rPr>
                <w:sz w:val="15"/>
                <w:szCs w:val="15"/>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229.3</w:t>
            </w:r>
          </w:p>
        </w:tc>
      </w:tr>
      <w:tr>
        <w:trPr>
          <w:trHeight w:val="165"/>
        </w:trPr>
        <w:tc>
          <w:tcPr>
            <w:tcW w:w="7600" w:type="dxa"/>
            <w:vAlign w:val="bottom"/>
            <w:gridSpan w:val="2"/>
          </w:tcPr>
          <w:p>
            <w:pPr>
              <w:ind w:left="440"/>
              <w:spacing w:after="0"/>
              <w:rPr>
                <w:sz w:val="20"/>
                <w:szCs w:val="20"/>
                <w:color w:val="auto"/>
              </w:rPr>
            </w:pPr>
            <w:r>
              <w:rPr>
                <w:rFonts w:ascii="Arial" w:cs="Arial" w:eastAsia="Arial" w:hAnsi="Arial"/>
                <w:sz w:val="12"/>
                <w:szCs w:val="12"/>
                <w:color w:val="auto"/>
              </w:rPr>
              <w:t>Accumulated other comprehensive loss</w:t>
            </w:r>
          </w:p>
        </w:tc>
        <w:tc>
          <w:tcPr>
            <w:tcW w:w="380" w:type="dxa"/>
            <w:vAlign w:val="bottom"/>
          </w:tcPr>
          <w:p>
            <w:pPr>
              <w:spacing w:after="0"/>
              <w:rPr>
                <w:sz w:val="14"/>
                <w:szCs w:val="14"/>
                <w:color w:val="auto"/>
              </w:rPr>
            </w:pPr>
          </w:p>
        </w:tc>
        <w:tc>
          <w:tcPr>
            <w:tcW w:w="1480" w:type="dxa"/>
            <w:vAlign w:val="bottom"/>
          </w:tcPr>
          <w:p>
            <w:pPr>
              <w:jc w:val="right"/>
              <w:ind w:right="100"/>
              <w:spacing w:after="0"/>
              <w:rPr>
                <w:sz w:val="20"/>
                <w:szCs w:val="20"/>
                <w:color w:val="auto"/>
              </w:rPr>
            </w:pPr>
            <w:r>
              <w:rPr>
                <w:rFonts w:ascii="Arial" w:cs="Arial" w:eastAsia="Arial" w:hAnsi="Arial"/>
                <w:sz w:val="12"/>
                <w:szCs w:val="12"/>
                <w:color w:val="auto"/>
              </w:rPr>
              <w:t>(1.2)</w:t>
            </w:r>
          </w:p>
        </w:tc>
        <w:tc>
          <w:tcPr>
            <w:tcW w:w="4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8"/>
        </w:trPr>
        <w:tc>
          <w:tcPr>
            <w:tcW w:w="7600" w:type="dxa"/>
            <w:vAlign w:val="bottom"/>
            <w:tcBorders>
              <w:bottom w:val="single" w:sz="8" w:color="DBDBDB"/>
            </w:tcBorders>
            <w:gridSpan w:val="2"/>
            <w:shd w:val="clear" w:color="auto" w:fill="DBDBDB"/>
          </w:tcPr>
          <w:p>
            <w:pPr>
              <w:ind w:left="440"/>
              <w:spacing w:after="0"/>
              <w:rPr>
                <w:sz w:val="20"/>
                <w:szCs w:val="20"/>
                <w:color w:val="auto"/>
              </w:rPr>
            </w:pPr>
            <w:r>
              <w:rPr>
                <w:rFonts w:ascii="Arial" w:cs="Arial" w:eastAsia="Arial" w:hAnsi="Arial"/>
                <w:sz w:val="12"/>
                <w:szCs w:val="12"/>
                <w:color w:val="auto"/>
              </w:rPr>
              <w:t>Retained earnings</w:t>
            </w:r>
          </w:p>
        </w:tc>
        <w:tc>
          <w:tcPr>
            <w:tcW w:w="380" w:type="dxa"/>
            <w:vAlign w:val="bottom"/>
            <w:tcBorders>
              <w:bottom w:val="single" w:sz="8" w:color="DBDBDB"/>
            </w:tcBorders>
            <w:shd w:val="clear" w:color="auto" w:fill="DBDBDB"/>
          </w:tcPr>
          <w:p>
            <w:pPr>
              <w:spacing w:after="0"/>
              <w:rPr>
                <w:sz w:val="16"/>
                <w:szCs w:val="16"/>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265.6</w:t>
            </w:r>
          </w:p>
        </w:tc>
        <w:tc>
          <w:tcPr>
            <w:tcW w:w="440" w:type="dxa"/>
            <w:vAlign w:val="bottom"/>
            <w:tcBorders>
              <w:bottom w:val="single" w:sz="8" w:color="DBDBDB"/>
            </w:tcBorders>
            <w:shd w:val="clear" w:color="auto" w:fill="DBDBDB"/>
          </w:tcPr>
          <w:p>
            <w:pPr>
              <w:spacing w:after="0"/>
              <w:rPr>
                <w:sz w:val="16"/>
                <w:szCs w:val="16"/>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274.4</w:t>
            </w:r>
          </w:p>
        </w:tc>
      </w:tr>
      <w:tr>
        <w:trPr>
          <w:trHeight w:val="158"/>
        </w:trPr>
        <w:tc>
          <w:tcPr>
            <w:tcW w:w="800" w:type="dxa"/>
            <w:vAlign w:val="bottom"/>
            <w:tcBorders>
              <w:top w:val="single" w:sz="8" w:color="auto"/>
            </w:tcBorders>
          </w:tcPr>
          <w:p>
            <w:pPr>
              <w:spacing w:after="0"/>
              <w:rPr>
                <w:sz w:val="13"/>
                <w:szCs w:val="13"/>
                <w:color w:val="auto"/>
              </w:rPr>
            </w:pPr>
          </w:p>
        </w:tc>
        <w:tc>
          <w:tcPr>
            <w:tcW w:w="6800" w:type="dxa"/>
            <w:vAlign w:val="bottom"/>
            <w:tcBorders>
              <w:top w:val="single" w:sz="8" w:color="auto"/>
            </w:tcBorders>
          </w:tcPr>
          <w:p>
            <w:pPr>
              <w:ind w:left="460"/>
              <w:spacing w:after="0"/>
              <w:rPr>
                <w:sz w:val="20"/>
                <w:szCs w:val="20"/>
                <w:color w:val="auto"/>
              </w:rPr>
            </w:pPr>
            <w:r>
              <w:rPr>
                <w:rFonts w:ascii="Arial" w:cs="Arial" w:eastAsia="Arial" w:hAnsi="Arial"/>
                <w:sz w:val="12"/>
                <w:szCs w:val="12"/>
                <w:color w:val="auto"/>
              </w:rPr>
              <w:t>Mission Produce shareholders' equity</w:t>
            </w:r>
          </w:p>
        </w:tc>
        <w:tc>
          <w:tcPr>
            <w:tcW w:w="3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494.1</w:t>
            </w:r>
          </w:p>
        </w:tc>
        <w:tc>
          <w:tcPr>
            <w:tcW w:w="4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502.1</w:t>
            </w:r>
          </w:p>
        </w:tc>
      </w:tr>
      <w:tr>
        <w:trPr>
          <w:trHeight w:val="28"/>
        </w:trPr>
        <w:tc>
          <w:tcPr>
            <w:tcW w:w="76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8"/>
        </w:trPr>
        <w:tc>
          <w:tcPr>
            <w:tcW w:w="76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Noncontrolling interest</w:t>
            </w:r>
          </w:p>
        </w:tc>
        <w:tc>
          <w:tcPr>
            <w:tcW w:w="380" w:type="dxa"/>
            <w:vAlign w:val="bottom"/>
            <w:tcBorders>
              <w:bottom w:val="single" w:sz="8" w:color="DBDBDB"/>
            </w:tcBorders>
            <w:shd w:val="clear" w:color="auto" w:fill="DBDBDB"/>
          </w:tcPr>
          <w:p>
            <w:pPr>
              <w:spacing w:after="0"/>
              <w:rPr>
                <w:sz w:val="16"/>
                <w:szCs w:val="16"/>
                <w:color w:val="auto"/>
              </w:rPr>
            </w:pP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20.0</w:t>
            </w:r>
          </w:p>
        </w:tc>
        <w:tc>
          <w:tcPr>
            <w:tcW w:w="440" w:type="dxa"/>
            <w:vAlign w:val="bottom"/>
            <w:tcBorders>
              <w:bottom w:val="single" w:sz="8" w:color="DBDBDB"/>
            </w:tcBorders>
            <w:shd w:val="clear" w:color="auto" w:fill="DBDBDB"/>
          </w:tcPr>
          <w:p>
            <w:pPr>
              <w:spacing w:after="0"/>
              <w:rPr>
                <w:sz w:val="16"/>
                <w:szCs w:val="16"/>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20.8</w:t>
            </w:r>
          </w:p>
        </w:tc>
      </w:tr>
      <w:tr>
        <w:trPr>
          <w:trHeight w:val="158"/>
        </w:trPr>
        <w:tc>
          <w:tcPr>
            <w:tcW w:w="800" w:type="dxa"/>
            <w:vAlign w:val="bottom"/>
            <w:tcBorders>
              <w:top w:val="single" w:sz="8" w:color="auto"/>
            </w:tcBorders>
          </w:tcPr>
          <w:p>
            <w:pPr>
              <w:spacing w:after="0"/>
              <w:rPr>
                <w:sz w:val="13"/>
                <w:szCs w:val="13"/>
                <w:color w:val="auto"/>
              </w:rPr>
            </w:pPr>
          </w:p>
        </w:tc>
        <w:tc>
          <w:tcPr>
            <w:tcW w:w="6800" w:type="dxa"/>
            <w:vAlign w:val="bottom"/>
            <w:tcBorders>
              <w:top w:val="single" w:sz="8" w:color="auto"/>
            </w:tcBorders>
          </w:tcPr>
          <w:p>
            <w:pPr>
              <w:ind w:left="460"/>
              <w:spacing w:after="0"/>
              <w:rPr>
                <w:sz w:val="20"/>
                <w:szCs w:val="20"/>
                <w:color w:val="auto"/>
              </w:rPr>
            </w:pPr>
            <w:r>
              <w:rPr>
                <w:rFonts w:ascii="Arial" w:cs="Arial" w:eastAsia="Arial" w:hAnsi="Arial"/>
                <w:sz w:val="12"/>
                <w:szCs w:val="12"/>
                <w:color w:val="auto"/>
              </w:rPr>
              <w:t>Total equity</w:t>
            </w:r>
          </w:p>
        </w:tc>
        <w:tc>
          <w:tcPr>
            <w:tcW w:w="3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514.1</w:t>
            </w:r>
          </w:p>
        </w:tc>
        <w:tc>
          <w:tcPr>
            <w:tcW w:w="4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522.9</w:t>
            </w:r>
          </w:p>
        </w:tc>
      </w:tr>
      <w:tr>
        <w:trPr>
          <w:trHeight w:val="28"/>
        </w:trPr>
        <w:tc>
          <w:tcPr>
            <w:tcW w:w="7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66"/>
        </w:trPr>
        <w:tc>
          <w:tcPr>
            <w:tcW w:w="76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2"/>
                <w:szCs w:val="12"/>
                <w:color w:val="auto"/>
              </w:rPr>
              <w:t>Total liabilities and equity</w:t>
            </w:r>
          </w:p>
        </w:tc>
        <w:tc>
          <w:tcPr>
            <w:tcW w:w="38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w:t>
            </w:r>
          </w:p>
        </w:tc>
        <w:tc>
          <w:tcPr>
            <w:tcW w:w="148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2"/>
                <w:szCs w:val="12"/>
                <w:color w:val="auto"/>
              </w:rPr>
              <w:t>897.0</w:t>
            </w:r>
          </w:p>
        </w:tc>
        <w:tc>
          <w:tcPr>
            <w:tcW w:w="44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879.5</w:t>
            </w:r>
          </w:p>
        </w:tc>
      </w:tr>
      <w:tr>
        <w:trPr>
          <w:trHeight w:val="20"/>
        </w:trPr>
        <w:tc>
          <w:tcPr>
            <w:tcW w:w="800" w:type="dxa"/>
            <w:vAlign w:val="bottom"/>
            <w:shd w:val="clear" w:color="auto" w:fill="000000"/>
          </w:tcPr>
          <w:p>
            <w:pPr>
              <w:spacing w:after="0" w:line="20" w:lineRule="exact"/>
              <w:rPr>
                <w:sz w:val="1"/>
                <w:szCs w:val="1"/>
                <w:color w:val="auto"/>
              </w:rPr>
            </w:pPr>
          </w:p>
        </w:tc>
        <w:tc>
          <w:tcPr>
            <w:tcW w:w="6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ectPr>
          <w:pgSz w:w="11900" w:h="16838" w:orient="portrait"/>
          <w:cols w:equalWidth="0" w:num="1">
            <w:col w:w="11240"/>
          </w:cols>
          <w:pgMar w:left="320" w:top="84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type w:val="continuous"/>
        </w:sectPr>
      </w:pPr>
    </w:p>
    <w:bookmarkStart w:id="5" w:name="page6"/>
    <w:bookmarkEnd w:id="5"/>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STATEMENTS OF LOSS (UNAUDITED)</w:t>
      </w: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r>
      <w:tr>
        <w:trPr>
          <w:trHeight w:val="180"/>
        </w:trPr>
        <w:tc>
          <w:tcPr>
            <w:tcW w:w="7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gridSpan w:val="2"/>
          </w:tcPr>
          <w:p>
            <w:pPr>
              <w:jc w:val="right"/>
              <w:ind w:right="551"/>
              <w:spacing w:after="0"/>
              <w:rPr>
                <w:sz w:val="20"/>
                <w:szCs w:val="20"/>
                <w:color w:val="auto"/>
              </w:rPr>
            </w:pPr>
            <w:r>
              <w:rPr>
                <w:rFonts w:ascii="Arial" w:cs="Arial" w:eastAsia="Arial" w:hAnsi="Arial"/>
                <w:sz w:val="14"/>
                <w:szCs w:val="14"/>
                <w:b w:val="1"/>
                <w:bCs w:val="1"/>
                <w:color w:val="auto"/>
              </w:rPr>
              <w:t>January 31,</w:t>
            </w:r>
          </w:p>
        </w:tc>
        <w:tc>
          <w:tcPr>
            <w:tcW w:w="780" w:type="dxa"/>
            <w:vAlign w:val="bottom"/>
          </w:tcPr>
          <w:p>
            <w:pPr>
              <w:spacing w:after="0"/>
              <w:rPr>
                <w:sz w:val="15"/>
                <w:szCs w:val="15"/>
                <w:color w:val="auto"/>
              </w:rPr>
            </w:pPr>
          </w:p>
        </w:tc>
      </w:tr>
      <w:tr>
        <w:trPr>
          <w:trHeight w:val="24"/>
        </w:trPr>
        <w:tc>
          <w:tcPr>
            <w:tcW w:w="7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per share amounts)</w:t>
            </w:r>
          </w:p>
        </w:tc>
        <w:tc>
          <w:tcPr>
            <w:tcW w:w="560" w:type="dxa"/>
            <w:vAlign w:val="bottom"/>
          </w:tcPr>
          <w:p>
            <w:pPr>
              <w:spacing w:after="0"/>
              <w:rPr>
                <w:sz w:val="16"/>
                <w:szCs w:val="16"/>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b w:val="1"/>
                <w:bCs w:val="1"/>
                <w:color w:val="auto"/>
              </w:rPr>
              <w:t>2023</w:t>
            </w:r>
          </w:p>
        </w:tc>
        <w:tc>
          <w:tcPr>
            <w:tcW w:w="1000" w:type="dxa"/>
            <w:vAlign w:val="bottom"/>
          </w:tcPr>
          <w:p>
            <w:pPr>
              <w:spacing w:after="0"/>
              <w:rPr>
                <w:sz w:val="16"/>
                <w:szCs w:val="16"/>
                <w:color w:val="auto"/>
              </w:rPr>
            </w:pPr>
          </w:p>
        </w:tc>
        <w:tc>
          <w:tcPr>
            <w:tcW w:w="780" w:type="dxa"/>
            <w:vAlign w:val="bottom"/>
          </w:tcPr>
          <w:p>
            <w:pPr>
              <w:jc w:val="right"/>
              <w:ind w:right="71"/>
              <w:spacing w:after="0"/>
              <w:rPr>
                <w:sz w:val="20"/>
                <w:szCs w:val="20"/>
                <w:color w:val="auto"/>
              </w:rPr>
            </w:pPr>
            <w:r>
              <w:rPr>
                <w:rFonts w:ascii="Arial" w:cs="Arial" w:eastAsia="Arial" w:hAnsi="Arial"/>
                <w:sz w:val="14"/>
                <w:szCs w:val="14"/>
                <w:b w:val="1"/>
                <w:bCs w:val="1"/>
                <w:color w:val="auto"/>
              </w:rPr>
              <w:t>2022</w:t>
            </w:r>
          </w:p>
        </w:tc>
      </w:tr>
      <w:tr>
        <w:trPr>
          <w:trHeight w:val="24"/>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213.5</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216.6</w:t>
            </w:r>
          </w:p>
        </w:tc>
      </w:tr>
      <w:tr>
        <w:trPr>
          <w:trHeight w:val="195"/>
        </w:trPr>
        <w:tc>
          <w:tcPr>
            <w:tcW w:w="770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560" w:type="dxa"/>
            <w:vAlign w:val="bottom"/>
          </w:tcPr>
          <w:p>
            <w:pPr>
              <w:spacing w:after="0"/>
              <w:rPr>
                <w:sz w:val="16"/>
                <w:szCs w:val="16"/>
                <w:color w:val="auto"/>
              </w:rPr>
            </w:pPr>
          </w:p>
        </w:tc>
        <w:tc>
          <w:tcPr>
            <w:tcW w:w="1180" w:type="dxa"/>
            <w:vAlign w:val="bottom"/>
          </w:tcPr>
          <w:p>
            <w:pPr>
              <w:jc w:val="right"/>
              <w:ind w:right="71"/>
              <w:spacing w:after="0"/>
              <w:rPr>
                <w:sz w:val="20"/>
                <w:szCs w:val="20"/>
                <w:color w:val="auto"/>
              </w:rPr>
            </w:pPr>
            <w:r>
              <w:rPr>
                <w:rFonts w:ascii="Arial" w:cs="Arial" w:eastAsia="Arial" w:hAnsi="Arial"/>
                <w:sz w:val="14"/>
                <w:szCs w:val="14"/>
                <w:color w:val="auto"/>
              </w:rPr>
              <w:t>204.5</w:t>
            </w:r>
          </w:p>
        </w:tc>
        <w:tc>
          <w:tcPr>
            <w:tcW w:w="100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216.1</w:t>
            </w:r>
          </w:p>
        </w:tc>
      </w:tr>
      <w:tr>
        <w:trPr>
          <w:trHeight w:val="24"/>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56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9.0</w:t>
            </w:r>
          </w:p>
        </w:tc>
        <w:tc>
          <w:tcPr>
            <w:tcW w:w="100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0.5</w:t>
            </w:r>
          </w:p>
        </w:tc>
      </w:tr>
      <w:tr>
        <w:trPr>
          <w:trHeight w:val="195"/>
        </w:trPr>
        <w:tc>
          <w:tcPr>
            <w:tcW w:w="770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560" w:type="dxa"/>
            <w:vAlign w:val="bottom"/>
          </w:tcPr>
          <w:p>
            <w:pPr>
              <w:spacing w:after="0"/>
              <w:rPr>
                <w:sz w:val="16"/>
                <w:szCs w:val="16"/>
                <w:color w:val="auto"/>
              </w:rPr>
            </w:pPr>
          </w:p>
        </w:tc>
        <w:tc>
          <w:tcPr>
            <w:tcW w:w="1180" w:type="dxa"/>
            <w:vAlign w:val="bottom"/>
          </w:tcPr>
          <w:p>
            <w:pPr>
              <w:jc w:val="right"/>
              <w:ind w:right="71"/>
              <w:spacing w:after="0"/>
              <w:rPr>
                <w:sz w:val="20"/>
                <w:szCs w:val="20"/>
                <w:color w:val="auto"/>
              </w:rPr>
            </w:pPr>
            <w:r>
              <w:rPr>
                <w:rFonts w:ascii="Arial" w:cs="Arial" w:eastAsia="Arial" w:hAnsi="Arial"/>
                <w:sz w:val="14"/>
                <w:szCs w:val="14"/>
                <w:color w:val="auto"/>
              </w:rPr>
              <w:t>19.1</w:t>
            </w:r>
          </w:p>
        </w:tc>
        <w:tc>
          <w:tcPr>
            <w:tcW w:w="100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18.7</w:t>
            </w:r>
          </w:p>
        </w:tc>
      </w:tr>
      <w:tr>
        <w:trPr>
          <w:trHeight w:val="24"/>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Operating loss</w:t>
            </w:r>
          </w:p>
        </w:tc>
        <w:tc>
          <w:tcPr>
            <w:tcW w:w="56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(10.1)</w:t>
            </w:r>
          </w:p>
        </w:tc>
        <w:tc>
          <w:tcPr>
            <w:tcW w:w="100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(18.2)</w:t>
            </w:r>
          </w:p>
        </w:tc>
      </w:tr>
      <w:tr>
        <w:trPr>
          <w:trHeight w:val="195"/>
        </w:trPr>
        <w:tc>
          <w:tcPr>
            <w:tcW w:w="77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60" w:type="dxa"/>
            <w:vAlign w:val="bottom"/>
          </w:tcPr>
          <w:p>
            <w:pPr>
              <w:spacing w:after="0"/>
              <w:rPr>
                <w:sz w:val="16"/>
                <w:szCs w:val="16"/>
                <w:color w:val="auto"/>
              </w:rPr>
            </w:pPr>
          </w:p>
        </w:tc>
        <w:tc>
          <w:tcPr>
            <w:tcW w:w="1180" w:type="dxa"/>
            <w:vAlign w:val="bottom"/>
          </w:tcPr>
          <w:p>
            <w:pPr>
              <w:jc w:val="right"/>
              <w:ind w:right="31"/>
              <w:spacing w:after="0"/>
              <w:rPr>
                <w:sz w:val="20"/>
                <w:szCs w:val="20"/>
                <w:color w:val="auto"/>
              </w:rPr>
            </w:pPr>
            <w:r>
              <w:rPr>
                <w:rFonts w:ascii="Arial" w:cs="Arial" w:eastAsia="Arial" w:hAnsi="Arial"/>
                <w:sz w:val="14"/>
                <w:szCs w:val="14"/>
                <w:color w:val="auto"/>
              </w:rPr>
              <w:t>(2.4)</w:t>
            </w:r>
          </w:p>
        </w:tc>
        <w:tc>
          <w:tcPr>
            <w:tcW w:w="10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4"/>
        </w:trPr>
        <w:tc>
          <w:tcPr>
            <w:tcW w:w="7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9"/>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6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1.0</w:t>
            </w:r>
          </w:p>
        </w:tc>
        <w:tc>
          <w:tcPr>
            <w:tcW w:w="10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1.6</w:t>
            </w:r>
          </w:p>
        </w:tc>
      </w:tr>
      <w:tr>
        <w:trPr>
          <w:trHeight w:val="195"/>
        </w:trPr>
        <w:tc>
          <w:tcPr>
            <w:tcW w:w="7700" w:type="dxa"/>
            <w:vAlign w:val="bottom"/>
          </w:tcPr>
          <w:p>
            <w:pPr>
              <w:ind w:left="20"/>
              <w:spacing w:after="0"/>
              <w:rPr>
                <w:sz w:val="20"/>
                <w:szCs w:val="20"/>
                <w:color w:val="auto"/>
              </w:rPr>
            </w:pPr>
            <w:r>
              <w:rPr>
                <w:rFonts w:ascii="Arial" w:cs="Arial" w:eastAsia="Arial" w:hAnsi="Arial"/>
                <w:sz w:val="14"/>
                <w:szCs w:val="14"/>
                <w:color w:val="auto"/>
              </w:rPr>
              <w:t>Other (expense) income, net</w:t>
            </w:r>
          </w:p>
        </w:tc>
        <w:tc>
          <w:tcPr>
            <w:tcW w:w="560" w:type="dxa"/>
            <w:vAlign w:val="bottom"/>
          </w:tcPr>
          <w:p>
            <w:pPr>
              <w:spacing w:after="0"/>
              <w:rPr>
                <w:sz w:val="16"/>
                <w:szCs w:val="16"/>
                <w:color w:val="auto"/>
              </w:rPr>
            </w:pPr>
          </w:p>
        </w:tc>
        <w:tc>
          <w:tcPr>
            <w:tcW w:w="1180" w:type="dxa"/>
            <w:vAlign w:val="bottom"/>
          </w:tcPr>
          <w:p>
            <w:pPr>
              <w:jc w:val="right"/>
              <w:ind w:right="31"/>
              <w:spacing w:after="0"/>
              <w:rPr>
                <w:sz w:val="20"/>
                <w:szCs w:val="20"/>
                <w:color w:val="auto"/>
              </w:rPr>
            </w:pPr>
            <w:r>
              <w:rPr>
                <w:rFonts w:ascii="Arial" w:cs="Arial" w:eastAsia="Arial" w:hAnsi="Arial"/>
                <w:sz w:val="14"/>
                <w:szCs w:val="14"/>
                <w:color w:val="auto"/>
              </w:rPr>
              <w:t>(0.8)</w:t>
            </w:r>
          </w:p>
        </w:tc>
        <w:tc>
          <w:tcPr>
            <w:tcW w:w="100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1.6</w:t>
            </w:r>
          </w:p>
        </w:tc>
      </w:tr>
      <w:tr>
        <w:trPr>
          <w:trHeight w:val="24"/>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Loss before income taxes</w:t>
            </w:r>
          </w:p>
        </w:tc>
        <w:tc>
          <w:tcPr>
            <w:tcW w:w="56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(12.3)</w:t>
            </w:r>
          </w:p>
        </w:tc>
        <w:tc>
          <w:tcPr>
            <w:tcW w:w="100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(15.9)</w:t>
            </w:r>
          </w:p>
        </w:tc>
      </w:tr>
      <w:tr>
        <w:trPr>
          <w:trHeight w:val="195"/>
        </w:trPr>
        <w:tc>
          <w:tcPr>
            <w:tcW w:w="770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560" w:type="dxa"/>
            <w:vAlign w:val="bottom"/>
          </w:tcPr>
          <w:p>
            <w:pPr>
              <w:spacing w:after="0"/>
              <w:rPr>
                <w:sz w:val="16"/>
                <w:szCs w:val="16"/>
                <w:color w:val="auto"/>
              </w:rPr>
            </w:pPr>
          </w:p>
        </w:tc>
        <w:tc>
          <w:tcPr>
            <w:tcW w:w="1180" w:type="dxa"/>
            <w:vAlign w:val="bottom"/>
          </w:tcPr>
          <w:p>
            <w:pPr>
              <w:jc w:val="right"/>
              <w:ind w:right="31"/>
              <w:spacing w:after="0"/>
              <w:rPr>
                <w:sz w:val="20"/>
                <w:szCs w:val="20"/>
                <w:color w:val="auto"/>
              </w:rPr>
            </w:pPr>
            <w:r>
              <w:rPr>
                <w:rFonts w:ascii="Arial" w:cs="Arial" w:eastAsia="Arial" w:hAnsi="Arial"/>
                <w:sz w:val="14"/>
                <w:szCs w:val="14"/>
                <w:color w:val="auto"/>
              </w:rPr>
              <w:t>(1.7)</w:t>
            </w:r>
          </w:p>
        </w:tc>
        <w:tc>
          <w:tcPr>
            <w:tcW w:w="10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4"/>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(10.6)</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(13.4)</w:t>
            </w:r>
          </w:p>
        </w:tc>
      </w:tr>
      <w:tr>
        <w:trPr>
          <w:trHeight w:val="195"/>
        </w:trPr>
        <w:tc>
          <w:tcPr>
            <w:tcW w:w="7700" w:type="dxa"/>
            <w:vAlign w:val="bottom"/>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560" w:type="dxa"/>
            <w:vAlign w:val="bottom"/>
          </w:tcPr>
          <w:p>
            <w:pPr>
              <w:spacing w:after="0"/>
              <w:rPr>
                <w:sz w:val="16"/>
                <w:szCs w:val="16"/>
                <w:color w:val="auto"/>
              </w:rPr>
            </w:pPr>
          </w:p>
        </w:tc>
        <w:tc>
          <w:tcPr>
            <w:tcW w:w="1180" w:type="dxa"/>
            <w:vAlign w:val="bottom"/>
          </w:tcPr>
          <w:p>
            <w:pPr>
              <w:jc w:val="right"/>
              <w:ind w:right="31"/>
              <w:spacing w:after="0"/>
              <w:rPr>
                <w:sz w:val="20"/>
                <w:szCs w:val="20"/>
                <w:color w:val="auto"/>
              </w:rPr>
            </w:pPr>
            <w:r>
              <w:rPr>
                <w:rFonts w:ascii="Arial" w:cs="Arial" w:eastAsia="Arial" w:hAnsi="Arial"/>
                <w:sz w:val="14"/>
                <w:szCs w:val="14"/>
                <w:color w:val="auto"/>
              </w:rPr>
              <w:t>(1.8)</w:t>
            </w:r>
          </w:p>
        </w:tc>
        <w:tc>
          <w:tcPr>
            <w:tcW w:w="100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4"/>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 attributable to Mission Produce</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(8.8)</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(13.4)</w:t>
            </w:r>
          </w:p>
        </w:tc>
      </w:tr>
      <w:tr>
        <w:trPr>
          <w:trHeight w:val="206"/>
        </w:trPr>
        <w:tc>
          <w:tcPr>
            <w:tcW w:w="7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9"/>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 per share attributable to Mission Produce:</w:t>
            </w:r>
          </w:p>
        </w:tc>
        <w:tc>
          <w:tcPr>
            <w:tcW w:w="56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r>
      <w:tr>
        <w:trPr>
          <w:trHeight w:val="195"/>
        </w:trPr>
        <w:tc>
          <w:tcPr>
            <w:tcW w:w="7700" w:type="dxa"/>
            <w:vAlign w:val="bottom"/>
          </w:tcPr>
          <w:p>
            <w:pPr>
              <w:ind w:left="320"/>
              <w:spacing w:after="0"/>
              <w:rPr>
                <w:sz w:val="20"/>
                <w:szCs w:val="20"/>
                <w:color w:val="auto"/>
              </w:rPr>
            </w:pPr>
            <w:r>
              <w:rPr>
                <w:rFonts w:ascii="Arial" w:cs="Arial" w:eastAsia="Arial" w:hAnsi="Arial"/>
                <w:sz w:val="14"/>
                <w:szCs w:val="14"/>
                <w:color w:val="auto"/>
              </w:rPr>
              <w:t>Basic</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31"/>
              <w:spacing w:after="0"/>
              <w:rPr>
                <w:sz w:val="20"/>
                <w:szCs w:val="20"/>
                <w:color w:val="auto"/>
              </w:rPr>
            </w:pPr>
            <w:r>
              <w:rPr>
                <w:rFonts w:ascii="Arial" w:cs="Arial" w:eastAsia="Arial" w:hAnsi="Arial"/>
                <w:sz w:val="14"/>
                <w:szCs w:val="14"/>
                <w:color w:val="auto"/>
              </w:rPr>
              <w:t>(0.12)</w:t>
            </w:r>
          </w:p>
        </w:tc>
        <w:tc>
          <w:tcPr>
            <w:tcW w:w="100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(0.19)</w:t>
            </w:r>
          </w:p>
        </w:tc>
      </w:tr>
      <w:tr>
        <w:trPr>
          <w:trHeight w:val="24"/>
        </w:trPr>
        <w:tc>
          <w:tcPr>
            <w:tcW w:w="7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9"/>
        </w:trPr>
        <w:tc>
          <w:tcPr>
            <w:tcW w:w="770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Diluted</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(0.12)</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(0.19)</w:t>
            </w:r>
          </w:p>
        </w:tc>
      </w:tr>
      <w:tr>
        <w:trPr>
          <w:trHeight w:val="20"/>
        </w:trPr>
        <w:tc>
          <w:tcPr>
            <w:tcW w:w="77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STATEMENTS OF COMPREHENSIVE LOSS (UNAUDITED)</w:t>
      </w: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r>
      <w:tr>
        <w:trPr>
          <w:trHeight w:val="180"/>
        </w:trPr>
        <w:tc>
          <w:tcPr>
            <w:tcW w:w="7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gridSpan w:val="2"/>
          </w:tcPr>
          <w:p>
            <w:pPr>
              <w:jc w:val="right"/>
              <w:ind w:right="551"/>
              <w:spacing w:after="0"/>
              <w:rPr>
                <w:sz w:val="20"/>
                <w:szCs w:val="20"/>
                <w:color w:val="auto"/>
              </w:rPr>
            </w:pPr>
            <w:r>
              <w:rPr>
                <w:rFonts w:ascii="Arial" w:cs="Arial" w:eastAsia="Arial" w:hAnsi="Arial"/>
                <w:sz w:val="14"/>
                <w:szCs w:val="14"/>
                <w:b w:val="1"/>
                <w:bCs w:val="1"/>
                <w:color w:val="auto"/>
              </w:rPr>
              <w:t>January 31,</w:t>
            </w:r>
          </w:p>
        </w:tc>
        <w:tc>
          <w:tcPr>
            <w:tcW w:w="780" w:type="dxa"/>
            <w:vAlign w:val="bottom"/>
          </w:tcPr>
          <w:p>
            <w:pPr>
              <w:spacing w:after="0"/>
              <w:rPr>
                <w:sz w:val="15"/>
                <w:szCs w:val="15"/>
                <w:color w:val="auto"/>
              </w:rPr>
            </w:pPr>
          </w:p>
        </w:tc>
      </w:tr>
      <w:tr>
        <w:trPr>
          <w:trHeight w:val="24"/>
        </w:trPr>
        <w:tc>
          <w:tcPr>
            <w:tcW w:w="7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6"/>
                <w:szCs w:val="16"/>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b w:val="1"/>
                <w:bCs w:val="1"/>
                <w:color w:val="auto"/>
              </w:rPr>
              <w:t>2023</w:t>
            </w:r>
          </w:p>
        </w:tc>
        <w:tc>
          <w:tcPr>
            <w:tcW w:w="1000" w:type="dxa"/>
            <w:vAlign w:val="bottom"/>
          </w:tcPr>
          <w:p>
            <w:pPr>
              <w:spacing w:after="0"/>
              <w:rPr>
                <w:sz w:val="16"/>
                <w:szCs w:val="16"/>
                <w:color w:val="auto"/>
              </w:rPr>
            </w:pPr>
          </w:p>
        </w:tc>
        <w:tc>
          <w:tcPr>
            <w:tcW w:w="780" w:type="dxa"/>
            <w:vAlign w:val="bottom"/>
          </w:tcPr>
          <w:p>
            <w:pPr>
              <w:jc w:val="right"/>
              <w:ind w:right="71"/>
              <w:spacing w:after="0"/>
              <w:rPr>
                <w:sz w:val="20"/>
                <w:szCs w:val="20"/>
                <w:color w:val="auto"/>
              </w:rPr>
            </w:pPr>
            <w:r>
              <w:rPr>
                <w:rFonts w:ascii="Arial" w:cs="Arial" w:eastAsia="Arial" w:hAnsi="Arial"/>
                <w:sz w:val="14"/>
                <w:szCs w:val="14"/>
                <w:b w:val="1"/>
                <w:bCs w:val="1"/>
                <w:color w:val="auto"/>
              </w:rPr>
              <w:t>2022</w:t>
            </w:r>
          </w:p>
        </w:tc>
      </w:tr>
      <w:tr>
        <w:trPr>
          <w:trHeight w:val="24"/>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(10.6)</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(13.4)</w:t>
            </w:r>
          </w:p>
        </w:tc>
      </w:tr>
      <w:tr>
        <w:trPr>
          <w:trHeight w:val="195"/>
        </w:trPr>
        <w:tc>
          <w:tcPr>
            <w:tcW w:w="770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
        </w:trPr>
        <w:tc>
          <w:tcPr>
            <w:tcW w:w="7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4"/>
        </w:trPr>
        <w:tc>
          <w:tcPr>
            <w:tcW w:w="770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Foreign currency translation adjustments</w:t>
            </w:r>
          </w:p>
        </w:tc>
        <w:tc>
          <w:tcPr>
            <w:tcW w:w="56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0.5</w:t>
            </w:r>
          </w:p>
        </w:tc>
        <w:tc>
          <w:tcPr>
            <w:tcW w:w="100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(0.3)</w:t>
            </w:r>
          </w:p>
        </w:tc>
      </w:tr>
      <w:tr>
        <w:trPr>
          <w:trHeight w:val="188"/>
        </w:trPr>
        <w:tc>
          <w:tcPr>
            <w:tcW w:w="7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comprehensive loss, net of tax</w:t>
            </w:r>
          </w:p>
        </w:tc>
        <w:tc>
          <w:tcPr>
            <w:tcW w:w="5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(10.1)</w:t>
            </w:r>
          </w:p>
        </w:tc>
        <w:tc>
          <w:tcPr>
            <w:tcW w:w="10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w:t>
            </w:r>
          </w:p>
        </w:tc>
      </w:tr>
      <w:tr>
        <w:trPr>
          <w:trHeight w:val="24"/>
        </w:trPr>
        <w:tc>
          <w:tcPr>
            <w:tcW w:w="7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4"/>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Comprehensive loss attributable to noncontrolling interest</w:t>
            </w:r>
          </w:p>
        </w:tc>
        <w:tc>
          <w:tcPr>
            <w:tcW w:w="56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(1.8)</w:t>
            </w:r>
          </w:p>
        </w:tc>
        <w:tc>
          <w:tcPr>
            <w:tcW w:w="100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r>
      <w:tr>
        <w:trPr>
          <w:trHeight w:val="188"/>
        </w:trPr>
        <w:tc>
          <w:tcPr>
            <w:tcW w:w="77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Comprehensive loss attributable to Mission Produce</w:t>
            </w:r>
          </w:p>
        </w:tc>
        <w:tc>
          <w:tcPr>
            <w:tcW w:w="5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(8.3)</w:t>
            </w:r>
          </w:p>
        </w:tc>
        <w:tc>
          <w:tcPr>
            <w:tcW w:w="100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w:t>
            </w:r>
          </w:p>
        </w:tc>
      </w:tr>
      <w:tr>
        <w:trPr>
          <w:trHeight w:val="24"/>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STATEMENTS OF CHANGES IN EQUITY (UNAUDITED)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60" w:type="dxa"/>
            <w:vAlign w:val="bottom"/>
          </w:tcPr>
          <w:p>
            <w:pPr>
              <w:spacing w:after="0"/>
              <w:rPr>
                <w:sz w:val="13"/>
                <w:szCs w:val="13"/>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Common stock</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Additional paid-in</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Accumulated other</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Noncontrolling</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(In millions, except for shares)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Shares</w:t>
            </w:r>
          </w:p>
        </w:tc>
        <w:tc>
          <w:tcPr>
            <w:tcW w:w="5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capital comprehensive loss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Retained earnings</w:t>
            </w: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interest</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 equity</w:t>
            </w:r>
          </w:p>
        </w:tc>
        <w:tc>
          <w:tcPr>
            <w:tcW w:w="0" w:type="dxa"/>
            <w:vAlign w:val="bottom"/>
          </w:tcPr>
          <w:p>
            <w:pPr>
              <w:spacing w:after="0"/>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October 31, 2021</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70,631,525</w:t>
            </w:r>
          </w:p>
        </w:tc>
        <w:tc>
          <w:tcPr>
            <w:tcW w:w="560" w:type="dxa"/>
            <w:vAlign w:val="bottom"/>
            <w:tcBorders>
              <w:bottom w:val="single" w:sz="8" w:color="DBDBDB"/>
            </w:tcBorders>
            <w:shd w:val="clear" w:color="auto" w:fill="DBDBDB"/>
          </w:tcPr>
          <w:p>
            <w:pPr>
              <w:jc w:val="right"/>
              <w:ind w:right="42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225.6</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(0.5)</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309.0</w:t>
            </w:r>
          </w:p>
        </w:tc>
        <w:tc>
          <w:tcPr>
            <w:tcW w:w="22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534.2</w:t>
            </w:r>
          </w:p>
        </w:tc>
        <w:tc>
          <w:tcPr>
            <w:tcW w:w="0" w:type="dxa"/>
            <w:vAlign w:val="bottom"/>
          </w:tcPr>
          <w:p>
            <w:pPr>
              <w:spacing w:after="0"/>
              <w:rPr>
                <w:sz w:val="1"/>
                <w:szCs w:val="1"/>
                <w:color w:val="auto"/>
              </w:rPr>
            </w:pPr>
          </w:p>
        </w:tc>
      </w:tr>
      <w:tr>
        <w:trPr>
          <w:trHeight w:val="165"/>
        </w:trPr>
        <w:tc>
          <w:tcPr>
            <w:tcW w:w="26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0.8</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0.8</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Net loss</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DBDBDB"/>
            </w:tcBorders>
            <w:shd w:val="clear" w:color="auto" w:fill="DBDBDB"/>
          </w:tcPr>
          <w:p>
            <w:pPr>
              <w:spacing w:after="0"/>
              <w:rPr>
                <w:sz w:val="15"/>
                <w:szCs w:val="15"/>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(13.4)</w:t>
            </w:r>
          </w:p>
        </w:tc>
        <w:tc>
          <w:tcPr>
            <w:tcW w:w="2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65"/>
        </w:trPr>
        <w:tc>
          <w:tcPr>
            <w:tcW w:w="266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(0.3)</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8"/>
        </w:trPr>
        <w:tc>
          <w:tcPr>
            <w:tcW w:w="2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January 31, 2022</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70,631,525</w:t>
            </w:r>
          </w:p>
        </w:tc>
        <w:tc>
          <w:tcPr>
            <w:tcW w:w="560" w:type="dxa"/>
            <w:vAlign w:val="bottom"/>
            <w:tcBorders>
              <w:bottom w:val="single" w:sz="8" w:color="DBDBDB"/>
            </w:tcBorders>
            <w:shd w:val="clear" w:color="auto" w:fill="DBDBDB"/>
          </w:tcPr>
          <w:p>
            <w:pPr>
              <w:jc w:val="right"/>
              <w:ind w:right="42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226.4</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(0.8)</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295.6</w:t>
            </w:r>
          </w:p>
        </w:tc>
        <w:tc>
          <w:tcPr>
            <w:tcW w:w="22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521.3</w:t>
            </w:r>
          </w:p>
        </w:tc>
        <w:tc>
          <w:tcPr>
            <w:tcW w:w="0" w:type="dxa"/>
            <w:vAlign w:val="bottom"/>
          </w:tcPr>
          <w:p>
            <w:pPr>
              <w:spacing w:after="0"/>
              <w:rPr>
                <w:sz w:val="1"/>
                <w:szCs w:val="1"/>
                <w:color w:val="auto"/>
              </w:rPr>
            </w:pPr>
          </w:p>
        </w:tc>
      </w:tr>
      <w:tr>
        <w:trPr>
          <w:trHeight w:val="173"/>
        </w:trPr>
        <w:tc>
          <w:tcPr>
            <w:tcW w:w="26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Balance at October 31, 2022</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70,669,535</w:t>
            </w:r>
          </w:p>
        </w:tc>
        <w:tc>
          <w:tcPr>
            <w:tcW w:w="560" w:type="dxa"/>
            <w:vAlign w:val="bottom"/>
            <w:tcBorders>
              <w:bottom w:val="single" w:sz="8" w:color="DBDBDB"/>
            </w:tcBorders>
            <w:shd w:val="clear" w:color="auto" w:fill="DBDBDB"/>
          </w:tcPr>
          <w:p>
            <w:pPr>
              <w:jc w:val="right"/>
              <w:ind w:right="42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229.3</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(1.7)</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274.4</w:t>
            </w:r>
          </w:p>
        </w:tc>
        <w:tc>
          <w:tcPr>
            <w:tcW w:w="22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20.8</w:t>
            </w:r>
          </w:p>
        </w:tc>
        <w:tc>
          <w:tcPr>
            <w:tcW w:w="300" w:type="dxa"/>
            <w:vAlign w:val="bottom"/>
            <w:tcBorders>
              <w:bottom w:val="single" w:sz="8" w:color="DBDBDB"/>
            </w:tcBorders>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522.9</w:t>
            </w:r>
          </w:p>
        </w:tc>
        <w:tc>
          <w:tcPr>
            <w:tcW w:w="0" w:type="dxa"/>
            <w:vAlign w:val="bottom"/>
          </w:tcPr>
          <w:p>
            <w:pPr>
              <w:spacing w:after="0"/>
              <w:rPr>
                <w:sz w:val="1"/>
                <w:szCs w:val="1"/>
                <w:color w:val="auto"/>
              </w:rPr>
            </w:pPr>
          </w:p>
        </w:tc>
      </w:tr>
      <w:tr>
        <w:trPr>
          <w:trHeight w:val="165"/>
        </w:trPr>
        <w:tc>
          <w:tcPr>
            <w:tcW w:w="2660" w:type="dxa"/>
            <w:vAlign w:val="bottom"/>
          </w:tcPr>
          <w:p>
            <w:pPr>
              <w:ind w:left="20"/>
              <w:spacing w:after="0"/>
              <w:rPr>
                <w:sz w:val="20"/>
                <w:szCs w:val="20"/>
                <w:color w:val="auto"/>
              </w:rPr>
            </w:pPr>
            <w:r>
              <w:rPr>
                <w:rFonts w:ascii="Arial" w:cs="Arial" w:eastAsia="Arial" w:hAnsi="Arial"/>
                <w:sz w:val="12"/>
                <w:szCs w:val="12"/>
                <w:color w:val="auto"/>
              </w:rPr>
              <w:t>Stock-based compensation</w:t>
            </w: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0.7</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Exercise of stock options</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8,500</w:t>
            </w:r>
          </w:p>
        </w:tc>
        <w:tc>
          <w:tcPr>
            <w:tcW w:w="560" w:type="dxa"/>
            <w:vAlign w:val="bottom"/>
            <w:tcBorders>
              <w:bottom w:val="single" w:sz="8" w:color="DBDBDB"/>
            </w:tcBorders>
            <w:shd w:val="clear" w:color="auto" w:fill="DBDBDB"/>
          </w:tcPr>
          <w:p>
            <w:pPr>
              <w:spacing w:after="0"/>
              <w:rPr>
                <w:sz w:val="15"/>
                <w:szCs w:val="15"/>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rPr>
                <w:sz w:val="20"/>
                <w:szCs w:val="20"/>
                <w:color w:val="auto"/>
              </w:rPr>
            </w:pPr>
            <w:r>
              <w:rPr>
                <w:rFonts w:ascii="Arial" w:cs="Arial" w:eastAsia="Arial" w:hAnsi="Arial"/>
                <w:sz w:val="12"/>
                <w:szCs w:val="12"/>
                <w:color w:val="auto"/>
              </w:rPr>
              <w:t>Issuance of common stock for equity awards, net</w:t>
            </w:r>
          </w:p>
        </w:tc>
        <w:tc>
          <w:tcPr>
            <w:tcW w:w="1220" w:type="dxa"/>
            <w:vAlign w:val="bottom"/>
          </w:tcPr>
          <w:p>
            <w:pPr>
              <w:jc w:val="right"/>
              <w:spacing w:after="0"/>
              <w:rPr>
                <w:sz w:val="20"/>
                <w:szCs w:val="20"/>
                <w:color w:val="auto"/>
              </w:rPr>
            </w:pPr>
            <w:r>
              <w:rPr>
                <w:rFonts w:ascii="Arial" w:cs="Arial" w:eastAsia="Arial" w:hAnsi="Arial"/>
                <w:sz w:val="12"/>
                <w:szCs w:val="12"/>
                <w:color w:val="auto"/>
              </w:rPr>
              <w:t>55,055</w:t>
            </w:r>
          </w:p>
        </w:tc>
        <w:tc>
          <w:tcPr>
            <w:tcW w:w="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(0.4)</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(0.4)</w:t>
            </w:r>
          </w:p>
        </w:tc>
        <w:tc>
          <w:tcPr>
            <w:tcW w:w="0" w:type="dxa"/>
            <w:vAlign w:val="bottom"/>
          </w:tcPr>
          <w:p>
            <w:pPr>
              <w:spacing w:after="0"/>
              <w:rPr>
                <w:sz w:val="1"/>
                <w:szCs w:val="1"/>
                <w:color w:val="auto"/>
              </w:rPr>
            </w:pPr>
          </w:p>
        </w:tc>
      </w:tr>
      <w:tr>
        <w:trPr>
          <w:trHeight w:val="145"/>
        </w:trPr>
        <w:tc>
          <w:tcPr>
            <w:tcW w:w="2660" w:type="dxa"/>
            <w:vAlign w:val="bottom"/>
          </w:tcPr>
          <w:p>
            <w:pPr>
              <w:ind w:left="20"/>
              <w:spacing w:after="0"/>
              <w:rPr>
                <w:sz w:val="20"/>
                <w:szCs w:val="20"/>
                <w:color w:val="auto"/>
              </w:rPr>
            </w:pPr>
            <w:r>
              <w:rPr>
                <w:rFonts w:ascii="Arial" w:cs="Arial" w:eastAsia="Arial" w:hAnsi="Arial"/>
                <w:sz w:val="12"/>
                <w:szCs w:val="12"/>
                <w:color w:val="auto"/>
              </w:rPr>
              <w:t>of shares withheld for the settlement of taxes</w:t>
            </w:r>
          </w:p>
        </w:tc>
        <w:tc>
          <w:tcPr>
            <w:tcW w:w="1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Contributions from noncontrolling interest holders</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DBDBDB"/>
            </w:tcBorders>
            <w:shd w:val="clear" w:color="auto" w:fill="DBDBDB"/>
          </w:tcPr>
          <w:p>
            <w:pPr>
              <w:spacing w:after="0"/>
              <w:rPr>
                <w:sz w:val="15"/>
                <w:szCs w:val="15"/>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DBDBDB"/>
            </w:tcBorders>
            <w:shd w:val="clear" w:color="auto" w:fill="DBDBDB"/>
          </w:tcPr>
          <w:p>
            <w:pPr>
              <w:spacing w:after="0"/>
              <w:rPr>
                <w:sz w:val="15"/>
                <w:szCs w:val="15"/>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1.0</w:t>
            </w:r>
          </w:p>
        </w:tc>
        <w:tc>
          <w:tcPr>
            <w:tcW w:w="300" w:type="dxa"/>
            <w:vAlign w:val="bottom"/>
            <w:tcBorders>
              <w:bottom w:val="single" w:sz="8" w:color="DBDBDB"/>
            </w:tcBorders>
            <w:shd w:val="clear" w:color="auto" w:fill="DBDBDB"/>
          </w:tcPr>
          <w:p>
            <w:pPr>
              <w:spacing w:after="0"/>
              <w:rPr>
                <w:sz w:val="15"/>
                <w:szCs w:val="15"/>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65"/>
        </w:trPr>
        <w:tc>
          <w:tcPr>
            <w:tcW w:w="2660" w:type="dxa"/>
            <w:vAlign w:val="bottom"/>
          </w:tcPr>
          <w:p>
            <w:pPr>
              <w:ind w:left="20"/>
              <w:spacing w:after="0"/>
              <w:rPr>
                <w:sz w:val="20"/>
                <w:szCs w:val="20"/>
                <w:color w:val="auto"/>
              </w:rPr>
            </w:pPr>
            <w:r>
              <w:rPr>
                <w:rFonts w:ascii="Arial" w:cs="Arial" w:eastAsia="Arial" w:hAnsi="Arial"/>
                <w:sz w:val="12"/>
                <w:szCs w:val="12"/>
                <w:color w:val="auto"/>
              </w:rPr>
              <w:t>Net loss</w:t>
            </w: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(8.8)</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28"/>
        </w:trPr>
        <w:tc>
          <w:tcPr>
            <w:tcW w:w="2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Other comprehensive income</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DBDBDB"/>
            </w:tcBorders>
            <w:shd w:val="clear" w:color="auto" w:fill="DBDBDB"/>
          </w:tcPr>
          <w:p>
            <w:pPr>
              <w:spacing w:after="0"/>
              <w:rPr>
                <w:sz w:val="16"/>
                <w:szCs w:val="16"/>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0.5</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58"/>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Balance at January 31, 2023</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70,733,090</w:t>
            </w:r>
          </w:p>
        </w:tc>
        <w:tc>
          <w:tcPr>
            <w:tcW w:w="560" w:type="dxa"/>
            <w:vAlign w:val="bottom"/>
            <w:tcBorders>
              <w:top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0.1</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229.6</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265.6</w:t>
            </w:r>
          </w:p>
        </w:tc>
        <w:tc>
          <w:tcPr>
            <w:tcW w:w="2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20.0</w:t>
            </w:r>
          </w:p>
        </w:tc>
        <w:tc>
          <w:tcPr>
            <w:tcW w:w="30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514.1</w:t>
            </w:r>
          </w:p>
        </w:tc>
        <w:tc>
          <w:tcPr>
            <w:tcW w:w="0" w:type="dxa"/>
            <w:vAlign w:val="bottom"/>
          </w:tcPr>
          <w:p>
            <w:pPr>
              <w:spacing w:after="0"/>
              <w:rPr>
                <w:sz w:val="1"/>
                <w:szCs w:val="1"/>
                <w:color w:val="auto"/>
              </w:rPr>
            </w:pPr>
          </w:p>
        </w:tc>
      </w:tr>
      <w:tr>
        <w:trPr>
          <w:trHeight w:val="28"/>
        </w:trPr>
        <w:tc>
          <w:tcPr>
            <w:tcW w:w="2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9"/>
          <w:szCs w:val="19"/>
          <w:b w:val="1"/>
          <w:bCs w:val="1"/>
          <w:color w:val="auto"/>
        </w:rPr>
        <w:t>MISSION PRODUCE, INC.</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CONDENSED CONSOLIDATED STATEMENTS OF CASH FLOW (UNAUDITED)</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0" w:type="dxa"/>
            <w:vAlign w:val="bottom"/>
            <w:gridSpan w:val="2"/>
          </w:tcPr>
          <w:p>
            <w:pPr>
              <w:jc w:val="right"/>
              <w:ind w:right="191"/>
              <w:spacing w:after="0"/>
              <w:rPr>
                <w:sz w:val="20"/>
                <w:szCs w:val="20"/>
                <w:color w:val="auto"/>
              </w:rPr>
            </w:pPr>
            <w:r>
              <w:rPr>
                <w:rFonts w:ascii="Arial" w:cs="Arial" w:eastAsia="Arial" w:hAnsi="Arial"/>
                <w:sz w:val="15"/>
                <w:szCs w:val="15"/>
                <w:b w:val="1"/>
                <w:bCs w:val="1"/>
                <w:color w:val="auto"/>
              </w:rPr>
              <w:t>Three Months Ended</w:t>
            </w:r>
          </w:p>
        </w:tc>
        <w:tc>
          <w:tcPr>
            <w:tcW w:w="720" w:type="dxa"/>
            <w:vAlign w:val="bottom"/>
          </w:tcPr>
          <w:p>
            <w:pPr>
              <w:spacing w:after="0"/>
              <w:rPr>
                <w:sz w:val="16"/>
                <w:szCs w:val="16"/>
                <w:color w:val="auto"/>
              </w:rPr>
            </w:pPr>
          </w:p>
        </w:tc>
      </w:tr>
      <w:tr>
        <w:trPr>
          <w:trHeight w:val="215"/>
        </w:trPr>
        <w:tc>
          <w:tcPr>
            <w:tcW w:w="78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2"/>
          </w:tcPr>
          <w:p>
            <w:pPr>
              <w:jc w:val="right"/>
              <w:ind w:right="511"/>
              <w:spacing w:after="0"/>
              <w:rPr>
                <w:sz w:val="20"/>
                <w:szCs w:val="20"/>
                <w:color w:val="auto"/>
              </w:rPr>
            </w:pPr>
            <w:r>
              <w:rPr>
                <w:rFonts w:ascii="Arial" w:cs="Arial" w:eastAsia="Arial" w:hAnsi="Arial"/>
                <w:sz w:val="15"/>
                <w:szCs w:val="15"/>
                <w:b w:val="1"/>
                <w:bCs w:val="1"/>
                <w:color w:val="auto"/>
              </w:rPr>
              <w:t>January 31,</w:t>
            </w:r>
          </w:p>
        </w:tc>
        <w:tc>
          <w:tcPr>
            <w:tcW w:w="720" w:type="dxa"/>
            <w:vAlign w:val="bottom"/>
            <w:tcBorders>
              <w:bottom w:val="single" w:sz="8" w:color="auto"/>
            </w:tcBorders>
          </w:tcPr>
          <w:p>
            <w:pPr>
              <w:spacing w:after="0"/>
              <w:rPr>
                <w:sz w:val="18"/>
                <w:szCs w:val="18"/>
                <w:color w:val="auto"/>
              </w:rPr>
            </w:pPr>
          </w:p>
        </w:tc>
      </w:tr>
      <w:tr>
        <w:trPr>
          <w:trHeight w:val="229"/>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 millions)</w:t>
            </w: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b w:val="1"/>
                <w:bCs w:val="1"/>
                <w:color w:val="auto"/>
              </w:rPr>
              <w:t>2023</w:t>
            </w:r>
          </w:p>
        </w:tc>
        <w:tc>
          <w:tcPr>
            <w:tcW w:w="10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5"/>
                <w:szCs w:val="15"/>
                <w:b w:val="1"/>
                <w:bCs w:val="1"/>
                <w:color w:val="auto"/>
              </w:rPr>
              <w:t>2022</w:t>
            </w:r>
          </w:p>
        </w:tc>
      </w:tr>
      <w:tr>
        <w:trPr>
          <w:trHeight w:val="195"/>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52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r>
      <w:tr>
        <w:trPr>
          <w:trHeight w:val="195"/>
        </w:trPr>
        <w:tc>
          <w:tcPr>
            <w:tcW w:w="7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52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(10.6)</w:t>
            </w:r>
          </w:p>
        </w:tc>
        <w:tc>
          <w:tcPr>
            <w:tcW w:w="100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r>
      <w:tr>
        <w:trPr>
          <w:trHeight w:val="195"/>
        </w:trPr>
        <w:tc>
          <w:tcPr>
            <w:tcW w:w="7800" w:type="dxa"/>
            <w:vAlign w:val="bottom"/>
          </w:tcPr>
          <w:p>
            <w:pPr>
              <w:ind w:left="440"/>
              <w:spacing w:after="0"/>
              <w:rPr>
                <w:sz w:val="20"/>
                <w:szCs w:val="20"/>
                <w:color w:val="auto"/>
              </w:rPr>
            </w:pPr>
            <w:r>
              <w:rPr>
                <w:rFonts w:ascii="Arial" w:cs="Arial" w:eastAsia="Arial" w:hAnsi="Arial"/>
                <w:sz w:val="14"/>
                <w:szCs w:val="14"/>
                <w:color w:val="auto"/>
              </w:rPr>
              <w:t>Depreciation and amortization</w:t>
            </w:r>
          </w:p>
        </w:tc>
        <w:tc>
          <w:tcPr>
            <w:tcW w:w="52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9.3</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Amortization of debt issuance costs</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0.1</w:t>
            </w: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w:t>
            </w:r>
          </w:p>
        </w:tc>
      </w:tr>
      <w:tr>
        <w:trPr>
          <w:trHeight w:val="195"/>
        </w:trPr>
        <w:tc>
          <w:tcPr>
            <w:tcW w:w="7800" w:type="dxa"/>
            <w:vAlign w:val="bottom"/>
          </w:tcPr>
          <w:p>
            <w:pPr>
              <w:ind w:left="440"/>
              <w:spacing w:after="0"/>
              <w:rPr>
                <w:sz w:val="20"/>
                <w:szCs w:val="20"/>
                <w:color w:val="auto"/>
              </w:rPr>
            </w:pPr>
            <w:r>
              <w:rPr>
                <w:rFonts w:ascii="Arial" w:cs="Arial" w:eastAsia="Arial" w:hAnsi="Arial"/>
                <w:sz w:val="14"/>
                <w:szCs w:val="14"/>
                <w:color w:val="auto"/>
              </w:rPr>
              <w:t>Equity method income</w:t>
            </w:r>
          </w:p>
        </w:tc>
        <w:tc>
          <w:tcPr>
            <w:tcW w:w="52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(1.0)</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Noncash lease expense</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1.4</w:t>
            </w: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1.2</w:t>
            </w:r>
          </w:p>
        </w:tc>
      </w:tr>
      <w:tr>
        <w:trPr>
          <w:trHeight w:val="195"/>
        </w:trPr>
        <w:tc>
          <w:tcPr>
            <w:tcW w:w="7800" w:type="dxa"/>
            <w:vAlign w:val="bottom"/>
          </w:tcPr>
          <w:p>
            <w:pPr>
              <w:ind w:left="440"/>
              <w:spacing w:after="0"/>
              <w:rPr>
                <w:sz w:val="20"/>
                <w:szCs w:val="20"/>
                <w:color w:val="auto"/>
              </w:rPr>
            </w:pPr>
            <w:r>
              <w:rPr>
                <w:rFonts w:ascii="Arial" w:cs="Arial" w:eastAsia="Arial" w:hAnsi="Arial"/>
                <w:sz w:val="14"/>
                <w:szCs w:val="14"/>
                <w:color w:val="auto"/>
              </w:rPr>
              <w:t>Stock-based compensation</w:t>
            </w:r>
          </w:p>
        </w:tc>
        <w:tc>
          <w:tcPr>
            <w:tcW w:w="52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0.7</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Dividends received from equity method investees</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2.7</w:t>
            </w: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2.2</w:t>
            </w:r>
          </w:p>
        </w:tc>
      </w:tr>
      <w:tr>
        <w:trPr>
          <w:trHeight w:val="195"/>
        </w:trPr>
        <w:tc>
          <w:tcPr>
            <w:tcW w:w="7800" w:type="dxa"/>
            <w:vAlign w:val="bottom"/>
          </w:tcPr>
          <w:p>
            <w:pPr>
              <w:ind w:left="440"/>
              <w:spacing w:after="0"/>
              <w:rPr>
                <w:sz w:val="20"/>
                <w:szCs w:val="20"/>
                <w:color w:val="auto"/>
              </w:rPr>
            </w:pPr>
            <w:r>
              <w:rPr>
                <w:rFonts w:ascii="Arial" w:cs="Arial" w:eastAsia="Arial" w:hAnsi="Arial"/>
                <w:sz w:val="14"/>
                <w:szCs w:val="14"/>
                <w:color w:val="auto"/>
              </w:rPr>
              <w:t>Losses on asset impairment, disposals and sales, net of insurance recoveries</w:t>
            </w:r>
          </w:p>
        </w:tc>
        <w:tc>
          <w:tcPr>
            <w:tcW w:w="52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0.3</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Deferred income taxes</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(0.5)</w:t>
            </w: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800" w:type="dxa"/>
            <w:vAlign w:val="bottom"/>
          </w:tcPr>
          <w:p>
            <w:pPr>
              <w:ind w:left="440"/>
              <w:spacing w:after="0"/>
              <w:rPr>
                <w:sz w:val="20"/>
                <w:szCs w:val="20"/>
                <w:color w:val="auto"/>
              </w:rPr>
            </w:pPr>
            <w:r>
              <w:rPr>
                <w:rFonts w:ascii="Arial" w:cs="Arial" w:eastAsia="Arial" w:hAnsi="Arial"/>
                <w:sz w:val="14"/>
                <w:szCs w:val="14"/>
                <w:color w:val="auto"/>
              </w:rPr>
              <w:t>Unrealized losses (gains) on derivative financial instruments</w:t>
            </w:r>
          </w:p>
        </w:tc>
        <w:tc>
          <w:tcPr>
            <w:tcW w:w="52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0.1</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Effect on cash of changes in operating assets and liabilities:</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r>
      <w:tr>
        <w:trPr>
          <w:trHeight w:val="195"/>
        </w:trPr>
        <w:tc>
          <w:tcPr>
            <w:tcW w:w="7800" w:type="dxa"/>
            <w:vAlign w:val="bottom"/>
          </w:tcPr>
          <w:p>
            <w:pPr>
              <w:ind w:left="440"/>
              <w:spacing w:after="0"/>
              <w:rPr>
                <w:sz w:val="20"/>
                <w:szCs w:val="20"/>
                <w:color w:val="auto"/>
              </w:rPr>
            </w:pPr>
            <w:r>
              <w:rPr>
                <w:rFonts w:ascii="Arial" w:cs="Arial" w:eastAsia="Arial" w:hAnsi="Arial"/>
                <w:sz w:val="14"/>
                <w:szCs w:val="14"/>
                <w:color w:val="auto"/>
              </w:rPr>
              <w:t>Trade accounts receivable</w:t>
            </w:r>
          </w:p>
        </w:tc>
        <w:tc>
          <w:tcPr>
            <w:tcW w:w="52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(1.2)</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(27.6)</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Grower fruit advances</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(2.9)</w:t>
            </w:r>
          </w:p>
        </w:tc>
      </w:tr>
      <w:tr>
        <w:trPr>
          <w:trHeight w:val="195"/>
        </w:trPr>
        <w:tc>
          <w:tcPr>
            <w:tcW w:w="7800" w:type="dxa"/>
            <w:vAlign w:val="bottom"/>
          </w:tcPr>
          <w:p>
            <w:pPr>
              <w:ind w:left="440"/>
              <w:spacing w:after="0"/>
              <w:rPr>
                <w:sz w:val="20"/>
                <w:szCs w:val="20"/>
                <w:color w:val="auto"/>
              </w:rPr>
            </w:pPr>
            <w:r>
              <w:rPr>
                <w:rFonts w:ascii="Arial" w:cs="Arial" w:eastAsia="Arial" w:hAnsi="Arial"/>
                <w:sz w:val="14"/>
                <w:szCs w:val="14"/>
                <w:color w:val="auto"/>
              </w:rPr>
              <w:t>Other receivables</w:t>
            </w:r>
          </w:p>
        </w:tc>
        <w:tc>
          <w:tcPr>
            <w:tcW w:w="52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6.1</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Inventory</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(3.8)</w:t>
            </w: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(29.8)</w:t>
            </w:r>
          </w:p>
        </w:tc>
      </w:tr>
      <w:tr>
        <w:trPr>
          <w:trHeight w:val="195"/>
        </w:trPr>
        <w:tc>
          <w:tcPr>
            <w:tcW w:w="7800" w:type="dxa"/>
            <w:vAlign w:val="bottom"/>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52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0.8</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Income taxes receivable</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(3.2)</w:t>
            </w: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(4.2)</w:t>
            </w:r>
          </w:p>
        </w:tc>
      </w:tr>
      <w:tr>
        <w:trPr>
          <w:trHeight w:val="195"/>
        </w:trPr>
        <w:tc>
          <w:tcPr>
            <w:tcW w:w="780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52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(1.2)</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Accounts payable and accrued expenses</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(1.7)</w:t>
            </w: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13.3</w:t>
            </w:r>
          </w:p>
        </w:tc>
      </w:tr>
      <w:tr>
        <w:trPr>
          <w:trHeight w:val="195"/>
        </w:trPr>
        <w:tc>
          <w:tcPr>
            <w:tcW w:w="7800" w:type="dxa"/>
            <w:vAlign w:val="bottom"/>
          </w:tcPr>
          <w:p>
            <w:pPr>
              <w:ind w:left="440"/>
              <w:spacing w:after="0"/>
              <w:rPr>
                <w:sz w:val="20"/>
                <w:szCs w:val="20"/>
                <w:color w:val="auto"/>
              </w:rPr>
            </w:pPr>
            <w:r>
              <w:rPr>
                <w:rFonts w:ascii="Arial" w:cs="Arial" w:eastAsia="Arial" w:hAnsi="Arial"/>
                <w:sz w:val="14"/>
                <w:szCs w:val="14"/>
                <w:color w:val="auto"/>
              </w:rPr>
              <w:t>Income taxes payable</w:t>
            </w:r>
          </w:p>
        </w:tc>
        <w:tc>
          <w:tcPr>
            <w:tcW w:w="52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(0.5)</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Grower payables</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1.1</w:t>
            </w: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15.1</w:t>
            </w:r>
          </w:p>
        </w:tc>
      </w:tr>
      <w:tr>
        <w:trPr>
          <w:trHeight w:val="195"/>
        </w:trPr>
        <w:tc>
          <w:tcPr>
            <w:tcW w:w="7800" w:type="dxa"/>
            <w:vAlign w:val="bottom"/>
          </w:tcPr>
          <w:p>
            <w:pPr>
              <w:ind w:left="440"/>
              <w:spacing w:after="0"/>
              <w:rPr>
                <w:sz w:val="20"/>
                <w:szCs w:val="20"/>
                <w:color w:val="auto"/>
              </w:rPr>
            </w:pPr>
            <w:r>
              <w:rPr>
                <w:rFonts w:ascii="Arial" w:cs="Arial" w:eastAsia="Arial" w:hAnsi="Arial"/>
                <w:sz w:val="14"/>
                <w:szCs w:val="14"/>
                <w:color w:val="auto"/>
              </w:rPr>
              <w:t>Operating lease liabilities</w:t>
            </w:r>
          </w:p>
        </w:tc>
        <w:tc>
          <w:tcPr>
            <w:tcW w:w="52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(1.4)</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4"/>
        </w:trPr>
        <w:tc>
          <w:tcPr>
            <w:tcW w:w="7800" w:type="dxa"/>
            <w:vAlign w:val="bottom"/>
            <w:tcBorders>
              <w:bottom w:val="single" w:sz="8" w:color="DBDBDB"/>
            </w:tcBorders>
            <w:shd w:val="clear" w:color="auto" w:fill="DBDBDB"/>
          </w:tcPr>
          <w:p>
            <w:pPr>
              <w:ind w:left="440"/>
              <w:spacing w:after="0"/>
              <w:rPr>
                <w:sz w:val="20"/>
                <w:szCs w:val="20"/>
                <w:color w:val="auto"/>
              </w:rPr>
            </w:pPr>
            <w:r>
              <w:rPr>
                <w:rFonts w:ascii="Arial" w:cs="Arial" w:eastAsia="Arial" w:hAnsi="Arial"/>
                <w:sz w:val="14"/>
                <w:szCs w:val="14"/>
                <w:color w:val="auto"/>
              </w:rPr>
              <w:t>Other long-term liabilities</w:t>
            </w:r>
          </w:p>
        </w:tc>
        <w:tc>
          <w:tcPr>
            <w:tcW w:w="52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1.2</w:t>
            </w:r>
          </w:p>
        </w:tc>
        <w:tc>
          <w:tcPr>
            <w:tcW w:w="1000" w:type="dxa"/>
            <w:vAlign w:val="bottom"/>
            <w:tcBorders>
              <w:bottom w:val="single" w:sz="8" w:color="DBDBDB"/>
            </w:tcBorders>
            <w:shd w:val="clear" w:color="auto" w:fill="DBDBDB"/>
          </w:tcPr>
          <w:p>
            <w:pPr>
              <w:spacing w:after="0"/>
              <w:rPr>
                <w:sz w:val="19"/>
                <w:szCs w:val="19"/>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w:t>
            </w:r>
          </w:p>
        </w:tc>
      </w:tr>
      <w:tr>
        <w:trPr>
          <w:trHeight w:val="188"/>
        </w:trPr>
        <w:tc>
          <w:tcPr>
            <w:tcW w:w="78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52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(1.3)</w:t>
            </w:r>
          </w:p>
        </w:tc>
        <w:tc>
          <w:tcPr>
            <w:tcW w:w="1000" w:type="dxa"/>
            <w:vAlign w:val="bottom"/>
            <w:tcBorders>
              <w:top w:val="single" w:sz="8" w:color="auto"/>
            </w:tcBorders>
          </w:tcPr>
          <w:p>
            <w:pPr>
              <w:jc w:val="right"/>
              <w:ind w:right="7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(41.4)</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r>
      <w:tr>
        <w:trPr>
          <w:trHeight w:val="195"/>
        </w:trPr>
        <w:tc>
          <w:tcPr>
            <w:tcW w:w="7800" w:type="dxa"/>
            <w:vAlign w:val="bottom"/>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52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(17.6)</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(20.9)</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Investment in equity method investees</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(0.3)</w:t>
            </w: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800" w:type="dxa"/>
            <w:vAlign w:val="bottom"/>
          </w:tcPr>
          <w:p>
            <w:pPr>
              <w:ind w:left="20"/>
              <w:spacing w:after="0"/>
              <w:rPr>
                <w:sz w:val="20"/>
                <w:szCs w:val="20"/>
                <w:color w:val="auto"/>
              </w:rPr>
            </w:pPr>
            <w:r>
              <w:rPr>
                <w:rFonts w:ascii="Arial" w:cs="Arial" w:eastAsia="Arial" w:hAnsi="Arial"/>
                <w:sz w:val="14"/>
                <w:szCs w:val="14"/>
                <w:color w:val="auto"/>
              </w:rPr>
              <w:t>Loan repayments from equity method investees</w:t>
            </w:r>
          </w:p>
        </w:tc>
        <w:tc>
          <w:tcPr>
            <w:tcW w:w="52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4"/>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52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spacing w:after="0"/>
              <w:rPr>
                <w:sz w:val="19"/>
                <w:szCs w:val="19"/>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(0.2)</w:t>
            </w:r>
          </w:p>
        </w:tc>
      </w:tr>
      <w:tr>
        <w:trPr>
          <w:trHeight w:val="188"/>
        </w:trPr>
        <w:tc>
          <w:tcPr>
            <w:tcW w:w="78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52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(17.9)</w:t>
            </w:r>
          </w:p>
        </w:tc>
        <w:tc>
          <w:tcPr>
            <w:tcW w:w="1000" w:type="dxa"/>
            <w:vAlign w:val="bottom"/>
            <w:tcBorders>
              <w:top w:val="single" w:sz="8" w:color="auto"/>
            </w:tcBorders>
          </w:tcPr>
          <w:p>
            <w:pPr>
              <w:jc w:val="right"/>
              <w:ind w:right="7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r>
      <w:tr>
        <w:trPr>
          <w:trHeight w:val="195"/>
        </w:trPr>
        <w:tc>
          <w:tcPr>
            <w:tcW w:w="7800" w:type="dxa"/>
            <w:vAlign w:val="bottom"/>
          </w:tcPr>
          <w:p>
            <w:pPr>
              <w:ind w:left="20"/>
              <w:spacing w:after="0"/>
              <w:rPr>
                <w:sz w:val="20"/>
                <w:szCs w:val="20"/>
                <w:color w:val="auto"/>
              </w:rPr>
            </w:pPr>
            <w:r>
              <w:rPr>
                <w:rFonts w:ascii="Arial" w:cs="Arial" w:eastAsia="Arial" w:hAnsi="Arial"/>
                <w:sz w:val="14"/>
                <w:szCs w:val="14"/>
                <w:color w:val="auto"/>
              </w:rPr>
              <w:t>Borrowings on revolving credit facility</w:t>
            </w:r>
          </w:p>
        </w:tc>
        <w:tc>
          <w:tcPr>
            <w:tcW w:w="52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10.0</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Repayment of short-term borrowings</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(2.5)</w:t>
            </w: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800" w:type="dxa"/>
            <w:vAlign w:val="bottom"/>
          </w:tcPr>
          <w:p>
            <w:pPr>
              <w:ind w:left="20"/>
              <w:spacing w:after="0"/>
              <w:rPr>
                <w:sz w:val="20"/>
                <w:szCs w:val="20"/>
                <w:color w:val="auto"/>
              </w:rPr>
            </w:pPr>
            <w:r>
              <w:rPr>
                <w:rFonts w:ascii="Arial" w:cs="Arial" w:eastAsia="Arial" w:hAnsi="Arial"/>
                <w:sz w:val="14"/>
                <w:szCs w:val="14"/>
                <w:color w:val="auto"/>
              </w:rPr>
              <w:t>Principal payments on long-term debt obligations</w:t>
            </w:r>
          </w:p>
        </w:tc>
        <w:tc>
          <w:tcPr>
            <w:tcW w:w="52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(0.9)</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9"/>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52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(1.7)</w:t>
            </w:r>
          </w:p>
        </w:tc>
        <w:tc>
          <w:tcPr>
            <w:tcW w:w="10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(0.3)</w:t>
            </w:r>
          </w:p>
        </w:tc>
      </w:tr>
      <w:tr>
        <w:trPr>
          <w:trHeight w:val="195"/>
        </w:trPr>
        <w:tc>
          <w:tcPr>
            <w:tcW w:w="7800" w:type="dxa"/>
            <w:vAlign w:val="bottom"/>
          </w:tcPr>
          <w:p>
            <w:pPr>
              <w:ind w:left="20"/>
              <w:spacing w:after="0"/>
              <w:rPr>
                <w:sz w:val="20"/>
                <w:szCs w:val="20"/>
                <w:color w:val="auto"/>
              </w:rPr>
            </w:pPr>
            <w:r>
              <w:rPr>
                <w:rFonts w:ascii="Arial" w:cs="Arial" w:eastAsia="Arial" w:hAnsi="Arial"/>
                <w:sz w:val="14"/>
                <w:szCs w:val="14"/>
                <w:color w:val="auto"/>
              </w:rPr>
              <w:t>Taxes paid related to shares withheld from the settlement of equity awards</w:t>
            </w:r>
          </w:p>
        </w:tc>
        <w:tc>
          <w:tcPr>
            <w:tcW w:w="520" w:type="dxa"/>
            <w:vAlign w:val="bottom"/>
          </w:tcPr>
          <w:p>
            <w:pPr>
              <w:spacing w:after="0"/>
              <w:rPr>
                <w:sz w:val="16"/>
                <w:szCs w:val="16"/>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(0.4)</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4"/>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Contributions from noncontrolling interest holders</w:t>
            </w:r>
          </w:p>
        </w:tc>
        <w:tc>
          <w:tcPr>
            <w:tcW w:w="52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1.0</w:t>
            </w:r>
          </w:p>
        </w:tc>
        <w:tc>
          <w:tcPr>
            <w:tcW w:w="1000" w:type="dxa"/>
            <w:vAlign w:val="bottom"/>
            <w:tcBorders>
              <w:bottom w:val="single" w:sz="8" w:color="DBDBDB"/>
            </w:tcBorders>
            <w:shd w:val="clear" w:color="auto" w:fill="DBDBDB"/>
          </w:tcPr>
          <w:p>
            <w:pPr>
              <w:spacing w:after="0"/>
              <w:rPr>
                <w:sz w:val="19"/>
                <w:szCs w:val="19"/>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78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52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5.5</w:t>
            </w:r>
          </w:p>
        </w:tc>
        <w:tc>
          <w:tcPr>
            <w:tcW w:w="1000" w:type="dxa"/>
            <w:vAlign w:val="bottom"/>
            <w:tcBorders>
              <w:top w:val="single" w:sz="8" w:color="auto"/>
            </w:tcBorders>
          </w:tcPr>
          <w:p>
            <w:pPr>
              <w:jc w:val="right"/>
              <w:ind w:right="7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4"/>
        </w:trPr>
        <w:tc>
          <w:tcPr>
            <w:tcW w:w="7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2"/>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52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(13.7)</w:t>
            </w:r>
          </w:p>
        </w:tc>
        <w:tc>
          <w:tcPr>
            <w:tcW w:w="10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(64.0)</w:t>
            </w:r>
          </w:p>
        </w:tc>
      </w:tr>
      <w:tr>
        <w:trPr>
          <w:trHeight w:val="195"/>
        </w:trPr>
        <w:tc>
          <w:tcPr>
            <w:tcW w:w="78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52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53.9</w:t>
            </w:r>
          </w:p>
        </w:tc>
        <w:tc>
          <w:tcPr>
            <w:tcW w:w="10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92.2</w:t>
            </w:r>
          </w:p>
        </w:tc>
      </w:tr>
      <w:tr>
        <w:trPr>
          <w:trHeight w:val="24"/>
        </w:trPr>
        <w:tc>
          <w:tcPr>
            <w:tcW w:w="7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92"/>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520" w:type="dxa"/>
            <w:vAlign w:val="bottom"/>
            <w:tcBorders>
              <w:bottom w:val="single" w:sz="8" w:color="DBDBDB"/>
            </w:tcBorders>
            <w:shd w:val="clear" w:color="auto" w:fill="DBDBDB"/>
          </w:tcPr>
          <w:p>
            <w:pPr>
              <w:jc w:val="right"/>
              <w:ind w:right="35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40.2</w:t>
            </w:r>
          </w:p>
        </w:tc>
        <w:tc>
          <w:tcPr>
            <w:tcW w:w="1000" w:type="dxa"/>
            <w:vAlign w:val="bottom"/>
            <w:tcBorders>
              <w:bottom w:val="single" w:sz="8" w:color="DBDBDB"/>
            </w:tcBorders>
            <w:shd w:val="clear" w:color="auto" w:fill="DBDBDB"/>
          </w:tcPr>
          <w:p>
            <w:pPr>
              <w:jc w:val="right"/>
              <w:ind w:right="71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28.2</w:t>
            </w:r>
          </w:p>
        </w:tc>
      </w:tr>
      <w:tr>
        <w:trPr>
          <w:trHeight w:val="20"/>
        </w:trPr>
        <w:tc>
          <w:tcPr>
            <w:tcW w:w="7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138670" cy="1390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Summary of cash, cash equivalents and restricted cash reported within the condensed consolidated balance sheets:</w:t>
      </w:r>
    </w:p>
    <w:p>
      <w:pPr>
        <w:sectPr>
          <w:pgSz w:w="11900" w:h="16838" w:orient="portrait"/>
          <w:cols w:equalWidth="0" w:num="1">
            <w:col w:w="11240"/>
          </w:cols>
          <w:pgMar w:left="320" w:top="10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0"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0"/>
        </w:trPr>
        <w:tc>
          <w:tcPr>
            <w:tcW w:w="7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0" w:type="dxa"/>
            <w:vAlign w:val="bottom"/>
            <w:gridSpan w:val="2"/>
          </w:tcPr>
          <w:p>
            <w:pPr>
              <w:jc w:val="right"/>
              <w:ind w:right="191"/>
              <w:spacing w:after="0"/>
              <w:rPr>
                <w:sz w:val="20"/>
                <w:szCs w:val="20"/>
                <w:color w:val="auto"/>
              </w:rPr>
            </w:pPr>
            <w:r>
              <w:rPr>
                <w:rFonts w:ascii="Arial" w:cs="Arial" w:eastAsia="Arial" w:hAnsi="Arial"/>
                <w:sz w:val="15"/>
                <w:szCs w:val="15"/>
                <w:b w:val="1"/>
                <w:bCs w:val="1"/>
                <w:color w:val="auto"/>
              </w:rPr>
              <w:t>Three Months Ended</w:t>
            </w:r>
          </w:p>
        </w:tc>
        <w:tc>
          <w:tcPr>
            <w:tcW w:w="720" w:type="dxa"/>
            <w:vAlign w:val="bottom"/>
          </w:tcPr>
          <w:p>
            <w:pPr>
              <w:spacing w:after="0"/>
              <w:rPr>
                <w:sz w:val="15"/>
                <w:szCs w:val="15"/>
                <w:color w:val="auto"/>
              </w:rPr>
            </w:pPr>
          </w:p>
        </w:tc>
      </w:tr>
      <w:tr>
        <w:trPr>
          <w:trHeight w:val="204"/>
        </w:trPr>
        <w:tc>
          <w:tcPr>
            <w:tcW w:w="7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0" w:type="dxa"/>
            <w:vAlign w:val="bottom"/>
            <w:gridSpan w:val="2"/>
          </w:tcPr>
          <w:p>
            <w:pPr>
              <w:jc w:val="right"/>
              <w:ind w:right="511"/>
              <w:spacing w:after="0"/>
              <w:rPr>
                <w:sz w:val="20"/>
                <w:szCs w:val="20"/>
                <w:color w:val="auto"/>
              </w:rPr>
            </w:pPr>
            <w:r>
              <w:rPr>
                <w:rFonts w:ascii="Arial" w:cs="Arial" w:eastAsia="Arial" w:hAnsi="Arial"/>
                <w:sz w:val="15"/>
                <w:szCs w:val="15"/>
                <w:b w:val="1"/>
                <w:bCs w:val="1"/>
                <w:color w:val="auto"/>
              </w:rPr>
              <w:t>January 31,</w:t>
            </w:r>
          </w:p>
        </w:tc>
        <w:tc>
          <w:tcPr>
            <w:tcW w:w="720" w:type="dxa"/>
            <w:vAlign w:val="bottom"/>
          </w:tcPr>
          <w:p>
            <w:pPr>
              <w:spacing w:after="0"/>
              <w:rPr>
                <w:sz w:val="17"/>
                <w:szCs w:val="17"/>
                <w:color w:val="auto"/>
              </w:rPr>
            </w:pPr>
          </w:p>
        </w:tc>
      </w:tr>
      <w:tr>
        <w:trPr>
          <w:trHeight w:val="31"/>
        </w:trPr>
        <w:tc>
          <w:tcPr>
            <w:tcW w:w="78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2"/>
        </w:trPr>
        <w:tc>
          <w:tcPr>
            <w:tcW w:w="78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 millions)</w:t>
            </w: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2023</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b w:val="1"/>
                <w:bCs w:val="1"/>
                <w:color w:val="auto"/>
              </w:rPr>
              <w:t>2022</w:t>
            </w:r>
          </w:p>
        </w:tc>
      </w:tr>
      <w:tr>
        <w:trPr>
          <w:trHeight w:val="190"/>
        </w:trPr>
        <w:tc>
          <w:tcPr>
            <w:tcW w:w="78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520" w:type="dxa"/>
            <w:vAlign w:val="bottom"/>
          </w:tcPr>
          <w:p>
            <w:pPr>
              <w:jc w:val="right"/>
              <w:ind w:right="351"/>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7"/>
              <w:spacing w:after="0"/>
              <w:rPr>
                <w:sz w:val="20"/>
                <w:szCs w:val="20"/>
                <w:color w:val="auto"/>
              </w:rPr>
            </w:pPr>
            <w:r>
              <w:rPr>
                <w:rFonts w:ascii="Arial" w:cs="Arial" w:eastAsia="Arial" w:hAnsi="Arial"/>
                <w:sz w:val="14"/>
                <w:szCs w:val="14"/>
                <w:color w:val="auto"/>
              </w:rPr>
              <w:t>39.2</w:t>
            </w:r>
          </w:p>
        </w:tc>
        <w:tc>
          <w:tcPr>
            <w:tcW w:w="1020" w:type="dxa"/>
            <w:vAlign w:val="bottom"/>
          </w:tcPr>
          <w:p>
            <w:pPr>
              <w:jc w:val="right"/>
              <w:ind w:right="711"/>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4"/>
        </w:trPr>
        <w:tc>
          <w:tcPr>
            <w:tcW w:w="7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4"/>
        </w:trPr>
        <w:tc>
          <w:tcPr>
            <w:tcW w:w="7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Restricted cash</w:t>
            </w:r>
          </w:p>
        </w:tc>
        <w:tc>
          <w:tcPr>
            <w:tcW w:w="52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87"/>
              <w:spacing w:after="0"/>
              <w:rPr>
                <w:sz w:val="20"/>
                <w:szCs w:val="20"/>
                <w:color w:val="auto"/>
              </w:rPr>
            </w:pPr>
            <w:r>
              <w:rPr>
                <w:rFonts w:ascii="Arial" w:cs="Arial" w:eastAsia="Arial" w:hAnsi="Arial"/>
                <w:sz w:val="14"/>
                <w:szCs w:val="14"/>
                <w:color w:val="auto"/>
              </w:rPr>
              <w:t>1.0</w:t>
            </w:r>
          </w:p>
        </w:tc>
        <w:tc>
          <w:tcPr>
            <w:tcW w:w="1020" w:type="dxa"/>
            <w:vAlign w:val="bottom"/>
            <w:tcBorders>
              <w:bottom w:val="single" w:sz="8" w:color="DBDBDB"/>
            </w:tcBorders>
            <w:shd w:val="clear" w:color="auto" w:fill="DBDBDB"/>
          </w:tcPr>
          <w:p>
            <w:pPr>
              <w:spacing w:after="0"/>
              <w:rPr>
                <w:sz w:val="19"/>
                <w:szCs w:val="19"/>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2.9</w:t>
            </w:r>
          </w:p>
        </w:tc>
      </w:tr>
      <w:tr>
        <w:trPr>
          <w:trHeight w:val="188"/>
        </w:trPr>
        <w:tc>
          <w:tcPr>
            <w:tcW w:w="78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cash, cash equivalents, and restricted cash shown in the condensed consolidated statements of cash flows</w:t>
            </w:r>
          </w:p>
        </w:tc>
        <w:tc>
          <w:tcPr>
            <w:tcW w:w="52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87"/>
              <w:spacing w:after="0"/>
              <w:rPr>
                <w:sz w:val="20"/>
                <w:szCs w:val="20"/>
                <w:color w:val="auto"/>
              </w:rPr>
            </w:pPr>
            <w:r>
              <w:rPr>
                <w:rFonts w:ascii="Arial" w:cs="Arial" w:eastAsia="Arial" w:hAnsi="Arial"/>
                <w:sz w:val="14"/>
                <w:szCs w:val="14"/>
                <w:color w:val="auto"/>
              </w:rPr>
              <w:t>40.2</w:t>
            </w:r>
          </w:p>
        </w:tc>
        <w:tc>
          <w:tcPr>
            <w:tcW w:w="1020" w:type="dxa"/>
            <w:vAlign w:val="bottom"/>
            <w:tcBorders>
              <w:top w:val="single" w:sz="8" w:color="auto"/>
            </w:tcBorders>
          </w:tcPr>
          <w:p>
            <w:pPr>
              <w:jc w:val="right"/>
              <w:ind w:right="7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28.2</w:t>
            </w:r>
          </w:p>
        </w:tc>
      </w:tr>
      <w:tr>
        <w:trPr>
          <w:trHeight w:val="24"/>
        </w:trPr>
        <w:tc>
          <w:tcPr>
            <w:tcW w:w="7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21"/>
          <w:szCs w:val="21"/>
          <w:b w:val="1"/>
          <w:bCs w:val="1"/>
          <w:color w:val="auto"/>
        </w:rPr>
        <w:t>MISSION PRODUCE, INC.</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20" w:hanging="417"/>
        <w:spacing w:after="0"/>
        <w:tabs>
          <w:tab w:leader="none" w:pos="42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w:t>
      </w:r>
    </w:p>
    <w:p>
      <w:pPr>
        <w:spacing w:after="0" w:line="232" w:lineRule="exact"/>
        <w:rPr>
          <w:sz w:val="20"/>
          <w:szCs w:val="20"/>
          <w:color w:val="auto"/>
        </w:rPr>
      </w:pPr>
    </w:p>
    <w:p>
      <w:pPr>
        <w:ind w:right="100" w:firstLine="619"/>
        <w:spacing w:after="0" w:line="264" w:lineRule="auto"/>
        <w:rPr>
          <w:sz w:val="20"/>
          <w:szCs w:val="20"/>
          <w:color w:val="auto"/>
        </w:rPr>
      </w:pPr>
      <w:r>
        <w:rPr>
          <w:rFonts w:ascii="Arial" w:cs="Arial" w:eastAsia="Arial" w:hAnsi="Arial"/>
          <w:sz w:val="15"/>
          <w:szCs w:val="15"/>
          <w:color w:val="auto"/>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operating segments: Marketing and Distribution, International Farming and Blueberries (see Note 11).</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of presentation and consolidation</w:t>
      </w:r>
    </w:p>
    <w:p>
      <w:pPr>
        <w:spacing w:after="0" w:line="232" w:lineRule="exact"/>
        <w:rPr>
          <w:sz w:val="20"/>
          <w:szCs w:val="20"/>
          <w:color w:val="auto"/>
        </w:rPr>
      </w:pPr>
    </w:p>
    <w:p>
      <w:pPr>
        <w:ind w:right="20" w:firstLine="619"/>
        <w:spacing w:after="0" w:line="261" w:lineRule="auto"/>
        <w:rPr>
          <w:sz w:val="20"/>
          <w:szCs w:val="20"/>
          <w:color w:val="auto"/>
        </w:rPr>
      </w:pPr>
      <w:r>
        <w:rPr>
          <w:rFonts w:ascii="Arial" w:cs="Arial" w:eastAsia="Arial" w:hAnsi="Arial"/>
          <w:sz w:val="15"/>
          <w:szCs w:val="15"/>
          <w:color w:val="auto"/>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and variable interest entity (“VIE”) for which we are the primary beneficiary and have a controlling interest.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2022. In the opinion of management, all adjustments, of a normal recurring nature, considered necessary for a fair statement have been included in the unaudited condensed consolidated financial statements. Interim results of operations are not necessarily indicative of future results, including results that may be expected for the twelve months ended October 31, 2023.</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Consolidation of VIE</w:t>
      </w:r>
    </w:p>
    <w:p>
      <w:pPr>
        <w:spacing w:after="0" w:line="243" w:lineRule="exact"/>
        <w:rPr>
          <w:sz w:val="20"/>
          <w:szCs w:val="20"/>
          <w:color w:val="auto"/>
        </w:rPr>
      </w:pPr>
    </w:p>
    <w:p>
      <w:pPr>
        <w:ind w:right="80" w:firstLine="619"/>
        <w:spacing w:after="0" w:line="260" w:lineRule="auto"/>
        <w:rPr>
          <w:sz w:val="20"/>
          <w:szCs w:val="20"/>
          <w:color w:val="auto"/>
        </w:rPr>
      </w:pPr>
      <w:r>
        <w:rPr>
          <w:rFonts w:ascii="Arial" w:cs="Arial" w:eastAsia="Arial" w:hAnsi="Arial"/>
          <w:sz w:val="15"/>
          <w:szCs w:val="15"/>
          <w:color w:val="auto"/>
        </w:rPr>
        <w:t>On May 1, 2022, a reconsideration event occurred related to Moruga S.A.C., an entity for which we have a 60% equity ownership interest. Moruga S.A.C. is a holding company with one wholly owned subsidiary Blueberries Peru, S.A.C. (collectively referred to as “Moruga”). Moruga was previously accounted for under the equity method of accounting, where investments are stated at initial cost and adjusted for subsequent additional investments and our proportionate share of earnings or losses and distributions. As a result of the reconsideration event, we concluded that Moruga is a VIE, and that the Company is the primary beneficiary with a controlling financial interest. Based on this conclusion, Moruga was prospectively consolidated on May 1, 2022.</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standards</w:t>
      </w:r>
    </w:p>
    <w:p>
      <w:pPr>
        <w:spacing w:after="0" w:line="232" w:lineRule="exact"/>
        <w:rPr>
          <w:sz w:val="20"/>
          <w:szCs w:val="20"/>
          <w:color w:val="auto"/>
        </w:rPr>
      </w:pPr>
    </w:p>
    <w:p>
      <w:pPr>
        <w:ind w:firstLine="619"/>
        <w:spacing w:after="0" w:line="266" w:lineRule="auto"/>
        <w:rPr>
          <w:sz w:val="20"/>
          <w:szCs w:val="20"/>
          <w:color w:val="auto"/>
        </w:rPr>
      </w:pPr>
      <w:r>
        <w:rPr>
          <w:rFonts w:ascii="Arial" w:cs="Arial" w:eastAsia="Arial" w:hAnsi="Arial"/>
          <w:sz w:val="15"/>
          <w:szCs w:val="15"/>
          <w:color w:val="auto"/>
        </w:rPr>
        <w:t>In September 2022, the Financial Accounting Standards Board (“FASB”) issued Accounting Standards Update (“ASU”) 2022-04, Liabilities—Supplier Finance Programs (Topic 405), which among other things, requires certain disclosures for a buyer in a supplier finance program. Some of the amendments in this ASU are required to be adopted for fiscal years beginning after December 15, 2022, including interim periods within those fiscal years, and others are required to be adopted for fiscal years beginning after December 15, 2023. Early adoption is permitted. We are currently evaluating the impact of adoption on our financial disclosures.</w:t>
      </w:r>
    </w:p>
    <w:p>
      <w:pPr>
        <w:spacing w:after="0" w:line="370" w:lineRule="exact"/>
        <w:rPr>
          <w:sz w:val="20"/>
          <w:szCs w:val="20"/>
          <w:color w:val="auto"/>
        </w:rPr>
      </w:pPr>
    </w:p>
    <w:p>
      <w:pPr>
        <w:ind w:right="140" w:firstLine="619"/>
        <w:spacing w:after="0" w:line="263" w:lineRule="auto"/>
        <w:rPr>
          <w:sz w:val="20"/>
          <w:szCs w:val="20"/>
          <w:color w:val="auto"/>
        </w:rPr>
      </w:pPr>
      <w:r>
        <w:rPr>
          <w:rFonts w:ascii="Arial" w:cs="Arial" w:eastAsia="Arial" w:hAnsi="Arial"/>
          <w:sz w:val="15"/>
          <w:szCs w:val="15"/>
          <w:color w:val="auto"/>
        </w:rPr>
        <w:t>In March 2022, the FASB issued ASU, Financial Instruments–Credit Losses (Topic 326) Troubled Debt Restructurings and Vintage Disclosures, which among other things, requires that entities disclose current-period gross write-offs by year of origination for financing receivables. The amendments in this ASU are required to be adopted for fiscal years beginning after December 15, 2022, including interim periods within those fiscal years. The impact of ASU 2022-02 is not expected to be material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11" w:name="page12"/>
    <w:bookmarkEnd w:id="11"/>
    <w:p>
      <w:pPr>
        <w:jc w:val="center"/>
        <w:spacing w:after="0"/>
        <w:rPr>
          <w:sz w:val="20"/>
          <w:szCs w:val="20"/>
          <w:color w:val="auto"/>
        </w:rPr>
      </w:pPr>
      <w:r>
        <w:rPr>
          <w:rFonts w:ascii="Arial" w:cs="Arial" w:eastAsia="Arial" w:hAnsi="Arial"/>
          <w:sz w:val="21"/>
          <w:szCs w:val="21"/>
          <w:b w:val="1"/>
          <w:bCs w:val="1"/>
          <w:color w:val="auto"/>
        </w:rPr>
        <w:t>MISSION PRODUCE,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00" w:type="dxa"/>
            <w:vAlign w:val="bottom"/>
          </w:tcPr>
          <w:p>
            <w:pPr>
              <w:spacing w:after="0"/>
              <w:rPr>
                <w:sz w:val="20"/>
                <w:szCs w:val="20"/>
                <w:color w:val="auto"/>
              </w:rPr>
            </w:pPr>
            <w:r>
              <w:rPr>
                <w:rFonts w:ascii="Arial" w:cs="Arial" w:eastAsia="Arial" w:hAnsi="Arial"/>
                <w:sz w:val="19"/>
                <w:szCs w:val="19"/>
                <w:b w:val="1"/>
                <w:bCs w:val="1"/>
                <w:color w:val="auto"/>
              </w:rPr>
              <w:t>2.</w:t>
            </w:r>
          </w:p>
        </w:tc>
        <w:tc>
          <w:tcPr>
            <w:tcW w:w="5300" w:type="dxa"/>
            <w:vAlign w:val="bottom"/>
          </w:tcPr>
          <w:p>
            <w:pPr>
              <w:ind w:left="120"/>
              <w:spacing w:after="0"/>
              <w:rPr>
                <w:sz w:val="20"/>
                <w:szCs w:val="20"/>
                <w:color w:val="auto"/>
              </w:rPr>
            </w:pPr>
            <w:r>
              <w:rPr>
                <w:rFonts w:ascii="Arial" w:cs="Arial" w:eastAsia="Arial" w:hAnsi="Arial"/>
                <w:sz w:val="19"/>
                <w:szCs w:val="19"/>
                <w:b w:val="1"/>
                <w:bCs w:val="1"/>
                <w:color w:val="auto"/>
              </w:rPr>
              <w:t>Inventory</w:t>
            </w:r>
          </w:p>
        </w:tc>
        <w:tc>
          <w:tcPr>
            <w:tcW w:w="23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403"/>
        </w:trPr>
        <w:tc>
          <w:tcPr>
            <w:tcW w:w="300" w:type="dxa"/>
            <w:vAlign w:val="bottom"/>
          </w:tcPr>
          <w:p>
            <w:pPr>
              <w:spacing w:after="0"/>
              <w:rPr>
                <w:sz w:val="24"/>
                <w:szCs w:val="24"/>
                <w:color w:val="auto"/>
              </w:rPr>
            </w:pPr>
          </w:p>
        </w:tc>
        <w:tc>
          <w:tcPr>
            <w:tcW w:w="5300" w:type="dxa"/>
            <w:vAlign w:val="bottom"/>
          </w:tcPr>
          <w:p>
            <w:pPr>
              <w:ind w:left="320"/>
              <w:spacing w:after="0"/>
              <w:rPr>
                <w:sz w:val="20"/>
                <w:szCs w:val="20"/>
                <w:color w:val="auto"/>
              </w:rPr>
            </w:pPr>
            <w:r>
              <w:rPr>
                <w:rFonts w:ascii="Arial" w:cs="Arial" w:eastAsia="Arial" w:hAnsi="Arial"/>
                <w:sz w:val="15"/>
                <w:szCs w:val="15"/>
                <w:color w:val="auto"/>
              </w:rPr>
              <w:t>Major classes of inventory were as follows:</w:t>
            </w:r>
          </w:p>
        </w:tc>
        <w:tc>
          <w:tcPr>
            <w:tcW w:w="2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45"/>
        </w:trPr>
        <w:tc>
          <w:tcPr>
            <w:tcW w:w="56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360" w:type="dxa"/>
            <w:vAlign w:val="bottom"/>
          </w:tcPr>
          <w:p>
            <w:pPr>
              <w:spacing w:after="0"/>
              <w:rPr>
                <w:sz w:val="24"/>
                <w:szCs w:val="24"/>
                <w:color w:val="auto"/>
              </w:rPr>
            </w:pPr>
          </w:p>
        </w:tc>
        <w:tc>
          <w:tcPr>
            <w:tcW w:w="1480" w:type="dxa"/>
            <w:vAlign w:val="bottom"/>
          </w:tcPr>
          <w:p>
            <w:pPr>
              <w:jc w:val="right"/>
              <w:ind w:right="71"/>
              <w:spacing w:after="0"/>
              <w:rPr>
                <w:sz w:val="20"/>
                <w:szCs w:val="20"/>
                <w:color w:val="auto"/>
              </w:rPr>
            </w:pPr>
            <w:r>
              <w:rPr>
                <w:rFonts w:ascii="Arial" w:cs="Arial" w:eastAsia="Arial" w:hAnsi="Arial"/>
                <w:sz w:val="14"/>
                <w:szCs w:val="14"/>
                <w:b w:val="1"/>
                <w:bCs w:val="1"/>
                <w:color w:val="auto"/>
              </w:rPr>
              <w:t>January 31, 2023</w:t>
            </w:r>
          </w:p>
        </w:tc>
        <w:tc>
          <w:tcPr>
            <w:tcW w:w="4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October 31, 2022</w:t>
            </w:r>
          </w:p>
        </w:tc>
      </w:tr>
      <w:tr>
        <w:trPr>
          <w:trHeight w:val="24"/>
        </w:trPr>
        <w:tc>
          <w:tcPr>
            <w:tcW w:w="5600" w:type="dxa"/>
            <w:vAlign w:val="bottom"/>
            <w:tcBorders>
              <w:bottom w:val="single" w:sz="8" w:color="auto"/>
            </w:tcBorders>
            <w:gridSpan w:val="2"/>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2"/>
        </w:trPr>
        <w:tc>
          <w:tcPr>
            <w:tcW w:w="56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Finished goods</w:t>
            </w:r>
          </w:p>
        </w:tc>
        <w:tc>
          <w:tcPr>
            <w:tcW w:w="23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28.9</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33.8</w:t>
            </w:r>
          </w:p>
        </w:tc>
      </w:tr>
      <w:tr>
        <w:trPr>
          <w:trHeight w:val="195"/>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Crop growing costs</w:t>
            </w:r>
          </w:p>
        </w:tc>
        <w:tc>
          <w:tcPr>
            <w:tcW w:w="2360" w:type="dxa"/>
            <w:vAlign w:val="bottom"/>
          </w:tcPr>
          <w:p>
            <w:pPr>
              <w:spacing w:after="0"/>
              <w:rPr>
                <w:sz w:val="16"/>
                <w:szCs w:val="16"/>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color w:val="auto"/>
              </w:rPr>
              <w:t>28.3</w:t>
            </w:r>
          </w:p>
        </w:tc>
        <w:tc>
          <w:tcPr>
            <w:tcW w:w="4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w:t>
            </w:r>
          </w:p>
        </w:tc>
      </w:tr>
      <w:tr>
        <w:trPr>
          <w:trHeight w:val="24"/>
        </w:trPr>
        <w:tc>
          <w:tcPr>
            <w:tcW w:w="5600" w:type="dxa"/>
            <w:vAlign w:val="bottom"/>
            <w:gridSpan w:val="2"/>
          </w:tcPr>
          <w:p>
            <w:pPr>
              <w:spacing w:after="0"/>
              <w:rPr>
                <w:sz w:val="2"/>
                <w:szCs w:val="2"/>
                <w:color w:val="auto"/>
              </w:rPr>
            </w:pPr>
          </w:p>
        </w:tc>
        <w:tc>
          <w:tcPr>
            <w:tcW w:w="2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4"/>
        </w:trPr>
        <w:tc>
          <w:tcPr>
            <w:tcW w:w="56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4"/>
                <w:szCs w:val="14"/>
                <w:color w:val="auto"/>
              </w:rPr>
              <w:t>Packaging and supplies</w:t>
            </w:r>
          </w:p>
        </w:tc>
        <w:tc>
          <w:tcPr>
            <w:tcW w:w="2360" w:type="dxa"/>
            <w:vAlign w:val="bottom"/>
            <w:tcBorders>
              <w:bottom w:val="single" w:sz="8" w:color="DBDBDB"/>
            </w:tcBorders>
            <w:shd w:val="clear" w:color="auto" w:fill="DBDBDB"/>
          </w:tcPr>
          <w:p>
            <w:pPr>
              <w:spacing w:after="0"/>
              <w:rPr>
                <w:sz w:val="19"/>
                <w:szCs w:val="19"/>
                <w:color w:val="auto"/>
              </w:rPr>
            </w:pP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19.6</w:t>
            </w:r>
          </w:p>
        </w:tc>
        <w:tc>
          <w:tcPr>
            <w:tcW w:w="460" w:type="dxa"/>
            <w:vAlign w:val="bottom"/>
            <w:tcBorders>
              <w:bottom w:val="single" w:sz="8" w:color="DBDBDB"/>
            </w:tcBorders>
            <w:shd w:val="clear" w:color="auto" w:fill="DBDBDB"/>
          </w:tcPr>
          <w:p>
            <w:pPr>
              <w:spacing w:after="0"/>
              <w:rPr>
                <w:sz w:val="19"/>
                <w:szCs w:val="19"/>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19.8</w:t>
            </w:r>
          </w:p>
        </w:tc>
      </w:tr>
      <w:tr>
        <w:trPr>
          <w:trHeight w:val="188"/>
        </w:trPr>
        <w:tc>
          <w:tcPr>
            <w:tcW w:w="56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Inventory</w:t>
            </w:r>
          </w:p>
        </w:tc>
        <w:tc>
          <w:tcPr>
            <w:tcW w:w="23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76.8</w:t>
            </w:r>
          </w:p>
        </w:tc>
        <w:tc>
          <w:tcPr>
            <w:tcW w:w="4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73.1</w:t>
            </w:r>
          </w:p>
        </w:tc>
      </w:tr>
      <w:tr>
        <w:trPr>
          <w:trHeight w:val="24"/>
        </w:trPr>
        <w:tc>
          <w:tcPr>
            <w:tcW w:w="30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324" w:lineRule="exact"/>
        <w:rPr>
          <w:sz w:val="20"/>
          <w:szCs w:val="20"/>
          <w:color w:val="auto"/>
        </w:rPr>
      </w:pPr>
    </w:p>
    <w:p>
      <w:pPr>
        <w:ind w:right="200" w:firstLine="619"/>
        <w:spacing w:after="0" w:line="269" w:lineRule="auto"/>
        <w:rPr>
          <w:sz w:val="20"/>
          <w:szCs w:val="20"/>
          <w:color w:val="auto"/>
        </w:rPr>
      </w:pPr>
      <w:r>
        <w:rPr>
          <w:rFonts w:ascii="Arial" w:cs="Arial" w:eastAsia="Arial" w:hAnsi="Arial"/>
          <w:sz w:val="15"/>
          <w:szCs w:val="15"/>
          <w:color w:val="auto"/>
        </w:rPr>
        <w:t>Inventory at October 31, 2022 included a $0.7 million adjustment to increase inventories recognized in the business combination with Moruga to their fair value as of May 1, 2022. These inventories, including the fair value adjustment, were recognized in cost of sales as the underlying inventories were sold.</w:t>
      </w:r>
    </w:p>
    <w:p>
      <w:pPr>
        <w:spacing w:after="0" w:line="216" w:lineRule="exact"/>
        <w:rPr>
          <w:sz w:val="20"/>
          <w:szCs w:val="20"/>
          <w:color w:val="auto"/>
        </w:rPr>
      </w:pPr>
    </w:p>
    <w:p>
      <w:pPr>
        <w:ind w:left="380" w:hanging="377"/>
        <w:spacing w:after="0"/>
        <w:tabs>
          <w:tab w:leader="none" w:pos="38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Goodwill and Intangible Asset, net</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5"/>
                <w:szCs w:val="15"/>
                <w:color w:val="auto"/>
              </w:rPr>
            </w:pPr>
          </w:p>
        </w:tc>
        <w:tc>
          <w:tcPr>
            <w:tcW w:w="1580" w:type="dxa"/>
            <w:vAlign w:val="bottom"/>
          </w:tcPr>
          <w:p>
            <w:pPr>
              <w:jc w:val="right"/>
              <w:ind w:right="31"/>
              <w:spacing w:after="0"/>
              <w:rPr>
                <w:sz w:val="20"/>
                <w:szCs w:val="20"/>
                <w:color w:val="auto"/>
              </w:rPr>
            </w:pPr>
            <w:r>
              <w:rPr>
                <w:rFonts w:ascii="Arial" w:cs="Arial" w:eastAsia="Arial" w:hAnsi="Arial"/>
                <w:sz w:val="14"/>
                <w:szCs w:val="14"/>
                <w:b w:val="1"/>
                <w:bCs w:val="1"/>
                <w:color w:val="auto"/>
              </w:rPr>
              <w:t>International Farming</w:t>
            </w:r>
          </w:p>
        </w:tc>
        <w:tc>
          <w:tcPr>
            <w:tcW w:w="580" w:type="dxa"/>
            <w:vAlign w:val="bottom"/>
          </w:tcPr>
          <w:p>
            <w:pPr>
              <w:spacing w:after="0"/>
              <w:rPr>
                <w:sz w:val="15"/>
                <w:szCs w:val="15"/>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b w:val="1"/>
                <w:bCs w:val="1"/>
                <w:color w:val="auto"/>
              </w:rPr>
              <w:t>Blueberries</w:t>
            </w:r>
          </w:p>
        </w:tc>
        <w:tc>
          <w:tcPr>
            <w:tcW w:w="780" w:type="dxa"/>
            <w:vAlign w:val="bottom"/>
          </w:tcPr>
          <w:p>
            <w:pPr>
              <w:spacing w:after="0"/>
              <w:rPr>
                <w:sz w:val="15"/>
                <w:szCs w:val="15"/>
                <w:color w:val="auto"/>
              </w:rPr>
            </w:pPr>
          </w:p>
        </w:tc>
        <w:tc>
          <w:tcPr>
            <w:tcW w:w="960" w:type="dxa"/>
            <w:vAlign w:val="bottom"/>
          </w:tcPr>
          <w:p>
            <w:pPr>
              <w:ind w:left="620"/>
              <w:spacing w:after="0"/>
              <w:rPr>
                <w:sz w:val="20"/>
                <w:szCs w:val="20"/>
                <w:color w:val="auto"/>
              </w:rPr>
            </w:pPr>
            <w:r>
              <w:rPr>
                <w:rFonts w:ascii="Arial" w:cs="Arial" w:eastAsia="Arial" w:hAnsi="Arial"/>
                <w:sz w:val="14"/>
                <w:szCs w:val="14"/>
                <w:b w:val="1"/>
                <w:bCs w:val="1"/>
                <w:color w:val="auto"/>
                <w:w w:val="95"/>
              </w:rPr>
              <w:t>Total</w:t>
            </w:r>
          </w:p>
        </w:tc>
      </w:tr>
      <w:tr>
        <w:trPr>
          <w:trHeight w:val="24"/>
        </w:trPr>
        <w:tc>
          <w:tcPr>
            <w:tcW w:w="46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2"/>
        </w:trPr>
        <w:tc>
          <w:tcPr>
            <w:tcW w:w="4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Goodwill as of January 31, 2023 and October 31, 2022</w:t>
            </w:r>
          </w:p>
        </w:tc>
        <w:tc>
          <w:tcPr>
            <w:tcW w:w="14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26.9</w:t>
            </w:r>
          </w:p>
        </w:tc>
        <w:tc>
          <w:tcPr>
            <w:tcW w:w="580" w:type="dxa"/>
            <w:vAlign w:val="bottom"/>
            <w:tcBorders>
              <w:bottom w:val="single" w:sz="8" w:color="DBDBDB"/>
            </w:tcBorders>
            <w:shd w:val="clear" w:color="auto" w:fill="DBDBDB"/>
          </w:tcPr>
          <w:p>
            <w:pPr>
              <w:jc w:val="right"/>
              <w:ind w:right="33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12.5</w:t>
            </w:r>
          </w:p>
        </w:tc>
        <w:tc>
          <w:tcPr>
            <w:tcW w:w="780" w:type="dxa"/>
            <w:vAlign w:val="bottom"/>
            <w:tcBorders>
              <w:bottom w:val="single" w:sz="8" w:color="DBDBDB"/>
            </w:tcBorders>
            <w:shd w:val="clear" w:color="auto" w:fill="DBDBDB"/>
          </w:tcPr>
          <w:p>
            <w:pPr>
              <w:jc w:val="right"/>
              <w:ind w:right="55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BDBDB"/>
            </w:tcBorders>
            <w:shd w:val="clear" w:color="auto" w:fill="DBDBDB"/>
          </w:tcPr>
          <w:p>
            <w:pPr>
              <w:ind w:left="640"/>
              <w:spacing w:after="0"/>
              <w:rPr>
                <w:sz w:val="20"/>
                <w:szCs w:val="20"/>
                <w:color w:val="auto"/>
              </w:rPr>
            </w:pPr>
            <w:r>
              <w:rPr>
                <w:rFonts w:ascii="Arial" w:cs="Arial" w:eastAsia="Arial" w:hAnsi="Arial"/>
                <w:sz w:val="14"/>
                <w:szCs w:val="14"/>
                <w:color w:val="auto"/>
              </w:rPr>
              <w:t>39.4</w:t>
            </w:r>
          </w:p>
        </w:tc>
      </w:tr>
      <w:tr>
        <w:trPr>
          <w:trHeight w:val="20"/>
        </w:trPr>
        <w:tc>
          <w:tcPr>
            <w:tcW w:w="46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73" w:lineRule="exact"/>
        <w:rPr>
          <w:sz w:val="20"/>
          <w:szCs w:val="20"/>
          <w:color w:val="auto"/>
        </w:rPr>
      </w:pPr>
    </w:p>
    <w:p>
      <w:pPr>
        <w:ind w:right="300" w:firstLine="619"/>
        <w:spacing w:after="0" w:line="287" w:lineRule="auto"/>
        <w:rPr>
          <w:sz w:val="20"/>
          <w:szCs w:val="20"/>
          <w:color w:val="auto"/>
        </w:rPr>
      </w:pPr>
      <w:r>
        <w:rPr>
          <w:rFonts w:ascii="Arial" w:cs="Arial" w:eastAsia="Arial" w:hAnsi="Arial"/>
          <w:sz w:val="15"/>
          <w:szCs w:val="15"/>
          <w:color w:val="auto"/>
        </w:rPr>
        <w:t>Goodwill is tested for impairment on an annual basis in the fourth quarter, or when an event or changes in circumstances indicate that its carrying value may not be recoverable.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Intangible asset, net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340" w:type="dxa"/>
            <w:vAlign w:val="bottom"/>
          </w:tcPr>
          <w:p>
            <w:pPr>
              <w:spacing w:after="0"/>
              <w:rPr>
                <w:sz w:val="15"/>
                <w:szCs w:val="15"/>
                <w:color w:val="auto"/>
              </w:rPr>
            </w:pPr>
          </w:p>
        </w:tc>
        <w:tc>
          <w:tcPr>
            <w:tcW w:w="1480" w:type="dxa"/>
            <w:vAlign w:val="bottom"/>
          </w:tcPr>
          <w:p>
            <w:pPr>
              <w:ind w:left="240"/>
              <w:spacing w:after="0"/>
              <w:rPr>
                <w:sz w:val="20"/>
                <w:szCs w:val="20"/>
                <w:color w:val="auto"/>
              </w:rPr>
            </w:pPr>
            <w:r>
              <w:rPr>
                <w:rFonts w:ascii="Arial" w:cs="Arial" w:eastAsia="Arial" w:hAnsi="Arial"/>
                <w:sz w:val="14"/>
                <w:szCs w:val="14"/>
                <w:b w:val="1"/>
                <w:bCs w:val="1"/>
                <w:color w:val="auto"/>
              </w:rPr>
              <w:t>January 31, 2023</w:t>
            </w:r>
          </w:p>
        </w:tc>
        <w:tc>
          <w:tcPr>
            <w:tcW w:w="460" w:type="dxa"/>
            <w:vAlign w:val="bottom"/>
          </w:tcPr>
          <w:p>
            <w:pPr>
              <w:spacing w:after="0"/>
              <w:rPr>
                <w:sz w:val="15"/>
                <w:szCs w:val="15"/>
                <w:color w:val="auto"/>
              </w:rPr>
            </w:pPr>
          </w:p>
        </w:tc>
        <w:tc>
          <w:tcPr>
            <w:tcW w:w="1340" w:type="dxa"/>
            <w:vAlign w:val="bottom"/>
          </w:tcPr>
          <w:p>
            <w:pPr>
              <w:ind w:left="220"/>
              <w:spacing w:after="0"/>
              <w:rPr>
                <w:sz w:val="20"/>
                <w:szCs w:val="20"/>
                <w:color w:val="auto"/>
              </w:rPr>
            </w:pPr>
            <w:r>
              <w:rPr>
                <w:rFonts w:ascii="Arial" w:cs="Arial" w:eastAsia="Arial" w:hAnsi="Arial"/>
                <w:sz w:val="14"/>
                <w:szCs w:val="14"/>
                <w:b w:val="1"/>
                <w:bCs w:val="1"/>
                <w:color w:val="auto"/>
                <w:w w:val="98"/>
              </w:rPr>
              <w:t>October 31, 2022</w:t>
            </w:r>
          </w:p>
        </w:tc>
      </w:tr>
      <w:tr>
        <w:trPr>
          <w:trHeight w:val="24"/>
        </w:trPr>
        <w:tc>
          <w:tcPr>
            <w:tcW w:w="46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2"/>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Intangible asset, gross</w:t>
            </w:r>
          </w:p>
        </w:tc>
        <w:tc>
          <w:tcPr>
            <w:tcW w:w="334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center"/>
              <w:ind w:left="831"/>
              <w:spacing w:after="0"/>
              <w:rPr>
                <w:sz w:val="20"/>
                <w:szCs w:val="20"/>
                <w:color w:val="auto"/>
              </w:rPr>
            </w:pPr>
            <w:r>
              <w:rPr>
                <w:rFonts w:ascii="Arial" w:cs="Arial" w:eastAsia="Arial" w:hAnsi="Arial"/>
                <w:sz w:val="14"/>
                <w:szCs w:val="14"/>
                <w:color w:val="auto"/>
                <w:w w:val="92"/>
              </w:rPr>
              <w:t>2.8</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center"/>
              <w:ind w:left="971"/>
              <w:spacing w:after="0"/>
              <w:rPr>
                <w:sz w:val="20"/>
                <w:szCs w:val="20"/>
                <w:color w:val="auto"/>
              </w:rPr>
            </w:pPr>
            <w:r>
              <w:rPr>
                <w:rFonts w:ascii="Arial" w:cs="Arial" w:eastAsia="Arial" w:hAnsi="Arial"/>
                <w:sz w:val="14"/>
                <w:szCs w:val="14"/>
                <w:color w:val="auto"/>
                <w:w w:val="92"/>
              </w:rPr>
              <w:t>2.8</w:t>
            </w:r>
          </w:p>
        </w:tc>
      </w:tr>
      <w:tr>
        <w:trPr>
          <w:trHeight w:val="195"/>
        </w:trPr>
        <w:tc>
          <w:tcPr>
            <w:tcW w:w="4620" w:type="dxa"/>
            <w:vAlign w:val="bottom"/>
          </w:tcPr>
          <w:p>
            <w:pPr>
              <w:ind w:left="20"/>
              <w:spacing w:after="0"/>
              <w:rPr>
                <w:sz w:val="20"/>
                <w:szCs w:val="20"/>
                <w:color w:val="auto"/>
              </w:rPr>
            </w:pPr>
            <w:r>
              <w:rPr>
                <w:rFonts w:ascii="Arial" w:cs="Arial" w:eastAsia="Arial" w:hAnsi="Arial"/>
                <w:sz w:val="14"/>
                <w:szCs w:val="14"/>
                <w:color w:val="auto"/>
              </w:rPr>
              <w:t>Accumulated amortization</w:t>
            </w:r>
          </w:p>
        </w:tc>
        <w:tc>
          <w:tcPr>
            <w:tcW w:w="3340" w:type="dxa"/>
            <w:vAlign w:val="bottom"/>
          </w:tcPr>
          <w:p>
            <w:pPr>
              <w:spacing w:after="0"/>
              <w:rPr>
                <w:sz w:val="16"/>
                <w:szCs w:val="16"/>
                <w:color w:val="auto"/>
              </w:rPr>
            </w:pPr>
          </w:p>
        </w:tc>
        <w:tc>
          <w:tcPr>
            <w:tcW w:w="1480" w:type="dxa"/>
            <w:vAlign w:val="bottom"/>
          </w:tcPr>
          <w:p>
            <w:pPr>
              <w:jc w:val="center"/>
              <w:ind w:left="811"/>
              <w:spacing w:after="0"/>
              <w:rPr>
                <w:sz w:val="20"/>
                <w:szCs w:val="20"/>
                <w:color w:val="auto"/>
              </w:rPr>
            </w:pPr>
            <w:r>
              <w:rPr>
                <w:rFonts w:ascii="Arial" w:cs="Arial" w:eastAsia="Arial" w:hAnsi="Arial"/>
                <w:sz w:val="14"/>
                <w:szCs w:val="14"/>
                <w:color w:val="auto"/>
                <w:w w:val="97"/>
              </w:rPr>
              <w:t>(2.0)</w:t>
            </w:r>
          </w:p>
        </w:tc>
        <w:tc>
          <w:tcPr>
            <w:tcW w:w="460" w:type="dxa"/>
            <w:vAlign w:val="bottom"/>
          </w:tcPr>
          <w:p>
            <w:pPr>
              <w:spacing w:after="0"/>
              <w:rPr>
                <w:sz w:val="16"/>
                <w:szCs w:val="16"/>
                <w:color w:val="auto"/>
              </w:rPr>
            </w:pPr>
          </w:p>
        </w:tc>
        <w:tc>
          <w:tcPr>
            <w:tcW w:w="1340" w:type="dxa"/>
            <w:vAlign w:val="bottom"/>
          </w:tcPr>
          <w:p>
            <w:pPr>
              <w:jc w:val="center"/>
              <w:ind w:left="951"/>
              <w:spacing w:after="0"/>
              <w:rPr>
                <w:sz w:val="20"/>
                <w:szCs w:val="20"/>
                <w:color w:val="auto"/>
              </w:rPr>
            </w:pPr>
            <w:r>
              <w:rPr>
                <w:rFonts w:ascii="Arial" w:cs="Arial" w:eastAsia="Arial" w:hAnsi="Arial"/>
                <w:sz w:val="14"/>
                <w:szCs w:val="14"/>
                <w:color w:val="auto"/>
                <w:w w:val="97"/>
              </w:rPr>
              <w:t>(0.8)</w:t>
            </w:r>
          </w:p>
        </w:tc>
      </w:tr>
      <w:tr>
        <w:trPr>
          <w:trHeight w:val="24"/>
        </w:trPr>
        <w:tc>
          <w:tcPr>
            <w:tcW w:w="46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2"/>
        </w:trPr>
        <w:tc>
          <w:tcPr>
            <w:tcW w:w="4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Intangible asset, net</w:t>
            </w:r>
          </w:p>
        </w:tc>
        <w:tc>
          <w:tcPr>
            <w:tcW w:w="334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center"/>
              <w:ind w:left="831"/>
              <w:spacing w:after="0"/>
              <w:rPr>
                <w:sz w:val="20"/>
                <w:szCs w:val="20"/>
                <w:color w:val="auto"/>
              </w:rPr>
            </w:pPr>
            <w:r>
              <w:rPr>
                <w:rFonts w:ascii="Arial" w:cs="Arial" w:eastAsia="Arial" w:hAnsi="Arial"/>
                <w:sz w:val="14"/>
                <w:szCs w:val="14"/>
                <w:color w:val="auto"/>
                <w:w w:val="92"/>
              </w:rPr>
              <w:t>0.8</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center"/>
              <w:ind w:left="971"/>
              <w:spacing w:after="0"/>
              <w:rPr>
                <w:sz w:val="20"/>
                <w:szCs w:val="20"/>
                <w:color w:val="auto"/>
              </w:rPr>
            </w:pPr>
            <w:r>
              <w:rPr>
                <w:rFonts w:ascii="Arial" w:cs="Arial" w:eastAsia="Arial" w:hAnsi="Arial"/>
                <w:sz w:val="14"/>
                <w:szCs w:val="14"/>
                <w:color w:val="auto"/>
                <w:w w:val="92"/>
              </w:rPr>
              <w:t>2.0</w:t>
            </w:r>
          </w:p>
        </w:tc>
      </w:tr>
      <w:tr>
        <w:trPr>
          <w:trHeight w:val="20"/>
        </w:trPr>
        <w:tc>
          <w:tcPr>
            <w:tcW w:w="462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85" w:lineRule="exact"/>
        <w:rPr>
          <w:sz w:val="20"/>
          <w:szCs w:val="20"/>
          <w:color w:val="auto"/>
        </w:rPr>
      </w:pPr>
    </w:p>
    <w:p>
      <w:pPr>
        <w:ind w:right="100" w:firstLine="619"/>
        <w:spacing w:after="0" w:line="269" w:lineRule="auto"/>
        <w:rPr>
          <w:sz w:val="20"/>
          <w:szCs w:val="20"/>
          <w:color w:val="auto"/>
        </w:rPr>
      </w:pPr>
      <w:r>
        <w:rPr>
          <w:rFonts w:ascii="Arial" w:cs="Arial" w:eastAsia="Arial" w:hAnsi="Arial"/>
          <w:sz w:val="15"/>
          <w:szCs w:val="15"/>
          <w:color w:val="auto"/>
        </w:rPr>
        <w:t>The intangible asset, net consists of a distributor relationship entirely attributed to the business combination with Moruga on May 1, 2022. The intangible asset has an amortizable life of 2 years, to be recognized in selling, general and administrative expenses coinciding with the timing of the estimated revenues. Amortization expense was $1.2 million for the three months ended January 31, 2023. The remaining amortization expense is expected to be recognized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9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jc w:val="right"/>
              <w:ind w:right="51"/>
              <w:spacing w:after="0"/>
              <w:rPr>
                <w:sz w:val="20"/>
                <w:szCs w:val="20"/>
                <w:color w:val="auto"/>
              </w:rPr>
            </w:pPr>
            <w:r>
              <w:rPr>
                <w:rFonts w:ascii="Arial" w:cs="Arial" w:eastAsia="Arial" w:hAnsi="Arial"/>
                <w:sz w:val="14"/>
                <w:szCs w:val="14"/>
                <w:b w:val="1"/>
                <w:bCs w:val="1"/>
                <w:color w:val="auto"/>
                <w:w w:val="99"/>
              </w:rPr>
              <w:t>Year Ending October 31,</w:t>
            </w:r>
          </w:p>
        </w:tc>
      </w:tr>
      <w:tr>
        <w:trPr>
          <w:trHeight w:val="180"/>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820" w:type="dxa"/>
            <w:vAlign w:val="bottom"/>
          </w:tcPr>
          <w:p>
            <w:pPr>
              <w:spacing w:after="0"/>
              <w:rPr>
                <w:sz w:val="15"/>
                <w:szCs w:val="15"/>
                <w:color w:val="auto"/>
              </w:rPr>
            </w:pPr>
          </w:p>
        </w:tc>
        <w:tc>
          <w:tcPr>
            <w:tcW w:w="1480" w:type="dxa"/>
            <w:vAlign w:val="bottom"/>
          </w:tcPr>
          <w:p>
            <w:pPr>
              <w:jc w:val="right"/>
              <w:ind w:right="111"/>
              <w:spacing w:after="0"/>
              <w:rPr>
                <w:sz w:val="20"/>
                <w:szCs w:val="20"/>
                <w:color w:val="auto"/>
              </w:rPr>
            </w:pPr>
            <w:r>
              <w:rPr>
                <w:rFonts w:ascii="Arial" w:cs="Arial" w:eastAsia="Arial" w:hAnsi="Arial"/>
                <w:sz w:val="14"/>
                <w:szCs w:val="14"/>
                <w:b w:val="1"/>
                <w:bCs w:val="1"/>
                <w:color w:val="auto"/>
              </w:rPr>
              <w:t>Remaining 2023</w:t>
            </w:r>
          </w:p>
        </w:tc>
        <w:tc>
          <w:tcPr>
            <w:tcW w:w="280" w:type="dxa"/>
            <w:vAlign w:val="bottom"/>
          </w:tcPr>
          <w:p>
            <w:pPr>
              <w:spacing w:after="0"/>
              <w:rPr>
                <w:sz w:val="15"/>
                <w:szCs w:val="15"/>
                <w:color w:val="auto"/>
              </w:rPr>
            </w:pPr>
          </w:p>
        </w:tc>
        <w:tc>
          <w:tcPr>
            <w:tcW w:w="1760" w:type="dxa"/>
            <w:vAlign w:val="bottom"/>
          </w:tcPr>
          <w:p>
            <w:pPr>
              <w:jc w:val="right"/>
              <w:ind w:right="51"/>
              <w:spacing w:after="0"/>
              <w:rPr>
                <w:sz w:val="20"/>
                <w:szCs w:val="20"/>
                <w:color w:val="auto"/>
              </w:rPr>
            </w:pPr>
            <w:r>
              <w:rPr>
                <w:rFonts w:ascii="Arial" w:cs="Arial" w:eastAsia="Arial" w:hAnsi="Arial"/>
                <w:sz w:val="14"/>
                <w:szCs w:val="14"/>
                <w:b w:val="1"/>
                <w:bCs w:val="1"/>
                <w:color w:val="auto"/>
              </w:rPr>
              <w:t>2024</w:t>
            </w:r>
          </w:p>
        </w:tc>
      </w:tr>
      <w:tr>
        <w:trPr>
          <w:trHeight w:val="24"/>
        </w:trPr>
        <w:tc>
          <w:tcPr>
            <w:tcW w:w="49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192"/>
        </w:trPr>
        <w:tc>
          <w:tcPr>
            <w:tcW w:w="4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Estimated annual amortization expense</w:t>
            </w:r>
          </w:p>
        </w:tc>
        <w:tc>
          <w:tcPr>
            <w:tcW w:w="282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0.2</w:t>
            </w:r>
          </w:p>
        </w:tc>
        <w:tc>
          <w:tcPr>
            <w:tcW w:w="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0.6</w:t>
            </w:r>
          </w:p>
        </w:tc>
      </w:tr>
      <w:tr>
        <w:trPr>
          <w:trHeight w:val="20"/>
        </w:trPr>
        <w:tc>
          <w:tcPr>
            <w:tcW w:w="490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80" w:hanging="377"/>
        <w:spacing w:after="0"/>
        <w:tabs>
          <w:tab w:leader="none" w:pos="380"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color w:val="auto"/>
        </w:rPr>
        <w:t>Details of Certain Account Balances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Accrued expenses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46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4"/>
                <w:szCs w:val="14"/>
                <w:b w:val="1"/>
                <w:bCs w:val="1"/>
                <w:color w:val="auto"/>
              </w:rPr>
              <w:t>January 31, 2023</w:t>
            </w: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October 31, 2022</w:t>
            </w:r>
          </w:p>
        </w:tc>
      </w:tr>
      <w:tr>
        <w:trPr>
          <w:trHeight w:val="24"/>
        </w:trPr>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2"/>
        </w:trPr>
        <w:tc>
          <w:tcPr>
            <w:tcW w:w="4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Employee-related</w:t>
            </w:r>
          </w:p>
        </w:tc>
        <w:tc>
          <w:tcPr>
            <w:tcW w:w="3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13.1</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16.3</w:t>
            </w:r>
          </w:p>
        </w:tc>
      </w:tr>
      <w:tr>
        <w:trPr>
          <w:trHeight w:val="195"/>
        </w:trPr>
        <w:tc>
          <w:tcPr>
            <w:tcW w:w="4500" w:type="dxa"/>
            <w:vAlign w:val="bottom"/>
          </w:tcPr>
          <w:p>
            <w:pPr>
              <w:ind w:left="20"/>
              <w:spacing w:after="0"/>
              <w:rPr>
                <w:sz w:val="20"/>
                <w:szCs w:val="20"/>
                <w:color w:val="auto"/>
              </w:rPr>
            </w:pPr>
            <w:r>
              <w:rPr>
                <w:rFonts w:ascii="Arial" w:cs="Arial" w:eastAsia="Arial" w:hAnsi="Arial"/>
                <w:sz w:val="14"/>
                <w:szCs w:val="14"/>
                <w:color w:val="auto"/>
              </w:rPr>
              <w:t>Freight</w:t>
            </w:r>
          </w:p>
        </w:tc>
        <w:tc>
          <w:tcPr>
            <w:tcW w:w="3460" w:type="dxa"/>
            <w:vAlign w:val="bottom"/>
          </w:tcPr>
          <w:p>
            <w:pPr>
              <w:spacing w:after="0"/>
              <w:rPr>
                <w:sz w:val="16"/>
                <w:szCs w:val="16"/>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color w:val="auto"/>
              </w:rPr>
              <w:t>7.9</w:t>
            </w:r>
          </w:p>
        </w:tc>
        <w:tc>
          <w:tcPr>
            <w:tcW w:w="4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24"/>
        </w:trPr>
        <w:tc>
          <w:tcPr>
            <w:tcW w:w="4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9"/>
        </w:trPr>
        <w:tc>
          <w:tcPr>
            <w:tcW w:w="4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Outside fruit purchase</w:t>
            </w:r>
          </w:p>
        </w:tc>
        <w:tc>
          <w:tcPr>
            <w:tcW w:w="3460" w:type="dxa"/>
            <w:vAlign w:val="bottom"/>
            <w:tcBorders>
              <w:bottom w:val="single" w:sz="8" w:color="DBDBDB"/>
            </w:tcBorders>
            <w:shd w:val="clear" w:color="auto" w:fill="DBDBDB"/>
          </w:tcPr>
          <w:p>
            <w:pPr>
              <w:spacing w:after="0"/>
              <w:rPr>
                <w:sz w:val="17"/>
                <w:szCs w:val="17"/>
                <w:color w:val="auto"/>
              </w:rPr>
            </w:pP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1.3</w:t>
            </w:r>
          </w:p>
        </w:tc>
        <w:tc>
          <w:tcPr>
            <w:tcW w:w="460" w:type="dxa"/>
            <w:vAlign w:val="bottom"/>
            <w:tcBorders>
              <w:bottom w:val="single" w:sz="8" w:color="DBDBDB"/>
            </w:tcBorders>
            <w:shd w:val="clear" w:color="auto" w:fill="DBDBDB"/>
          </w:tcPr>
          <w:p>
            <w:pPr>
              <w:spacing w:after="0"/>
              <w:rPr>
                <w:sz w:val="17"/>
                <w:szCs w:val="17"/>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195"/>
        </w:trPr>
        <w:tc>
          <w:tcPr>
            <w:tcW w:w="4500" w:type="dxa"/>
            <w:vAlign w:val="bottom"/>
          </w:tcPr>
          <w:p>
            <w:pPr>
              <w:ind w:left="20"/>
              <w:spacing w:after="0"/>
              <w:rPr>
                <w:sz w:val="20"/>
                <w:szCs w:val="20"/>
                <w:color w:val="auto"/>
              </w:rPr>
            </w:pPr>
            <w:r>
              <w:rPr>
                <w:rFonts w:ascii="Arial" w:cs="Arial" w:eastAsia="Arial" w:hAnsi="Arial"/>
                <w:sz w:val="14"/>
                <w:szCs w:val="14"/>
                <w:color w:val="auto"/>
              </w:rPr>
              <w:t>Legal settlement</w:t>
            </w:r>
          </w:p>
        </w:tc>
        <w:tc>
          <w:tcPr>
            <w:tcW w:w="3460" w:type="dxa"/>
            <w:vAlign w:val="bottom"/>
          </w:tcPr>
          <w:p>
            <w:pPr>
              <w:spacing w:after="0"/>
              <w:rPr>
                <w:sz w:val="16"/>
                <w:szCs w:val="16"/>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color w:val="auto"/>
              </w:rPr>
              <w:t>0.8</w:t>
            </w:r>
          </w:p>
        </w:tc>
        <w:tc>
          <w:tcPr>
            <w:tcW w:w="4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4"/>
        </w:trPr>
        <w:tc>
          <w:tcPr>
            <w:tcW w:w="4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4"/>
        </w:trPr>
        <w:tc>
          <w:tcPr>
            <w:tcW w:w="4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3460" w:type="dxa"/>
            <w:vAlign w:val="bottom"/>
            <w:tcBorders>
              <w:bottom w:val="single" w:sz="8" w:color="DBDBDB"/>
            </w:tcBorders>
            <w:shd w:val="clear" w:color="auto" w:fill="DBDBDB"/>
          </w:tcPr>
          <w:p>
            <w:pPr>
              <w:spacing w:after="0"/>
              <w:rPr>
                <w:sz w:val="19"/>
                <w:szCs w:val="19"/>
                <w:color w:val="auto"/>
              </w:rPr>
            </w:pP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6.3</w:t>
            </w:r>
          </w:p>
        </w:tc>
        <w:tc>
          <w:tcPr>
            <w:tcW w:w="460" w:type="dxa"/>
            <w:vAlign w:val="bottom"/>
            <w:tcBorders>
              <w:bottom w:val="single" w:sz="8" w:color="DBDBDB"/>
            </w:tcBorders>
            <w:shd w:val="clear" w:color="auto" w:fill="DBDBDB"/>
          </w:tcPr>
          <w:p>
            <w:pPr>
              <w:spacing w:after="0"/>
              <w:rPr>
                <w:sz w:val="19"/>
                <w:szCs w:val="19"/>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5.8</w:t>
            </w:r>
          </w:p>
        </w:tc>
      </w:tr>
      <w:tr>
        <w:trPr>
          <w:trHeight w:val="188"/>
        </w:trPr>
        <w:tc>
          <w:tcPr>
            <w:tcW w:w="45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Accrued expenses</w:t>
            </w:r>
          </w:p>
        </w:tc>
        <w:tc>
          <w:tcPr>
            <w:tcW w:w="34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29.4</w:t>
            </w:r>
          </w:p>
        </w:tc>
        <w:tc>
          <w:tcPr>
            <w:tcW w:w="4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30.1</w:t>
            </w:r>
          </w:p>
        </w:tc>
      </w:tr>
      <w:tr>
        <w:trPr>
          <w:trHeight w:val="24"/>
        </w:trPr>
        <w:tc>
          <w:tcPr>
            <w:tcW w:w="450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21"/>
          <w:szCs w:val="21"/>
          <w:b w:val="1"/>
          <w:bCs w:val="1"/>
          <w:color w:val="auto"/>
        </w:rPr>
        <w:t>MISSION PRODUCE,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long-term liabilities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36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4"/>
                <w:szCs w:val="14"/>
                <w:b w:val="1"/>
                <w:bCs w:val="1"/>
                <w:color w:val="auto"/>
              </w:rPr>
              <w:t>January 31, 2023</w:t>
            </w: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October 31, 2022</w:t>
            </w:r>
          </w:p>
        </w:tc>
      </w:tr>
      <w:tr>
        <w:trPr>
          <w:trHeight w:val="24"/>
        </w:trPr>
        <w:tc>
          <w:tcPr>
            <w:tcW w:w="46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2"/>
        </w:trPr>
        <w:tc>
          <w:tcPr>
            <w:tcW w:w="4600" w:type="dxa"/>
            <w:vAlign w:val="bottom"/>
            <w:shd w:val="clear" w:color="auto" w:fill="DBDBDB"/>
          </w:tcPr>
          <w:p>
            <w:pPr>
              <w:ind w:left="20"/>
              <w:spacing w:after="0"/>
              <w:rPr>
                <w:sz w:val="20"/>
                <w:szCs w:val="20"/>
                <w:color w:val="auto"/>
              </w:rPr>
            </w:pPr>
            <w:r>
              <w:rPr>
                <w:rFonts w:ascii="Arial" w:cs="Arial" w:eastAsia="Arial" w:hAnsi="Arial"/>
                <w:sz w:val="14"/>
                <w:szCs w:val="14"/>
                <w:color w:val="auto"/>
              </w:rPr>
              <w:t>Uncertain tax positions</w:t>
            </w:r>
            <w:r>
              <w:rPr>
                <w:rFonts w:ascii="Arial" w:cs="Arial" w:eastAsia="Arial" w:hAnsi="Arial"/>
                <w:sz w:val="17"/>
                <w:szCs w:val="17"/>
                <w:color w:val="auto"/>
                <w:vertAlign w:val="superscript"/>
              </w:rPr>
              <w:t>(1)</w:t>
            </w:r>
          </w:p>
        </w:tc>
        <w:tc>
          <w:tcPr>
            <w:tcW w:w="3360" w:type="dxa"/>
            <w:vAlign w:val="bottom"/>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shd w:val="clear" w:color="auto" w:fill="DBDBDB"/>
          </w:tcPr>
          <w:p>
            <w:pPr>
              <w:jc w:val="right"/>
              <w:ind w:right="131"/>
              <w:spacing w:after="0"/>
              <w:rPr>
                <w:sz w:val="20"/>
                <w:szCs w:val="20"/>
                <w:color w:val="auto"/>
              </w:rPr>
            </w:pPr>
            <w:r>
              <w:rPr>
                <w:rFonts w:ascii="Arial" w:cs="Arial" w:eastAsia="Arial" w:hAnsi="Arial"/>
                <w:sz w:val="14"/>
                <w:szCs w:val="14"/>
                <w:color w:val="auto"/>
              </w:rPr>
              <w:t>18.3</w:t>
            </w:r>
          </w:p>
        </w:tc>
        <w:tc>
          <w:tcPr>
            <w:tcW w:w="460" w:type="dxa"/>
            <w:vAlign w:val="bottom"/>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17.1</w:t>
            </w:r>
          </w:p>
        </w:tc>
      </w:tr>
      <w:tr>
        <w:trPr>
          <w:trHeight w:val="195"/>
        </w:trPr>
        <w:tc>
          <w:tcPr>
            <w:tcW w:w="4600" w:type="dxa"/>
            <w:vAlign w:val="bottom"/>
          </w:tcPr>
          <w:p>
            <w:pPr>
              <w:ind w:left="20"/>
              <w:spacing w:after="0"/>
              <w:rPr>
                <w:sz w:val="20"/>
                <w:szCs w:val="20"/>
                <w:color w:val="auto"/>
              </w:rPr>
            </w:pPr>
            <w:r>
              <w:rPr>
                <w:rFonts w:ascii="Arial" w:cs="Arial" w:eastAsia="Arial" w:hAnsi="Arial"/>
                <w:sz w:val="14"/>
                <w:szCs w:val="14"/>
                <w:color w:val="auto"/>
              </w:rPr>
              <w:t>Employee-related</w:t>
            </w:r>
          </w:p>
        </w:tc>
        <w:tc>
          <w:tcPr>
            <w:tcW w:w="3360" w:type="dxa"/>
            <w:vAlign w:val="bottom"/>
          </w:tcPr>
          <w:p>
            <w:pPr>
              <w:spacing w:after="0"/>
              <w:rPr>
                <w:sz w:val="16"/>
                <w:szCs w:val="16"/>
                <w:color w:val="auto"/>
              </w:rPr>
            </w:pPr>
          </w:p>
        </w:tc>
        <w:tc>
          <w:tcPr>
            <w:tcW w:w="1480" w:type="dxa"/>
            <w:vAlign w:val="bottom"/>
          </w:tcPr>
          <w:p>
            <w:pPr>
              <w:jc w:val="right"/>
              <w:ind w:right="131"/>
              <w:spacing w:after="0"/>
              <w:rPr>
                <w:sz w:val="20"/>
                <w:szCs w:val="20"/>
                <w:color w:val="auto"/>
              </w:rPr>
            </w:pPr>
            <w:r>
              <w:rPr>
                <w:rFonts w:ascii="Arial" w:cs="Arial" w:eastAsia="Arial" w:hAnsi="Arial"/>
                <w:sz w:val="14"/>
                <w:szCs w:val="14"/>
                <w:color w:val="auto"/>
              </w:rPr>
              <w:t>1.3</w:t>
            </w:r>
          </w:p>
        </w:tc>
        <w:tc>
          <w:tcPr>
            <w:tcW w:w="4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4"/>
        </w:trPr>
        <w:tc>
          <w:tcPr>
            <w:tcW w:w="46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4"/>
        </w:trPr>
        <w:tc>
          <w:tcPr>
            <w:tcW w:w="46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w:t>
            </w:r>
          </w:p>
        </w:tc>
        <w:tc>
          <w:tcPr>
            <w:tcW w:w="3360" w:type="dxa"/>
            <w:vAlign w:val="bottom"/>
            <w:tcBorders>
              <w:bottom w:val="single" w:sz="8" w:color="DBDBDB"/>
            </w:tcBorders>
            <w:shd w:val="clear" w:color="auto" w:fill="DBDBDB"/>
          </w:tcPr>
          <w:p>
            <w:pPr>
              <w:spacing w:after="0"/>
              <w:rPr>
                <w:sz w:val="19"/>
                <w:szCs w:val="19"/>
                <w:color w:val="auto"/>
              </w:rPr>
            </w:pP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1.8</w:t>
            </w:r>
          </w:p>
        </w:tc>
        <w:tc>
          <w:tcPr>
            <w:tcW w:w="460" w:type="dxa"/>
            <w:vAlign w:val="bottom"/>
            <w:tcBorders>
              <w:bottom w:val="single" w:sz="8" w:color="DBDBDB"/>
            </w:tcBorders>
            <w:shd w:val="clear" w:color="auto" w:fill="DBDBDB"/>
          </w:tcPr>
          <w:p>
            <w:pPr>
              <w:spacing w:after="0"/>
              <w:rPr>
                <w:sz w:val="19"/>
                <w:szCs w:val="19"/>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1.9</w:t>
            </w:r>
          </w:p>
        </w:tc>
      </w:tr>
      <w:tr>
        <w:trPr>
          <w:trHeight w:val="188"/>
        </w:trPr>
        <w:tc>
          <w:tcPr>
            <w:tcW w:w="4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Other long-term liabilities</w:t>
            </w:r>
          </w:p>
        </w:tc>
        <w:tc>
          <w:tcPr>
            <w:tcW w:w="33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rPr>
              <w:t>21.4</w:t>
            </w:r>
          </w:p>
        </w:tc>
        <w:tc>
          <w:tcPr>
            <w:tcW w:w="46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w:t>
            </w:r>
          </w:p>
        </w:tc>
      </w:tr>
      <w:tr>
        <w:trPr>
          <w:trHeight w:val="24"/>
        </w:trPr>
        <w:tc>
          <w:tcPr>
            <w:tcW w:w="46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84" w:lineRule="exact"/>
        <w:rPr>
          <w:sz w:val="20"/>
          <w:szCs w:val="20"/>
          <w:color w:val="auto"/>
        </w:rPr>
      </w:pPr>
    </w:p>
    <w:p>
      <w:pPr>
        <w:ind w:left="160" w:hanging="157"/>
        <w:spacing w:after="0"/>
        <w:tabs>
          <w:tab w:leader="none" w:pos="16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Includes uncertain tax positions related to both income taxes and other statutory tax reserves, plus related penalties and interest.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 (income), net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8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r>
      <w:tr>
        <w:trPr>
          <w:trHeight w:val="180"/>
        </w:trPr>
        <w:tc>
          <w:tcPr>
            <w:tcW w:w="7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80" w:type="dxa"/>
            <w:vAlign w:val="bottom"/>
            <w:gridSpan w:val="2"/>
          </w:tcPr>
          <w:p>
            <w:pPr>
              <w:jc w:val="right"/>
              <w:ind w:right="551"/>
              <w:spacing w:after="0"/>
              <w:rPr>
                <w:sz w:val="20"/>
                <w:szCs w:val="20"/>
                <w:color w:val="auto"/>
              </w:rPr>
            </w:pPr>
            <w:r>
              <w:rPr>
                <w:rFonts w:ascii="Arial" w:cs="Arial" w:eastAsia="Arial" w:hAnsi="Arial"/>
                <w:sz w:val="14"/>
                <w:szCs w:val="14"/>
                <w:b w:val="1"/>
                <w:bCs w:val="1"/>
                <w:color w:val="auto"/>
              </w:rPr>
              <w:t>January 31,</w:t>
            </w:r>
          </w:p>
        </w:tc>
        <w:tc>
          <w:tcPr>
            <w:tcW w:w="760" w:type="dxa"/>
            <w:vAlign w:val="bottom"/>
          </w:tcPr>
          <w:p>
            <w:pPr>
              <w:spacing w:after="0"/>
              <w:rPr>
                <w:sz w:val="15"/>
                <w:szCs w:val="15"/>
                <w:color w:val="auto"/>
              </w:rPr>
            </w:pPr>
          </w:p>
        </w:tc>
      </w:tr>
      <w:tr>
        <w:trPr>
          <w:trHeight w:val="24"/>
        </w:trPr>
        <w:tc>
          <w:tcPr>
            <w:tcW w:w="7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8"/>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6"/>
                <w:szCs w:val="16"/>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b w:val="1"/>
                <w:bCs w:val="1"/>
                <w:color w:val="auto"/>
              </w:rPr>
              <w:t>2023</w:t>
            </w:r>
          </w:p>
        </w:tc>
        <w:tc>
          <w:tcPr>
            <w:tcW w:w="100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b w:val="1"/>
                <w:bCs w:val="1"/>
                <w:color w:val="auto"/>
              </w:rPr>
              <w:t>2022</w:t>
            </w:r>
          </w:p>
        </w:tc>
      </w:tr>
      <w:tr>
        <w:trPr>
          <w:trHeight w:val="24"/>
        </w:trPr>
        <w:tc>
          <w:tcPr>
            <w:tcW w:w="7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2"/>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Losses (gains) on derivative financial instruments</w:t>
            </w:r>
          </w:p>
        </w:tc>
        <w:tc>
          <w:tcPr>
            <w:tcW w:w="58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0.1</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(0.8)</w:t>
            </w:r>
          </w:p>
        </w:tc>
      </w:tr>
      <w:tr>
        <w:trPr>
          <w:trHeight w:val="195"/>
        </w:trPr>
        <w:tc>
          <w:tcPr>
            <w:tcW w:w="7720" w:type="dxa"/>
            <w:vAlign w:val="bottom"/>
          </w:tcPr>
          <w:p>
            <w:pPr>
              <w:ind w:left="20"/>
              <w:spacing w:after="0"/>
              <w:rPr>
                <w:sz w:val="20"/>
                <w:szCs w:val="20"/>
                <w:color w:val="auto"/>
              </w:rPr>
            </w:pPr>
            <w:r>
              <w:rPr>
                <w:rFonts w:ascii="Arial" w:cs="Arial" w:eastAsia="Arial" w:hAnsi="Arial"/>
                <w:sz w:val="14"/>
                <w:szCs w:val="14"/>
                <w:color w:val="auto"/>
              </w:rPr>
              <w:t>Foreign currency transaction loss (gain)</w:t>
            </w:r>
          </w:p>
        </w:tc>
        <w:tc>
          <w:tcPr>
            <w:tcW w:w="580" w:type="dxa"/>
            <w:vAlign w:val="bottom"/>
          </w:tcPr>
          <w:p>
            <w:pPr>
              <w:spacing w:after="0"/>
              <w:rPr>
                <w:sz w:val="16"/>
                <w:szCs w:val="16"/>
                <w:color w:val="auto"/>
              </w:rPr>
            </w:pPr>
          </w:p>
        </w:tc>
        <w:tc>
          <w:tcPr>
            <w:tcW w:w="1180" w:type="dxa"/>
            <w:vAlign w:val="bottom"/>
          </w:tcPr>
          <w:p>
            <w:pPr>
              <w:jc w:val="right"/>
              <w:ind w:right="71"/>
              <w:spacing w:after="0"/>
              <w:rPr>
                <w:sz w:val="20"/>
                <w:szCs w:val="20"/>
                <w:color w:val="auto"/>
              </w:rPr>
            </w:pPr>
            <w:r>
              <w:rPr>
                <w:rFonts w:ascii="Arial" w:cs="Arial" w:eastAsia="Arial" w:hAnsi="Arial"/>
                <w:sz w:val="14"/>
                <w:szCs w:val="14"/>
                <w:color w:val="auto"/>
              </w:rPr>
              <w:t>0.9</w:t>
            </w:r>
          </w:p>
        </w:tc>
        <w:tc>
          <w:tcPr>
            <w:tcW w:w="10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4"/>
        </w:trPr>
        <w:tc>
          <w:tcPr>
            <w:tcW w:w="7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9"/>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Interest income</w:t>
            </w:r>
          </w:p>
        </w:tc>
        <w:tc>
          <w:tcPr>
            <w:tcW w:w="5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(0.2)</w:t>
            </w:r>
          </w:p>
        </w:tc>
        <w:tc>
          <w:tcPr>
            <w:tcW w:w="100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w:t>
            </w:r>
          </w:p>
        </w:tc>
      </w:tr>
      <w:tr>
        <w:trPr>
          <w:trHeight w:val="195"/>
        </w:trPr>
        <w:tc>
          <w:tcPr>
            <w:tcW w:w="7720" w:type="dxa"/>
            <w:vAlign w:val="bottom"/>
          </w:tcPr>
          <w:p>
            <w:pPr>
              <w:ind w:left="20"/>
              <w:spacing w:after="0"/>
              <w:rPr>
                <w:sz w:val="20"/>
                <w:szCs w:val="20"/>
                <w:color w:val="auto"/>
              </w:rPr>
            </w:pPr>
            <w:r>
              <w:rPr>
                <w:rFonts w:ascii="Arial" w:cs="Arial" w:eastAsia="Arial" w:hAnsi="Arial"/>
                <w:sz w:val="14"/>
                <w:szCs w:val="14"/>
                <w:color w:val="auto"/>
              </w:rPr>
              <w:t>Other</w:t>
            </w:r>
          </w:p>
        </w:tc>
        <w:tc>
          <w:tcPr>
            <w:tcW w:w="580" w:type="dxa"/>
            <w:vAlign w:val="bottom"/>
          </w:tcPr>
          <w:p>
            <w:pPr>
              <w:spacing w:after="0"/>
              <w:rPr>
                <w:sz w:val="16"/>
                <w:szCs w:val="16"/>
                <w:color w:val="auto"/>
              </w:rPr>
            </w:pPr>
          </w:p>
        </w:tc>
        <w:tc>
          <w:tcPr>
            <w:tcW w:w="11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
        </w:trPr>
        <w:tc>
          <w:tcPr>
            <w:tcW w:w="7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2"/>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expense (income), net</w:t>
            </w:r>
          </w:p>
        </w:tc>
        <w:tc>
          <w:tcPr>
            <w:tcW w:w="58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0.8</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w:t>
            </w:r>
          </w:p>
        </w:tc>
      </w:tr>
      <w:tr>
        <w:trPr>
          <w:trHeight w:val="20"/>
        </w:trPr>
        <w:tc>
          <w:tcPr>
            <w:tcW w:w="7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tabs>
          <w:tab w:leader="none" w:pos="400" w:val="left"/>
        </w:tabs>
        <w:rPr>
          <w:sz w:val="20"/>
          <w:szCs w:val="20"/>
          <w:color w:val="auto"/>
        </w:rPr>
      </w:pPr>
      <w:r>
        <w:rPr>
          <w:rFonts w:ascii="Arial" w:cs="Arial" w:eastAsia="Arial" w:hAnsi="Arial"/>
          <w:sz w:val="19"/>
          <w:szCs w:val="19"/>
          <w:b w:val="1"/>
          <w:bCs w:val="1"/>
          <w:color w:val="auto"/>
        </w:rPr>
        <w:t>5.</w:t>
        <w:tab/>
        <w:t>Debt</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Credit facility</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Long-term debt under our syndicated credit facility with Bank of America (“BoA”) Merrill Lynch consisted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January 31, 2023</w:t>
            </w:r>
          </w:p>
        </w:tc>
        <w:tc>
          <w:tcPr>
            <w:tcW w:w="3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October 31, 2022</w:t>
            </w:r>
          </w:p>
        </w:tc>
      </w:tr>
      <w:tr>
        <w:trPr>
          <w:trHeight w:val="24"/>
        </w:trPr>
        <w:tc>
          <w:tcPr>
            <w:tcW w:w="7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8"/>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Revolving line of credit. The interest rate is variable, based on SOFR plus a spread that varies with the Company’s leverage</w:t>
            </w:r>
          </w:p>
        </w:tc>
        <w:tc>
          <w:tcPr>
            <w:tcW w:w="420" w:type="dxa"/>
            <w:vAlign w:val="bottom"/>
            <w:shd w:val="clear" w:color="auto" w:fill="DBDBDB"/>
          </w:tcPr>
          <w:p>
            <w:pPr>
              <w:jc w:val="right"/>
              <w:ind w:right="151"/>
              <w:spacing w:after="0"/>
              <w:rPr>
                <w:sz w:val="20"/>
                <w:szCs w:val="20"/>
                <w:color w:val="auto"/>
              </w:rPr>
            </w:pPr>
            <w:r>
              <w:rPr>
                <w:rFonts w:ascii="Arial" w:cs="Arial" w:eastAsia="Arial" w:hAnsi="Arial"/>
                <w:sz w:val="14"/>
                <w:szCs w:val="14"/>
                <w:color w:val="auto"/>
              </w:rPr>
              <w:t>$</w:t>
            </w:r>
          </w:p>
        </w:tc>
        <w:tc>
          <w:tcPr>
            <w:tcW w:w="140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rPr>
              <w:t>50.0</w:t>
            </w:r>
          </w:p>
        </w:tc>
        <w:tc>
          <w:tcPr>
            <w:tcW w:w="380" w:type="dxa"/>
            <w:vAlign w:val="bottom"/>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40.0</w:t>
            </w:r>
          </w:p>
        </w:tc>
      </w:tr>
      <w:tr>
        <w:trPr>
          <w:trHeight w:val="168"/>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color w:val="auto"/>
                <w:w w:val="99"/>
              </w:rPr>
              <w:t>ratio. As of January 31, 2023 and October 31, 2022, the interest rate was 6.42% and 5.34%, respectively. Interest is payable</w:t>
            </w:r>
          </w:p>
        </w:tc>
        <w:tc>
          <w:tcPr>
            <w:tcW w:w="420" w:type="dxa"/>
            <w:vAlign w:val="bottom"/>
            <w:shd w:val="clear" w:color="auto" w:fill="DBDBDB"/>
          </w:tcPr>
          <w:p>
            <w:pPr>
              <w:spacing w:after="0"/>
              <w:rPr>
                <w:sz w:val="14"/>
                <w:szCs w:val="14"/>
                <w:color w:val="auto"/>
              </w:rPr>
            </w:pPr>
          </w:p>
        </w:tc>
        <w:tc>
          <w:tcPr>
            <w:tcW w:w="14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r>
      <w:tr>
        <w:trPr>
          <w:trHeight w:val="179"/>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monthly and principal is due in full in October 2027</w:t>
            </w:r>
          </w:p>
        </w:tc>
        <w:tc>
          <w:tcPr>
            <w:tcW w:w="420" w:type="dxa"/>
            <w:vAlign w:val="bottom"/>
            <w:shd w:val="clear" w:color="auto" w:fill="DBDBDB"/>
          </w:tcPr>
          <w:p>
            <w:pPr>
              <w:spacing w:after="0"/>
              <w:rPr>
                <w:sz w:val="15"/>
                <w:szCs w:val="15"/>
                <w:color w:val="auto"/>
              </w:rPr>
            </w:pPr>
          </w:p>
        </w:tc>
        <w:tc>
          <w:tcPr>
            <w:tcW w:w="14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r>
      <w:tr>
        <w:trPr>
          <w:trHeight w:val="195"/>
        </w:trPr>
        <w:tc>
          <w:tcPr>
            <w:tcW w:w="7700" w:type="dxa"/>
            <w:vAlign w:val="bottom"/>
          </w:tcPr>
          <w:p>
            <w:pPr>
              <w:ind w:left="20"/>
              <w:spacing w:after="0"/>
              <w:rPr>
                <w:sz w:val="20"/>
                <w:szCs w:val="20"/>
                <w:color w:val="auto"/>
              </w:rPr>
            </w:pPr>
            <w:r>
              <w:rPr>
                <w:rFonts w:ascii="Arial" w:cs="Arial" w:eastAsia="Arial" w:hAnsi="Arial"/>
                <w:sz w:val="14"/>
                <w:szCs w:val="14"/>
                <w:color w:val="auto"/>
              </w:rPr>
              <w:t>Senior term loan (A-1). The interest rate is variable, based on SOFR plus a spread that varies with the Company’s leverage</w:t>
            </w:r>
          </w:p>
        </w:tc>
        <w:tc>
          <w:tcPr>
            <w:tcW w:w="420" w:type="dxa"/>
            <w:vAlign w:val="bottom"/>
          </w:tcPr>
          <w:p>
            <w:pPr>
              <w:spacing w:after="0"/>
              <w:rPr>
                <w:sz w:val="16"/>
                <w:szCs w:val="16"/>
                <w:color w:val="auto"/>
              </w:rPr>
            </w:pPr>
          </w:p>
        </w:tc>
        <w:tc>
          <w:tcPr>
            <w:tcW w:w="1400" w:type="dxa"/>
            <w:vAlign w:val="bottom"/>
          </w:tcPr>
          <w:p>
            <w:pPr>
              <w:jc w:val="right"/>
              <w:ind w:right="31"/>
              <w:spacing w:after="0"/>
              <w:rPr>
                <w:sz w:val="20"/>
                <w:szCs w:val="20"/>
                <w:color w:val="auto"/>
              </w:rPr>
            </w:pPr>
            <w:r>
              <w:rPr>
                <w:rFonts w:ascii="Arial" w:cs="Arial" w:eastAsia="Arial" w:hAnsi="Arial"/>
                <w:sz w:val="14"/>
                <w:szCs w:val="14"/>
                <w:color w:val="auto"/>
              </w:rPr>
              <w:t>49.4</w:t>
            </w: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168"/>
        </w:trPr>
        <w:tc>
          <w:tcPr>
            <w:tcW w:w="7700" w:type="dxa"/>
            <w:vAlign w:val="bottom"/>
          </w:tcPr>
          <w:p>
            <w:pPr>
              <w:ind w:left="20"/>
              <w:spacing w:after="0"/>
              <w:rPr>
                <w:sz w:val="20"/>
                <w:szCs w:val="20"/>
                <w:color w:val="auto"/>
              </w:rPr>
            </w:pPr>
            <w:r>
              <w:rPr>
                <w:rFonts w:ascii="Arial" w:cs="Arial" w:eastAsia="Arial" w:hAnsi="Arial"/>
                <w:sz w:val="14"/>
                <w:szCs w:val="14"/>
                <w:color w:val="auto"/>
                <w:w w:val="99"/>
              </w:rPr>
              <w:t>ratio. As of January 31, 2023 and October 31, 2022, the interest rate was 6.41% and 5.58%, respectively. Interest is payable</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3"/>
        </w:trPr>
        <w:tc>
          <w:tcPr>
            <w:tcW w:w="7700" w:type="dxa"/>
            <w:vAlign w:val="bottom"/>
          </w:tcPr>
          <w:p>
            <w:pPr>
              <w:ind w:left="20"/>
              <w:spacing w:after="0"/>
              <w:rPr>
                <w:sz w:val="20"/>
                <w:szCs w:val="20"/>
                <w:color w:val="auto"/>
              </w:rPr>
            </w:pPr>
            <w:r>
              <w:rPr>
                <w:rFonts w:ascii="Arial" w:cs="Arial" w:eastAsia="Arial" w:hAnsi="Arial"/>
                <w:sz w:val="14"/>
                <w:szCs w:val="14"/>
                <w:color w:val="auto"/>
              </w:rPr>
              <w:t>monthly, principal is payable quarterly and due in full in October 2027.</w:t>
            </w: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0"/>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Senior term loan (A-2). The interest rate is variable, based on SOFR plus a spread that varies with the Company’s leverage</w:t>
            </w:r>
          </w:p>
        </w:tc>
        <w:tc>
          <w:tcPr>
            <w:tcW w:w="420" w:type="dxa"/>
            <w:vAlign w:val="bottom"/>
            <w:shd w:val="clear" w:color="auto" w:fill="DBDBDB"/>
          </w:tcPr>
          <w:p>
            <w:pPr>
              <w:spacing w:after="0"/>
              <w:rPr>
                <w:sz w:val="17"/>
                <w:szCs w:val="17"/>
                <w:color w:val="auto"/>
              </w:rPr>
            </w:pPr>
          </w:p>
        </w:tc>
        <w:tc>
          <w:tcPr>
            <w:tcW w:w="140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rPr>
              <w:t>49.9</w:t>
            </w:r>
          </w:p>
        </w:tc>
        <w:tc>
          <w:tcPr>
            <w:tcW w:w="38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50.0</w:t>
            </w:r>
          </w:p>
        </w:tc>
      </w:tr>
      <w:tr>
        <w:trPr>
          <w:trHeight w:val="168"/>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ratio. As of January 31, 2023 and October 31, 2022, the interest rate was 6.66% and 5.83% respectively. Interest is payable</w:t>
            </w:r>
          </w:p>
        </w:tc>
        <w:tc>
          <w:tcPr>
            <w:tcW w:w="420" w:type="dxa"/>
            <w:vAlign w:val="bottom"/>
            <w:shd w:val="clear" w:color="auto" w:fill="DBDBDB"/>
          </w:tcPr>
          <w:p>
            <w:pPr>
              <w:spacing w:after="0"/>
              <w:rPr>
                <w:sz w:val="14"/>
                <w:szCs w:val="14"/>
                <w:color w:val="auto"/>
              </w:rPr>
            </w:pPr>
          </w:p>
        </w:tc>
        <w:tc>
          <w:tcPr>
            <w:tcW w:w="14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340" w:type="dxa"/>
            <w:vAlign w:val="bottom"/>
            <w:shd w:val="clear" w:color="auto" w:fill="DBDBDB"/>
          </w:tcPr>
          <w:p>
            <w:pPr>
              <w:spacing w:after="0"/>
              <w:rPr>
                <w:sz w:val="14"/>
                <w:szCs w:val="14"/>
                <w:color w:val="auto"/>
              </w:rPr>
            </w:pPr>
          </w:p>
        </w:tc>
      </w:tr>
      <w:tr>
        <w:trPr>
          <w:trHeight w:val="179"/>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color w:val="auto"/>
              </w:rPr>
              <w:t>monthly, principal is payable quarterly and due in full in October 2029.</w:t>
            </w:r>
          </w:p>
        </w:tc>
        <w:tc>
          <w:tcPr>
            <w:tcW w:w="420" w:type="dxa"/>
            <w:vAlign w:val="bottom"/>
            <w:shd w:val="clear" w:color="auto" w:fill="DBDBDB"/>
          </w:tcPr>
          <w:p>
            <w:pPr>
              <w:spacing w:after="0"/>
              <w:rPr>
                <w:sz w:val="15"/>
                <w:szCs w:val="15"/>
                <w:color w:val="auto"/>
              </w:rPr>
            </w:pPr>
          </w:p>
        </w:tc>
        <w:tc>
          <w:tcPr>
            <w:tcW w:w="140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r>
      <w:tr>
        <w:trPr>
          <w:trHeight w:val="195"/>
        </w:trPr>
        <w:tc>
          <w:tcPr>
            <w:tcW w:w="7700" w:type="dxa"/>
            <w:vAlign w:val="bottom"/>
          </w:tcPr>
          <w:p>
            <w:pPr>
              <w:ind w:left="20"/>
              <w:spacing w:after="0"/>
              <w:rPr>
                <w:sz w:val="20"/>
                <w:szCs w:val="20"/>
                <w:color w:val="auto"/>
              </w:rPr>
            </w:pPr>
            <w:r>
              <w:rPr>
                <w:rFonts w:ascii="Arial" w:cs="Arial" w:eastAsia="Arial" w:hAnsi="Arial"/>
                <w:sz w:val="14"/>
                <w:szCs w:val="14"/>
                <w:color w:val="auto"/>
              </w:rPr>
              <w:t>Note payable to BoA. Payable in monthly installments including interest at a rate of 3.96% as of both January 31, 2023 and</w:t>
            </w:r>
          </w:p>
        </w:tc>
        <w:tc>
          <w:tcPr>
            <w:tcW w:w="420" w:type="dxa"/>
            <w:vAlign w:val="bottom"/>
          </w:tcPr>
          <w:p>
            <w:pPr>
              <w:spacing w:after="0"/>
              <w:rPr>
                <w:sz w:val="16"/>
                <w:szCs w:val="16"/>
                <w:color w:val="auto"/>
              </w:rPr>
            </w:pPr>
          </w:p>
        </w:tc>
        <w:tc>
          <w:tcPr>
            <w:tcW w:w="1400" w:type="dxa"/>
            <w:vAlign w:val="bottom"/>
          </w:tcPr>
          <w:p>
            <w:pPr>
              <w:jc w:val="right"/>
              <w:ind w:right="31"/>
              <w:spacing w:after="0"/>
              <w:rPr>
                <w:sz w:val="20"/>
                <w:szCs w:val="20"/>
                <w:color w:val="auto"/>
              </w:rPr>
            </w:pPr>
            <w:r>
              <w:rPr>
                <w:rFonts w:ascii="Arial" w:cs="Arial" w:eastAsia="Arial" w:hAnsi="Arial"/>
                <w:sz w:val="14"/>
                <w:szCs w:val="14"/>
                <w:color w:val="auto"/>
              </w:rPr>
              <w:t>0.8</w:t>
            </w: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68"/>
        </w:trPr>
        <w:tc>
          <w:tcPr>
            <w:tcW w:w="7700" w:type="dxa"/>
            <w:vAlign w:val="bottom"/>
          </w:tcPr>
          <w:p>
            <w:pPr>
              <w:ind w:left="20"/>
              <w:spacing w:after="0"/>
              <w:rPr>
                <w:sz w:val="20"/>
                <w:szCs w:val="20"/>
                <w:color w:val="auto"/>
              </w:rPr>
            </w:pPr>
            <w:r>
              <w:rPr>
                <w:rFonts w:ascii="Arial" w:cs="Arial" w:eastAsia="Arial" w:hAnsi="Arial"/>
                <w:sz w:val="14"/>
                <w:szCs w:val="14"/>
                <w:color w:val="auto"/>
              </w:rPr>
              <w:t>October 31, 2022. Principal is due July 2024.</w:t>
            </w: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4"/>
        </w:trPr>
        <w:tc>
          <w:tcPr>
            <w:tcW w:w="7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long-term debt</w:t>
            </w:r>
          </w:p>
        </w:tc>
        <w:tc>
          <w:tcPr>
            <w:tcW w:w="420" w:type="dxa"/>
            <w:vAlign w:val="bottom"/>
            <w:tcBorders>
              <w:bottom w:val="single" w:sz="8" w:color="DBDBDB"/>
            </w:tcBorders>
            <w:shd w:val="clear" w:color="auto" w:fill="DBDBDB"/>
          </w:tcPr>
          <w:p>
            <w:pPr>
              <w:spacing w:after="0"/>
              <w:rPr>
                <w:sz w:val="16"/>
                <w:szCs w:val="16"/>
                <w:color w:val="auto"/>
              </w:rPr>
            </w:pPr>
          </w:p>
        </w:tc>
        <w:tc>
          <w:tcPr>
            <w:tcW w:w="140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150.1</w:t>
            </w:r>
          </w:p>
        </w:tc>
        <w:tc>
          <w:tcPr>
            <w:tcW w:w="380" w:type="dxa"/>
            <w:vAlign w:val="bottom"/>
            <w:tcBorders>
              <w:bottom w:val="single" w:sz="8" w:color="DBDBDB"/>
            </w:tcBorders>
            <w:shd w:val="clear" w:color="auto" w:fill="DBDBDB"/>
          </w:tcPr>
          <w:p>
            <w:pPr>
              <w:spacing w:after="0"/>
              <w:rPr>
                <w:sz w:val="16"/>
                <w:szCs w:val="16"/>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141.0</w:t>
            </w:r>
          </w:p>
        </w:tc>
      </w:tr>
      <w:tr>
        <w:trPr>
          <w:trHeight w:val="195"/>
        </w:trPr>
        <w:tc>
          <w:tcPr>
            <w:tcW w:w="7700" w:type="dxa"/>
            <w:vAlign w:val="bottom"/>
          </w:tcPr>
          <w:p>
            <w:pPr>
              <w:ind w:left="20"/>
              <w:spacing w:after="0"/>
              <w:rPr>
                <w:sz w:val="20"/>
                <w:szCs w:val="20"/>
                <w:color w:val="auto"/>
              </w:rPr>
            </w:pPr>
            <w:r>
              <w:rPr>
                <w:rFonts w:ascii="Arial" w:cs="Arial" w:eastAsia="Arial" w:hAnsi="Arial"/>
                <w:sz w:val="14"/>
                <w:szCs w:val="14"/>
                <w:color w:val="auto"/>
              </w:rPr>
              <w:t>Less debt issuance costs</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(0.5)</w:t>
            </w: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4"/>
        </w:trPr>
        <w:tc>
          <w:tcPr>
            <w:tcW w:w="7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Long-term debt, net of debt issuance costs</w:t>
            </w:r>
          </w:p>
        </w:tc>
        <w:tc>
          <w:tcPr>
            <w:tcW w:w="420" w:type="dxa"/>
            <w:vAlign w:val="bottom"/>
            <w:tcBorders>
              <w:bottom w:val="single" w:sz="8" w:color="DBDBDB"/>
            </w:tcBorders>
            <w:shd w:val="clear" w:color="auto" w:fill="DBDBDB"/>
          </w:tcPr>
          <w:p>
            <w:pPr>
              <w:spacing w:after="0"/>
              <w:rPr>
                <w:sz w:val="16"/>
                <w:szCs w:val="16"/>
                <w:color w:val="auto"/>
              </w:rPr>
            </w:pPr>
          </w:p>
        </w:tc>
        <w:tc>
          <w:tcPr>
            <w:tcW w:w="140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149.6</w:t>
            </w:r>
          </w:p>
        </w:tc>
        <w:tc>
          <w:tcPr>
            <w:tcW w:w="380" w:type="dxa"/>
            <w:vAlign w:val="bottom"/>
            <w:tcBorders>
              <w:bottom w:val="single" w:sz="8" w:color="DBDBDB"/>
            </w:tcBorders>
            <w:shd w:val="clear" w:color="auto" w:fill="DBDBDB"/>
          </w:tcPr>
          <w:p>
            <w:pPr>
              <w:spacing w:after="0"/>
              <w:rPr>
                <w:sz w:val="16"/>
                <w:szCs w:val="16"/>
                <w:color w:val="auto"/>
              </w:rPr>
            </w:pP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140.4</w:t>
            </w:r>
          </w:p>
        </w:tc>
      </w:tr>
      <w:tr>
        <w:trPr>
          <w:trHeight w:val="195"/>
        </w:trPr>
        <w:tc>
          <w:tcPr>
            <w:tcW w:w="7700" w:type="dxa"/>
            <w:vAlign w:val="bottom"/>
          </w:tcPr>
          <w:p>
            <w:pPr>
              <w:ind w:left="20"/>
              <w:spacing w:after="0"/>
              <w:rPr>
                <w:sz w:val="20"/>
                <w:szCs w:val="20"/>
                <w:color w:val="auto"/>
              </w:rPr>
            </w:pPr>
            <w:r>
              <w:rPr>
                <w:rFonts w:ascii="Arial" w:cs="Arial" w:eastAsia="Arial" w:hAnsi="Arial"/>
                <w:sz w:val="14"/>
                <w:szCs w:val="14"/>
                <w:color w:val="auto"/>
              </w:rPr>
              <w:t>Less current portion of long-term debt</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(3.6)</w:t>
            </w:r>
          </w:p>
        </w:tc>
        <w:tc>
          <w:tcPr>
            <w:tcW w:w="3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4"/>
        </w:trPr>
        <w:tc>
          <w:tcPr>
            <w:tcW w:w="7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Long-term debt, net of current portion</w:t>
            </w:r>
          </w:p>
        </w:tc>
        <w:tc>
          <w:tcPr>
            <w:tcW w:w="420" w:type="dxa"/>
            <w:vAlign w:val="bottom"/>
            <w:tcBorders>
              <w:bottom w:val="single" w:sz="8" w:color="DBDBDB"/>
            </w:tcBorders>
            <w:shd w:val="clear" w:color="auto" w:fill="DBDBDB"/>
          </w:tcPr>
          <w:p>
            <w:pPr>
              <w:jc w:val="right"/>
              <w:ind w:right="151"/>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146.0</w:t>
            </w:r>
          </w:p>
        </w:tc>
        <w:tc>
          <w:tcPr>
            <w:tcW w:w="38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136.9</w:t>
            </w:r>
          </w:p>
        </w:tc>
      </w:tr>
      <w:tr>
        <w:trPr>
          <w:trHeight w:val="20"/>
        </w:trPr>
        <w:tc>
          <w:tcPr>
            <w:tcW w:w="7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298" w:lineRule="exact"/>
        <w:rPr>
          <w:sz w:val="20"/>
          <w:szCs w:val="20"/>
          <w:color w:val="auto"/>
        </w:rPr>
      </w:pPr>
    </w:p>
    <w:p>
      <w:pPr>
        <w:ind w:right="180" w:firstLine="619"/>
        <w:spacing w:after="0" w:line="260" w:lineRule="auto"/>
        <w:rPr>
          <w:sz w:val="20"/>
          <w:szCs w:val="20"/>
          <w:color w:val="auto"/>
        </w:rPr>
      </w:pPr>
      <w:r>
        <w:rPr>
          <w:rFonts w:ascii="Arial" w:cs="Arial" w:eastAsia="Arial" w:hAnsi="Arial"/>
          <w:sz w:val="15"/>
          <w:szCs w:val="15"/>
          <w:color w:val="auto"/>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January 31, 2023, the Company was in compliance with all covenants of the credit facility.</w:t>
      </w:r>
    </w:p>
    <w:p>
      <w:pPr>
        <w:sectPr>
          <w:pgSz w:w="11900" w:h="16838" w:orient="portrait"/>
          <w:cols w:equalWidth="0" w:num="1">
            <w:col w:w="11240"/>
          </w:cols>
          <w:pgMar w:left="320" w:top="1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60"/>
        <w:spacing w:after="0"/>
        <w:rPr>
          <w:sz w:val="20"/>
          <w:szCs w:val="20"/>
          <w:color w:val="auto"/>
        </w:rPr>
      </w:pP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type w:val="continuous"/>
        </w:sectPr>
      </w:pPr>
    </w:p>
    <w:bookmarkStart w:id="13" w:name="page14"/>
    <w:bookmarkEnd w:id="13"/>
    <w:p>
      <w:pPr>
        <w:jc w:val="center"/>
        <w:ind w:right="-39"/>
        <w:spacing w:after="0"/>
        <w:rPr>
          <w:sz w:val="20"/>
          <w:szCs w:val="20"/>
          <w:color w:val="auto"/>
        </w:rPr>
      </w:pPr>
      <w:r>
        <w:rPr>
          <w:rFonts w:ascii="Arial" w:cs="Arial" w:eastAsia="Arial" w:hAnsi="Arial"/>
          <w:sz w:val="21"/>
          <w:szCs w:val="21"/>
          <w:b w:val="1"/>
          <w:bCs w:val="1"/>
          <w:color w:val="auto"/>
        </w:rPr>
        <w:t>MISSION PRODUCE, INC.</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may issue standby letters of credit through banking institutions. As of January 31, 2023, total letters of credit outstanding were $0.7 million.</w:t>
      </w:r>
    </w:p>
    <w:p>
      <w:pPr>
        <w:spacing w:after="0" w:line="214" w:lineRule="exact"/>
        <w:rPr>
          <w:sz w:val="20"/>
          <w:szCs w:val="20"/>
          <w:color w:val="auto"/>
        </w:rPr>
      </w:pPr>
    </w:p>
    <w:p>
      <w:pPr>
        <w:ind w:right="160" w:firstLine="619"/>
        <w:spacing w:after="0" w:line="287" w:lineRule="auto"/>
        <w:rPr>
          <w:sz w:val="20"/>
          <w:szCs w:val="20"/>
          <w:color w:val="auto"/>
        </w:rPr>
      </w:pPr>
      <w:r>
        <w:rPr>
          <w:rFonts w:ascii="Arial" w:cs="Arial" w:eastAsia="Arial" w:hAnsi="Arial"/>
          <w:sz w:val="15"/>
          <w:szCs w:val="15"/>
          <w:color w:val="auto"/>
        </w:rPr>
        <w:t>Certain of our consolidated subsidiaries may also enter into short-term bank borrowings from time to time. As of October 31, 2022, short-term borrowings outstanding were $2.5 million with a variable interest rate of 6.65%, all of which was repaid in the three months ended January 31, 2023.</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rate swaps</w:t>
      </w:r>
    </w:p>
    <w:p>
      <w:pPr>
        <w:spacing w:after="0" w:line="232" w:lineRule="exact"/>
        <w:rPr>
          <w:sz w:val="20"/>
          <w:szCs w:val="20"/>
          <w:color w:val="auto"/>
        </w:rPr>
      </w:pPr>
    </w:p>
    <w:p>
      <w:pPr>
        <w:ind w:right="20" w:firstLine="619"/>
        <w:spacing w:after="0" w:line="263" w:lineRule="auto"/>
        <w:rPr>
          <w:sz w:val="20"/>
          <w:szCs w:val="20"/>
          <w:color w:val="auto"/>
        </w:rPr>
      </w:pPr>
      <w:r>
        <w:rPr>
          <w:rFonts w:ascii="Arial" w:cs="Arial" w:eastAsia="Arial" w:hAnsi="Arial"/>
          <w:sz w:val="15"/>
          <w:szCs w:val="15"/>
          <w:color w:val="auto"/>
        </w:rPr>
        <w:t>The Company has four separate interest rate swaps with a total notional amount of $100 million to hedge changes in variable interest rates on the principal value of the Company’s term loans. The interest rate swaps carry fixed LIBOR rates ranging from 1.75% to 2.57%. We account for the interest rate swaps in accordance with ASC 815, Derivatives and Hedging, as amended, which requires the recognition of all derivative instruments as either assets or liabilities in the consolidated balance sheets and measurement of those instruments at fair value. The Company has not designated the interest rate swaps as cash flow hedges, and as a result under the accounting guidance, changes in the fair value of the interest rate swaps have been recorded in other (expense) income, net in the condensed consolidated statements of loss and changes in the asset are presented in net cash used in operating activities in the condensed consolidated statements of cash flow. Refer to Note 8 for more details.</w:t>
      </w:r>
    </w:p>
    <w:p>
      <w:pPr>
        <w:spacing w:after="0" w:line="208" w:lineRule="exact"/>
        <w:rPr>
          <w:sz w:val="20"/>
          <w:szCs w:val="20"/>
          <w:color w:val="auto"/>
        </w:rPr>
      </w:pPr>
    </w:p>
    <w:p>
      <w:pPr>
        <w:ind w:left="480" w:hanging="477"/>
        <w:spacing w:after="0"/>
        <w:tabs>
          <w:tab w:leader="none" w:pos="480"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Litigation</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is involved from time to time in claims, proceedings, and litigation, including the following:</w:t>
      </w:r>
    </w:p>
    <w:p>
      <w:pPr>
        <w:spacing w:after="0" w:line="214" w:lineRule="exact"/>
        <w:rPr>
          <w:sz w:val="20"/>
          <w:szCs w:val="20"/>
          <w:color w:val="auto"/>
        </w:rPr>
      </w:pPr>
    </w:p>
    <w:p>
      <w:pPr>
        <w:ind w:firstLine="619"/>
        <w:spacing w:after="0" w:line="261" w:lineRule="auto"/>
        <w:rPr>
          <w:sz w:val="20"/>
          <w:szCs w:val="20"/>
          <w:color w:val="auto"/>
        </w:rPr>
      </w:pPr>
      <w:r>
        <w:rPr>
          <w:rFonts w:ascii="Arial" w:cs="Arial" w:eastAsia="Arial" w:hAnsi="Arial"/>
          <w:sz w:val="15"/>
          <w:szCs w:val="15"/>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consolidated statements of income during the three months ended April 30, 2021. The parties executed a stipulation of settlement agreement on such terms in November 2021. This preliminary settlement was approved by the applicable courts in October 2022. In the course of preparing to send out notices to the settlement class, issues arose regarding the nature and scope of the settlement, specifically with respect to the universe of participants in the settlement class, which the parties have been unable to resolve to-date. The parties intend to petition the court to enforce the terms of the settlement as each party has understood them to be. An informal conference before the judge is scheduled for March 2023.</w:t>
      </w:r>
    </w:p>
    <w:p>
      <w:pPr>
        <w:spacing w:after="0" w:line="186" w:lineRule="exact"/>
        <w:rPr>
          <w:sz w:val="20"/>
          <w:szCs w:val="20"/>
          <w:color w:val="auto"/>
        </w:rPr>
      </w:pPr>
    </w:p>
    <w:p>
      <w:pPr>
        <w:jc w:val="both"/>
        <w:ind w:right="100" w:firstLine="619"/>
        <w:spacing w:after="0" w:line="269" w:lineRule="auto"/>
        <w:rPr>
          <w:sz w:val="20"/>
          <w:szCs w:val="20"/>
          <w:color w:val="auto"/>
        </w:rPr>
      </w:pPr>
      <w:r>
        <w:rPr>
          <w:rFonts w:ascii="Arial" w:cs="Arial" w:eastAsia="Arial" w:hAnsi="Arial"/>
          <w:sz w:val="15"/>
          <w:szCs w:val="15"/>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203" w:lineRule="exact"/>
        <w:rPr>
          <w:sz w:val="20"/>
          <w:szCs w:val="20"/>
          <w:color w:val="auto"/>
        </w:rPr>
      </w:pPr>
    </w:p>
    <w:p>
      <w:pPr>
        <w:ind w:left="420" w:hanging="417"/>
        <w:spacing w:after="0"/>
        <w:tabs>
          <w:tab w:leader="none" w:pos="42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color w:val="auto"/>
        </w:rPr>
        <w:t>Income Taxes</w:t>
      </w:r>
    </w:p>
    <w:p>
      <w:pPr>
        <w:spacing w:after="0" w:line="249" w:lineRule="exact"/>
        <w:rPr>
          <w:sz w:val="20"/>
          <w:szCs w:val="20"/>
          <w:color w:val="auto"/>
        </w:rPr>
      </w:pPr>
    </w:p>
    <w:p>
      <w:pPr>
        <w:ind w:right="40" w:firstLine="619"/>
        <w:spacing w:after="0" w:line="269" w:lineRule="auto"/>
        <w:rPr>
          <w:sz w:val="20"/>
          <w:szCs w:val="20"/>
          <w:color w:val="auto"/>
        </w:rPr>
      </w:pPr>
      <w:r>
        <w:rPr>
          <w:rFonts w:ascii="Arial" w:cs="Arial" w:eastAsia="Arial" w:hAnsi="Arial"/>
          <w:sz w:val="15"/>
          <w:szCs w:val="15"/>
          <w:color w:val="auto"/>
        </w:rPr>
        <w:t>The income tax benefit recorded for the three months ended January 31, 2023 and 2022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changes in uncertain tax positions (“UTP”), and changes in tax law affecting the rate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85"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21"/>
          <w:szCs w:val="21"/>
          <w:b w:val="1"/>
          <w:bCs w:val="1"/>
          <w:color w:val="auto"/>
        </w:rPr>
        <w:t>MISSION PRODUCE,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firstLine="619"/>
        <w:spacing w:after="0" w:line="269" w:lineRule="auto"/>
        <w:rPr>
          <w:sz w:val="20"/>
          <w:szCs w:val="20"/>
          <w:color w:val="auto"/>
        </w:rPr>
      </w:pPr>
      <w:r>
        <w:rPr>
          <w:rFonts w:ascii="Arial" w:cs="Arial" w:eastAsia="Arial" w:hAnsi="Arial"/>
          <w:sz w:val="15"/>
          <w:szCs w:val="15"/>
          <w:color w:val="auto"/>
        </w:rPr>
        <w:t>As of January 31, 2023, the Company had $16.0 million accrued in UTP on income taxes, of which $8.9 million relates to interest and penalties, inclusive of inflationary adjustments. The period for assessing interest and penalties has expired. However, the Company continues to record certain statutory adjustments related to inflation. Changes in the UTP related to changes in foreign exchange rates during the period are included in other (expense) income, net in the condensed consolidated statements of loss.</w:t>
      </w:r>
    </w:p>
    <w:p>
      <w:pPr>
        <w:spacing w:after="0" w:line="200" w:lineRule="exact"/>
        <w:rPr>
          <w:sz w:val="20"/>
          <w:szCs w:val="20"/>
          <w:color w:val="auto"/>
        </w:rPr>
      </w:pPr>
    </w:p>
    <w:p>
      <w:pPr>
        <w:spacing w:after="0" w:line="235" w:lineRule="exact"/>
        <w:rPr>
          <w:sz w:val="20"/>
          <w:szCs w:val="20"/>
          <w:color w:val="auto"/>
        </w:rPr>
      </w:pPr>
    </w:p>
    <w:p>
      <w:pPr>
        <w:ind w:left="420" w:hanging="417"/>
        <w:spacing w:after="0"/>
        <w:tabs>
          <w:tab w:leader="none" w:pos="42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Fair Value Measurements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Financial assets measured and recorded at fair value on a recurring basis included in the condensed consolidated balance sheets were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80" w:type="dxa"/>
            <w:vAlign w:val="bottom"/>
            <w:gridSpan w:val="3"/>
          </w:tcPr>
          <w:p>
            <w:pPr>
              <w:jc w:val="right"/>
              <w:ind w:right="791"/>
              <w:spacing w:after="0"/>
              <w:rPr>
                <w:sz w:val="20"/>
                <w:szCs w:val="20"/>
                <w:color w:val="auto"/>
              </w:rPr>
            </w:pPr>
            <w:r>
              <w:rPr>
                <w:rFonts w:ascii="Arial" w:cs="Arial" w:eastAsia="Arial" w:hAnsi="Arial"/>
                <w:sz w:val="14"/>
                <w:szCs w:val="14"/>
                <w:b w:val="1"/>
                <w:bCs w:val="1"/>
                <w:color w:val="auto"/>
              </w:rPr>
              <w:t>January 31, 2023</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3"/>
          </w:tcPr>
          <w:p>
            <w:pPr>
              <w:jc w:val="right"/>
              <w:ind w:right="791"/>
              <w:spacing w:after="0"/>
              <w:rPr>
                <w:sz w:val="20"/>
                <w:szCs w:val="20"/>
                <w:color w:val="auto"/>
              </w:rPr>
            </w:pPr>
            <w:r>
              <w:rPr>
                <w:rFonts w:ascii="Arial" w:cs="Arial" w:eastAsia="Arial" w:hAnsi="Arial"/>
                <w:sz w:val="14"/>
                <w:szCs w:val="14"/>
                <w:b w:val="1"/>
                <w:bCs w:val="1"/>
                <w:color w:val="auto"/>
              </w:rPr>
              <w:t>October 31, 2022</w:t>
            </w:r>
          </w:p>
        </w:tc>
        <w:tc>
          <w:tcPr>
            <w:tcW w:w="1060" w:type="dxa"/>
            <w:vAlign w:val="bottom"/>
          </w:tcPr>
          <w:p>
            <w:pPr>
              <w:spacing w:after="0"/>
              <w:rPr>
                <w:sz w:val="15"/>
                <w:szCs w:val="15"/>
                <w:color w:val="auto"/>
              </w:rPr>
            </w:pPr>
          </w:p>
        </w:tc>
      </w:tr>
      <w:tr>
        <w:trPr>
          <w:trHeight w:val="24"/>
        </w:trPr>
        <w:tc>
          <w:tcPr>
            <w:tcW w:w="1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5"/>
        </w:trPr>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271"/>
              <w:spacing w:after="0"/>
              <w:rPr>
                <w:sz w:val="20"/>
                <w:szCs w:val="20"/>
                <w:color w:val="auto"/>
              </w:rPr>
            </w:pPr>
            <w:r>
              <w:rPr>
                <w:rFonts w:ascii="Arial" w:cs="Arial" w:eastAsia="Arial" w:hAnsi="Arial"/>
                <w:sz w:val="14"/>
                <w:szCs w:val="14"/>
                <w:b w:val="1"/>
                <w:bCs w:val="1"/>
                <w:color w:val="auto"/>
              </w:rPr>
              <w:t>Significant</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271"/>
              <w:spacing w:after="0"/>
              <w:rPr>
                <w:sz w:val="20"/>
                <w:szCs w:val="20"/>
                <w:color w:val="auto"/>
              </w:rPr>
            </w:pPr>
            <w:r>
              <w:rPr>
                <w:rFonts w:ascii="Arial" w:cs="Arial" w:eastAsia="Arial" w:hAnsi="Arial"/>
                <w:sz w:val="14"/>
                <w:szCs w:val="14"/>
                <w:b w:val="1"/>
                <w:bCs w:val="1"/>
                <w:color w:val="auto"/>
              </w:rPr>
              <w:t>Significant</w:t>
            </w:r>
          </w:p>
        </w:tc>
        <w:tc>
          <w:tcPr>
            <w:tcW w:w="1060" w:type="dxa"/>
            <w:vAlign w:val="bottom"/>
          </w:tcPr>
          <w:p>
            <w:pPr>
              <w:spacing w:after="0"/>
              <w:rPr>
                <w:sz w:val="15"/>
                <w:szCs w:val="15"/>
                <w:color w:val="auto"/>
              </w:rPr>
            </w:pPr>
          </w:p>
        </w:tc>
      </w:tr>
      <w:tr>
        <w:trPr>
          <w:trHeight w:val="155"/>
        </w:trPr>
        <w:tc>
          <w:tcPr>
            <w:tcW w:w="1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Quoted Prices</w:t>
            </w:r>
          </w:p>
        </w:tc>
        <w:tc>
          <w:tcPr>
            <w:tcW w:w="300" w:type="dxa"/>
            <w:vAlign w:val="bottom"/>
          </w:tcPr>
          <w:p>
            <w:pPr>
              <w:spacing w:after="0"/>
              <w:rPr>
                <w:sz w:val="13"/>
                <w:szCs w:val="13"/>
                <w:color w:val="auto"/>
              </w:rPr>
            </w:pPr>
          </w:p>
        </w:tc>
        <w:tc>
          <w:tcPr>
            <w:tcW w:w="124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Other</w:t>
            </w:r>
          </w:p>
        </w:tc>
        <w:tc>
          <w:tcPr>
            <w:tcW w:w="124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Quoted Prices</w:t>
            </w:r>
          </w:p>
        </w:tc>
        <w:tc>
          <w:tcPr>
            <w:tcW w:w="300" w:type="dxa"/>
            <w:vAlign w:val="bottom"/>
          </w:tcPr>
          <w:p>
            <w:pPr>
              <w:spacing w:after="0"/>
              <w:rPr>
                <w:sz w:val="13"/>
                <w:szCs w:val="13"/>
                <w:color w:val="auto"/>
              </w:rPr>
            </w:pPr>
          </w:p>
        </w:tc>
        <w:tc>
          <w:tcPr>
            <w:tcW w:w="1240" w:type="dxa"/>
            <w:vAlign w:val="bottom"/>
          </w:tcPr>
          <w:p>
            <w:pPr>
              <w:jc w:val="right"/>
              <w:ind w:right="271"/>
              <w:spacing w:after="0" w:line="155" w:lineRule="exact"/>
              <w:rPr>
                <w:sz w:val="20"/>
                <w:szCs w:val="20"/>
                <w:color w:val="auto"/>
              </w:rPr>
            </w:pPr>
            <w:r>
              <w:rPr>
                <w:rFonts w:ascii="Arial" w:cs="Arial" w:eastAsia="Arial" w:hAnsi="Arial"/>
                <w:sz w:val="14"/>
                <w:szCs w:val="14"/>
                <w:b w:val="1"/>
                <w:bCs w:val="1"/>
                <w:color w:val="auto"/>
              </w:rPr>
              <w:t>Other</w:t>
            </w:r>
          </w:p>
        </w:tc>
        <w:tc>
          <w:tcPr>
            <w:tcW w:w="10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Significant</w:t>
            </w:r>
          </w:p>
        </w:tc>
      </w:tr>
      <w:tr>
        <w:trPr>
          <w:trHeight w:val="168"/>
        </w:trPr>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 Active</w:t>
            </w:r>
          </w:p>
        </w:tc>
        <w:tc>
          <w:tcPr>
            <w:tcW w:w="300" w:type="dxa"/>
            <w:vAlign w:val="bottom"/>
          </w:tcPr>
          <w:p>
            <w:pPr>
              <w:spacing w:after="0"/>
              <w:rPr>
                <w:sz w:val="14"/>
                <w:szCs w:val="14"/>
                <w:color w:val="auto"/>
              </w:rPr>
            </w:pPr>
          </w:p>
        </w:tc>
        <w:tc>
          <w:tcPr>
            <w:tcW w:w="1240" w:type="dxa"/>
            <w:vAlign w:val="bottom"/>
          </w:tcPr>
          <w:p>
            <w:pPr>
              <w:jc w:val="right"/>
              <w:ind w:right="271"/>
              <w:spacing w:after="0"/>
              <w:rPr>
                <w:sz w:val="20"/>
                <w:szCs w:val="20"/>
                <w:color w:val="auto"/>
              </w:rPr>
            </w:pPr>
            <w:r>
              <w:rPr>
                <w:rFonts w:ascii="Arial" w:cs="Arial" w:eastAsia="Arial" w:hAnsi="Arial"/>
                <w:sz w:val="14"/>
                <w:szCs w:val="14"/>
                <w:b w:val="1"/>
                <w:bCs w:val="1"/>
                <w:color w:val="auto"/>
              </w:rPr>
              <w:t>Observable</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in Active</w:t>
            </w:r>
          </w:p>
        </w:tc>
        <w:tc>
          <w:tcPr>
            <w:tcW w:w="300" w:type="dxa"/>
            <w:vAlign w:val="bottom"/>
          </w:tcPr>
          <w:p>
            <w:pPr>
              <w:spacing w:after="0"/>
              <w:rPr>
                <w:sz w:val="14"/>
                <w:szCs w:val="14"/>
                <w:color w:val="auto"/>
              </w:rPr>
            </w:pPr>
          </w:p>
        </w:tc>
        <w:tc>
          <w:tcPr>
            <w:tcW w:w="1240" w:type="dxa"/>
            <w:vAlign w:val="bottom"/>
          </w:tcPr>
          <w:p>
            <w:pPr>
              <w:jc w:val="right"/>
              <w:ind w:right="271"/>
              <w:spacing w:after="0"/>
              <w:rPr>
                <w:sz w:val="20"/>
                <w:szCs w:val="20"/>
                <w:color w:val="auto"/>
              </w:rPr>
            </w:pPr>
            <w:r>
              <w:rPr>
                <w:rFonts w:ascii="Arial" w:cs="Arial" w:eastAsia="Arial" w:hAnsi="Arial"/>
                <w:sz w:val="14"/>
                <w:szCs w:val="14"/>
                <w:b w:val="1"/>
                <w:bCs w:val="1"/>
                <w:color w:val="auto"/>
              </w:rPr>
              <w:t>Observable</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Unobservable</w:t>
            </w:r>
          </w:p>
        </w:tc>
      </w:tr>
      <w:tr>
        <w:trPr>
          <w:trHeight w:val="168"/>
        </w:trPr>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Markets</w:t>
            </w:r>
          </w:p>
        </w:tc>
        <w:tc>
          <w:tcPr>
            <w:tcW w:w="300" w:type="dxa"/>
            <w:vAlign w:val="bottom"/>
          </w:tcPr>
          <w:p>
            <w:pPr>
              <w:spacing w:after="0"/>
              <w:rPr>
                <w:sz w:val="14"/>
                <w:szCs w:val="14"/>
                <w:color w:val="auto"/>
              </w:rPr>
            </w:pPr>
          </w:p>
        </w:tc>
        <w:tc>
          <w:tcPr>
            <w:tcW w:w="1240" w:type="dxa"/>
            <w:vAlign w:val="bottom"/>
          </w:tcPr>
          <w:p>
            <w:pPr>
              <w:jc w:val="right"/>
              <w:ind w:right="271"/>
              <w:spacing w:after="0"/>
              <w:rPr>
                <w:sz w:val="20"/>
                <w:szCs w:val="20"/>
                <w:color w:val="auto"/>
              </w:rPr>
            </w:pPr>
            <w:r>
              <w:rPr>
                <w:rFonts w:ascii="Arial" w:cs="Arial" w:eastAsia="Arial" w:hAnsi="Arial"/>
                <w:sz w:val="14"/>
                <w:szCs w:val="14"/>
                <w:b w:val="1"/>
                <w:bCs w:val="1"/>
                <w:color w:val="auto"/>
              </w:rPr>
              <w:t>Inputs</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Inputs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31"/>
              <w:spacing w:after="0"/>
              <w:rPr>
                <w:sz w:val="20"/>
                <w:szCs w:val="20"/>
                <w:color w:val="auto"/>
              </w:rPr>
            </w:pPr>
            <w:r>
              <w:rPr>
                <w:rFonts w:ascii="Arial" w:cs="Arial" w:eastAsia="Arial" w:hAnsi="Arial"/>
                <w:sz w:val="14"/>
                <w:szCs w:val="14"/>
                <w:b w:val="1"/>
                <w:bCs w:val="1"/>
                <w:color w:val="auto"/>
              </w:rPr>
              <w:t>Markets</w:t>
            </w:r>
          </w:p>
        </w:tc>
        <w:tc>
          <w:tcPr>
            <w:tcW w:w="300" w:type="dxa"/>
            <w:vAlign w:val="bottom"/>
          </w:tcPr>
          <w:p>
            <w:pPr>
              <w:spacing w:after="0"/>
              <w:rPr>
                <w:sz w:val="14"/>
                <w:szCs w:val="14"/>
                <w:color w:val="auto"/>
              </w:rPr>
            </w:pPr>
          </w:p>
        </w:tc>
        <w:tc>
          <w:tcPr>
            <w:tcW w:w="1240" w:type="dxa"/>
            <w:vAlign w:val="bottom"/>
          </w:tcPr>
          <w:p>
            <w:pPr>
              <w:jc w:val="right"/>
              <w:ind w:right="271"/>
              <w:spacing w:after="0"/>
              <w:rPr>
                <w:sz w:val="20"/>
                <w:szCs w:val="20"/>
                <w:color w:val="auto"/>
              </w:rPr>
            </w:pPr>
            <w:r>
              <w:rPr>
                <w:rFonts w:ascii="Arial" w:cs="Arial" w:eastAsia="Arial" w:hAnsi="Arial"/>
                <w:sz w:val="14"/>
                <w:szCs w:val="14"/>
                <w:b w:val="1"/>
                <w:bCs w:val="1"/>
                <w:color w:val="auto"/>
              </w:rPr>
              <w:t>Inputs</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Inputs</w:t>
            </w:r>
          </w:p>
        </w:tc>
      </w:tr>
      <w:tr>
        <w:trPr>
          <w:trHeight w:val="180"/>
        </w:trPr>
        <w:tc>
          <w:tcPr>
            <w:tcW w:w="12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5"/>
                <w:szCs w:val="15"/>
                <w:color w:val="auto"/>
              </w:rPr>
            </w:pPr>
          </w:p>
        </w:tc>
        <w:tc>
          <w:tcPr>
            <w:tcW w:w="680" w:type="dxa"/>
            <w:vAlign w:val="bottom"/>
          </w:tcPr>
          <w:p>
            <w:pPr>
              <w:jc w:val="center"/>
              <w:ind w:left="171"/>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240" w:type="dxa"/>
            <w:vAlign w:val="bottom"/>
          </w:tcPr>
          <w:p>
            <w:pPr>
              <w:jc w:val="right"/>
              <w:ind w:right="271"/>
              <w:spacing w:after="0"/>
              <w:rPr>
                <w:sz w:val="20"/>
                <w:szCs w:val="20"/>
                <w:color w:val="auto"/>
              </w:rPr>
            </w:pPr>
            <w:r>
              <w:rPr>
                <w:rFonts w:ascii="Arial" w:cs="Arial" w:eastAsia="Arial" w:hAnsi="Arial"/>
                <w:sz w:val="14"/>
                <w:szCs w:val="14"/>
                <w:b w:val="1"/>
                <w:bCs w:val="1"/>
                <w:color w:val="auto"/>
              </w:rPr>
              <w:t>(Level 2)</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5"/>
                <w:szCs w:val="15"/>
                <w:color w:val="auto"/>
              </w:rPr>
            </w:pPr>
          </w:p>
        </w:tc>
        <w:tc>
          <w:tcPr>
            <w:tcW w:w="680" w:type="dxa"/>
            <w:vAlign w:val="bottom"/>
          </w:tcPr>
          <w:p>
            <w:pPr>
              <w:jc w:val="center"/>
              <w:ind w:left="171"/>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240" w:type="dxa"/>
            <w:vAlign w:val="bottom"/>
          </w:tcPr>
          <w:p>
            <w:pPr>
              <w:jc w:val="right"/>
              <w:ind w:right="271"/>
              <w:spacing w:after="0"/>
              <w:rPr>
                <w:sz w:val="20"/>
                <w:szCs w:val="20"/>
                <w:color w:val="auto"/>
              </w:rPr>
            </w:pPr>
            <w:r>
              <w:rPr>
                <w:rFonts w:ascii="Arial" w:cs="Arial" w:eastAsia="Arial" w:hAnsi="Arial"/>
                <w:sz w:val="14"/>
                <w:szCs w:val="14"/>
                <w:b w:val="1"/>
                <w:bCs w:val="1"/>
                <w:color w:val="auto"/>
              </w:rPr>
              <w:t>(Level 2)</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r>
      <w:tr>
        <w:trPr>
          <w:trHeight w:val="24"/>
        </w:trPr>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2"/>
        </w:trPr>
        <w:tc>
          <w:tcPr>
            <w:tcW w:w="1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Assets</w:t>
            </w:r>
          </w:p>
        </w:tc>
        <w:tc>
          <w:tcPr>
            <w:tcW w:w="40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124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124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spacing w:after="0"/>
              <w:rPr>
                <w:sz w:val="16"/>
                <w:szCs w:val="16"/>
                <w:color w:val="auto"/>
              </w:rPr>
            </w:pPr>
          </w:p>
        </w:tc>
      </w:tr>
      <w:tr>
        <w:trPr>
          <w:trHeight w:val="195"/>
        </w:trPr>
        <w:tc>
          <w:tcPr>
            <w:tcW w:w="1200" w:type="dxa"/>
            <w:vAlign w:val="bottom"/>
          </w:tcPr>
          <w:p>
            <w:pPr>
              <w:ind w:left="120"/>
              <w:spacing w:after="0"/>
              <w:rPr>
                <w:sz w:val="20"/>
                <w:szCs w:val="20"/>
                <w:color w:val="auto"/>
              </w:rPr>
            </w:pPr>
            <w:r>
              <w:rPr>
                <w:rFonts w:ascii="Arial" w:cs="Arial" w:eastAsia="Arial" w:hAnsi="Arial"/>
                <w:sz w:val="14"/>
                <w:szCs w:val="14"/>
                <w:color w:val="auto"/>
              </w:rPr>
              <w:t>Mutual funds</w:t>
            </w: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680" w:type="dxa"/>
            <w:vAlign w:val="bottom"/>
          </w:tcPr>
          <w:p>
            <w:pPr>
              <w:jc w:val="center"/>
              <w:ind w:left="191"/>
              <w:spacing w:after="0"/>
              <w:rPr>
                <w:sz w:val="20"/>
                <w:szCs w:val="20"/>
                <w:color w:val="auto"/>
              </w:rPr>
            </w:pPr>
            <w:r>
              <w:rPr>
                <w:rFonts w:ascii="Arial" w:cs="Arial" w:eastAsia="Arial" w:hAnsi="Arial"/>
                <w:sz w:val="14"/>
                <w:szCs w:val="14"/>
                <w:color w:val="auto"/>
                <w:w w:val="92"/>
              </w:rPr>
              <w:t>1.3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1.3</w:t>
            </w:r>
          </w:p>
        </w:tc>
        <w:tc>
          <w:tcPr>
            <w:tcW w:w="3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71"/>
              <w:spacing w:after="0"/>
              <w:rPr>
                <w:sz w:val="20"/>
                <w:szCs w:val="20"/>
                <w:color w:val="auto"/>
              </w:rPr>
            </w:pPr>
            <w:r>
              <w:rPr>
                <w:rFonts w:ascii="Arial" w:cs="Arial" w:eastAsia="Arial" w:hAnsi="Arial"/>
                <w:sz w:val="14"/>
                <w:szCs w:val="14"/>
                <w:color w:val="auto"/>
              </w:rPr>
              <w:t>—   $</w:t>
            </w:r>
          </w:p>
        </w:tc>
        <w:tc>
          <w:tcPr>
            <w:tcW w:w="12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51"/>
              <w:spacing w:after="0"/>
              <w:rPr>
                <w:sz w:val="20"/>
                <w:szCs w:val="20"/>
                <w:color w:val="auto"/>
              </w:rPr>
            </w:pPr>
            <w:r>
              <w:rPr>
                <w:rFonts w:ascii="Arial" w:cs="Arial" w:eastAsia="Arial" w:hAnsi="Arial"/>
                <w:sz w:val="14"/>
                <w:szCs w:val="14"/>
                <w:color w:val="auto"/>
                <w:w w:val="76"/>
              </w:rPr>
              <w:t>$</w:t>
            </w:r>
          </w:p>
        </w:tc>
        <w:tc>
          <w:tcPr>
            <w:tcW w:w="680" w:type="dxa"/>
            <w:vAlign w:val="bottom"/>
          </w:tcPr>
          <w:p>
            <w:pPr>
              <w:jc w:val="center"/>
              <w:ind w:left="211"/>
              <w:spacing w:after="0"/>
              <w:rPr>
                <w:sz w:val="20"/>
                <w:szCs w:val="20"/>
                <w:color w:val="auto"/>
              </w:rPr>
            </w:pPr>
            <w:r>
              <w:rPr>
                <w:rFonts w:ascii="Arial" w:cs="Arial" w:eastAsia="Arial" w:hAnsi="Arial"/>
                <w:sz w:val="14"/>
                <w:szCs w:val="14"/>
                <w:color w:val="auto"/>
              </w:rPr>
              <w:t>1.2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1"/>
              <w:spacing w:after="0"/>
              <w:rPr>
                <w:sz w:val="20"/>
                <w:szCs w:val="20"/>
                <w:color w:val="auto"/>
              </w:rPr>
            </w:pPr>
            <w:r>
              <w:rPr>
                <w:rFonts w:ascii="Arial" w:cs="Arial" w:eastAsia="Arial" w:hAnsi="Arial"/>
                <w:sz w:val="14"/>
                <w:szCs w:val="14"/>
                <w:color w:val="auto"/>
              </w:rPr>
              <w:t>1.2</w:t>
            </w:r>
          </w:p>
        </w:tc>
        <w:tc>
          <w:tcPr>
            <w:tcW w:w="3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71"/>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5"/>
        </w:trPr>
        <w:tc>
          <w:tcPr>
            <w:tcW w:w="1200" w:type="dxa"/>
            <w:vAlign w:val="bottom"/>
            <w:shd w:val="clear" w:color="auto" w:fill="DBDBDB"/>
          </w:tcPr>
          <w:p>
            <w:pPr>
              <w:ind w:left="120"/>
              <w:spacing w:after="0"/>
              <w:rPr>
                <w:sz w:val="20"/>
                <w:szCs w:val="20"/>
                <w:color w:val="auto"/>
              </w:rPr>
            </w:pPr>
            <w:r>
              <w:rPr>
                <w:rFonts w:ascii="Arial" w:cs="Arial" w:eastAsia="Arial" w:hAnsi="Arial"/>
                <w:sz w:val="14"/>
                <w:szCs w:val="14"/>
                <w:color w:val="auto"/>
              </w:rPr>
              <w:t>Interest rate</w:t>
            </w:r>
          </w:p>
        </w:tc>
        <w:tc>
          <w:tcPr>
            <w:tcW w:w="400" w:type="dxa"/>
            <w:vAlign w:val="bottom"/>
            <w:shd w:val="clear" w:color="auto" w:fill="DBDBDB"/>
          </w:tcPr>
          <w:p>
            <w:pPr>
              <w:spacing w:after="0"/>
              <w:rPr>
                <w:sz w:val="16"/>
                <w:szCs w:val="16"/>
                <w:color w:val="auto"/>
              </w:rPr>
            </w:pPr>
          </w:p>
        </w:tc>
        <w:tc>
          <w:tcPr>
            <w:tcW w:w="680" w:type="dxa"/>
            <w:vAlign w:val="bottom"/>
            <w:shd w:val="clear" w:color="auto" w:fill="DBDBDB"/>
          </w:tcPr>
          <w:p>
            <w:pPr>
              <w:jc w:val="center"/>
              <w:ind w:left="191"/>
              <w:spacing w:after="0"/>
              <w:rPr>
                <w:sz w:val="20"/>
                <w:szCs w:val="20"/>
                <w:color w:val="auto"/>
              </w:rPr>
            </w:pPr>
            <w:r>
              <w:rPr>
                <w:rFonts w:ascii="Arial" w:cs="Arial" w:eastAsia="Arial" w:hAnsi="Arial"/>
                <w:sz w:val="14"/>
                <w:szCs w:val="14"/>
                <w:color w:val="auto"/>
                <w:w w:val="92"/>
              </w:rPr>
              <w:t>2.0</w:t>
            </w:r>
          </w:p>
        </w:tc>
        <w:tc>
          <w:tcPr>
            <w:tcW w:w="200" w:type="dxa"/>
            <w:vAlign w:val="bottom"/>
            <w:shd w:val="clear" w:color="auto" w:fill="DBDBDB"/>
          </w:tcPr>
          <w:p>
            <w:pPr>
              <w:spacing w:after="0"/>
              <w:rPr>
                <w:sz w:val="16"/>
                <w:szCs w:val="16"/>
                <w:color w:val="auto"/>
              </w:rPr>
            </w:pPr>
          </w:p>
        </w:tc>
        <w:tc>
          <w:tcPr>
            <w:tcW w:w="1040" w:type="dxa"/>
            <w:vAlign w:val="bottom"/>
            <w:shd w:val="clear" w:color="auto" w:fill="DBDBDB"/>
          </w:tcPr>
          <w:p>
            <w:pPr>
              <w:jc w:val="right"/>
              <w:ind w:right="31"/>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311"/>
              <w:spacing w:after="0"/>
              <w:rPr>
                <w:sz w:val="20"/>
                <w:szCs w:val="20"/>
                <w:color w:val="auto"/>
              </w:rPr>
            </w:pPr>
            <w:r>
              <w:rPr>
                <w:rFonts w:ascii="Arial" w:cs="Arial" w:eastAsia="Arial" w:hAnsi="Arial"/>
                <w:sz w:val="14"/>
                <w:szCs w:val="14"/>
                <w:color w:val="auto"/>
              </w:rPr>
              <w:t>2.0</w:t>
            </w:r>
          </w:p>
        </w:tc>
        <w:tc>
          <w:tcPr>
            <w:tcW w:w="1240" w:type="dxa"/>
            <w:vAlign w:val="bottom"/>
            <w:gridSpan w:val="2"/>
            <w:shd w:val="clear" w:color="auto" w:fill="DBDBDB"/>
          </w:tcPr>
          <w:p>
            <w:pPr>
              <w:ind w:left="860"/>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jc w:val="right"/>
              <w:ind w:right="251"/>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DBDBDB"/>
          </w:tcPr>
          <w:p>
            <w:pPr>
              <w:jc w:val="center"/>
              <w:ind w:left="211"/>
              <w:spacing w:after="0"/>
              <w:rPr>
                <w:sz w:val="20"/>
                <w:szCs w:val="20"/>
                <w:color w:val="auto"/>
              </w:rPr>
            </w:pPr>
            <w:r>
              <w:rPr>
                <w:rFonts w:ascii="Arial" w:cs="Arial" w:eastAsia="Arial" w:hAnsi="Arial"/>
                <w:sz w:val="14"/>
                <w:szCs w:val="14"/>
                <w:color w:val="auto"/>
              </w:rPr>
              <w:t>2.6</w:t>
            </w:r>
          </w:p>
        </w:tc>
        <w:tc>
          <w:tcPr>
            <w:tcW w:w="200" w:type="dxa"/>
            <w:vAlign w:val="bottom"/>
            <w:shd w:val="clear" w:color="auto" w:fill="DBDBDB"/>
          </w:tcPr>
          <w:p>
            <w:pPr>
              <w:spacing w:after="0"/>
              <w:rPr>
                <w:sz w:val="16"/>
                <w:szCs w:val="16"/>
                <w:color w:val="auto"/>
              </w:rPr>
            </w:pPr>
          </w:p>
        </w:tc>
        <w:tc>
          <w:tcPr>
            <w:tcW w:w="1060" w:type="dxa"/>
            <w:vAlign w:val="bottom"/>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331"/>
              <w:spacing w:after="0"/>
              <w:rPr>
                <w:sz w:val="20"/>
                <w:szCs w:val="20"/>
                <w:color w:val="auto"/>
              </w:rPr>
            </w:pPr>
            <w:r>
              <w:rPr>
                <w:rFonts w:ascii="Arial" w:cs="Arial" w:eastAsia="Arial" w:hAnsi="Arial"/>
                <w:sz w:val="14"/>
                <w:szCs w:val="14"/>
                <w:color w:val="auto"/>
              </w:rPr>
              <w:t>2.6</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12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4"/>
                <w:szCs w:val="14"/>
                <w:color w:val="auto"/>
              </w:rPr>
              <w:t>swap</w:t>
            </w:r>
          </w:p>
        </w:tc>
        <w:tc>
          <w:tcPr>
            <w:tcW w:w="400" w:type="dxa"/>
            <w:vAlign w:val="bottom"/>
            <w:tcBorders>
              <w:bottom w:val="single" w:sz="8" w:color="DBDBDB"/>
            </w:tcBorders>
            <w:shd w:val="clear" w:color="auto" w:fill="DBDBDB"/>
          </w:tcPr>
          <w:p>
            <w:pPr>
              <w:spacing w:after="0"/>
              <w:rPr>
                <w:sz w:val="14"/>
                <w:szCs w:val="14"/>
                <w:color w:val="auto"/>
              </w:rPr>
            </w:pPr>
          </w:p>
        </w:tc>
        <w:tc>
          <w:tcPr>
            <w:tcW w:w="680" w:type="dxa"/>
            <w:vAlign w:val="bottom"/>
            <w:tcBorders>
              <w:bottom w:val="single" w:sz="8" w:color="DBDBDB"/>
            </w:tcBorders>
            <w:shd w:val="clear" w:color="auto" w:fill="DBDBDB"/>
          </w:tcPr>
          <w:p>
            <w:pPr>
              <w:spacing w:after="0"/>
              <w:rPr>
                <w:sz w:val="14"/>
                <w:szCs w:val="14"/>
                <w:color w:val="auto"/>
              </w:rPr>
            </w:pPr>
          </w:p>
        </w:tc>
        <w:tc>
          <w:tcPr>
            <w:tcW w:w="20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1240" w:type="dxa"/>
            <w:vAlign w:val="bottom"/>
            <w:tcBorders>
              <w:bottom w:val="single" w:sz="8" w:color="DBDBDB"/>
            </w:tcBorders>
            <w:shd w:val="clear" w:color="auto" w:fill="DBDBDB"/>
          </w:tcPr>
          <w:p>
            <w:pPr>
              <w:spacing w:after="0"/>
              <w:rPr>
                <w:sz w:val="14"/>
                <w:szCs w:val="14"/>
                <w:color w:val="auto"/>
              </w:rPr>
            </w:pPr>
          </w:p>
        </w:tc>
        <w:tc>
          <w:tcPr>
            <w:tcW w:w="106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400" w:type="dxa"/>
            <w:vAlign w:val="bottom"/>
            <w:tcBorders>
              <w:bottom w:val="single" w:sz="8" w:color="DBDBDB"/>
            </w:tcBorders>
            <w:shd w:val="clear" w:color="auto" w:fill="DBDBDB"/>
          </w:tcPr>
          <w:p>
            <w:pPr>
              <w:spacing w:after="0"/>
              <w:rPr>
                <w:sz w:val="14"/>
                <w:szCs w:val="14"/>
                <w:color w:val="auto"/>
              </w:rPr>
            </w:pPr>
          </w:p>
        </w:tc>
        <w:tc>
          <w:tcPr>
            <w:tcW w:w="680" w:type="dxa"/>
            <w:vAlign w:val="bottom"/>
            <w:tcBorders>
              <w:bottom w:val="single" w:sz="8" w:color="DBDBDB"/>
            </w:tcBorders>
            <w:shd w:val="clear" w:color="auto" w:fill="DBDBDB"/>
          </w:tcPr>
          <w:p>
            <w:pPr>
              <w:spacing w:after="0"/>
              <w:rPr>
                <w:sz w:val="14"/>
                <w:szCs w:val="14"/>
                <w:color w:val="auto"/>
              </w:rPr>
            </w:pPr>
          </w:p>
        </w:tc>
        <w:tc>
          <w:tcPr>
            <w:tcW w:w="200" w:type="dxa"/>
            <w:vAlign w:val="bottom"/>
            <w:tcBorders>
              <w:bottom w:val="single" w:sz="8" w:color="DBDBDB"/>
            </w:tcBorders>
            <w:shd w:val="clear" w:color="auto" w:fill="DBDBDB"/>
          </w:tcPr>
          <w:p>
            <w:pPr>
              <w:spacing w:after="0"/>
              <w:rPr>
                <w:sz w:val="14"/>
                <w:szCs w:val="14"/>
                <w:color w:val="auto"/>
              </w:rPr>
            </w:pPr>
          </w:p>
        </w:tc>
        <w:tc>
          <w:tcPr>
            <w:tcW w:w="106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1240" w:type="dxa"/>
            <w:vAlign w:val="bottom"/>
            <w:tcBorders>
              <w:bottom w:val="single" w:sz="8" w:color="DBDBDB"/>
            </w:tcBorders>
            <w:shd w:val="clear" w:color="auto" w:fill="DBDBDB"/>
          </w:tcPr>
          <w:p>
            <w:pPr>
              <w:spacing w:after="0"/>
              <w:rPr>
                <w:sz w:val="14"/>
                <w:szCs w:val="14"/>
                <w:color w:val="auto"/>
              </w:rPr>
            </w:pPr>
          </w:p>
        </w:tc>
        <w:tc>
          <w:tcPr>
            <w:tcW w:w="1060" w:type="dxa"/>
            <w:vAlign w:val="bottom"/>
            <w:tcBorders>
              <w:bottom w:val="single" w:sz="8" w:color="DBDBDB"/>
            </w:tcBorders>
            <w:shd w:val="clear" w:color="auto" w:fill="DBDBDB"/>
          </w:tcPr>
          <w:p>
            <w:pPr>
              <w:spacing w:after="0"/>
              <w:rPr>
                <w:sz w:val="14"/>
                <w:szCs w:val="14"/>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85" w:lineRule="exact"/>
        <w:rPr>
          <w:sz w:val="20"/>
          <w:szCs w:val="20"/>
          <w:color w:val="auto"/>
        </w:rPr>
      </w:pPr>
    </w:p>
    <w:p>
      <w:pPr>
        <w:ind w:right="740" w:firstLine="619"/>
        <w:spacing w:after="0" w:line="269" w:lineRule="auto"/>
        <w:rPr>
          <w:sz w:val="20"/>
          <w:szCs w:val="20"/>
          <w:color w:val="auto"/>
        </w:rPr>
      </w:pPr>
      <w:r>
        <w:rPr>
          <w:rFonts w:ascii="Arial" w:cs="Arial" w:eastAsia="Arial" w:hAnsi="Arial"/>
          <w:sz w:val="15"/>
          <w:szCs w:val="15"/>
          <w:color w:val="auto"/>
        </w:rPr>
        <w:t>Our mutual fund investments relate to our deferred compensation plan, which are held in a Rabbi trust included in other assets in our condensed consolidated balance sheets. The funds are measured at quoted prices in active markets, which is equivalent to their fair value.</w:t>
      </w:r>
    </w:p>
    <w:p>
      <w:pPr>
        <w:spacing w:after="0" w:line="181" w:lineRule="exact"/>
        <w:rPr>
          <w:sz w:val="20"/>
          <w:szCs w:val="20"/>
          <w:color w:val="auto"/>
        </w:rPr>
      </w:pPr>
    </w:p>
    <w:p>
      <w:pPr>
        <w:ind w:right="60" w:firstLine="619"/>
        <w:spacing w:after="0" w:line="260" w:lineRule="auto"/>
        <w:rPr>
          <w:sz w:val="20"/>
          <w:szCs w:val="20"/>
          <w:color w:val="auto"/>
        </w:rPr>
      </w:pPr>
      <w:r>
        <w:rPr>
          <w:rFonts w:ascii="Arial" w:cs="Arial" w:eastAsia="Arial" w:hAnsi="Arial"/>
          <w:sz w:val="15"/>
          <w:szCs w:val="15"/>
          <w:color w:val="auto"/>
        </w:rPr>
        <w:t>The fair value of interest rate swaps is determined using widely accepted valuation techniques, including the discounted cash flow method.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January 31, 2023 and October 31, 2022, the fair value associated with the “significant unobservable inputs” relating to the Company’s risk of non-performance was insignificant to the overall fair value of the interest rate swap agreements and, as a result, the Company has determined that the relevant inputs for purposes of calculating the fair value of the interest rate swap agreements, in their entirety, were based upon “significant other observable inputs”. The assets associated with the interest rate swaps have been included in prepaid expenses and other current assets and other assets in the condensed consolidated balance sheets and gains and losses for the interest rate swaps have been included in other (expense) income, net in the condensed consolidated statements of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1"/>
          <w:szCs w:val="21"/>
          <w:b w:val="1"/>
          <w:bCs w:val="1"/>
          <w:color w:val="auto"/>
        </w:rPr>
        <w:t>MISSION PRODUCE,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360" w:val="left"/>
        </w:tabs>
        <w:rPr>
          <w:sz w:val="20"/>
          <w:szCs w:val="20"/>
          <w:color w:val="auto"/>
        </w:rPr>
      </w:pPr>
      <w:r>
        <w:rPr>
          <w:rFonts w:ascii="Arial" w:cs="Arial" w:eastAsia="Arial" w:hAnsi="Arial"/>
          <w:sz w:val="19"/>
          <w:szCs w:val="19"/>
          <w:b w:val="1"/>
          <w:bCs w:val="1"/>
          <w:color w:val="auto"/>
        </w:rPr>
        <w:t>9.</w:t>
      </w:r>
      <w:r>
        <w:rPr>
          <w:sz w:val="20"/>
          <w:szCs w:val="20"/>
          <w:color w:val="auto"/>
        </w:rPr>
        <w:tab/>
      </w:r>
      <w:r>
        <w:rPr>
          <w:rFonts w:ascii="Arial" w:cs="Arial" w:eastAsia="Arial" w:hAnsi="Arial"/>
          <w:sz w:val="18"/>
          <w:szCs w:val="18"/>
          <w:b w:val="1"/>
          <w:bCs w:val="1"/>
          <w:color w:val="auto"/>
        </w:rPr>
        <w:t>Earnings Per Share</w:t>
      </w: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8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r>
      <w:tr>
        <w:trPr>
          <w:trHeight w:val="180"/>
        </w:trPr>
        <w:tc>
          <w:tcPr>
            <w:tcW w:w="8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4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January 31,</w:t>
            </w:r>
          </w:p>
        </w:tc>
        <w:tc>
          <w:tcPr>
            <w:tcW w:w="820" w:type="dxa"/>
            <w:vAlign w:val="bottom"/>
          </w:tcPr>
          <w:p>
            <w:pPr>
              <w:spacing w:after="0"/>
              <w:rPr>
                <w:sz w:val="15"/>
                <w:szCs w:val="15"/>
                <w:color w:val="auto"/>
              </w:rPr>
            </w:pPr>
          </w:p>
        </w:tc>
      </w:tr>
      <w:tr>
        <w:trPr>
          <w:trHeight w:val="24"/>
        </w:trPr>
        <w:tc>
          <w:tcPr>
            <w:tcW w:w="8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8"/>
        </w:trPr>
        <w:tc>
          <w:tcPr>
            <w:tcW w:w="8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131"/>
              <w:spacing w:after="0"/>
              <w:rPr>
                <w:sz w:val="20"/>
                <w:szCs w:val="20"/>
                <w:color w:val="auto"/>
              </w:rPr>
            </w:pPr>
            <w:r>
              <w:rPr>
                <w:rFonts w:ascii="Arial" w:cs="Arial" w:eastAsia="Arial" w:hAnsi="Arial"/>
                <w:sz w:val="14"/>
                <w:szCs w:val="14"/>
                <w:b w:val="1"/>
                <w:bCs w:val="1"/>
                <w:color w:val="auto"/>
              </w:rPr>
              <w:t>2023</w:t>
            </w:r>
          </w:p>
        </w:tc>
        <w:tc>
          <w:tcPr>
            <w:tcW w:w="72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b w:val="1"/>
                <w:bCs w:val="1"/>
                <w:color w:val="auto"/>
              </w:rPr>
              <w:t>2022</w:t>
            </w:r>
          </w:p>
        </w:tc>
      </w:tr>
      <w:tr>
        <w:trPr>
          <w:trHeight w:val="24"/>
        </w:trPr>
        <w:tc>
          <w:tcPr>
            <w:tcW w:w="8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2"/>
        </w:trPr>
        <w:tc>
          <w:tcPr>
            <w:tcW w:w="8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Numerator:</w:t>
            </w:r>
          </w:p>
        </w:tc>
        <w:tc>
          <w:tcPr>
            <w:tcW w:w="40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spacing w:after="0"/>
              <w:rPr>
                <w:sz w:val="16"/>
                <w:szCs w:val="16"/>
                <w:color w:val="auto"/>
              </w:rPr>
            </w:pPr>
          </w:p>
        </w:tc>
      </w:tr>
      <w:tr>
        <w:trPr>
          <w:trHeight w:val="195"/>
        </w:trPr>
        <w:tc>
          <w:tcPr>
            <w:tcW w:w="8120" w:type="dxa"/>
            <w:vAlign w:val="bottom"/>
          </w:tcPr>
          <w:p>
            <w:pPr>
              <w:ind w:left="160"/>
              <w:spacing w:after="0"/>
              <w:rPr>
                <w:sz w:val="20"/>
                <w:szCs w:val="20"/>
                <w:color w:val="auto"/>
              </w:rPr>
            </w:pPr>
            <w:r>
              <w:rPr>
                <w:rFonts w:ascii="Arial" w:cs="Arial" w:eastAsia="Arial" w:hAnsi="Arial"/>
                <w:sz w:val="14"/>
                <w:szCs w:val="14"/>
                <w:color w:val="auto"/>
              </w:rPr>
              <w:t>Net loss attributable to Mission Produce (in millions)</w:t>
            </w: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(8.8)</w:t>
            </w:r>
          </w:p>
        </w:tc>
        <w:tc>
          <w:tcPr>
            <w:tcW w:w="720" w:type="dxa"/>
            <w:vAlign w:val="bottom"/>
          </w:tcPr>
          <w:p>
            <w:pPr>
              <w:jc w:val="right"/>
              <w:ind w:right="47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4"/>
        </w:trPr>
        <w:tc>
          <w:tcPr>
            <w:tcW w:w="8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2"/>
        </w:trPr>
        <w:tc>
          <w:tcPr>
            <w:tcW w:w="8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Denominator:</w:t>
            </w:r>
          </w:p>
        </w:tc>
        <w:tc>
          <w:tcPr>
            <w:tcW w:w="40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spacing w:after="0"/>
              <w:rPr>
                <w:sz w:val="16"/>
                <w:szCs w:val="16"/>
                <w:color w:val="auto"/>
              </w:rPr>
            </w:pPr>
          </w:p>
        </w:tc>
      </w:tr>
      <w:tr>
        <w:trPr>
          <w:trHeight w:val="195"/>
        </w:trPr>
        <w:tc>
          <w:tcPr>
            <w:tcW w:w="8120" w:type="dxa"/>
            <w:vAlign w:val="bottom"/>
          </w:tcPr>
          <w:p>
            <w:pPr>
              <w:ind w:left="320"/>
              <w:spacing w:after="0"/>
              <w:rPr>
                <w:sz w:val="20"/>
                <w:szCs w:val="20"/>
                <w:color w:val="auto"/>
              </w:rPr>
            </w:pPr>
            <w:r>
              <w:rPr>
                <w:rFonts w:ascii="Arial" w:cs="Arial" w:eastAsia="Arial" w:hAnsi="Arial"/>
                <w:sz w:val="14"/>
                <w:szCs w:val="14"/>
                <w:color w:val="auto"/>
              </w:rPr>
              <w:t>Weighted average shares of common stock outstanding, used in computing basic earnings per share</w:t>
            </w:r>
          </w:p>
        </w:tc>
        <w:tc>
          <w:tcPr>
            <w:tcW w:w="400" w:type="dxa"/>
            <w:vAlign w:val="bottom"/>
          </w:tcPr>
          <w:p>
            <w:pPr>
              <w:spacing w:after="0"/>
              <w:rPr>
                <w:sz w:val="16"/>
                <w:szCs w:val="16"/>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70,688,785</w:t>
            </w:r>
          </w:p>
        </w:tc>
        <w:tc>
          <w:tcPr>
            <w:tcW w:w="7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70,631,525</w:t>
            </w:r>
          </w:p>
        </w:tc>
      </w:tr>
      <w:tr>
        <w:trPr>
          <w:trHeight w:val="24"/>
        </w:trPr>
        <w:tc>
          <w:tcPr>
            <w:tcW w:w="8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9"/>
        </w:trPr>
        <w:tc>
          <w:tcPr>
            <w:tcW w:w="812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Effect of dilutive stock options</w:t>
            </w:r>
          </w:p>
        </w:tc>
        <w:tc>
          <w:tcPr>
            <w:tcW w:w="40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BDBDB"/>
            </w:tcBorders>
            <w:shd w:val="clear" w:color="auto" w:fill="DBDBDB"/>
          </w:tcPr>
          <w:p>
            <w:pPr>
              <w:spacing w:after="0"/>
              <w:rPr>
                <w:sz w:val="17"/>
                <w:szCs w:val="17"/>
                <w:color w:val="auto"/>
              </w:rPr>
            </w:pPr>
          </w:p>
        </w:tc>
        <w:tc>
          <w:tcPr>
            <w:tcW w:w="82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r>
      <w:tr>
        <w:trPr>
          <w:trHeight w:val="195"/>
        </w:trPr>
        <w:tc>
          <w:tcPr>
            <w:tcW w:w="8120" w:type="dxa"/>
            <w:vAlign w:val="bottom"/>
          </w:tcPr>
          <w:p>
            <w:pPr>
              <w:ind w:left="320"/>
              <w:spacing w:after="0"/>
              <w:rPr>
                <w:sz w:val="20"/>
                <w:szCs w:val="20"/>
                <w:color w:val="auto"/>
              </w:rPr>
            </w:pPr>
            <w:r>
              <w:rPr>
                <w:rFonts w:ascii="Arial" w:cs="Arial" w:eastAsia="Arial" w:hAnsi="Arial"/>
                <w:sz w:val="14"/>
                <w:szCs w:val="14"/>
                <w:color w:val="auto"/>
              </w:rPr>
              <w:t>Effect of dilutive RSUs</w:t>
            </w:r>
          </w:p>
        </w:tc>
        <w:tc>
          <w:tcPr>
            <w:tcW w:w="400" w:type="dxa"/>
            <w:vAlign w:val="bottom"/>
          </w:tcPr>
          <w:p>
            <w:pPr>
              <w:spacing w:after="0"/>
              <w:rPr>
                <w:sz w:val="16"/>
                <w:szCs w:val="16"/>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8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4"/>
        </w:trPr>
        <w:tc>
          <w:tcPr>
            <w:tcW w:w="8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8120" w:type="dxa"/>
            <w:vAlign w:val="bottom"/>
            <w:tcBorders>
              <w:bottom w:val="single" w:sz="8" w:color="DBDBDB"/>
            </w:tcBorders>
            <w:shd w:val="clear" w:color="auto" w:fill="DBDBDB"/>
          </w:tcPr>
          <w:p>
            <w:pPr>
              <w:ind w:left="160"/>
              <w:spacing w:after="0"/>
              <w:rPr>
                <w:sz w:val="20"/>
                <w:szCs w:val="20"/>
                <w:color w:val="auto"/>
              </w:rPr>
            </w:pPr>
            <w:r>
              <w:rPr>
                <w:rFonts w:ascii="Arial" w:cs="Arial" w:eastAsia="Arial" w:hAnsi="Arial"/>
                <w:sz w:val="14"/>
                <w:szCs w:val="14"/>
                <w:color w:val="auto"/>
              </w:rPr>
              <w:t>Weighted average shares of common stock outstanding, used in computing diluted earnings per share</w:t>
            </w:r>
          </w:p>
        </w:tc>
        <w:tc>
          <w:tcPr>
            <w:tcW w:w="40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70,688,785</w:t>
            </w:r>
          </w:p>
        </w:tc>
        <w:tc>
          <w:tcPr>
            <w:tcW w:w="72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70,631,525</w:t>
            </w:r>
          </w:p>
        </w:tc>
      </w:tr>
      <w:tr>
        <w:trPr>
          <w:trHeight w:val="188"/>
        </w:trPr>
        <w:tc>
          <w:tcPr>
            <w:tcW w:w="8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Earnings per share</w:t>
            </w:r>
          </w:p>
        </w:tc>
        <w:tc>
          <w:tcPr>
            <w:tcW w:w="4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4"/>
        </w:trPr>
        <w:tc>
          <w:tcPr>
            <w:tcW w:w="8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9"/>
        </w:trPr>
        <w:tc>
          <w:tcPr>
            <w:tcW w:w="812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Basic</w:t>
            </w:r>
          </w:p>
        </w:tc>
        <w:tc>
          <w:tcPr>
            <w:tcW w:w="400" w:type="dxa"/>
            <w:vAlign w:val="bottom"/>
            <w:tcBorders>
              <w:bottom w:val="single" w:sz="8" w:color="DBDBDB"/>
            </w:tcBorders>
            <w:shd w:val="clear" w:color="auto" w:fill="DBDBDB"/>
          </w:tcPr>
          <w:p>
            <w:pPr>
              <w:jc w:val="right"/>
              <w:ind w:right="23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(0.12)</w:t>
            </w:r>
          </w:p>
        </w:tc>
        <w:tc>
          <w:tcPr>
            <w:tcW w:w="720" w:type="dxa"/>
            <w:vAlign w:val="bottom"/>
            <w:tcBorders>
              <w:bottom w:val="single" w:sz="8" w:color="DBDBDB"/>
            </w:tcBorders>
            <w:shd w:val="clear" w:color="auto" w:fill="DBDBDB"/>
          </w:tcPr>
          <w:p>
            <w:pPr>
              <w:jc w:val="right"/>
              <w:ind w:right="47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(0.19)</w:t>
            </w:r>
          </w:p>
        </w:tc>
      </w:tr>
      <w:tr>
        <w:trPr>
          <w:trHeight w:val="195"/>
        </w:trPr>
        <w:tc>
          <w:tcPr>
            <w:tcW w:w="8120" w:type="dxa"/>
            <w:vAlign w:val="bottom"/>
          </w:tcPr>
          <w:p>
            <w:pPr>
              <w:ind w:left="320"/>
              <w:spacing w:after="0"/>
              <w:rPr>
                <w:sz w:val="20"/>
                <w:szCs w:val="20"/>
                <w:color w:val="auto"/>
              </w:rPr>
            </w:pPr>
            <w:r>
              <w:rPr>
                <w:rFonts w:ascii="Arial" w:cs="Arial" w:eastAsia="Arial" w:hAnsi="Arial"/>
                <w:sz w:val="14"/>
                <w:szCs w:val="14"/>
                <w:color w:val="auto"/>
              </w:rPr>
              <w:t>Diluted</w:t>
            </w:r>
          </w:p>
        </w:tc>
        <w:tc>
          <w:tcPr>
            <w:tcW w:w="400" w:type="dxa"/>
            <w:vAlign w:val="bottom"/>
          </w:tcPr>
          <w:p>
            <w:pPr>
              <w:jc w:val="right"/>
              <w:ind w:right="23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(0.12)</w:t>
            </w:r>
          </w:p>
        </w:tc>
        <w:tc>
          <w:tcPr>
            <w:tcW w:w="720" w:type="dxa"/>
            <w:vAlign w:val="bottom"/>
          </w:tcPr>
          <w:p>
            <w:pPr>
              <w:jc w:val="right"/>
              <w:ind w:right="47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(0.19)</w:t>
            </w:r>
          </w:p>
        </w:tc>
      </w:tr>
      <w:tr>
        <w:trPr>
          <w:trHeight w:val="24"/>
        </w:trPr>
        <w:tc>
          <w:tcPr>
            <w:tcW w:w="8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98" w:lineRule="exact"/>
        <w:rPr>
          <w:sz w:val="20"/>
          <w:szCs w:val="20"/>
          <w:color w:val="auto"/>
        </w:rPr>
      </w:pPr>
    </w:p>
    <w:p>
      <w:pPr>
        <w:ind w:right="140" w:firstLine="619"/>
        <w:spacing w:after="0" w:line="269" w:lineRule="auto"/>
        <w:rPr>
          <w:sz w:val="20"/>
          <w:szCs w:val="20"/>
          <w:color w:val="auto"/>
        </w:rPr>
      </w:pPr>
      <w:r>
        <w:rPr>
          <w:rFonts w:ascii="Arial" w:cs="Arial" w:eastAsia="Arial" w:hAnsi="Arial"/>
          <w:sz w:val="15"/>
          <w:szCs w:val="15"/>
          <w:color w:val="auto"/>
        </w:rPr>
        <w:t>Equity awards representing shares of common stock outstanding that were excluded in the computation of diluted earnings per share because their effect would have been anti-dilutive,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180" w:type="dxa"/>
            <w:vAlign w:val="bottom"/>
          </w:tcPr>
          <w:p>
            <w:pPr>
              <w:spacing w:after="0"/>
              <w:rPr>
                <w:sz w:val="14"/>
                <w:szCs w:val="14"/>
                <w:color w:val="auto"/>
              </w:rPr>
            </w:pPr>
          </w:p>
        </w:tc>
        <w:tc>
          <w:tcPr>
            <w:tcW w:w="2300" w:type="dxa"/>
            <w:vAlign w:val="bottom"/>
          </w:tcPr>
          <w:p>
            <w:pPr>
              <w:jc w:val="right"/>
              <w:ind w:right="3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r>
      <w:tr>
        <w:trPr>
          <w:trHeight w:val="180"/>
        </w:trPr>
        <w:tc>
          <w:tcPr>
            <w:tcW w:w="8180" w:type="dxa"/>
            <w:vAlign w:val="bottom"/>
          </w:tcPr>
          <w:p>
            <w:pPr>
              <w:spacing w:after="0"/>
              <w:rPr>
                <w:sz w:val="15"/>
                <w:szCs w:val="15"/>
                <w:color w:val="auto"/>
              </w:rPr>
            </w:pPr>
          </w:p>
        </w:tc>
        <w:tc>
          <w:tcPr>
            <w:tcW w:w="2300" w:type="dxa"/>
            <w:vAlign w:val="bottom"/>
          </w:tcPr>
          <w:p>
            <w:pPr>
              <w:jc w:val="right"/>
              <w:ind w:right="311"/>
              <w:spacing w:after="0"/>
              <w:rPr>
                <w:sz w:val="20"/>
                <w:szCs w:val="20"/>
                <w:color w:val="auto"/>
              </w:rPr>
            </w:pPr>
            <w:r>
              <w:rPr>
                <w:rFonts w:ascii="Arial" w:cs="Arial" w:eastAsia="Arial" w:hAnsi="Arial"/>
                <w:sz w:val="14"/>
                <w:szCs w:val="14"/>
                <w:b w:val="1"/>
                <w:bCs w:val="1"/>
                <w:color w:val="auto"/>
              </w:rPr>
              <w:t>January 31,</w:t>
            </w:r>
          </w:p>
        </w:tc>
        <w:tc>
          <w:tcPr>
            <w:tcW w:w="76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8"/>
        </w:trPr>
        <w:tc>
          <w:tcPr>
            <w:tcW w:w="8180" w:type="dxa"/>
            <w:vAlign w:val="bottom"/>
          </w:tcPr>
          <w:p>
            <w:pPr>
              <w:spacing w:after="0"/>
              <w:rPr>
                <w:sz w:val="16"/>
                <w:szCs w:val="16"/>
                <w:color w:val="auto"/>
              </w:rPr>
            </w:pPr>
          </w:p>
        </w:tc>
        <w:tc>
          <w:tcPr>
            <w:tcW w:w="2300" w:type="dxa"/>
            <w:vAlign w:val="bottom"/>
          </w:tcPr>
          <w:p>
            <w:pPr>
              <w:jc w:val="right"/>
              <w:ind w:right="891"/>
              <w:spacing w:after="0"/>
              <w:rPr>
                <w:sz w:val="20"/>
                <w:szCs w:val="20"/>
                <w:color w:val="auto"/>
              </w:rPr>
            </w:pPr>
            <w:r>
              <w:rPr>
                <w:rFonts w:ascii="Arial" w:cs="Arial" w:eastAsia="Arial" w:hAnsi="Arial"/>
                <w:sz w:val="14"/>
                <w:szCs w:val="14"/>
                <w:b w:val="1"/>
                <w:bCs w:val="1"/>
                <w:color w:val="auto"/>
              </w:rPr>
              <w:t>2023</w:t>
            </w:r>
          </w:p>
        </w:tc>
        <w:tc>
          <w:tcPr>
            <w:tcW w:w="760" w:type="dxa"/>
            <w:vAlign w:val="bottom"/>
          </w:tcPr>
          <w:p>
            <w:pPr>
              <w:jc w:val="right"/>
              <w:ind w:right="51"/>
              <w:spacing w:after="0"/>
              <w:rPr>
                <w:sz w:val="20"/>
                <w:szCs w:val="20"/>
                <w:color w:val="auto"/>
              </w:rPr>
            </w:pPr>
            <w:r>
              <w:rPr>
                <w:rFonts w:ascii="Arial" w:cs="Arial" w:eastAsia="Arial" w:hAnsi="Arial"/>
                <w:sz w:val="14"/>
                <w:szCs w:val="14"/>
                <w:b w:val="1"/>
                <w:bCs w:val="1"/>
                <w:color w:val="auto"/>
              </w:rPr>
              <w:t>2022</w:t>
            </w:r>
          </w:p>
        </w:tc>
      </w:tr>
      <w:tr>
        <w:trPr>
          <w:trHeight w:val="24"/>
        </w:trPr>
        <w:tc>
          <w:tcPr>
            <w:tcW w:w="8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2"/>
        </w:trPr>
        <w:tc>
          <w:tcPr>
            <w:tcW w:w="8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Anti-dilutive stock options</w:t>
            </w:r>
          </w:p>
        </w:tc>
        <w:tc>
          <w:tcPr>
            <w:tcW w:w="2300" w:type="dxa"/>
            <w:vAlign w:val="bottom"/>
            <w:tcBorders>
              <w:bottom w:val="single" w:sz="8" w:color="DBDBDB"/>
            </w:tcBorders>
            <w:shd w:val="clear" w:color="auto" w:fill="DBDBDB"/>
          </w:tcPr>
          <w:p>
            <w:pPr>
              <w:jc w:val="right"/>
              <w:ind w:right="851"/>
              <w:spacing w:after="0"/>
              <w:rPr>
                <w:sz w:val="20"/>
                <w:szCs w:val="20"/>
                <w:color w:val="auto"/>
              </w:rPr>
            </w:pPr>
            <w:r>
              <w:rPr>
                <w:rFonts w:ascii="Arial" w:cs="Arial" w:eastAsia="Arial" w:hAnsi="Arial"/>
                <w:sz w:val="14"/>
                <w:szCs w:val="14"/>
                <w:color w:val="auto"/>
              </w:rPr>
              <w:t>547,187</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2,185,487</w:t>
            </w:r>
          </w:p>
        </w:tc>
      </w:tr>
      <w:tr>
        <w:trPr>
          <w:trHeight w:val="195"/>
        </w:trPr>
        <w:tc>
          <w:tcPr>
            <w:tcW w:w="8180" w:type="dxa"/>
            <w:vAlign w:val="bottom"/>
          </w:tcPr>
          <w:p>
            <w:pPr>
              <w:ind w:left="20"/>
              <w:spacing w:after="0"/>
              <w:rPr>
                <w:sz w:val="20"/>
                <w:szCs w:val="20"/>
                <w:color w:val="auto"/>
              </w:rPr>
            </w:pPr>
            <w:r>
              <w:rPr>
                <w:rFonts w:ascii="Arial" w:cs="Arial" w:eastAsia="Arial" w:hAnsi="Arial"/>
                <w:sz w:val="14"/>
                <w:szCs w:val="14"/>
                <w:color w:val="auto"/>
              </w:rPr>
              <w:t>Anti-dilutive RSUs</w:t>
            </w:r>
          </w:p>
        </w:tc>
        <w:tc>
          <w:tcPr>
            <w:tcW w:w="2300" w:type="dxa"/>
            <w:vAlign w:val="bottom"/>
          </w:tcPr>
          <w:p>
            <w:pPr>
              <w:jc w:val="right"/>
              <w:ind w:right="851"/>
              <w:spacing w:after="0"/>
              <w:rPr>
                <w:sz w:val="20"/>
                <w:szCs w:val="20"/>
                <w:color w:val="auto"/>
              </w:rPr>
            </w:pPr>
            <w:r>
              <w:rPr>
                <w:rFonts w:ascii="Arial" w:cs="Arial" w:eastAsia="Arial" w:hAnsi="Arial"/>
                <w:sz w:val="14"/>
                <w:szCs w:val="14"/>
                <w:color w:val="auto"/>
              </w:rPr>
              <w:t>287,780</w:t>
            </w:r>
          </w:p>
        </w:tc>
        <w:tc>
          <w:tcPr>
            <w:tcW w:w="760" w:type="dxa"/>
            <w:vAlign w:val="bottom"/>
          </w:tcPr>
          <w:p>
            <w:pPr>
              <w:jc w:val="right"/>
              <w:spacing w:after="0"/>
              <w:rPr>
                <w:sz w:val="20"/>
                <w:szCs w:val="20"/>
                <w:color w:val="auto"/>
              </w:rPr>
            </w:pPr>
            <w:r>
              <w:rPr>
                <w:rFonts w:ascii="Arial" w:cs="Arial" w:eastAsia="Arial" w:hAnsi="Arial"/>
                <w:sz w:val="14"/>
                <w:szCs w:val="14"/>
                <w:color w:val="auto"/>
              </w:rPr>
              <w:t>135,893</w:t>
            </w:r>
          </w:p>
        </w:tc>
      </w:tr>
      <w:tr>
        <w:trPr>
          <w:trHeight w:val="24"/>
        </w:trPr>
        <w:tc>
          <w:tcPr>
            <w:tcW w:w="8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1"/>
          <w:szCs w:val="21"/>
          <w:b w:val="1"/>
          <w:bCs w:val="1"/>
          <w:color w:val="auto"/>
        </w:rPr>
        <w:t>MISSION PRODUCE,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0" w:hanging="517"/>
        <w:spacing w:after="0"/>
        <w:tabs>
          <w:tab w:leader="none" w:pos="52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Related Party Transactions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Transactions with related parties included in the condensed consolidated financial statements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560" w:type="dxa"/>
            <w:vAlign w:val="bottom"/>
            <w:gridSpan w:val="4"/>
          </w:tcPr>
          <w:p>
            <w:pPr>
              <w:spacing w:after="0"/>
              <w:rPr>
                <w:sz w:val="20"/>
                <w:szCs w:val="20"/>
                <w:color w:val="auto"/>
              </w:rPr>
            </w:pPr>
            <w:r>
              <w:rPr>
                <w:rFonts w:ascii="Arial" w:cs="Arial" w:eastAsia="Arial" w:hAnsi="Arial"/>
                <w:sz w:val="12"/>
                <w:szCs w:val="12"/>
                <w:b w:val="1"/>
                <w:bCs w:val="1"/>
                <w:color w:val="auto"/>
              </w:rPr>
              <w:t>Condensed Consolidated Balance Sheets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8"/>
        </w:trPr>
        <w:tc>
          <w:tcPr>
            <w:tcW w:w="2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r>
      <w:tr>
        <w:trPr>
          <w:trHeight w:val="158"/>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40" w:type="dxa"/>
            <w:vAlign w:val="bottom"/>
            <w:gridSpan w:val="3"/>
          </w:tcPr>
          <w:p>
            <w:pPr>
              <w:jc w:val="right"/>
              <w:ind w:right="920"/>
              <w:spacing w:after="0"/>
              <w:rPr>
                <w:sz w:val="20"/>
                <w:szCs w:val="20"/>
                <w:color w:val="auto"/>
              </w:rPr>
            </w:pPr>
            <w:r>
              <w:rPr>
                <w:rFonts w:ascii="Arial" w:cs="Arial" w:eastAsia="Arial" w:hAnsi="Arial"/>
                <w:sz w:val="12"/>
                <w:szCs w:val="12"/>
                <w:b w:val="1"/>
                <w:bCs w:val="1"/>
                <w:color w:val="auto"/>
              </w:rPr>
              <w:t>January 31, 2023</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3"/>
          </w:tcPr>
          <w:p>
            <w:pPr>
              <w:jc w:val="right"/>
              <w:ind w:right="880"/>
              <w:spacing w:after="0"/>
              <w:rPr>
                <w:sz w:val="20"/>
                <w:szCs w:val="20"/>
                <w:color w:val="auto"/>
              </w:rPr>
            </w:pPr>
            <w:r>
              <w:rPr>
                <w:rFonts w:ascii="Arial" w:cs="Arial" w:eastAsia="Arial" w:hAnsi="Arial"/>
                <w:sz w:val="12"/>
                <w:szCs w:val="12"/>
                <w:b w:val="1"/>
                <w:bCs w:val="1"/>
                <w:color w:val="auto"/>
              </w:rPr>
              <w:t>October 31, 2022</w:t>
            </w:r>
          </w:p>
        </w:tc>
      </w:tr>
      <w:tr>
        <w:trPr>
          <w:trHeight w:val="28"/>
        </w:trPr>
        <w:tc>
          <w:tcPr>
            <w:tcW w:w="2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41"/>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Property, plant and</w:t>
            </w:r>
          </w:p>
        </w:tc>
        <w:tc>
          <w:tcPr>
            <w:tcW w:w="1460" w:type="dxa"/>
            <w:vAlign w:val="bottom"/>
            <w:gridSpan w:val="2"/>
          </w:tcPr>
          <w:p>
            <w:pPr>
              <w:jc w:val="right"/>
              <w:spacing w:after="0"/>
              <w:rPr>
                <w:sz w:val="20"/>
                <w:szCs w:val="20"/>
                <w:color w:val="auto"/>
              </w:rPr>
            </w:pPr>
            <w:r>
              <w:rPr>
                <w:rFonts w:ascii="Arial" w:cs="Arial" w:eastAsia="Arial" w:hAnsi="Arial"/>
                <w:sz w:val="12"/>
                <w:szCs w:val="12"/>
                <w:b w:val="1"/>
                <w:bCs w:val="1"/>
                <w:color w:val="auto"/>
              </w:rPr>
              <w:t>Accounts payable &amp;</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Finance lease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w w:val="97"/>
              </w:rPr>
              <w:t>Accounts payable &amp;</w:t>
            </w:r>
          </w:p>
        </w:tc>
      </w:tr>
      <w:tr>
        <w:trPr>
          <w:trHeight w:val="159"/>
        </w:trPr>
        <w:tc>
          <w:tcPr>
            <w:tcW w:w="224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3"/>
                <w:szCs w:val="13"/>
                <w:color w:val="auto"/>
              </w:rPr>
            </w:pPr>
          </w:p>
        </w:tc>
        <w:tc>
          <w:tcPr>
            <w:tcW w:w="1220" w:type="dxa"/>
            <w:vAlign w:val="bottom"/>
            <w:gridSpan w:val="2"/>
          </w:tcPr>
          <w:p>
            <w:pPr>
              <w:jc w:val="right"/>
              <w:spacing w:after="0"/>
              <w:rPr>
                <w:sz w:val="20"/>
                <w:szCs w:val="20"/>
                <w:color w:val="auto"/>
              </w:rPr>
            </w:pPr>
            <w:r>
              <w:rPr>
                <w:rFonts w:ascii="Arial" w:cs="Arial" w:eastAsia="Arial" w:hAnsi="Arial"/>
                <w:sz w:val="12"/>
                <w:szCs w:val="12"/>
                <w:b w:val="1"/>
                <w:bCs w:val="1"/>
                <w:color w:val="auto"/>
              </w:rPr>
              <w:t>Accounts receivable</w:t>
            </w:r>
          </w:p>
        </w:tc>
        <w:tc>
          <w:tcPr>
            <w:tcW w:w="60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b w:val="1"/>
                <w:bCs w:val="1"/>
                <w:color w:val="auto"/>
              </w:rPr>
              <w:t>equipment, net</w:t>
            </w:r>
          </w:p>
        </w:tc>
        <w:tc>
          <w:tcPr>
            <w:tcW w:w="380" w:type="dxa"/>
            <w:vAlign w:val="bottom"/>
          </w:tcPr>
          <w:p>
            <w:pPr>
              <w:spacing w:after="0"/>
              <w:rPr>
                <w:sz w:val="13"/>
                <w:szCs w:val="13"/>
                <w:color w:val="auto"/>
              </w:rPr>
            </w:pPr>
          </w:p>
        </w:tc>
        <w:tc>
          <w:tcPr>
            <w:tcW w:w="1080" w:type="dxa"/>
            <w:vAlign w:val="bottom"/>
          </w:tcPr>
          <w:p>
            <w:pPr>
              <w:spacing w:after="0"/>
              <w:rPr>
                <w:sz w:val="20"/>
                <w:szCs w:val="20"/>
                <w:color w:val="auto"/>
              </w:rPr>
            </w:pPr>
            <w:r>
              <w:rPr>
                <w:rFonts w:ascii="Arial" w:cs="Arial" w:eastAsia="Arial" w:hAnsi="Arial"/>
                <w:sz w:val="12"/>
                <w:szCs w:val="12"/>
                <w:b w:val="1"/>
                <w:bCs w:val="1"/>
                <w:color w:val="auto"/>
              </w:rPr>
              <w:t>accrued expenses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liabilities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Accounts receivable</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accrued expenses</w:t>
            </w:r>
          </w:p>
        </w:tc>
      </w:tr>
      <w:tr>
        <w:trPr>
          <w:trHeight w:val="28"/>
        </w:trPr>
        <w:tc>
          <w:tcPr>
            <w:tcW w:w="2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6"/>
        </w:trPr>
        <w:tc>
          <w:tcPr>
            <w:tcW w:w="2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140" w:type="dxa"/>
            <w:vAlign w:val="bottom"/>
            <w:tcBorders>
              <w:bottom w:val="single" w:sz="8" w:color="DBDBDB"/>
            </w:tcBorders>
            <w:shd w:val="clear" w:color="auto" w:fill="DBDBDB"/>
          </w:tcPr>
          <w:p>
            <w:pPr>
              <w:spacing w:after="0"/>
              <w:rPr>
                <w:sz w:val="14"/>
                <w:szCs w:val="14"/>
                <w:color w:val="auto"/>
              </w:rPr>
            </w:pPr>
          </w:p>
        </w:tc>
        <w:tc>
          <w:tcPr>
            <w:tcW w:w="540" w:type="dxa"/>
            <w:vAlign w:val="bottom"/>
            <w:tcBorders>
              <w:bottom w:val="single" w:sz="8" w:color="DBDBDB"/>
            </w:tcBorders>
            <w:shd w:val="clear" w:color="auto" w:fill="DBDBDB"/>
          </w:tcPr>
          <w:p>
            <w:pPr>
              <w:spacing w:after="0"/>
              <w:rPr>
                <w:sz w:val="14"/>
                <w:szCs w:val="14"/>
                <w:color w:val="auto"/>
              </w:rPr>
            </w:pPr>
          </w:p>
        </w:tc>
        <w:tc>
          <w:tcPr>
            <w:tcW w:w="680" w:type="dxa"/>
            <w:vAlign w:val="bottom"/>
            <w:tcBorders>
              <w:bottom w:val="single" w:sz="8" w:color="DBDBDB"/>
            </w:tcBorders>
            <w:shd w:val="clear" w:color="auto" w:fill="DBDBDB"/>
          </w:tcPr>
          <w:p>
            <w:pPr>
              <w:spacing w:after="0"/>
              <w:rPr>
                <w:sz w:val="14"/>
                <w:szCs w:val="14"/>
                <w:color w:val="auto"/>
              </w:rPr>
            </w:pPr>
          </w:p>
        </w:tc>
        <w:tc>
          <w:tcPr>
            <w:tcW w:w="600" w:type="dxa"/>
            <w:vAlign w:val="bottom"/>
            <w:tcBorders>
              <w:bottom w:val="single" w:sz="8" w:color="DBDBDB"/>
            </w:tcBorders>
            <w:shd w:val="clear" w:color="auto" w:fill="DBDBDB"/>
          </w:tcPr>
          <w:p>
            <w:pPr>
              <w:spacing w:after="0"/>
              <w:rPr>
                <w:sz w:val="14"/>
                <w:szCs w:val="14"/>
                <w:color w:val="auto"/>
              </w:rPr>
            </w:pPr>
          </w:p>
        </w:tc>
        <w:tc>
          <w:tcPr>
            <w:tcW w:w="980" w:type="dxa"/>
            <w:vAlign w:val="bottom"/>
            <w:tcBorders>
              <w:bottom w:val="single" w:sz="8" w:color="DBDBDB"/>
            </w:tcBorders>
            <w:shd w:val="clear" w:color="auto" w:fill="DBDBDB"/>
          </w:tcPr>
          <w:p>
            <w:pPr>
              <w:spacing w:after="0"/>
              <w:rPr>
                <w:sz w:val="14"/>
                <w:szCs w:val="14"/>
                <w:color w:val="auto"/>
              </w:rPr>
            </w:pPr>
          </w:p>
        </w:tc>
        <w:tc>
          <w:tcPr>
            <w:tcW w:w="380" w:type="dxa"/>
            <w:vAlign w:val="bottom"/>
            <w:tcBorders>
              <w:bottom w:val="single" w:sz="8" w:color="DBDBDB"/>
            </w:tcBorders>
            <w:shd w:val="clear" w:color="auto" w:fill="DBDBDB"/>
          </w:tcPr>
          <w:p>
            <w:pPr>
              <w:spacing w:after="0"/>
              <w:rPr>
                <w:sz w:val="14"/>
                <w:szCs w:val="14"/>
                <w:color w:val="auto"/>
              </w:rPr>
            </w:pPr>
          </w:p>
        </w:tc>
        <w:tc>
          <w:tcPr>
            <w:tcW w:w="1080" w:type="dxa"/>
            <w:vAlign w:val="bottom"/>
            <w:tcBorders>
              <w:bottom w:val="single" w:sz="8" w:color="DBDBDB"/>
            </w:tcBorders>
            <w:shd w:val="clear" w:color="auto" w:fill="DBDBDB"/>
          </w:tcPr>
          <w:p>
            <w:pPr>
              <w:spacing w:after="0"/>
              <w:rPr>
                <w:sz w:val="14"/>
                <w:szCs w:val="14"/>
                <w:color w:val="auto"/>
              </w:rPr>
            </w:pPr>
          </w:p>
        </w:tc>
        <w:tc>
          <w:tcPr>
            <w:tcW w:w="24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200" w:type="dxa"/>
            <w:vAlign w:val="bottom"/>
            <w:tcBorders>
              <w:bottom w:val="single" w:sz="8" w:color="DBDBDB"/>
            </w:tcBorders>
            <w:shd w:val="clear" w:color="auto" w:fill="DBDBDB"/>
          </w:tcPr>
          <w:p>
            <w:pPr>
              <w:spacing w:after="0"/>
              <w:rPr>
                <w:sz w:val="14"/>
                <w:szCs w:val="14"/>
                <w:color w:val="auto"/>
              </w:rPr>
            </w:pPr>
          </w:p>
        </w:tc>
        <w:tc>
          <w:tcPr>
            <w:tcW w:w="1160" w:type="dxa"/>
            <w:vAlign w:val="bottom"/>
            <w:tcBorders>
              <w:bottom w:val="single" w:sz="8" w:color="DBDBDB"/>
            </w:tcBorders>
            <w:shd w:val="clear" w:color="auto" w:fill="DBDBDB"/>
          </w:tcPr>
          <w:p>
            <w:pPr>
              <w:spacing w:after="0"/>
              <w:rPr>
                <w:sz w:val="14"/>
                <w:szCs w:val="14"/>
                <w:color w:val="auto"/>
              </w:rPr>
            </w:pPr>
          </w:p>
        </w:tc>
        <w:tc>
          <w:tcPr>
            <w:tcW w:w="220" w:type="dxa"/>
            <w:vAlign w:val="bottom"/>
            <w:tcBorders>
              <w:bottom w:val="single" w:sz="8" w:color="DBDBDB"/>
            </w:tcBorders>
            <w:shd w:val="clear" w:color="auto" w:fill="DBDBDB"/>
          </w:tcPr>
          <w:p>
            <w:pPr>
              <w:spacing w:after="0"/>
              <w:rPr>
                <w:sz w:val="14"/>
                <w:szCs w:val="14"/>
                <w:color w:val="auto"/>
              </w:rPr>
            </w:pPr>
          </w:p>
        </w:tc>
        <w:tc>
          <w:tcPr>
            <w:tcW w:w="1160" w:type="dxa"/>
            <w:vAlign w:val="bottom"/>
            <w:tcBorders>
              <w:bottom w:val="single" w:sz="8" w:color="DBDBDB"/>
            </w:tcBorders>
            <w:shd w:val="clear" w:color="auto" w:fill="DBDBDB"/>
          </w:tcPr>
          <w:p>
            <w:pPr>
              <w:spacing w:after="0"/>
              <w:rPr>
                <w:sz w:val="14"/>
                <w:szCs w:val="14"/>
                <w:color w:val="auto"/>
              </w:rPr>
            </w:pPr>
          </w:p>
        </w:tc>
      </w:tr>
      <w:tr>
        <w:trPr>
          <w:trHeight w:val="165"/>
        </w:trPr>
        <w:tc>
          <w:tcPr>
            <w:tcW w:w="2240" w:type="dxa"/>
            <w:vAlign w:val="bottom"/>
          </w:tcPr>
          <w:p>
            <w:pPr>
              <w:ind w:left="120"/>
              <w:spacing w:after="0"/>
              <w:rPr>
                <w:sz w:val="20"/>
                <w:szCs w:val="20"/>
                <w:color w:val="auto"/>
              </w:rPr>
            </w:pPr>
            <w:r>
              <w:rPr>
                <w:rFonts w:ascii="Arial" w:cs="Arial" w:eastAsia="Arial" w:hAnsi="Arial"/>
                <w:sz w:val="12"/>
                <w:szCs w:val="12"/>
                <w:color w:val="auto"/>
              </w:rPr>
              <w:t>Mr. Avocado</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spacing w:after="0"/>
              <w:rPr>
                <w:sz w:val="20"/>
                <w:szCs w:val="20"/>
                <w:color w:val="auto"/>
              </w:rPr>
            </w:pPr>
            <w:r>
              <w:rPr>
                <w:rFonts w:ascii="Arial" w:cs="Arial" w:eastAsia="Arial" w:hAnsi="Arial"/>
                <w:sz w:val="12"/>
                <w:szCs w:val="12"/>
                <w:color w:val="auto"/>
              </w:rPr>
              <w:t>0.4</w:t>
            </w:r>
          </w:p>
        </w:tc>
        <w:tc>
          <w:tcPr>
            <w:tcW w:w="60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160" w:type="dxa"/>
            <w:vAlign w:val="bottom"/>
          </w:tcPr>
          <w:p>
            <w:pPr>
              <w:jc w:val="right"/>
              <w:ind w:right="120"/>
              <w:spacing w:after="0"/>
              <w:rPr>
                <w:sz w:val="20"/>
                <w:szCs w:val="20"/>
                <w:color w:val="auto"/>
              </w:rPr>
            </w:pPr>
            <w:r>
              <w:rPr>
                <w:rFonts w:ascii="Arial" w:cs="Arial" w:eastAsia="Arial" w:hAnsi="Arial"/>
                <w:sz w:val="12"/>
                <w:szCs w:val="12"/>
                <w:color w:val="auto"/>
              </w:rPr>
              <w:t>1.5</w:t>
            </w:r>
          </w:p>
        </w:tc>
        <w:tc>
          <w:tcPr>
            <w:tcW w:w="2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8"/>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73"/>
        </w:trPr>
        <w:tc>
          <w:tcPr>
            <w:tcW w:w="2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Other:</w:t>
            </w:r>
          </w:p>
        </w:tc>
        <w:tc>
          <w:tcPr>
            <w:tcW w:w="14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spacing w:after="0"/>
              <w:rPr>
                <w:sz w:val="15"/>
                <w:szCs w:val="15"/>
                <w:color w:val="auto"/>
              </w:rPr>
            </w:pPr>
          </w:p>
        </w:tc>
        <w:tc>
          <w:tcPr>
            <w:tcW w:w="60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spacing w:after="0"/>
              <w:rPr>
                <w:sz w:val="15"/>
                <w:szCs w:val="15"/>
                <w:color w:val="auto"/>
              </w:rPr>
            </w:pPr>
          </w:p>
        </w:tc>
        <w:tc>
          <w:tcPr>
            <w:tcW w:w="24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spacing w:after="0"/>
              <w:rPr>
                <w:sz w:val="15"/>
                <w:szCs w:val="15"/>
                <w:color w:val="auto"/>
              </w:rPr>
            </w:pPr>
          </w:p>
        </w:tc>
      </w:tr>
      <w:tr>
        <w:trPr>
          <w:trHeight w:val="193"/>
        </w:trPr>
        <w:tc>
          <w:tcPr>
            <w:tcW w:w="2240" w:type="dxa"/>
            <w:vAlign w:val="bottom"/>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(1)</w:t>
            </w:r>
          </w:p>
        </w:tc>
        <w:tc>
          <w:tcPr>
            <w:tcW w:w="1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2"/>
                <w:szCs w:val="12"/>
                <w:color w:val="auto"/>
              </w:rPr>
              <w:t>0.1</w:t>
            </w:r>
          </w:p>
        </w:tc>
        <w:tc>
          <w:tcPr>
            <w:tcW w:w="60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15.4</w:t>
            </w:r>
          </w:p>
        </w:tc>
        <w:tc>
          <w:tcPr>
            <w:tcW w:w="380" w:type="dxa"/>
            <w:vAlign w:val="bottom"/>
          </w:tcPr>
          <w:p>
            <w:pPr>
              <w:spacing w:after="0"/>
              <w:rPr>
                <w:sz w:val="16"/>
                <w:szCs w:val="16"/>
                <w:color w:val="auto"/>
              </w:rPr>
            </w:pPr>
          </w:p>
        </w:tc>
        <w:tc>
          <w:tcPr>
            <w:tcW w:w="1080" w:type="dxa"/>
            <w:vAlign w:val="bottom"/>
          </w:tcPr>
          <w:p>
            <w:pPr>
              <w:jc w:val="right"/>
              <w:ind w:right="20"/>
              <w:spacing w:after="0"/>
              <w:rPr>
                <w:sz w:val="20"/>
                <w:szCs w:val="20"/>
                <w:color w:val="auto"/>
              </w:rPr>
            </w:pPr>
            <w:r>
              <w:rPr>
                <w:rFonts w:ascii="Arial" w:cs="Arial" w:eastAsia="Arial" w:hAnsi="Arial"/>
                <w:sz w:val="12"/>
                <w:szCs w:val="12"/>
                <w:color w:val="auto"/>
              </w:rPr>
              <w:t>1.1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Arial" w:cs="Arial" w:eastAsia="Arial" w:hAnsi="Arial"/>
                <w:sz w:val="12"/>
                <w:szCs w:val="12"/>
                <w:color w:val="auto"/>
              </w:rPr>
              <w:t>0.1</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93"/>
        </w:trPr>
        <w:tc>
          <w:tcPr>
            <w:tcW w:w="2240" w:type="dxa"/>
            <w:vAlign w:val="bottom"/>
            <w:shd w:val="clear" w:color="auto" w:fill="DBDBDB"/>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(2)</w:t>
            </w:r>
          </w:p>
        </w:tc>
        <w:tc>
          <w:tcPr>
            <w:tcW w:w="140" w:type="dxa"/>
            <w:vAlign w:val="bottom"/>
            <w:shd w:val="clear" w:color="auto" w:fill="DBDBDB"/>
          </w:tcPr>
          <w:p>
            <w:pPr>
              <w:spacing w:after="0"/>
              <w:rPr>
                <w:sz w:val="16"/>
                <w:szCs w:val="16"/>
                <w:color w:val="auto"/>
              </w:rPr>
            </w:pPr>
          </w:p>
        </w:tc>
        <w:tc>
          <w:tcPr>
            <w:tcW w:w="540" w:type="dxa"/>
            <w:vAlign w:val="bottom"/>
            <w:shd w:val="clear" w:color="auto" w:fill="DBDBDB"/>
          </w:tcPr>
          <w:p>
            <w:pPr>
              <w:spacing w:after="0"/>
              <w:rPr>
                <w:sz w:val="16"/>
                <w:szCs w:val="16"/>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shd w:val="clear" w:color="auto" w:fill="DBDBDB"/>
          </w:tcPr>
          <w:p>
            <w:pPr>
              <w:spacing w:after="0"/>
              <w:rPr>
                <w:sz w:val="16"/>
                <w:szCs w:val="16"/>
                <w:color w:val="auto"/>
              </w:rPr>
            </w:pPr>
          </w:p>
        </w:tc>
        <w:tc>
          <w:tcPr>
            <w:tcW w:w="108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rPr>
              <w:t>0.6</w:t>
            </w:r>
          </w:p>
        </w:tc>
        <w:tc>
          <w:tcPr>
            <w:tcW w:w="2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2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116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0.4</w:t>
            </w:r>
          </w:p>
        </w:tc>
      </w:tr>
      <w:tr>
        <w:trPr>
          <w:trHeight w:val="358"/>
        </w:trPr>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6"/>
          </w:tcPr>
          <w:p>
            <w:pPr>
              <w:ind w:left="240"/>
              <w:spacing w:after="0"/>
              <w:rPr>
                <w:sz w:val="20"/>
                <w:szCs w:val="20"/>
                <w:color w:val="auto"/>
              </w:rPr>
            </w:pPr>
            <w:r>
              <w:rPr>
                <w:rFonts w:ascii="Arial" w:cs="Arial" w:eastAsia="Arial" w:hAnsi="Arial"/>
                <w:sz w:val="12"/>
                <w:szCs w:val="12"/>
                <w:b w:val="1"/>
                <w:bCs w:val="1"/>
                <w:color w:val="auto"/>
              </w:rPr>
              <w:t>Condensed Consolidated Statements of Loss</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41"/>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Three Months Ended</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ind w:left="100"/>
              <w:spacing w:after="0"/>
              <w:rPr>
                <w:sz w:val="20"/>
                <w:szCs w:val="20"/>
                <w:color w:val="auto"/>
              </w:rPr>
            </w:pPr>
            <w:r>
              <w:rPr>
                <w:rFonts w:ascii="Arial" w:cs="Arial" w:eastAsia="Arial" w:hAnsi="Arial"/>
                <w:sz w:val="12"/>
                <w:szCs w:val="12"/>
                <w:b w:val="1"/>
                <w:bCs w:val="1"/>
                <w:color w:val="auto"/>
              </w:rPr>
              <w:t>Three Months Ended</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9"/>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January 31, 2023</w:t>
            </w: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Arial" w:cs="Arial" w:eastAsia="Arial" w:hAnsi="Arial"/>
                <w:sz w:val="12"/>
                <w:szCs w:val="12"/>
                <w:b w:val="1"/>
                <w:bCs w:val="1"/>
                <w:color w:val="auto"/>
              </w:rPr>
              <w:t>January 31, 2022</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8"/>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41"/>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Other income</w:t>
            </w:r>
          </w:p>
        </w:tc>
      </w:tr>
      <w:tr>
        <w:trPr>
          <w:trHeight w:val="159"/>
        </w:trPr>
        <w:tc>
          <w:tcPr>
            <w:tcW w:w="224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Net sales</w:t>
            </w:r>
          </w:p>
        </w:tc>
        <w:tc>
          <w:tcPr>
            <w:tcW w:w="1360" w:type="dxa"/>
            <w:vAlign w:val="bottom"/>
            <w:gridSpan w:val="2"/>
          </w:tcPr>
          <w:p>
            <w:pPr>
              <w:jc w:val="right"/>
              <w:spacing w:after="0"/>
              <w:rPr>
                <w:sz w:val="20"/>
                <w:szCs w:val="20"/>
                <w:color w:val="auto"/>
              </w:rPr>
            </w:pPr>
            <w:r>
              <w:rPr>
                <w:rFonts w:ascii="Arial" w:cs="Arial" w:eastAsia="Arial" w:hAnsi="Arial"/>
                <w:sz w:val="12"/>
                <w:szCs w:val="12"/>
                <w:b w:val="1"/>
                <w:bCs w:val="1"/>
                <w:color w:val="auto"/>
              </w:rPr>
              <w:t>Cost of sales</w:t>
            </w:r>
          </w:p>
        </w:tc>
        <w:tc>
          <w:tcPr>
            <w:tcW w:w="1620" w:type="dxa"/>
            <w:vAlign w:val="bottom"/>
            <w:gridSpan w:val="3"/>
          </w:tcPr>
          <w:p>
            <w:pPr>
              <w:ind w:left="360"/>
              <w:spacing w:after="0"/>
              <w:rPr>
                <w:sz w:val="20"/>
                <w:szCs w:val="20"/>
                <w:color w:val="auto"/>
              </w:rPr>
            </w:pPr>
            <w:r>
              <w:rPr>
                <w:rFonts w:ascii="Arial" w:cs="Arial" w:eastAsia="Arial" w:hAnsi="Arial"/>
                <w:sz w:val="12"/>
                <w:szCs w:val="12"/>
                <w:b w:val="1"/>
                <w:bCs w:val="1"/>
                <w:color w:val="auto"/>
              </w:rPr>
              <w:t>Interest expense</w:t>
            </w:r>
          </w:p>
        </w:tc>
        <w:tc>
          <w:tcPr>
            <w:tcW w:w="132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Net sales</w:t>
            </w: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Cost of sales</w:t>
            </w: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2"/>
                <w:szCs w:val="12"/>
                <w:b w:val="1"/>
                <w:bCs w:val="1"/>
                <w:color w:val="auto"/>
              </w:rPr>
              <w:t>(expense)</w:t>
            </w:r>
          </w:p>
        </w:tc>
      </w:tr>
      <w:tr>
        <w:trPr>
          <w:trHeight w:val="28"/>
        </w:trPr>
        <w:tc>
          <w:tcPr>
            <w:tcW w:w="2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6"/>
        </w:trPr>
        <w:tc>
          <w:tcPr>
            <w:tcW w:w="2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Equity method investees:</w:t>
            </w:r>
          </w:p>
        </w:tc>
        <w:tc>
          <w:tcPr>
            <w:tcW w:w="140" w:type="dxa"/>
            <w:vAlign w:val="bottom"/>
            <w:tcBorders>
              <w:bottom w:val="single" w:sz="8" w:color="DBDBDB"/>
            </w:tcBorders>
            <w:shd w:val="clear" w:color="auto" w:fill="DBDBDB"/>
          </w:tcPr>
          <w:p>
            <w:pPr>
              <w:spacing w:after="0"/>
              <w:rPr>
                <w:sz w:val="14"/>
                <w:szCs w:val="14"/>
                <w:color w:val="auto"/>
              </w:rPr>
            </w:pPr>
          </w:p>
        </w:tc>
        <w:tc>
          <w:tcPr>
            <w:tcW w:w="540" w:type="dxa"/>
            <w:vAlign w:val="bottom"/>
            <w:tcBorders>
              <w:bottom w:val="single" w:sz="8" w:color="DBDBDB"/>
            </w:tcBorders>
            <w:shd w:val="clear" w:color="auto" w:fill="DBDBDB"/>
          </w:tcPr>
          <w:p>
            <w:pPr>
              <w:spacing w:after="0"/>
              <w:rPr>
                <w:sz w:val="14"/>
                <w:szCs w:val="14"/>
                <w:color w:val="auto"/>
              </w:rPr>
            </w:pPr>
          </w:p>
        </w:tc>
        <w:tc>
          <w:tcPr>
            <w:tcW w:w="680" w:type="dxa"/>
            <w:vAlign w:val="bottom"/>
            <w:tcBorders>
              <w:bottom w:val="single" w:sz="8" w:color="DBDBDB"/>
            </w:tcBorders>
            <w:shd w:val="clear" w:color="auto" w:fill="DBDBDB"/>
          </w:tcPr>
          <w:p>
            <w:pPr>
              <w:spacing w:after="0"/>
              <w:rPr>
                <w:sz w:val="14"/>
                <w:szCs w:val="14"/>
                <w:color w:val="auto"/>
              </w:rPr>
            </w:pPr>
          </w:p>
        </w:tc>
        <w:tc>
          <w:tcPr>
            <w:tcW w:w="600" w:type="dxa"/>
            <w:vAlign w:val="bottom"/>
            <w:tcBorders>
              <w:bottom w:val="single" w:sz="8" w:color="DBDBDB"/>
            </w:tcBorders>
            <w:shd w:val="clear" w:color="auto" w:fill="DBDBDB"/>
          </w:tcPr>
          <w:p>
            <w:pPr>
              <w:spacing w:after="0"/>
              <w:rPr>
                <w:sz w:val="14"/>
                <w:szCs w:val="14"/>
                <w:color w:val="auto"/>
              </w:rPr>
            </w:pPr>
          </w:p>
        </w:tc>
        <w:tc>
          <w:tcPr>
            <w:tcW w:w="980" w:type="dxa"/>
            <w:vAlign w:val="bottom"/>
            <w:tcBorders>
              <w:bottom w:val="single" w:sz="8" w:color="DBDBDB"/>
            </w:tcBorders>
            <w:shd w:val="clear" w:color="auto" w:fill="DBDBDB"/>
          </w:tcPr>
          <w:p>
            <w:pPr>
              <w:spacing w:after="0"/>
              <w:rPr>
                <w:sz w:val="14"/>
                <w:szCs w:val="14"/>
                <w:color w:val="auto"/>
              </w:rPr>
            </w:pPr>
          </w:p>
        </w:tc>
        <w:tc>
          <w:tcPr>
            <w:tcW w:w="380" w:type="dxa"/>
            <w:vAlign w:val="bottom"/>
            <w:tcBorders>
              <w:bottom w:val="single" w:sz="8" w:color="DBDBDB"/>
            </w:tcBorders>
            <w:shd w:val="clear" w:color="auto" w:fill="DBDBDB"/>
          </w:tcPr>
          <w:p>
            <w:pPr>
              <w:spacing w:after="0"/>
              <w:rPr>
                <w:sz w:val="14"/>
                <w:szCs w:val="14"/>
                <w:color w:val="auto"/>
              </w:rPr>
            </w:pPr>
          </w:p>
        </w:tc>
        <w:tc>
          <w:tcPr>
            <w:tcW w:w="1080" w:type="dxa"/>
            <w:vAlign w:val="bottom"/>
            <w:tcBorders>
              <w:bottom w:val="single" w:sz="8" w:color="DBDBDB"/>
            </w:tcBorders>
            <w:shd w:val="clear" w:color="auto" w:fill="DBDBDB"/>
          </w:tcPr>
          <w:p>
            <w:pPr>
              <w:spacing w:after="0"/>
              <w:rPr>
                <w:sz w:val="14"/>
                <w:szCs w:val="14"/>
                <w:color w:val="auto"/>
              </w:rPr>
            </w:pPr>
          </w:p>
        </w:tc>
        <w:tc>
          <w:tcPr>
            <w:tcW w:w="24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DBDBDB"/>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200" w:type="dxa"/>
            <w:vAlign w:val="bottom"/>
            <w:tcBorders>
              <w:bottom w:val="single" w:sz="8" w:color="DBDBDB"/>
            </w:tcBorders>
            <w:shd w:val="clear" w:color="auto" w:fill="DBDBDB"/>
          </w:tcPr>
          <w:p>
            <w:pPr>
              <w:spacing w:after="0"/>
              <w:rPr>
                <w:sz w:val="14"/>
                <w:szCs w:val="14"/>
                <w:color w:val="auto"/>
              </w:rPr>
            </w:pPr>
          </w:p>
        </w:tc>
        <w:tc>
          <w:tcPr>
            <w:tcW w:w="1160" w:type="dxa"/>
            <w:vAlign w:val="bottom"/>
            <w:tcBorders>
              <w:bottom w:val="single" w:sz="8" w:color="DBDBDB"/>
            </w:tcBorders>
            <w:shd w:val="clear" w:color="auto" w:fill="DBDBDB"/>
          </w:tcPr>
          <w:p>
            <w:pPr>
              <w:spacing w:after="0"/>
              <w:rPr>
                <w:sz w:val="14"/>
                <w:szCs w:val="14"/>
                <w:color w:val="auto"/>
              </w:rPr>
            </w:pPr>
          </w:p>
        </w:tc>
        <w:tc>
          <w:tcPr>
            <w:tcW w:w="220" w:type="dxa"/>
            <w:vAlign w:val="bottom"/>
            <w:tcBorders>
              <w:bottom w:val="single" w:sz="8" w:color="DBDBDB"/>
            </w:tcBorders>
            <w:shd w:val="clear" w:color="auto" w:fill="DBDBDB"/>
          </w:tcPr>
          <w:p>
            <w:pPr>
              <w:spacing w:after="0"/>
              <w:rPr>
                <w:sz w:val="14"/>
                <w:szCs w:val="14"/>
                <w:color w:val="auto"/>
              </w:rPr>
            </w:pPr>
          </w:p>
        </w:tc>
        <w:tc>
          <w:tcPr>
            <w:tcW w:w="1160" w:type="dxa"/>
            <w:vAlign w:val="bottom"/>
            <w:tcBorders>
              <w:bottom w:val="single" w:sz="8" w:color="DBDBDB"/>
            </w:tcBorders>
            <w:shd w:val="clear" w:color="auto" w:fill="DBDBDB"/>
          </w:tcPr>
          <w:p>
            <w:pPr>
              <w:spacing w:after="0"/>
              <w:rPr>
                <w:sz w:val="14"/>
                <w:szCs w:val="14"/>
                <w:color w:val="auto"/>
              </w:rPr>
            </w:pPr>
          </w:p>
        </w:tc>
      </w:tr>
      <w:tr>
        <w:trPr>
          <w:trHeight w:val="165"/>
        </w:trPr>
        <w:tc>
          <w:tcPr>
            <w:tcW w:w="2240" w:type="dxa"/>
            <w:vAlign w:val="bottom"/>
          </w:tcPr>
          <w:p>
            <w:pPr>
              <w:ind w:left="120"/>
              <w:spacing w:after="0"/>
              <w:rPr>
                <w:sz w:val="20"/>
                <w:szCs w:val="20"/>
                <w:color w:val="auto"/>
              </w:rPr>
            </w:pPr>
            <w:r>
              <w:rPr>
                <w:rFonts w:ascii="Arial" w:cs="Arial" w:eastAsia="Arial" w:hAnsi="Arial"/>
                <w:sz w:val="12"/>
                <w:szCs w:val="12"/>
                <w:color w:val="auto"/>
              </w:rPr>
              <w:t>Henry Avocado</w:t>
            </w:r>
          </w:p>
        </w:tc>
        <w:tc>
          <w:tcPr>
            <w:tcW w:w="1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72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80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800"/>
              <w:spacing w:after="0"/>
              <w:rPr>
                <w:sz w:val="20"/>
                <w:szCs w:val="20"/>
                <w:color w:val="auto"/>
              </w:rPr>
            </w:pPr>
            <w:r>
              <w:rPr>
                <w:rFonts w:ascii="Arial" w:cs="Arial" w:eastAsia="Arial" w:hAnsi="Arial"/>
                <w:sz w:val="12"/>
                <w:szCs w:val="12"/>
                <w:b w:val="1"/>
                <w:bCs w:val="1"/>
                <w:color w:val="auto"/>
                <w:w w:val="89"/>
              </w:rPr>
              <w:t>$</w:t>
            </w:r>
          </w:p>
        </w:tc>
        <w:tc>
          <w:tcPr>
            <w:tcW w:w="3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ind w:left="100"/>
              <w:spacing w:after="0"/>
              <w:rPr>
                <w:sz w:val="20"/>
                <w:szCs w:val="20"/>
                <w:color w:val="auto"/>
              </w:rPr>
            </w:pPr>
            <w:r>
              <w:rPr>
                <w:rFonts w:ascii="Arial" w:cs="Arial" w:eastAsia="Arial" w:hAnsi="Arial"/>
                <w:sz w:val="12"/>
                <w:szCs w:val="12"/>
                <w:color w:val="auto"/>
              </w:rPr>
              <w:t>$</w:t>
            </w:r>
          </w:p>
        </w:tc>
        <w:tc>
          <w:tcPr>
            <w:tcW w:w="1160" w:type="dxa"/>
            <w:vAlign w:val="bottom"/>
          </w:tcPr>
          <w:p>
            <w:pPr>
              <w:jc w:val="right"/>
              <w:ind w:right="20"/>
              <w:spacing w:after="0"/>
              <w:rPr>
                <w:sz w:val="20"/>
                <w:szCs w:val="20"/>
                <w:color w:val="auto"/>
              </w:rPr>
            </w:pPr>
            <w:r>
              <w:rPr>
                <w:rFonts w:ascii="Arial" w:cs="Arial" w:eastAsia="Arial" w:hAnsi="Arial"/>
                <w:sz w:val="12"/>
                <w:szCs w:val="12"/>
                <w:color w:val="auto"/>
              </w:rPr>
              <w:t>0.2</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8"/>
        </w:trPr>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73"/>
        </w:trPr>
        <w:tc>
          <w:tcPr>
            <w:tcW w:w="224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2"/>
                <w:szCs w:val="12"/>
                <w:color w:val="auto"/>
              </w:rPr>
              <w:t>Mr. Avocado</w:t>
            </w:r>
          </w:p>
        </w:tc>
        <w:tc>
          <w:tcPr>
            <w:tcW w:w="14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spacing w:after="0"/>
              <w:rPr>
                <w:sz w:val="15"/>
                <w:szCs w:val="15"/>
                <w:color w:val="auto"/>
              </w:rPr>
            </w:pPr>
          </w:p>
        </w:tc>
        <w:tc>
          <w:tcPr>
            <w:tcW w:w="60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2"/>
                <w:szCs w:val="12"/>
                <w:color w:val="auto"/>
              </w:rPr>
              <w:t>0.1</w:t>
            </w:r>
          </w:p>
        </w:tc>
        <w:tc>
          <w:tcPr>
            <w:tcW w:w="98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gridSpan w:val="2"/>
            <w:shd w:val="clear" w:color="auto" w:fill="DBDBDB"/>
          </w:tcPr>
          <w:p>
            <w:pPr>
              <w:jc w:val="right"/>
              <w:ind w:right="3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0.4</w:t>
            </w:r>
          </w:p>
        </w:tc>
        <w:tc>
          <w:tcPr>
            <w:tcW w:w="12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2240" w:type="dxa"/>
            <w:vAlign w:val="bottom"/>
          </w:tcPr>
          <w:p>
            <w:pPr>
              <w:ind w:left="120"/>
              <w:spacing w:after="0"/>
              <w:rPr>
                <w:sz w:val="20"/>
                <w:szCs w:val="20"/>
                <w:color w:val="auto"/>
              </w:rPr>
            </w:pPr>
            <w:r>
              <w:rPr>
                <w:rFonts w:ascii="Arial" w:cs="Arial" w:eastAsia="Arial" w:hAnsi="Arial"/>
                <w:sz w:val="12"/>
                <w:szCs w:val="12"/>
                <w:color w:val="auto"/>
              </w:rPr>
              <w:t>Moruga</w:t>
            </w:r>
            <w:r>
              <w:rPr>
                <w:rFonts w:ascii="Arial" w:cs="Arial" w:eastAsia="Arial" w:hAnsi="Arial"/>
                <w:sz w:val="15"/>
                <w:szCs w:val="15"/>
                <w:color w:val="auto"/>
                <w:vertAlign w:val="superscript"/>
              </w:rPr>
              <w:t>(3)</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spacing w:after="0"/>
              <w:rPr>
                <w:sz w:val="16"/>
                <w:szCs w:val="16"/>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0.4</w:t>
            </w:r>
          </w:p>
        </w:tc>
      </w:tr>
      <w:tr>
        <w:trPr>
          <w:trHeight w:val="173"/>
        </w:trPr>
        <w:tc>
          <w:tcPr>
            <w:tcW w:w="2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Other:</w:t>
            </w:r>
          </w:p>
        </w:tc>
        <w:tc>
          <w:tcPr>
            <w:tcW w:w="14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spacing w:after="0"/>
              <w:rPr>
                <w:sz w:val="15"/>
                <w:szCs w:val="15"/>
                <w:color w:val="auto"/>
              </w:rPr>
            </w:pPr>
          </w:p>
        </w:tc>
        <w:tc>
          <w:tcPr>
            <w:tcW w:w="60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spacing w:after="0"/>
              <w:rPr>
                <w:sz w:val="15"/>
                <w:szCs w:val="15"/>
                <w:color w:val="auto"/>
              </w:rPr>
            </w:pPr>
          </w:p>
        </w:tc>
        <w:tc>
          <w:tcPr>
            <w:tcW w:w="240" w:type="dxa"/>
            <w:vAlign w:val="bottom"/>
            <w:tcBorders>
              <w:bottom w:val="single" w:sz="8" w:color="DBDBDB"/>
            </w:tcBorders>
            <w:shd w:val="clear" w:color="auto" w:fill="DBDBDB"/>
          </w:tcPr>
          <w:p>
            <w:pPr>
              <w:spacing w:after="0"/>
              <w:rPr>
                <w:sz w:val="15"/>
                <w:szCs w:val="15"/>
                <w:color w:val="auto"/>
              </w:rPr>
            </w:pPr>
          </w:p>
        </w:tc>
        <w:tc>
          <w:tcPr>
            <w:tcW w:w="30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c>
          <w:tcPr>
            <w:tcW w:w="260" w:type="dxa"/>
            <w:vAlign w:val="bottom"/>
            <w:tcBorders>
              <w:bottom w:val="single" w:sz="8" w:color="DBDBDB"/>
            </w:tcBorders>
            <w:shd w:val="clear" w:color="auto" w:fill="DBDBDB"/>
          </w:tcPr>
          <w:p>
            <w:pPr>
              <w:spacing w:after="0"/>
              <w:rPr>
                <w:sz w:val="15"/>
                <w:szCs w:val="15"/>
                <w:color w:val="auto"/>
              </w:rPr>
            </w:pPr>
          </w:p>
        </w:tc>
        <w:tc>
          <w:tcPr>
            <w:tcW w:w="120" w:type="dxa"/>
            <w:vAlign w:val="bottom"/>
            <w:tcBorders>
              <w:bottom w:val="single" w:sz="8" w:color="DBDBDB"/>
            </w:tcBorders>
            <w:shd w:val="clear" w:color="auto" w:fill="DBDBDB"/>
          </w:tcPr>
          <w:p>
            <w:pPr>
              <w:spacing w:after="0"/>
              <w:rPr>
                <w:sz w:val="15"/>
                <w:szCs w:val="15"/>
                <w:color w:val="auto"/>
              </w:rPr>
            </w:pPr>
          </w:p>
        </w:tc>
        <w:tc>
          <w:tcPr>
            <w:tcW w:w="2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spacing w:after="0"/>
              <w:rPr>
                <w:sz w:val="15"/>
                <w:szCs w:val="15"/>
                <w:color w:val="auto"/>
              </w:rPr>
            </w:pPr>
          </w:p>
        </w:tc>
        <w:tc>
          <w:tcPr>
            <w:tcW w:w="22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spacing w:after="0"/>
              <w:rPr>
                <w:sz w:val="15"/>
                <w:szCs w:val="15"/>
                <w:color w:val="auto"/>
              </w:rPr>
            </w:pPr>
          </w:p>
        </w:tc>
      </w:tr>
      <w:tr>
        <w:trPr>
          <w:trHeight w:val="193"/>
        </w:trPr>
        <w:tc>
          <w:tcPr>
            <w:tcW w:w="2240" w:type="dxa"/>
            <w:vAlign w:val="bottom"/>
          </w:tcPr>
          <w:p>
            <w:pPr>
              <w:ind w:left="120"/>
              <w:spacing w:after="0"/>
              <w:rPr>
                <w:sz w:val="20"/>
                <w:szCs w:val="20"/>
                <w:color w:val="auto"/>
              </w:rPr>
            </w:pPr>
            <w:r>
              <w:rPr>
                <w:rFonts w:ascii="Arial" w:cs="Arial" w:eastAsia="Arial" w:hAnsi="Arial"/>
                <w:sz w:val="12"/>
                <w:szCs w:val="12"/>
                <w:color w:val="auto"/>
              </w:rPr>
              <w:t>Directors/Officers</w:t>
            </w:r>
            <w:r>
              <w:rPr>
                <w:rFonts w:ascii="Arial" w:cs="Arial" w:eastAsia="Arial" w:hAnsi="Arial"/>
                <w:sz w:val="15"/>
                <w:szCs w:val="15"/>
                <w:color w:val="auto"/>
                <w:vertAlign w:val="superscript"/>
              </w:rPr>
              <w:t>(1)</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jc w:val="right"/>
              <w:ind w:right="40"/>
              <w:spacing w:after="0"/>
              <w:rPr>
                <w:sz w:val="20"/>
                <w:szCs w:val="20"/>
                <w:color w:val="auto"/>
              </w:rPr>
            </w:pPr>
            <w:r>
              <w:rPr>
                <w:rFonts w:ascii="Arial" w:cs="Arial" w:eastAsia="Arial" w:hAnsi="Arial"/>
                <w:sz w:val="12"/>
                <w:szCs w:val="12"/>
                <w:color w:val="auto"/>
              </w:rPr>
              <w:t>0.2</w:t>
            </w:r>
          </w:p>
        </w:tc>
        <w:tc>
          <w:tcPr>
            <w:tcW w:w="9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0.2</w:t>
            </w:r>
          </w:p>
        </w:tc>
        <w:tc>
          <w:tcPr>
            <w:tcW w:w="10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w w:val="95"/>
              </w:rPr>
              <w:t>0.3</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0.4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0"/>
              <w:spacing w:after="0"/>
              <w:rPr>
                <w:sz w:val="20"/>
                <w:szCs w:val="20"/>
                <w:color w:val="auto"/>
              </w:rPr>
            </w:pPr>
            <w:r>
              <w:rPr>
                <w:rFonts w:ascii="Arial" w:cs="Arial" w:eastAsia="Arial" w:hAnsi="Arial"/>
                <w:sz w:val="12"/>
                <w:szCs w:val="12"/>
                <w:color w:val="auto"/>
              </w:rPr>
              <w:t>0.1</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93"/>
        </w:trPr>
        <w:tc>
          <w:tcPr>
            <w:tcW w:w="2240" w:type="dxa"/>
            <w:vAlign w:val="bottom"/>
            <w:tcBorders>
              <w:bottom w:val="single" w:sz="8" w:color="auto"/>
            </w:tcBorders>
            <w:shd w:val="clear" w:color="auto" w:fill="DBDBDB"/>
          </w:tcPr>
          <w:p>
            <w:pPr>
              <w:ind w:left="120"/>
              <w:spacing w:after="0"/>
              <w:rPr>
                <w:sz w:val="20"/>
                <w:szCs w:val="20"/>
                <w:color w:val="auto"/>
              </w:rPr>
            </w:pPr>
            <w:r>
              <w:rPr>
                <w:rFonts w:ascii="Arial" w:cs="Arial" w:eastAsia="Arial" w:hAnsi="Arial"/>
                <w:sz w:val="12"/>
                <w:szCs w:val="12"/>
                <w:color w:val="auto"/>
              </w:rPr>
              <w:t>Employees</w:t>
            </w:r>
            <w:r>
              <w:rPr>
                <w:rFonts w:ascii="Arial" w:cs="Arial" w:eastAsia="Arial" w:hAnsi="Arial"/>
                <w:sz w:val="15"/>
                <w:szCs w:val="15"/>
                <w:color w:val="auto"/>
                <w:vertAlign w:val="superscript"/>
              </w:rPr>
              <w:t>(2)</w:t>
            </w:r>
          </w:p>
        </w:tc>
        <w:tc>
          <w:tcPr>
            <w:tcW w:w="140" w:type="dxa"/>
            <w:vAlign w:val="bottom"/>
            <w:tcBorders>
              <w:bottom w:val="single" w:sz="8" w:color="auto"/>
            </w:tcBorders>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spacing w:after="0"/>
              <w:rPr>
                <w:sz w:val="16"/>
                <w:szCs w:val="16"/>
                <w:color w:val="auto"/>
              </w:rPr>
            </w:pPr>
          </w:p>
        </w:tc>
        <w:tc>
          <w:tcPr>
            <w:tcW w:w="680" w:type="dxa"/>
            <w:vAlign w:val="bottom"/>
            <w:tcBorders>
              <w:bottom w:val="single" w:sz="8" w:color="auto"/>
            </w:tcBorders>
            <w:shd w:val="clear" w:color="auto" w:fill="DBDBDB"/>
          </w:tcPr>
          <w:p>
            <w:pPr>
              <w:spacing w:after="0"/>
              <w:rPr>
                <w:sz w:val="16"/>
                <w:szCs w:val="16"/>
                <w:color w:val="auto"/>
              </w:rPr>
            </w:pPr>
          </w:p>
        </w:tc>
        <w:tc>
          <w:tcPr>
            <w:tcW w:w="600" w:type="dxa"/>
            <w:vAlign w:val="bottom"/>
            <w:tcBorders>
              <w:bottom w:val="single" w:sz="8" w:color="auto"/>
            </w:tcBorders>
            <w:shd w:val="clear" w:color="auto" w:fill="DBDBDB"/>
          </w:tcPr>
          <w:p>
            <w:pPr>
              <w:jc w:val="right"/>
              <w:ind w:right="4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2.2</w:t>
            </w:r>
          </w:p>
        </w:tc>
        <w:tc>
          <w:tcPr>
            <w:tcW w:w="1080" w:type="dxa"/>
            <w:vAlign w:val="bottom"/>
            <w:tcBorders>
              <w:bottom w:val="single" w:sz="8" w:color="auto"/>
            </w:tcBorders>
            <w:shd w:val="clear" w:color="auto" w:fill="DBDBDB"/>
          </w:tcPr>
          <w:p>
            <w:pPr>
              <w:spacing w:after="0"/>
              <w:rPr>
                <w:sz w:val="16"/>
                <w:szCs w:val="16"/>
                <w:color w:val="auto"/>
              </w:rPr>
            </w:pPr>
          </w:p>
        </w:tc>
        <w:tc>
          <w:tcPr>
            <w:tcW w:w="540" w:type="dxa"/>
            <w:vAlign w:val="bottom"/>
            <w:tcBorders>
              <w:bottom w:val="single" w:sz="8" w:color="auto"/>
            </w:tcBorders>
            <w:gridSpan w:val="2"/>
            <w:shd w:val="clear" w:color="auto" w:fill="DBDBDB"/>
          </w:tcPr>
          <w:p>
            <w:pPr>
              <w:jc w:val="right"/>
              <w:ind w:right="3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DBDBDB"/>
          </w:tcPr>
          <w:p>
            <w:pPr>
              <w:spacing w:after="0"/>
              <w:rPr>
                <w:sz w:val="16"/>
                <w:szCs w:val="16"/>
                <w:color w:val="auto"/>
              </w:rPr>
            </w:pPr>
          </w:p>
        </w:tc>
        <w:tc>
          <w:tcPr>
            <w:tcW w:w="380" w:type="dxa"/>
            <w:vAlign w:val="bottom"/>
            <w:tcBorders>
              <w:bottom w:val="single" w:sz="8" w:color="auto"/>
            </w:tcBorders>
            <w:gridSpan w:val="2"/>
            <w:shd w:val="clear" w:color="auto" w:fill="DBDBDB"/>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tcBorders>
            <w:shd w:val="clear" w:color="auto" w:fill="DBDBDB"/>
          </w:tcPr>
          <w:p>
            <w:pPr>
              <w:jc w:val="right"/>
              <w:ind w:right="20"/>
              <w:spacing w:after="0"/>
              <w:rPr>
                <w:sz w:val="20"/>
                <w:szCs w:val="20"/>
                <w:color w:val="auto"/>
              </w:rPr>
            </w:pPr>
            <w:r>
              <w:rPr>
                <w:rFonts w:ascii="Arial" w:cs="Arial" w:eastAsia="Arial" w:hAnsi="Arial"/>
                <w:sz w:val="12"/>
                <w:szCs w:val="12"/>
                <w:color w:val="auto"/>
              </w:rPr>
              <w:t>1.7</w:t>
            </w:r>
          </w:p>
        </w:tc>
        <w:tc>
          <w:tcPr>
            <w:tcW w:w="22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r>
    </w:tbl>
    <w:p>
      <w:pPr>
        <w:spacing w:after="0" w:line="123" w:lineRule="exact"/>
        <w:rPr>
          <w:sz w:val="20"/>
          <w:szCs w:val="20"/>
          <w:color w:val="auto"/>
        </w:rPr>
      </w:pPr>
    </w:p>
    <w:p>
      <w:pPr>
        <w:ind w:left="160" w:right="120" w:hanging="157"/>
        <w:spacing w:after="0" w:line="238" w:lineRule="auto"/>
        <w:tabs>
          <w:tab w:leader="none" w:pos="165"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The Company purchases from and sells avocados to, and provides logistics services to, a small number of entities having full or partial ownership by some of our directors/officers. These transactions are made under substantially similar terms as with other growers and customers. In November 2022, Moruga entered into a long-term land lease with a company owned by one of our directors. The rental rate in the lease was comparable to market rates and reflective of an arms-length transaction. The lease was accounted for as a finance lease right-of-use asset and is included in property, plant and equipment, net in the condensed consolidated balance sheets, with amortization and interest expense recognized in cost of sales and interest expense, respectively, in the condensed consolidated statements of loss. The portion of lease costs attributable to noncontrolling interest, net of income taxes, was $0.2 million for the three months ended January 31, 2023, and included as part of net loss attributable to noncontrolling interest in the condensed consolidated statements of loss.</w:t>
      </w:r>
    </w:p>
    <w:p>
      <w:pPr>
        <w:spacing w:after="0" w:line="48" w:lineRule="exact"/>
        <w:rPr>
          <w:rFonts w:ascii="Arial" w:cs="Arial" w:eastAsia="Arial" w:hAnsi="Arial"/>
          <w:sz w:val="16"/>
          <w:szCs w:val="16"/>
          <w:color w:val="auto"/>
          <w:vertAlign w:val="superscript"/>
        </w:rPr>
      </w:pPr>
    </w:p>
    <w:p>
      <w:pPr>
        <w:ind w:left="160" w:right="160" w:hanging="157"/>
        <w:spacing w:after="0" w:line="213" w:lineRule="auto"/>
        <w:tabs>
          <w:tab w:leader="none" w:pos="165"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The Company utilizes a small number of transportation vendors in Mexico having full or partial ownership by some of our employees. The Company also purchases avocados from a small number of entities having full or partial ownership by some employees. These transactions are made under substantially similar terms as with other transportation carriers and growers.</w:t>
      </w:r>
    </w:p>
    <w:p>
      <w:pPr>
        <w:spacing w:after="0" w:line="49" w:lineRule="exact"/>
        <w:rPr>
          <w:rFonts w:ascii="Arial" w:cs="Arial" w:eastAsia="Arial" w:hAnsi="Arial"/>
          <w:sz w:val="16"/>
          <w:szCs w:val="16"/>
          <w:color w:val="auto"/>
          <w:vertAlign w:val="superscript"/>
        </w:rPr>
      </w:pPr>
    </w:p>
    <w:p>
      <w:pPr>
        <w:ind w:left="160" w:right="40" w:hanging="157"/>
        <w:spacing w:after="0" w:line="223" w:lineRule="auto"/>
        <w:tabs>
          <w:tab w:leader="none" w:pos="165"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Effective May 1, 2022, Moruga was prospectively consolidated into the Company’s financial statements, at which time transactions between parties were prospectively eliminated in the consolidation of our financial statements. Transactions prior to consolidation are presented the same as in prior periods. The Company provides packing and cooling services for blueberries and leases owned land to Moruga. The Company has also provided loans to Moruga to support growth and expansion projects, bearing interest at 6.5%, due December 31, 2023.</w:t>
      </w:r>
    </w:p>
    <w:p>
      <w:pPr>
        <w:spacing w:after="0" w:line="200" w:lineRule="exact"/>
        <w:rPr>
          <w:sz w:val="20"/>
          <w:szCs w:val="20"/>
          <w:color w:val="auto"/>
        </w:rPr>
      </w:pPr>
    </w:p>
    <w:p>
      <w:pPr>
        <w:spacing w:after="0" w:line="331" w:lineRule="exact"/>
        <w:rPr>
          <w:sz w:val="20"/>
          <w:szCs w:val="20"/>
          <w:color w:val="auto"/>
        </w:rPr>
      </w:pPr>
    </w:p>
    <w:p>
      <w:pPr>
        <w:ind w:left="520" w:hanging="517"/>
        <w:spacing w:after="0"/>
        <w:tabs>
          <w:tab w:leader="none" w:pos="52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Segment and Revenue Information</w:t>
      </w:r>
    </w:p>
    <w:p>
      <w:pPr>
        <w:spacing w:after="0" w:line="236" w:lineRule="exact"/>
        <w:rPr>
          <w:sz w:val="20"/>
          <w:szCs w:val="20"/>
          <w:color w:val="auto"/>
        </w:rPr>
      </w:pPr>
    </w:p>
    <w:p>
      <w:pPr>
        <w:jc w:val="both"/>
        <w:ind w:right="60" w:firstLine="619"/>
        <w:spacing w:after="0" w:line="269" w:lineRule="auto"/>
        <w:rPr>
          <w:sz w:val="20"/>
          <w:szCs w:val="20"/>
          <w:color w:val="auto"/>
        </w:rPr>
      </w:pPr>
      <w:r>
        <w:rPr>
          <w:rFonts w:ascii="Arial" w:cs="Arial" w:eastAsia="Arial" w:hAnsi="Arial"/>
          <w:sz w:val="15"/>
          <w:szCs w:val="15"/>
          <w:color w:val="auto"/>
        </w:rPr>
        <w:t>We have three operating segments which are also reportable segments. Our reportable segments are presented based on how information is used by our CEO, who is the chief operating decision maker, to measure performance and allocate resources. After the consolidation of Moruga on May 1, 2022 (refer to Note 1 for more information), the information used by the CEO changed to include the results of Moruga, and as such, we determined our reportable segments to be:</w:t>
      </w:r>
    </w:p>
    <w:p>
      <w:pPr>
        <w:spacing w:after="0" w:line="165" w:lineRule="exact"/>
        <w:rPr>
          <w:sz w:val="20"/>
          <w:szCs w:val="20"/>
          <w:color w:val="auto"/>
        </w:rPr>
      </w:pPr>
    </w:p>
    <w:p>
      <w:pPr>
        <w:ind w:left="620" w:right="220" w:hanging="307"/>
        <w:spacing w:after="0" w:line="310" w:lineRule="auto"/>
        <w:tabs>
          <w:tab w:leader="none" w:pos="597"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Marketing and Distribution</w:t>
      </w:r>
      <w:r>
        <w:rPr>
          <w:rFonts w:ascii="Arial" w:cs="Arial" w:eastAsia="Arial" w:hAnsi="Arial"/>
          <w:sz w:val="15"/>
          <w:szCs w:val="15"/>
          <w:color w:val="auto"/>
        </w:rPr>
        <w:t>. Our Marketing and Distribution reportable segment sources fruit from growers and then distributes the fruit through our global</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network.</w:t>
      </w:r>
    </w:p>
    <w:p>
      <w:pPr>
        <w:spacing w:after="0" w:line="134" w:lineRule="exact"/>
        <w:rPr>
          <w:rFonts w:ascii="Arial" w:cs="Arial" w:eastAsia="Arial" w:hAnsi="Arial"/>
          <w:sz w:val="15"/>
          <w:szCs w:val="15"/>
          <w:color w:val="auto"/>
        </w:rPr>
      </w:pPr>
    </w:p>
    <w:p>
      <w:pPr>
        <w:ind w:left="620" w:hanging="307"/>
        <w:spacing w:after="0" w:line="270" w:lineRule="auto"/>
        <w:tabs>
          <w:tab w:leader="none" w:pos="597"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International Farming</w:t>
      </w:r>
      <w:r>
        <w:rPr>
          <w:rFonts w:ascii="Arial" w:cs="Arial" w:eastAsia="Arial" w:hAnsi="Arial"/>
          <w:sz w:val="15"/>
          <w:szCs w:val="15"/>
          <w:color w:val="auto"/>
        </w:rPr>
        <w:t>. International Farming owns and operates orchards from which substantially all fruit produced is sold to our Marketing and Distribution</w:t>
      </w:r>
      <w:r>
        <w:rPr>
          <w:rFonts w:ascii="Arial" w:cs="Arial" w:eastAsia="Arial" w:hAnsi="Arial"/>
          <w:sz w:val="15"/>
          <w:szCs w:val="15"/>
          <w:i w:val="1"/>
          <w:iCs w:val="1"/>
          <w:color w:val="auto"/>
        </w:rPr>
        <w:t xml:space="preserve"> </w:t>
      </w:r>
      <w:r>
        <w:rPr>
          <w:rFonts w:ascii="Arial" w:cs="Arial" w:eastAsia="Arial" w:hAnsi="Arial"/>
          <w:sz w:val="15"/>
          <w:szCs w:val="15"/>
          <w:color w:val="auto"/>
        </w:rPr>
        <w:t>segment. Its farming activities range from cultivating early-stage plantings to harvesting from mature trees, and it also earns service revenues for packing and processing for our Blueberries segment, as well as for third-party producers of other crops during the avocado off-harvest season. Operations are principally located in Peru, with smaller operations emerging in other areas of Latin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1"/>
          <w:szCs w:val="21"/>
          <w:b w:val="1"/>
          <w:bCs w:val="1"/>
          <w:color w:val="auto"/>
        </w:rPr>
        <w:t>MISSION PRODUCE,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20" w:hanging="307"/>
        <w:spacing w:after="0" w:line="280" w:lineRule="auto"/>
        <w:tabs>
          <w:tab w:leader="none" w:pos="597"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 xml:space="preserve">Blueberries. </w:t>
      </w:r>
      <w:r>
        <w:rPr>
          <w:rFonts w:ascii="Arial" w:cs="Arial" w:eastAsia="Arial" w:hAnsi="Arial"/>
          <w:sz w:val="15"/>
          <w:szCs w:val="15"/>
          <w:color w:val="auto"/>
        </w:rPr>
        <w:t>The Blueberries segment represents the results of Moruga, subsequent to its consolidation on May 1, 2022. Moruga’s farming activities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cultivating early-stage blueberry plantings and harvesting mature bushes. Substantially all of blueberries produced are sold to a single distributor under an exclusive marketing agreement.</w:t>
      </w:r>
    </w:p>
    <w:p>
      <w:pPr>
        <w:spacing w:after="0" w:line="186" w:lineRule="exact"/>
        <w:rPr>
          <w:sz w:val="20"/>
          <w:szCs w:val="20"/>
          <w:color w:val="auto"/>
        </w:rPr>
      </w:pPr>
    </w:p>
    <w:p>
      <w:pPr>
        <w:ind w:firstLine="619"/>
        <w:spacing w:after="0" w:line="260" w:lineRule="auto"/>
        <w:rPr>
          <w:sz w:val="20"/>
          <w:szCs w:val="20"/>
          <w:color w:val="auto"/>
        </w:rPr>
      </w:pPr>
      <w:r>
        <w:rPr>
          <w:rFonts w:ascii="Arial" w:cs="Arial" w:eastAsia="Arial" w:hAnsi="Arial"/>
          <w:sz w:val="15"/>
          <w:szCs w:val="15"/>
          <w:color w:val="auto"/>
        </w:rPr>
        <w:t>The CEO evaluates and monitors segment performance primarily through segment sales and segment adjusted EBITDA. 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certain noncash and nonrecurring ERP costs, transaction costs, amortization of inventory adjustments recognized from business combinations, and any special, non-recurring, or one-time items such as remeasurements or impairments, and any portion of these items attributable to the noncontrolling interest, all of which are excluded from the results the CEO reviews uses to assess segment performance and results.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Net sales from each of our reportable segments were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b w:val="1"/>
                <w:bCs w:val="1"/>
                <w:color w:val="auto"/>
              </w:rPr>
              <w:t>Marketing and</w:t>
            </w:r>
          </w:p>
        </w:tc>
        <w:tc>
          <w:tcPr>
            <w:tcW w:w="300" w:type="dxa"/>
            <w:vAlign w:val="bottom"/>
          </w:tcPr>
          <w:p>
            <w:pPr>
              <w:spacing w:after="0"/>
              <w:rPr>
                <w:sz w:val="14"/>
                <w:szCs w:val="14"/>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b w:val="1"/>
                <w:bCs w:val="1"/>
                <w:color w:val="auto"/>
              </w:rPr>
              <w:t>International</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b w:val="1"/>
                <w:bCs w:val="1"/>
                <w:color w:val="auto"/>
              </w:rPr>
              <w:t>Marketing and</w:t>
            </w:r>
          </w:p>
        </w:tc>
        <w:tc>
          <w:tcPr>
            <w:tcW w:w="300" w:type="dxa"/>
            <w:vAlign w:val="bottom"/>
          </w:tcPr>
          <w:p>
            <w:pPr>
              <w:spacing w:after="0"/>
              <w:rPr>
                <w:sz w:val="14"/>
                <w:szCs w:val="14"/>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b w:val="1"/>
                <w:bCs w:val="1"/>
                <w:color w:val="auto"/>
              </w:rPr>
              <w:t>International</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b w:val="1"/>
                <w:bCs w:val="1"/>
                <w:color w:val="auto"/>
              </w:rPr>
              <w:t>Distribution</w:t>
            </w:r>
          </w:p>
        </w:tc>
        <w:tc>
          <w:tcPr>
            <w:tcW w:w="300" w:type="dxa"/>
            <w:vAlign w:val="bottom"/>
          </w:tcPr>
          <w:p>
            <w:pPr>
              <w:spacing w:after="0"/>
              <w:rPr>
                <w:sz w:val="15"/>
                <w:szCs w:val="15"/>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b w:val="1"/>
                <w:bCs w:val="1"/>
                <w:color w:val="auto"/>
              </w:rPr>
              <w:t>Farming</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Blueberries</w:t>
            </w:r>
          </w:p>
        </w:tc>
        <w:tc>
          <w:tcPr>
            <w:tcW w:w="280" w:type="dxa"/>
            <w:vAlign w:val="bottom"/>
          </w:tcPr>
          <w:p>
            <w:pPr>
              <w:spacing w:after="0"/>
              <w:rPr>
                <w:sz w:val="15"/>
                <w:szCs w:val="15"/>
                <w:color w:val="auto"/>
              </w:rPr>
            </w:pPr>
          </w:p>
        </w:tc>
        <w:tc>
          <w:tcPr>
            <w:tcW w:w="1200" w:type="dxa"/>
            <w:vAlign w:val="bottom"/>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b w:val="1"/>
                <w:bCs w:val="1"/>
                <w:color w:val="auto"/>
              </w:rPr>
              <w:t>Distribution</w:t>
            </w:r>
          </w:p>
        </w:tc>
        <w:tc>
          <w:tcPr>
            <w:tcW w:w="300" w:type="dxa"/>
            <w:vAlign w:val="bottom"/>
          </w:tcPr>
          <w:p>
            <w:pPr>
              <w:spacing w:after="0"/>
              <w:rPr>
                <w:sz w:val="15"/>
                <w:szCs w:val="15"/>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b w:val="1"/>
                <w:bCs w:val="1"/>
                <w:color w:val="auto"/>
              </w:rPr>
              <w:t>Farming</w:t>
            </w:r>
          </w:p>
        </w:tc>
        <w:tc>
          <w:tcPr>
            <w:tcW w:w="5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291"/>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rPr>
              <w:t>2023</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Third party sales</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181.8</w:t>
            </w:r>
          </w:p>
        </w:tc>
        <w:tc>
          <w:tcPr>
            <w:tcW w:w="3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shd w:val="clear" w:color="auto" w:fill="DBDBDB"/>
          </w:tcPr>
          <w:p>
            <w:pPr>
              <w:jc w:val="center"/>
              <w:ind w:left="511"/>
              <w:spacing w:after="0"/>
              <w:rPr>
                <w:sz w:val="20"/>
                <w:szCs w:val="20"/>
                <w:color w:val="auto"/>
              </w:rPr>
            </w:pPr>
            <w:r>
              <w:rPr>
                <w:rFonts w:ascii="Arial" w:cs="Arial" w:eastAsia="Arial" w:hAnsi="Arial"/>
                <w:sz w:val="14"/>
                <w:szCs w:val="14"/>
                <w:color w:val="auto"/>
                <w:w w:val="92"/>
              </w:rPr>
              <w:t>1.9</w:t>
            </w:r>
          </w:p>
        </w:tc>
        <w:tc>
          <w:tcPr>
            <w:tcW w:w="34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29.8</w:t>
            </w:r>
          </w:p>
        </w:tc>
        <w:tc>
          <w:tcPr>
            <w:tcW w:w="2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213.5</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212.3</w:t>
            </w:r>
          </w:p>
        </w:tc>
        <w:tc>
          <w:tcPr>
            <w:tcW w:w="3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shd w:val="clear" w:color="auto" w:fill="DBDBDB"/>
          </w:tcPr>
          <w:p>
            <w:pPr>
              <w:jc w:val="center"/>
              <w:ind w:left="531"/>
              <w:spacing w:after="0"/>
              <w:rPr>
                <w:sz w:val="20"/>
                <w:szCs w:val="20"/>
                <w:color w:val="auto"/>
              </w:rPr>
            </w:pPr>
            <w:r>
              <w:rPr>
                <w:rFonts w:ascii="Arial" w:cs="Arial" w:eastAsia="Arial" w:hAnsi="Arial"/>
                <w:sz w:val="14"/>
                <w:szCs w:val="14"/>
                <w:color w:val="auto"/>
              </w:rPr>
              <w:t>4.3</w:t>
            </w:r>
          </w:p>
        </w:tc>
        <w:tc>
          <w:tcPr>
            <w:tcW w:w="52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216.6</w:t>
            </w:r>
          </w:p>
        </w:tc>
        <w:tc>
          <w:tcPr>
            <w:tcW w:w="0" w:type="dxa"/>
            <w:vAlign w:val="bottom"/>
          </w:tcPr>
          <w:p>
            <w:pPr>
              <w:spacing w:after="0"/>
              <w:rPr>
                <w:sz w:val="1"/>
                <w:szCs w:val="1"/>
                <w:color w:val="auto"/>
              </w:rPr>
            </w:pPr>
          </w:p>
        </w:tc>
      </w:tr>
      <w:tr>
        <w:trPr>
          <w:trHeight w:val="195"/>
        </w:trPr>
        <w:tc>
          <w:tcPr>
            <w:tcW w:w="1920" w:type="dxa"/>
            <w:vAlign w:val="bottom"/>
          </w:tcPr>
          <w:p>
            <w:pPr>
              <w:ind w:left="20"/>
              <w:spacing w:after="0"/>
              <w:rPr>
                <w:sz w:val="20"/>
                <w:szCs w:val="20"/>
                <w:color w:val="auto"/>
              </w:rPr>
            </w:pPr>
            <w:r>
              <w:rPr>
                <w:rFonts w:ascii="Arial" w:cs="Arial" w:eastAsia="Arial" w:hAnsi="Arial"/>
                <w:sz w:val="14"/>
                <w:szCs w:val="14"/>
                <w:color w:val="auto"/>
              </w:rPr>
              <w:t>Affiliated sales</w:t>
            </w:r>
          </w:p>
        </w:tc>
        <w:tc>
          <w:tcPr>
            <w:tcW w:w="160" w:type="dxa"/>
            <w:vAlign w:val="bottom"/>
          </w:tcPr>
          <w:p>
            <w:pPr>
              <w:spacing w:after="0"/>
              <w:rPr>
                <w:sz w:val="16"/>
                <w:szCs w:val="16"/>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center"/>
              <w:ind w:left="511"/>
              <w:spacing w:after="0"/>
              <w:rPr>
                <w:sz w:val="20"/>
                <w:szCs w:val="20"/>
                <w:color w:val="auto"/>
              </w:rPr>
            </w:pPr>
            <w:r>
              <w:rPr>
                <w:rFonts w:ascii="Arial" w:cs="Arial" w:eastAsia="Arial" w:hAnsi="Arial"/>
                <w:sz w:val="14"/>
                <w:szCs w:val="14"/>
                <w:color w:val="auto"/>
                <w:w w:val="92"/>
              </w:rPr>
              <w:t>3.8</w:t>
            </w:r>
          </w:p>
        </w:tc>
        <w:tc>
          <w:tcPr>
            <w:tcW w:w="340" w:type="dxa"/>
            <w:vAlign w:val="bottom"/>
          </w:tcPr>
          <w:p>
            <w:pPr>
              <w:spacing w:after="0"/>
              <w:rPr>
                <w:sz w:val="16"/>
                <w:szCs w:val="16"/>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6"/>
                <w:szCs w:val="16"/>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center"/>
              <w:ind w:left="511"/>
              <w:spacing w:after="0"/>
              <w:rPr>
                <w:sz w:val="20"/>
                <w:szCs w:val="20"/>
                <w:color w:val="auto"/>
              </w:rPr>
            </w:pPr>
            <w:r>
              <w:rPr>
                <w:rFonts w:ascii="Arial" w:cs="Arial" w:eastAsia="Arial" w:hAnsi="Arial"/>
                <w:sz w:val="14"/>
                <w:szCs w:val="14"/>
                <w:color w:val="auto"/>
              </w:rPr>
              <w:t>(1.0)</w:t>
            </w: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4"/>
        </w:trPr>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segment sales</w:t>
            </w:r>
          </w:p>
        </w:tc>
        <w:tc>
          <w:tcPr>
            <w:tcW w:w="1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181.8</w:t>
            </w:r>
          </w:p>
        </w:tc>
        <w:tc>
          <w:tcPr>
            <w:tcW w:w="3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center"/>
              <w:ind w:left="511"/>
              <w:spacing w:after="0"/>
              <w:rPr>
                <w:sz w:val="20"/>
                <w:szCs w:val="20"/>
                <w:color w:val="auto"/>
              </w:rPr>
            </w:pPr>
            <w:r>
              <w:rPr>
                <w:rFonts w:ascii="Arial" w:cs="Arial" w:eastAsia="Arial" w:hAnsi="Arial"/>
                <w:sz w:val="14"/>
                <w:szCs w:val="14"/>
                <w:color w:val="auto"/>
                <w:w w:val="92"/>
              </w:rPr>
              <w:t>5.7</w:t>
            </w:r>
          </w:p>
        </w:tc>
        <w:tc>
          <w:tcPr>
            <w:tcW w:w="34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29.8</w:t>
            </w:r>
          </w:p>
        </w:tc>
        <w:tc>
          <w:tcPr>
            <w:tcW w:w="28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217.3</w:t>
            </w:r>
          </w:p>
        </w:tc>
        <w:tc>
          <w:tcPr>
            <w:tcW w:w="2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212.3</w:t>
            </w:r>
          </w:p>
        </w:tc>
        <w:tc>
          <w:tcPr>
            <w:tcW w:w="3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center"/>
              <w:ind w:left="531"/>
              <w:spacing w:after="0"/>
              <w:rPr>
                <w:sz w:val="20"/>
                <w:szCs w:val="20"/>
                <w:color w:val="auto"/>
              </w:rPr>
            </w:pPr>
            <w:r>
              <w:rPr>
                <w:rFonts w:ascii="Arial" w:cs="Arial" w:eastAsia="Arial" w:hAnsi="Arial"/>
                <w:sz w:val="14"/>
                <w:szCs w:val="14"/>
                <w:color w:val="auto"/>
              </w:rPr>
              <w:t>3.3</w:t>
            </w:r>
          </w:p>
        </w:tc>
        <w:tc>
          <w:tcPr>
            <w:tcW w:w="5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215.6</w:t>
            </w:r>
          </w:p>
        </w:tc>
        <w:tc>
          <w:tcPr>
            <w:tcW w:w="0" w:type="dxa"/>
            <w:vAlign w:val="bottom"/>
          </w:tcPr>
          <w:p>
            <w:pPr>
              <w:spacing w:after="0"/>
              <w:rPr>
                <w:sz w:val="1"/>
                <w:szCs w:val="1"/>
                <w:color w:val="auto"/>
              </w:rPr>
            </w:pPr>
          </w:p>
        </w:tc>
      </w:tr>
      <w:tr>
        <w:trPr>
          <w:trHeight w:val="195"/>
        </w:trPr>
        <w:tc>
          <w:tcPr>
            <w:tcW w:w="1920" w:type="dxa"/>
            <w:vAlign w:val="bottom"/>
          </w:tcPr>
          <w:p>
            <w:pPr>
              <w:ind w:left="20"/>
              <w:spacing w:after="0"/>
              <w:rPr>
                <w:sz w:val="20"/>
                <w:szCs w:val="20"/>
                <w:color w:val="auto"/>
              </w:rPr>
            </w:pPr>
            <w:r>
              <w:rPr>
                <w:rFonts w:ascii="Arial" w:cs="Arial" w:eastAsia="Arial" w:hAnsi="Arial"/>
                <w:sz w:val="14"/>
                <w:szCs w:val="14"/>
                <w:color w:val="auto"/>
              </w:rPr>
              <w:t>Intercompany eliminations</w:t>
            </w:r>
          </w:p>
        </w:tc>
        <w:tc>
          <w:tcPr>
            <w:tcW w:w="160" w:type="dxa"/>
            <w:vAlign w:val="bottom"/>
          </w:tcPr>
          <w:p>
            <w:pPr>
              <w:spacing w:after="0"/>
              <w:rPr>
                <w:sz w:val="16"/>
                <w:szCs w:val="16"/>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center"/>
              <w:ind w:left="491"/>
              <w:spacing w:after="0"/>
              <w:rPr>
                <w:sz w:val="20"/>
                <w:szCs w:val="20"/>
                <w:color w:val="auto"/>
              </w:rPr>
            </w:pPr>
            <w:r>
              <w:rPr>
                <w:rFonts w:ascii="Arial" w:cs="Arial" w:eastAsia="Arial" w:hAnsi="Arial"/>
                <w:sz w:val="14"/>
                <w:szCs w:val="14"/>
                <w:color w:val="auto"/>
                <w:w w:val="97"/>
              </w:rPr>
              <w:t>(3.8)</w:t>
            </w:r>
          </w:p>
        </w:tc>
        <w:tc>
          <w:tcPr>
            <w:tcW w:w="340" w:type="dxa"/>
            <w:vAlign w:val="bottom"/>
          </w:tcPr>
          <w:p>
            <w:pPr>
              <w:spacing w:after="0"/>
              <w:rPr>
                <w:sz w:val="16"/>
                <w:szCs w:val="16"/>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ind w:right="151"/>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6"/>
                <w:szCs w:val="16"/>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center"/>
              <w:ind w:left="531"/>
              <w:spacing w:after="0"/>
              <w:rPr>
                <w:sz w:val="20"/>
                <w:szCs w:val="20"/>
                <w:color w:val="auto"/>
              </w:rPr>
            </w:pPr>
            <w:r>
              <w:rPr>
                <w:rFonts w:ascii="Arial" w:cs="Arial" w:eastAsia="Arial" w:hAnsi="Arial"/>
                <w:sz w:val="14"/>
                <w:szCs w:val="14"/>
                <w:color w:val="auto"/>
              </w:rPr>
              <w:t>1.0</w:t>
            </w: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4"/>
        </w:trPr>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net sales</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181.8</w:t>
            </w:r>
          </w:p>
        </w:tc>
        <w:tc>
          <w:tcPr>
            <w:tcW w:w="3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shd w:val="clear" w:color="auto" w:fill="DBDBDB"/>
          </w:tcPr>
          <w:p>
            <w:pPr>
              <w:jc w:val="center"/>
              <w:ind w:left="511"/>
              <w:spacing w:after="0"/>
              <w:rPr>
                <w:sz w:val="20"/>
                <w:szCs w:val="20"/>
                <w:color w:val="auto"/>
              </w:rPr>
            </w:pPr>
            <w:r>
              <w:rPr>
                <w:rFonts w:ascii="Arial" w:cs="Arial" w:eastAsia="Arial" w:hAnsi="Arial"/>
                <w:sz w:val="14"/>
                <w:szCs w:val="14"/>
                <w:color w:val="auto"/>
                <w:w w:val="92"/>
              </w:rPr>
              <w:t>1.9</w:t>
            </w:r>
          </w:p>
        </w:tc>
        <w:tc>
          <w:tcPr>
            <w:tcW w:w="34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29.8</w:t>
            </w:r>
          </w:p>
        </w:tc>
        <w:tc>
          <w:tcPr>
            <w:tcW w:w="2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213.5</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212.3</w:t>
            </w:r>
          </w:p>
        </w:tc>
        <w:tc>
          <w:tcPr>
            <w:tcW w:w="3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shd w:val="clear" w:color="auto" w:fill="DBDBDB"/>
          </w:tcPr>
          <w:p>
            <w:pPr>
              <w:jc w:val="center"/>
              <w:ind w:left="531"/>
              <w:spacing w:after="0"/>
              <w:rPr>
                <w:sz w:val="20"/>
                <w:szCs w:val="20"/>
                <w:color w:val="auto"/>
              </w:rPr>
            </w:pPr>
            <w:r>
              <w:rPr>
                <w:rFonts w:ascii="Arial" w:cs="Arial" w:eastAsia="Arial" w:hAnsi="Arial"/>
                <w:sz w:val="14"/>
                <w:szCs w:val="14"/>
                <w:color w:val="auto"/>
              </w:rPr>
              <w:t>4.3</w:t>
            </w:r>
          </w:p>
        </w:tc>
        <w:tc>
          <w:tcPr>
            <w:tcW w:w="52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216.6</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Supplemental sales information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8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r>
      <w:tr>
        <w:trPr>
          <w:trHeight w:val="180"/>
        </w:trPr>
        <w:tc>
          <w:tcPr>
            <w:tcW w:w="7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80" w:type="dxa"/>
            <w:vAlign w:val="bottom"/>
            <w:gridSpan w:val="2"/>
          </w:tcPr>
          <w:p>
            <w:pPr>
              <w:jc w:val="right"/>
              <w:ind w:right="551"/>
              <w:spacing w:after="0"/>
              <w:rPr>
                <w:sz w:val="20"/>
                <w:szCs w:val="20"/>
                <w:color w:val="auto"/>
              </w:rPr>
            </w:pPr>
            <w:r>
              <w:rPr>
                <w:rFonts w:ascii="Arial" w:cs="Arial" w:eastAsia="Arial" w:hAnsi="Arial"/>
                <w:sz w:val="14"/>
                <w:szCs w:val="14"/>
                <w:b w:val="1"/>
                <w:bCs w:val="1"/>
                <w:color w:val="auto"/>
              </w:rPr>
              <w:t>January 31,</w:t>
            </w:r>
          </w:p>
        </w:tc>
        <w:tc>
          <w:tcPr>
            <w:tcW w:w="760" w:type="dxa"/>
            <w:vAlign w:val="bottom"/>
          </w:tcPr>
          <w:p>
            <w:pPr>
              <w:spacing w:after="0"/>
              <w:rPr>
                <w:sz w:val="15"/>
                <w:szCs w:val="15"/>
                <w:color w:val="auto"/>
              </w:rPr>
            </w:pPr>
          </w:p>
        </w:tc>
      </w:tr>
      <w:tr>
        <w:trPr>
          <w:trHeight w:val="24"/>
        </w:trPr>
        <w:tc>
          <w:tcPr>
            <w:tcW w:w="7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8"/>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Pr>
          <w:p>
            <w:pPr>
              <w:spacing w:after="0"/>
              <w:rPr>
                <w:sz w:val="16"/>
                <w:szCs w:val="16"/>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b w:val="1"/>
                <w:bCs w:val="1"/>
                <w:color w:val="auto"/>
              </w:rPr>
              <w:t>2023</w:t>
            </w:r>
          </w:p>
        </w:tc>
        <w:tc>
          <w:tcPr>
            <w:tcW w:w="102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b w:val="1"/>
                <w:bCs w:val="1"/>
                <w:color w:val="auto"/>
              </w:rPr>
              <w:t>2022</w:t>
            </w:r>
          </w:p>
        </w:tc>
      </w:tr>
      <w:tr>
        <w:trPr>
          <w:trHeight w:val="24"/>
        </w:trPr>
        <w:tc>
          <w:tcPr>
            <w:tcW w:w="7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2"/>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i w:val="1"/>
                <w:iCs w:val="1"/>
                <w:color w:val="auto"/>
              </w:rPr>
              <w:t>By type</w:t>
            </w:r>
          </w:p>
        </w:tc>
        <w:tc>
          <w:tcPr>
            <w:tcW w:w="58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spacing w:after="0"/>
              <w:rPr>
                <w:sz w:val="16"/>
                <w:szCs w:val="16"/>
                <w:color w:val="auto"/>
              </w:rPr>
            </w:pPr>
          </w:p>
        </w:tc>
      </w:tr>
      <w:tr>
        <w:trPr>
          <w:trHeight w:val="195"/>
        </w:trPr>
        <w:tc>
          <w:tcPr>
            <w:tcW w:w="7720" w:type="dxa"/>
            <w:vAlign w:val="bottom"/>
          </w:tcPr>
          <w:p>
            <w:pPr>
              <w:ind w:left="220"/>
              <w:spacing w:after="0"/>
              <w:rPr>
                <w:sz w:val="20"/>
                <w:szCs w:val="20"/>
                <w:color w:val="auto"/>
              </w:rPr>
            </w:pPr>
            <w:r>
              <w:rPr>
                <w:rFonts w:ascii="Arial" w:cs="Arial" w:eastAsia="Arial" w:hAnsi="Arial"/>
                <w:sz w:val="14"/>
                <w:szCs w:val="14"/>
                <w:color w:val="auto"/>
              </w:rPr>
              <w:t>Avocado</w:t>
            </w:r>
          </w:p>
        </w:tc>
        <w:tc>
          <w:tcPr>
            <w:tcW w:w="580" w:type="dxa"/>
            <w:vAlign w:val="bottom"/>
          </w:tcPr>
          <w:p>
            <w:pPr>
              <w:jc w:val="right"/>
              <w:ind w:right="411"/>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174.0</w:t>
            </w:r>
          </w:p>
        </w:tc>
        <w:tc>
          <w:tcPr>
            <w:tcW w:w="10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209.1</w:t>
            </w:r>
          </w:p>
        </w:tc>
      </w:tr>
      <w:tr>
        <w:trPr>
          <w:trHeight w:val="24"/>
        </w:trPr>
        <w:tc>
          <w:tcPr>
            <w:tcW w:w="7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9"/>
        </w:trPr>
        <w:tc>
          <w:tcPr>
            <w:tcW w:w="77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Blueberry</w:t>
            </w:r>
            <w:r>
              <w:rPr>
                <w:rFonts w:ascii="Arial" w:cs="Arial" w:eastAsia="Arial" w:hAnsi="Arial"/>
                <w:sz w:val="8"/>
                <w:szCs w:val="8"/>
                <w:color w:val="auto"/>
              </w:rPr>
              <w:t>(1)</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29.8</w:t>
            </w: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720" w:type="dxa"/>
            <w:vAlign w:val="bottom"/>
          </w:tcPr>
          <w:p>
            <w:pPr>
              <w:ind w:left="220"/>
              <w:spacing w:after="0"/>
              <w:rPr>
                <w:sz w:val="20"/>
                <w:szCs w:val="20"/>
                <w:color w:val="auto"/>
              </w:rPr>
            </w:pPr>
            <w:r>
              <w:rPr>
                <w:rFonts w:ascii="Arial" w:cs="Arial" w:eastAsia="Arial" w:hAnsi="Arial"/>
                <w:sz w:val="14"/>
                <w:szCs w:val="14"/>
                <w:color w:val="auto"/>
              </w:rPr>
              <w:t>Mango</w:t>
            </w:r>
          </w:p>
        </w:tc>
        <w:tc>
          <w:tcPr>
            <w:tcW w:w="580" w:type="dxa"/>
            <w:vAlign w:val="bottom"/>
          </w:tcPr>
          <w:p>
            <w:pPr>
              <w:spacing w:after="0"/>
              <w:rPr>
                <w:sz w:val="16"/>
                <w:szCs w:val="16"/>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7.3</w:t>
            </w:r>
          </w:p>
        </w:tc>
        <w:tc>
          <w:tcPr>
            <w:tcW w:w="10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4"/>
        </w:trPr>
        <w:tc>
          <w:tcPr>
            <w:tcW w:w="7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4"/>
        </w:trPr>
        <w:tc>
          <w:tcPr>
            <w:tcW w:w="77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Other</w:t>
            </w:r>
          </w:p>
        </w:tc>
        <w:tc>
          <w:tcPr>
            <w:tcW w:w="58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2.4</w:t>
            </w:r>
          </w:p>
        </w:tc>
        <w:tc>
          <w:tcPr>
            <w:tcW w:w="102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4.5</w:t>
            </w:r>
          </w:p>
        </w:tc>
      </w:tr>
      <w:tr>
        <w:trPr>
          <w:trHeight w:val="188"/>
        </w:trPr>
        <w:tc>
          <w:tcPr>
            <w:tcW w:w="77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8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213.5</w:t>
            </w:r>
          </w:p>
        </w:tc>
        <w:tc>
          <w:tcPr>
            <w:tcW w:w="102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216.6</w:t>
            </w:r>
          </w:p>
        </w:tc>
      </w:tr>
      <w:tr>
        <w:trPr>
          <w:trHeight w:val="24"/>
        </w:trPr>
        <w:tc>
          <w:tcPr>
            <w:tcW w:w="7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9"/>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i w:val="1"/>
                <w:iCs w:val="1"/>
                <w:color w:val="auto"/>
              </w:rPr>
              <w:t>By customer location</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r>
      <w:tr>
        <w:trPr>
          <w:trHeight w:val="195"/>
        </w:trPr>
        <w:tc>
          <w:tcPr>
            <w:tcW w:w="7720" w:type="dxa"/>
            <w:vAlign w:val="bottom"/>
          </w:tcPr>
          <w:p>
            <w:pPr>
              <w:ind w:left="220"/>
              <w:spacing w:after="0"/>
              <w:rPr>
                <w:sz w:val="20"/>
                <w:szCs w:val="20"/>
                <w:color w:val="auto"/>
              </w:rPr>
            </w:pPr>
            <w:r>
              <w:rPr>
                <w:rFonts w:ascii="Arial" w:cs="Arial" w:eastAsia="Arial" w:hAnsi="Arial"/>
                <w:sz w:val="14"/>
                <w:szCs w:val="14"/>
                <w:color w:val="auto"/>
              </w:rPr>
              <w:t>United States</w:t>
            </w:r>
          </w:p>
        </w:tc>
        <w:tc>
          <w:tcPr>
            <w:tcW w:w="580" w:type="dxa"/>
            <w:vAlign w:val="bottom"/>
          </w:tcPr>
          <w:p>
            <w:pPr>
              <w:jc w:val="right"/>
              <w:ind w:right="411"/>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174.6</w:t>
            </w:r>
          </w:p>
        </w:tc>
        <w:tc>
          <w:tcPr>
            <w:tcW w:w="10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178.1</w:t>
            </w:r>
          </w:p>
        </w:tc>
      </w:tr>
      <w:tr>
        <w:trPr>
          <w:trHeight w:val="24"/>
        </w:trPr>
        <w:tc>
          <w:tcPr>
            <w:tcW w:w="7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4"/>
        </w:trPr>
        <w:tc>
          <w:tcPr>
            <w:tcW w:w="77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Rest of world</w:t>
            </w:r>
          </w:p>
        </w:tc>
        <w:tc>
          <w:tcPr>
            <w:tcW w:w="58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38.9</w:t>
            </w:r>
          </w:p>
        </w:tc>
        <w:tc>
          <w:tcPr>
            <w:tcW w:w="102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38.5</w:t>
            </w:r>
          </w:p>
        </w:tc>
      </w:tr>
      <w:tr>
        <w:trPr>
          <w:trHeight w:val="188"/>
        </w:trPr>
        <w:tc>
          <w:tcPr>
            <w:tcW w:w="77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8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213.5</w:t>
            </w:r>
          </w:p>
        </w:tc>
        <w:tc>
          <w:tcPr>
            <w:tcW w:w="102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216.6</w:t>
            </w:r>
          </w:p>
        </w:tc>
      </w:tr>
      <w:tr>
        <w:trPr>
          <w:trHeight w:val="24"/>
        </w:trPr>
        <w:tc>
          <w:tcPr>
            <w:tcW w:w="77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45" w:lineRule="exact"/>
        <w:rPr>
          <w:sz w:val="20"/>
          <w:szCs w:val="20"/>
          <w:color w:val="auto"/>
        </w:rPr>
      </w:pPr>
    </w:p>
    <w:p>
      <w:pPr>
        <w:ind w:left="160" w:hanging="157"/>
        <w:spacing w:after="0"/>
        <w:tabs>
          <w:tab w:leader="none" w:pos="16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Blueberry sales are generated entirely by our Blueberries segment, and are therefore reported prospectively from May 1, 2022.</w:t>
      </w: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328" w:lineRule="exact"/>
        <w:rPr>
          <w:rFonts w:ascii="Arial" w:cs="Arial" w:eastAsia="Arial" w:hAnsi="Arial"/>
          <w:sz w:val="16"/>
          <w:szCs w:val="16"/>
          <w:color w:val="auto"/>
          <w:vertAlign w:val="superscript"/>
        </w:rPr>
      </w:pPr>
    </w:p>
    <w:p>
      <w:pPr>
        <w:ind w:left="5860"/>
        <w:spacing w:after="0"/>
        <w:rPr>
          <w:rFonts w:ascii="Arial" w:cs="Arial" w:eastAsia="Arial" w:hAnsi="Arial"/>
          <w:sz w:val="16"/>
          <w:szCs w:val="16"/>
          <w:color w:val="auto"/>
          <w:vertAlign w:val="superscript"/>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8" w:name="page19"/>
    <w:bookmarkEnd w:id="18"/>
    <w:p>
      <w:pPr>
        <w:jc w:val="center"/>
        <w:ind w:right="-16"/>
        <w:spacing w:after="0"/>
        <w:rPr>
          <w:sz w:val="20"/>
          <w:szCs w:val="20"/>
          <w:color w:val="auto"/>
        </w:rPr>
      </w:pPr>
      <w:r>
        <w:rPr>
          <w:rFonts w:ascii="Arial" w:cs="Arial" w:eastAsia="Arial" w:hAnsi="Arial"/>
          <w:sz w:val="21"/>
          <w:szCs w:val="21"/>
          <w:b w:val="1"/>
          <w:bCs w:val="1"/>
          <w:color w:val="auto"/>
        </w:rPr>
        <w:t>MISSION PRODUCE, INC.</w:t>
      </w:r>
    </w:p>
    <w:p>
      <w:pPr>
        <w:spacing w:after="0" w:line="33" w:lineRule="exact"/>
        <w:rPr>
          <w:sz w:val="20"/>
          <w:szCs w:val="20"/>
          <w:color w:val="auto"/>
        </w:rPr>
      </w:pPr>
    </w:p>
    <w:p>
      <w:pPr>
        <w:jc w:val="center"/>
        <w:ind w:right="-16"/>
        <w:spacing w:after="0"/>
        <w:rPr>
          <w:sz w:val="20"/>
          <w:szCs w:val="20"/>
          <w:color w:val="auto"/>
        </w:rPr>
      </w:pPr>
      <w:r>
        <w:rPr>
          <w:rFonts w:ascii="Arial" w:cs="Arial" w:eastAsia="Arial" w:hAnsi="Arial"/>
          <w:sz w:val="21"/>
          <w:szCs w:val="21"/>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17"/>
        <w:spacing w:after="0"/>
        <w:rPr>
          <w:sz w:val="20"/>
          <w:szCs w:val="20"/>
          <w:color w:val="auto"/>
        </w:rPr>
      </w:pPr>
      <w:r>
        <w:rPr>
          <w:rFonts w:ascii="Arial" w:cs="Arial" w:eastAsia="Arial" w:hAnsi="Arial"/>
          <w:sz w:val="15"/>
          <w:szCs w:val="15"/>
          <w:color w:val="auto"/>
        </w:rPr>
        <w:t>Adjusted EBITDA (as defined above) for each of our reportable segments was as follows:</w:t>
      </w:r>
    </w:p>
    <w:p>
      <w:pPr>
        <w:spacing w:after="0" w:line="343" w:lineRule="exact"/>
        <w:rPr>
          <w:sz w:val="20"/>
          <w:szCs w:val="20"/>
          <w:color w:val="auto"/>
        </w:rPr>
      </w:pPr>
    </w:p>
    <w:tbl>
      <w:tblPr>
        <w:tblLayout w:type="fixed"/>
        <w:tblInd w:w="37" w:type="dxa"/>
        <w:tblCellMar>
          <w:top w:w="0" w:type="dxa"/>
          <w:left w:w="0" w:type="dxa"/>
          <w:bottom w:w="0" w:type="dxa"/>
          <w:right w:w="0" w:type="dxa"/>
        </w:tblCellMar>
      </w:tblPr>
      <w:tr>
        <w:trPr>
          <w:trHeight w:val="168"/>
        </w:trPr>
        <w:tc>
          <w:tcPr>
            <w:tcW w:w="7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8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80" w:type="dxa"/>
            <w:vAlign w:val="bottom"/>
            <w:gridSpan w:val="2"/>
          </w:tcPr>
          <w:p>
            <w:pPr>
              <w:jc w:val="right"/>
              <w:ind w:right="551"/>
              <w:spacing w:after="0"/>
              <w:rPr>
                <w:sz w:val="20"/>
                <w:szCs w:val="20"/>
                <w:color w:val="auto"/>
              </w:rPr>
            </w:pPr>
            <w:r>
              <w:rPr>
                <w:rFonts w:ascii="Arial" w:cs="Arial" w:eastAsia="Arial" w:hAnsi="Arial"/>
                <w:sz w:val="14"/>
                <w:szCs w:val="14"/>
                <w:b w:val="1"/>
                <w:bCs w:val="1"/>
                <w:color w:val="auto"/>
              </w:rPr>
              <w:t>January 31,</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6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jc w:val="right"/>
              <w:ind w:right="131"/>
              <w:spacing w:after="0"/>
              <w:rPr>
                <w:sz w:val="20"/>
                <w:szCs w:val="20"/>
                <w:color w:val="auto"/>
              </w:rPr>
            </w:pPr>
            <w:r>
              <w:rPr>
                <w:rFonts w:ascii="Arial" w:cs="Arial" w:eastAsia="Arial" w:hAnsi="Arial"/>
                <w:sz w:val="14"/>
                <w:szCs w:val="14"/>
                <w:b w:val="1"/>
                <w:bCs w:val="1"/>
                <w:color w:val="auto"/>
              </w:rPr>
              <w:t>2023</w:t>
            </w:r>
          </w:p>
        </w:tc>
        <w:tc>
          <w:tcPr>
            <w:tcW w:w="102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
        </w:trPr>
        <w:tc>
          <w:tcPr>
            <w:tcW w:w="7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Marketing and Distribution adjusted EBITDA</w:t>
            </w:r>
          </w:p>
        </w:tc>
        <w:tc>
          <w:tcPr>
            <w:tcW w:w="5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4.6</w:t>
            </w:r>
          </w:p>
        </w:tc>
        <w:tc>
          <w:tcPr>
            <w:tcW w:w="102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5"/>
        </w:trPr>
        <w:tc>
          <w:tcPr>
            <w:tcW w:w="7660" w:type="dxa"/>
            <w:vAlign w:val="bottom"/>
          </w:tcPr>
          <w:p>
            <w:pPr>
              <w:ind w:left="20"/>
              <w:spacing w:after="0"/>
              <w:rPr>
                <w:sz w:val="20"/>
                <w:szCs w:val="20"/>
                <w:color w:val="auto"/>
              </w:rPr>
            </w:pPr>
            <w:r>
              <w:rPr>
                <w:rFonts w:ascii="Arial" w:cs="Arial" w:eastAsia="Arial" w:hAnsi="Arial"/>
                <w:sz w:val="14"/>
                <w:szCs w:val="14"/>
                <w:color w:val="auto"/>
              </w:rPr>
              <w:t>International Farming adjusted EBITDA</w:t>
            </w:r>
          </w:p>
        </w:tc>
        <w:tc>
          <w:tcPr>
            <w:tcW w:w="580" w:type="dxa"/>
            <w:vAlign w:val="bottom"/>
          </w:tcPr>
          <w:p>
            <w:pPr>
              <w:spacing w:after="0"/>
              <w:rPr>
                <w:sz w:val="16"/>
                <w:szCs w:val="16"/>
                <w:color w:val="auto"/>
              </w:rPr>
            </w:pPr>
          </w:p>
        </w:tc>
        <w:tc>
          <w:tcPr>
            <w:tcW w:w="1160" w:type="dxa"/>
            <w:vAlign w:val="bottom"/>
          </w:tcPr>
          <w:p>
            <w:pPr>
              <w:jc w:val="right"/>
              <w:ind w:right="31"/>
              <w:spacing w:after="0"/>
              <w:rPr>
                <w:sz w:val="20"/>
                <w:szCs w:val="20"/>
                <w:color w:val="auto"/>
              </w:rPr>
            </w:pPr>
            <w:r>
              <w:rPr>
                <w:rFonts w:ascii="Arial" w:cs="Arial" w:eastAsia="Arial" w:hAnsi="Arial"/>
                <w:sz w:val="14"/>
                <w:szCs w:val="14"/>
                <w:color w:val="auto"/>
              </w:rPr>
              <w:t>(1.8)</w:t>
            </w:r>
          </w:p>
        </w:tc>
        <w:tc>
          <w:tcPr>
            <w:tcW w:w="10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Blueberries adjusted EBITDA</w:t>
            </w:r>
          </w:p>
        </w:tc>
        <w:tc>
          <w:tcPr>
            <w:tcW w:w="58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(0.5)</w:t>
            </w:r>
          </w:p>
        </w:tc>
        <w:tc>
          <w:tcPr>
            <w:tcW w:w="102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58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2.3</w:t>
            </w:r>
          </w:p>
        </w:tc>
        <w:tc>
          <w:tcPr>
            <w:tcW w:w="102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4"/>
        </w:trPr>
        <w:tc>
          <w:tcPr>
            <w:tcW w:w="7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w:t>
            </w:r>
          </w:p>
        </w:tc>
        <w:tc>
          <w:tcPr>
            <w:tcW w:w="58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(10.6)</w:t>
            </w:r>
          </w:p>
        </w:tc>
        <w:tc>
          <w:tcPr>
            <w:tcW w:w="102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5"/>
        </w:trPr>
        <w:tc>
          <w:tcPr>
            <w:tcW w:w="76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80" w:type="dxa"/>
            <w:vAlign w:val="bottom"/>
          </w:tcPr>
          <w:p>
            <w:pPr>
              <w:spacing w:after="0"/>
              <w:rPr>
                <w:sz w:val="16"/>
                <w:szCs w:val="16"/>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2.4</w:t>
            </w:r>
          </w:p>
        </w:tc>
        <w:tc>
          <w:tcPr>
            <w:tcW w:w="102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Income tax benefit</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(1.7)</w:t>
            </w: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9"/>
        </w:trPr>
        <w:tc>
          <w:tcPr>
            <w:tcW w:w="7660" w:type="dxa"/>
            <w:vAlign w:val="bottom"/>
          </w:tcPr>
          <w:p>
            <w:pPr>
              <w:ind w:left="2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17"/>
                <w:szCs w:val="17"/>
                <w:color w:val="auto"/>
                <w:vertAlign w:val="superscript"/>
              </w:rPr>
              <w:t>(1)</w:t>
            </w:r>
          </w:p>
        </w:tc>
        <w:tc>
          <w:tcPr>
            <w:tcW w:w="5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9.3</w:t>
            </w:r>
          </w:p>
        </w:tc>
        <w:tc>
          <w:tcPr>
            <w:tcW w:w="102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9"/>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(1.0)</w:t>
            </w: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5"/>
        </w:trPr>
        <w:tc>
          <w:tcPr>
            <w:tcW w:w="76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80" w:type="dxa"/>
            <w:vAlign w:val="bottom"/>
          </w:tcPr>
          <w:p>
            <w:pPr>
              <w:spacing w:after="0"/>
              <w:rPr>
                <w:sz w:val="16"/>
                <w:szCs w:val="16"/>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0.7</w:t>
            </w:r>
          </w:p>
        </w:tc>
        <w:tc>
          <w:tcPr>
            <w:tcW w:w="102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Asset impairment and disposals, net of insurance recoveries</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0.3</w:t>
            </w: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5"/>
        </w:trPr>
        <w:tc>
          <w:tcPr>
            <w:tcW w:w="7660" w:type="dxa"/>
            <w:vAlign w:val="bottom"/>
          </w:tcPr>
          <w:p>
            <w:pPr>
              <w:ind w:left="20"/>
              <w:spacing w:after="0"/>
              <w:rPr>
                <w:sz w:val="20"/>
                <w:szCs w:val="20"/>
                <w:color w:val="auto"/>
              </w:rPr>
            </w:pPr>
            <w:r>
              <w:rPr>
                <w:rFonts w:ascii="Arial" w:cs="Arial" w:eastAsia="Arial" w:hAnsi="Arial"/>
                <w:sz w:val="14"/>
                <w:szCs w:val="14"/>
                <w:color w:val="auto"/>
              </w:rPr>
              <w:t>Farming costs for nonproductive orchards</w:t>
            </w:r>
          </w:p>
        </w:tc>
        <w:tc>
          <w:tcPr>
            <w:tcW w:w="580" w:type="dxa"/>
            <w:vAlign w:val="bottom"/>
          </w:tcPr>
          <w:p>
            <w:pPr>
              <w:spacing w:after="0"/>
              <w:rPr>
                <w:sz w:val="16"/>
                <w:szCs w:val="16"/>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0.4</w:t>
            </w:r>
          </w:p>
        </w:tc>
        <w:tc>
          <w:tcPr>
            <w:tcW w:w="102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7660" w:type="dxa"/>
            <w:vAlign w:val="bottom"/>
            <w:shd w:val="clear" w:color="auto" w:fill="DBDBDB"/>
          </w:tcPr>
          <w:p>
            <w:pPr>
              <w:ind w:left="20"/>
              <w:spacing w:after="0"/>
              <w:rPr>
                <w:sz w:val="20"/>
                <w:szCs w:val="20"/>
                <w:color w:val="auto"/>
              </w:rPr>
            </w:pPr>
            <w:r>
              <w:rPr>
                <w:rFonts w:ascii="Arial" w:cs="Arial" w:eastAsia="Arial" w:hAnsi="Arial"/>
                <w:sz w:val="14"/>
                <w:szCs w:val="14"/>
                <w:color w:val="auto"/>
              </w:rPr>
              <w:t>ERP costs</w:t>
            </w:r>
            <w:r>
              <w:rPr>
                <w:rFonts w:ascii="Arial" w:cs="Arial" w:eastAsia="Arial" w:hAnsi="Arial"/>
                <w:sz w:val="17"/>
                <w:szCs w:val="17"/>
                <w:color w:val="auto"/>
                <w:vertAlign w:val="superscript"/>
              </w:rPr>
              <w:t>(2)</w:t>
            </w:r>
          </w:p>
        </w:tc>
        <w:tc>
          <w:tcPr>
            <w:tcW w:w="58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71"/>
              <w:spacing w:after="0"/>
              <w:rPr>
                <w:sz w:val="20"/>
                <w:szCs w:val="20"/>
                <w:color w:val="auto"/>
              </w:rPr>
            </w:pPr>
            <w:r>
              <w:rPr>
                <w:rFonts w:ascii="Arial" w:cs="Arial" w:eastAsia="Arial" w:hAnsi="Arial"/>
                <w:sz w:val="14"/>
                <w:szCs w:val="14"/>
                <w:color w:val="auto"/>
              </w:rPr>
              <w:t>0.6</w:t>
            </w:r>
          </w:p>
        </w:tc>
        <w:tc>
          <w:tcPr>
            <w:tcW w:w="1020" w:type="dxa"/>
            <w:vAlign w:val="bottom"/>
            <w:shd w:val="clear" w:color="auto" w:fill="DBDBDB"/>
          </w:tcPr>
          <w:p>
            <w:pPr>
              <w:spacing w:after="0"/>
              <w:rPr>
                <w:sz w:val="19"/>
                <w:szCs w:val="19"/>
                <w:color w:val="auto"/>
              </w:rPr>
            </w:pPr>
          </w:p>
        </w:tc>
        <w:tc>
          <w:tcPr>
            <w:tcW w:w="760" w:type="dxa"/>
            <w:vAlign w:val="bottom"/>
            <w:shd w:val="clear" w:color="auto" w:fill="DBDBDB"/>
          </w:tcPr>
          <w:p>
            <w:pPr>
              <w:jc w:val="right"/>
              <w:ind w:right="11"/>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5"/>
        </w:trPr>
        <w:tc>
          <w:tcPr>
            <w:tcW w:w="766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580" w:type="dxa"/>
            <w:vAlign w:val="bottom"/>
          </w:tcPr>
          <w:p>
            <w:pPr>
              <w:spacing w:after="0"/>
              <w:rPr>
                <w:sz w:val="16"/>
                <w:szCs w:val="16"/>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0.1</w:t>
            </w:r>
          </w:p>
        </w:tc>
        <w:tc>
          <w:tcPr>
            <w:tcW w:w="1020" w:type="dxa"/>
            <w:vAlign w:val="bottom"/>
          </w:tcPr>
          <w:p>
            <w:pPr>
              <w:spacing w:after="0"/>
              <w:rPr>
                <w:sz w:val="16"/>
                <w:szCs w:val="16"/>
                <w:color w:val="auto"/>
              </w:rPr>
            </w:pP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Amortization of inventory adjustment recognized from business combination</w:t>
            </w: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0.7</w:t>
            </w: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766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580" w:type="dxa"/>
            <w:vAlign w:val="bottom"/>
          </w:tcPr>
          <w:p>
            <w:pPr>
              <w:spacing w:after="0"/>
              <w:rPr>
                <w:sz w:val="16"/>
                <w:szCs w:val="16"/>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0.8</w:t>
            </w:r>
          </w:p>
        </w:tc>
        <w:tc>
          <w:tcPr>
            <w:tcW w:w="10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76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Noncontrolling interest</w:t>
            </w:r>
            <w:r>
              <w:rPr>
                <w:rFonts w:ascii="Arial" w:cs="Arial" w:eastAsia="Arial" w:hAnsi="Arial"/>
                <w:sz w:val="17"/>
                <w:szCs w:val="17"/>
                <w:color w:val="auto"/>
                <w:vertAlign w:val="superscript"/>
              </w:rPr>
              <w:t>(3)</w:t>
            </w:r>
          </w:p>
        </w:tc>
        <w:tc>
          <w:tcPr>
            <w:tcW w:w="58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ind w:right="71"/>
              <w:spacing w:after="0"/>
              <w:rPr>
                <w:sz w:val="20"/>
                <w:szCs w:val="20"/>
                <w:color w:val="auto"/>
              </w:rPr>
            </w:pPr>
            <w:r>
              <w:rPr>
                <w:rFonts w:ascii="Arial" w:cs="Arial" w:eastAsia="Arial" w:hAnsi="Arial"/>
                <w:sz w:val="14"/>
                <w:szCs w:val="14"/>
                <w:color w:val="auto"/>
              </w:rPr>
              <w:t>0.3</w:t>
            </w:r>
          </w:p>
        </w:tc>
        <w:tc>
          <w:tcPr>
            <w:tcW w:w="102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660" w:type="dxa"/>
            <w:vAlign w:val="bottom"/>
          </w:tcPr>
          <w:p>
            <w:pPr>
              <w:ind w:left="20"/>
              <w:spacing w:after="0"/>
              <w:rPr>
                <w:sz w:val="20"/>
                <w:szCs w:val="20"/>
                <w:color w:val="auto"/>
              </w:rPr>
            </w:pPr>
            <w:r>
              <w:rPr>
                <w:rFonts w:ascii="Arial" w:cs="Arial" w:eastAsia="Arial" w:hAnsi="Arial"/>
                <w:sz w:val="14"/>
                <w:szCs w:val="14"/>
                <w:color w:val="auto"/>
              </w:rPr>
              <w:t>Total adjusted EBITDA</w:t>
            </w:r>
          </w:p>
        </w:tc>
        <w:tc>
          <w:tcPr>
            <w:tcW w:w="580" w:type="dxa"/>
            <w:vAlign w:val="bottom"/>
          </w:tcPr>
          <w:p>
            <w:pPr>
              <w:jc w:val="right"/>
              <w:ind w:right="43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71"/>
              <w:spacing w:after="0"/>
              <w:rPr>
                <w:sz w:val="20"/>
                <w:szCs w:val="20"/>
                <w:color w:val="auto"/>
              </w:rPr>
            </w:pPr>
            <w:r>
              <w:rPr>
                <w:rFonts w:ascii="Arial" w:cs="Arial" w:eastAsia="Arial" w:hAnsi="Arial"/>
                <w:sz w:val="14"/>
                <w:szCs w:val="14"/>
                <w:color w:val="auto"/>
              </w:rPr>
              <w:t>2.3</w:t>
            </w:r>
          </w:p>
        </w:tc>
        <w:tc>
          <w:tcPr>
            <w:tcW w:w="10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4"/>
        </w:trPr>
        <w:tc>
          <w:tcPr>
            <w:tcW w:w="7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57" w:hanging="157"/>
        <w:spacing w:after="0"/>
        <w:tabs>
          <w:tab w:leader="none" w:pos="157"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Includes depreciation and amortization of purchase accounting assets of $1.6 million and $0.1 million for the three months ended January 31, 2023 and 2022, respectively.</w:t>
      </w:r>
    </w:p>
    <w:p>
      <w:pPr>
        <w:spacing w:after="0" w:line="48" w:lineRule="exact"/>
        <w:rPr>
          <w:rFonts w:ascii="Arial" w:cs="Arial" w:eastAsia="Arial" w:hAnsi="Arial"/>
          <w:sz w:val="16"/>
          <w:szCs w:val="16"/>
          <w:color w:val="auto"/>
          <w:vertAlign w:val="superscript"/>
        </w:rPr>
      </w:pPr>
    </w:p>
    <w:p>
      <w:pPr>
        <w:ind w:left="157" w:hanging="157"/>
        <w:spacing w:after="0" w:line="188" w:lineRule="auto"/>
        <w:tabs>
          <w:tab w:leader="none" w:pos="157"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Includes recognition of deferred implementation costs for both periods, and for the three months ended January 31, 2022, non-recurring post-implementation process reengineering costs are also included.</w:t>
      </w:r>
    </w:p>
    <w:p>
      <w:pPr>
        <w:spacing w:after="0" w:line="49" w:lineRule="exact"/>
        <w:rPr>
          <w:rFonts w:ascii="Arial" w:cs="Arial" w:eastAsia="Arial" w:hAnsi="Arial"/>
          <w:sz w:val="16"/>
          <w:szCs w:val="16"/>
          <w:color w:val="auto"/>
          <w:vertAlign w:val="superscript"/>
        </w:rPr>
      </w:pPr>
    </w:p>
    <w:p>
      <w:pPr>
        <w:ind w:left="157" w:hanging="157"/>
        <w:spacing w:after="0" w:line="188" w:lineRule="auto"/>
        <w:tabs>
          <w:tab w:leader="none" w:pos="157"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Represents net loss attributable to noncontrolling interest plus the impact of non-GAAP adjustments, allocable to the noncontrolling owner based on their percentage of ownership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57"/>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17"/>
          </w:cols>
          <w:pgMar w:left="323" w:top="185" w:right="359" w:bottom="1440" w:gutter="0" w:footer="0" w:header="0"/>
        </w:sectPr>
      </w:pPr>
    </w:p>
    <w:bookmarkStart w:id="19" w:name="page20"/>
    <w:bookmarkEnd w:id="19"/>
    <w:p>
      <w:pPr>
        <w:spacing w:after="0" w:line="21"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auto"/>
        </w:rPr>
        <w:t>Item 2.</w:t>
      </w:r>
      <w:r>
        <w:rPr>
          <w:sz w:val="20"/>
          <w:szCs w:val="20"/>
          <w:color w:val="auto"/>
        </w:rPr>
        <w:tab/>
      </w:r>
      <w:r>
        <w:rPr>
          <w:rFonts w:ascii="Arial" w:cs="Arial" w:eastAsia="Arial" w:hAnsi="Arial"/>
          <w:sz w:val="20"/>
          <w:szCs w:val="20"/>
          <w:b w:val="1"/>
          <w:bCs w:val="1"/>
          <w:color w:val="auto"/>
        </w:rPr>
        <w:t>Management’s Discussion and Analysis of Financial Condition and Results of Operations</w:t>
      </w:r>
    </w:p>
    <w:p>
      <w:pPr>
        <w:spacing w:after="0" w:line="231" w:lineRule="exact"/>
        <w:rPr>
          <w:sz w:val="20"/>
          <w:szCs w:val="20"/>
          <w:color w:val="auto"/>
        </w:rPr>
      </w:pPr>
    </w:p>
    <w:p>
      <w:pPr>
        <w:ind w:right="160" w:firstLine="619"/>
        <w:spacing w:after="0" w:line="263" w:lineRule="auto"/>
        <w:rPr>
          <w:sz w:val="20"/>
          <w:szCs w:val="20"/>
          <w:color w:val="auto"/>
        </w:rPr>
      </w:pPr>
      <w:r>
        <w:rPr>
          <w:rFonts w:ascii="Arial" w:cs="Arial" w:eastAsia="Arial" w:hAnsi="Arial"/>
          <w:sz w:val="15"/>
          <w:szCs w:val="15"/>
          <w:color w:val="auto"/>
        </w:rPr>
        <w:t>You should read the following discussion and analysis of our financial condition and results of operations together with our unaudited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236" w:lineRule="exact"/>
        <w:rPr>
          <w:sz w:val="20"/>
          <w:szCs w:val="20"/>
          <w:color w:val="auto"/>
        </w:rPr>
      </w:pPr>
    </w:p>
    <w:p>
      <w:pPr>
        <w:ind w:right="120" w:firstLine="619"/>
        <w:spacing w:after="0" w:line="269" w:lineRule="auto"/>
        <w:rPr>
          <w:sz w:val="20"/>
          <w:szCs w:val="20"/>
          <w:color w:val="auto"/>
        </w:rPr>
      </w:pPr>
      <w:r>
        <w:rPr>
          <w:rFonts w:ascii="Arial" w:cs="Arial" w:eastAsia="Arial" w:hAnsi="Arial"/>
          <w:sz w:val="15"/>
          <w:szCs w:val="15"/>
          <w:color w:val="auto"/>
        </w:rPr>
        <w:t>We are a world leader in sourcing, producing and distributing fresh avocados, serving retail, wholesale and foodservice customers. We source, produce, pack and distribute avocados and a small amount of other fruits to our customers and provide value-added services including ripening, bagging, custom packaging and logistical management. In addition, we provide our customers with merchandising and promotional support, insights on market trends and training designed to increase their retail avocado sales.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have three operating segments which are also reportable segments:</w:t>
      </w:r>
    </w:p>
    <w:p>
      <w:pPr>
        <w:spacing w:after="0" w:line="198" w:lineRule="exact"/>
        <w:rPr>
          <w:sz w:val="20"/>
          <w:szCs w:val="20"/>
          <w:color w:val="auto"/>
        </w:rPr>
      </w:pPr>
    </w:p>
    <w:p>
      <w:pPr>
        <w:ind w:left="620" w:right="220" w:hanging="307"/>
        <w:spacing w:after="0" w:line="310" w:lineRule="auto"/>
        <w:tabs>
          <w:tab w:leader="none" w:pos="597"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 xml:space="preserve">Marketing and Distribution. </w:t>
      </w:r>
      <w:r>
        <w:rPr>
          <w:rFonts w:ascii="Arial" w:cs="Arial" w:eastAsia="Arial" w:hAnsi="Arial"/>
          <w:sz w:val="15"/>
          <w:szCs w:val="15"/>
          <w:color w:val="auto"/>
        </w:rPr>
        <w:t>Our Marketing and Distribution reportable segment sources fruit from growers and then distributes the fruit through our global</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network.</w:t>
      </w:r>
    </w:p>
    <w:p>
      <w:pPr>
        <w:spacing w:after="0" w:line="134" w:lineRule="exact"/>
        <w:rPr>
          <w:rFonts w:ascii="Arial" w:cs="Arial" w:eastAsia="Arial" w:hAnsi="Arial"/>
          <w:sz w:val="15"/>
          <w:szCs w:val="15"/>
          <w:color w:val="auto"/>
        </w:rPr>
      </w:pPr>
    </w:p>
    <w:p>
      <w:pPr>
        <w:ind w:left="620" w:hanging="307"/>
        <w:spacing w:after="0" w:line="270" w:lineRule="auto"/>
        <w:tabs>
          <w:tab w:leader="none" w:pos="597"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 xml:space="preserve">International Farming. </w:t>
      </w:r>
      <w:r>
        <w:rPr>
          <w:rFonts w:ascii="Arial" w:cs="Arial" w:eastAsia="Arial" w:hAnsi="Arial"/>
          <w:sz w:val="15"/>
          <w:szCs w:val="15"/>
          <w:color w:val="auto"/>
        </w:rPr>
        <w:t>International Farming owns and operates orchards from which substantially all fruit produced is sold to our Marketing and Distribution</w:t>
      </w:r>
      <w:r>
        <w:rPr>
          <w:rFonts w:ascii="Arial" w:cs="Arial" w:eastAsia="Arial" w:hAnsi="Arial"/>
          <w:sz w:val="15"/>
          <w:szCs w:val="15"/>
          <w:i w:val="1"/>
          <w:iCs w:val="1"/>
          <w:color w:val="auto"/>
        </w:rPr>
        <w:t xml:space="preserve"> </w:t>
      </w:r>
      <w:r>
        <w:rPr>
          <w:rFonts w:ascii="Arial" w:cs="Arial" w:eastAsia="Arial" w:hAnsi="Arial"/>
          <w:sz w:val="15"/>
          <w:szCs w:val="15"/>
          <w:color w:val="auto"/>
        </w:rPr>
        <w:t>segment. Its farming activities range from cultivating early-stage plantings to harvesting from mature trees, and it also earns service revenues for packing and processing for our Blueberries segment, as well as for third-party producers of other crops during the avocado off-harvest season. Operations are principally located in Peru, with smaller operations emerging in other areas of Latin America.</w:t>
      </w:r>
    </w:p>
    <w:p>
      <w:pPr>
        <w:spacing w:after="0" w:line="177" w:lineRule="exact"/>
        <w:rPr>
          <w:rFonts w:ascii="Arial" w:cs="Arial" w:eastAsia="Arial" w:hAnsi="Arial"/>
          <w:sz w:val="15"/>
          <w:szCs w:val="15"/>
          <w:color w:val="auto"/>
        </w:rPr>
      </w:pPr>
    </w:p>
    <w:p>
      <w:pPr>
        <w:ind w:left="620" w:right="20" w:hanging="307"/>
        <w:spacing w:after="0" w:line="271" w:lineRule="auto"/>
        <w:tabs>
          <w:tab w:leader="none" w:pos="597" w:val="left"/>
        </w:tabs>
        <w:numPr>
          <w:ilvl w:val="0"/>
          <w:numId w:val="18"/>
        </w:numPr>
        <w:rPr>
          <w:rFonts w:ascii="Arial" w:cs="Arial" w:eastAsia="Arial" w:hAnsi="Arial"/>
          <w:sz w:val="15"/>
          <w:szCs w:val="15"/>
          <w:color w:val="auto"/>
        </w:rPr>
      </w:pPr>
      <w:r>
        <w:rPr>
          <w:rFonts w:ascii="Arial" w:cs="Arial" w:eastAsia="Arial" w:hAnsi="Arial"/>
          <w:sz w:val="15"/>
          <w:szCs w:val="15"/>
          <w:i w:val="1"/>
          <w:iCs w:val="1"/>
          <w:color w:val="auto"/>
        </w:rPr>
        <w:t xml:space="preserve">Blueberries. </w:t>
      </w:r>
      <w:r>
        <w:rPr>
          <w:rFonts w:ascii="Arial" w:cs="Arial" w:eastAsia="Arial" w:hAnsi="Arial"/>
          <w:sz w:val="15"/>
          <w:szCs w:val="15"/>
          <w:color w:val="auto"/>
        </w:rPr>
        <w:t>The Blueberries segment represents the results of Moruga, subsequent to its consolidation on May 1, 2022. Moruga’s farming activities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cultivating early-stage blueberry plantings and harvesting mature bushes. Substantially all of blueberries produced are sold to a single distributor under an exclusive marketing agreement.</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Results of Operations</w:t>
      </w:r>
    </w:p>
    <w:p>
      <w:pPr>
        <w:spacing w:after="0" w:line="236" w:lineRule="exact"/>
        <w:rPr>
          <w:sz w:val="20"/>
          <w:szCs w:val="20"/>
          <w:color w:val="auto"/>
        </w:rPr>
      </w:pPr>
    </w:p>
    <w:p>
      <w:pPr>
        <w:ind w:right="120" w:firstLine="619"/>
        <w:spacing w:after="0" w:line="269" w:lineRule="auto"/>
        <w:rPr>
          <w:sz w:val="20"/>
          <w:szCs w:val="20"/>
          <w:color w:val="auto"/>
        </w:rPr>
      </w:pPr>
      <w:r>
        <w:rPr>
          <w:rFonts w:ascii="Arial" w:cs="Arial" w:eastAsia="Arial" w:hAnsi="Arial"/>
          <w:sz w:val="15"/>
          <w:szCs w:val="15"/>
          <w:color w:val="auto"/>
        </w:rPr>
        <w:t>The operating results of our businesses are significantly impacted by the price and volume of fruit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spacing w:after="0" w:line="181" w:lineRule="exact"/>
        <w:rPr>
          <w:sz w:val="20"/>
          <w:szCs w:val="20"/>
          <w:color w:val="auto"/>
        </w:rPr>
      </w:pPr>
    </w:p>
    <w:p>
      <w:pPr>
        <w:ind w:right="20" w:firstLine="619"/>
        <w:spacing w:after="0" w:line="260" w:lineRule="auto"/>
        <w:rPr>
          <w:sz w:val="20"/>
          <w:szCs w:val="20"/>
          <w:color w:val="auto"/>
        </w:rPr>
      </w:pPr>
      <w:r>
        <w:rPr>
          <w:rFonts w:ascii="Arial" w:cs="Arial" w:eastAsia="Arial" w:hAnsi="Arial"/>
          <w:sz w:val="15"/>
          <w:szCs w:val="15"/>
          <w:color w:val="auto"/>
        </w:rPr>
        <w:t>Our financial reporting currency is the U.S. dollar. The functional currency of substantially all of our subsidiaries is the U.S. dollar and substantially all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61"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19685</wp:posOffset>
            </wp:positionV>
            <wp:extent cx="2955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55290" cy="8255"/>
                    </a:xfrm>
                    <a:prstGeom prst="rect">
                      <a:avLst/>
                    </a:prstGeom>
                    <a:noFill/>
                  </pic:spPr>
                </pic:pic>
              </a:graphicData>
            </a:graphic>
          </wp:anchor>
        </w:drawing>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231"/>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ind w:right="231"/>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r>
      <w:tr>
        <w:trPr>
          <w:trHeight w:val="24"/>
        </w:trPr>
        <w:tc>
          <w:tcPr>
            <w:tcW w:w="65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8"/>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for percentages)</w:t>
            </w:r>
          </w:p>
        </w:tc>
        <w:tc>
          <w:tcPr>
            <w:tcW w:w="460" w:type="dxa"/>
            <w:vAlign w:val="bottom"/>
          </w:tcPr>
          <w:p>
            <w:pPr>
              <w:spacing w:after="0"/>
              <w:rPr>
                <w:sz w:val="16"/>
                <w:szCs w:val="16"/>
                <w:color w:val="auto"/>
              </w:rPr>
            </w:pPr>
          </w:p>
        </w:tc>
        <w:tc>
          <w:tcPr>
            <w:tcW w:w="1100" w:type="dxa"/>
            <w:vAlign w:val="bottom"/>
          </w:tcPr>
          <w:p>
            <w:pPr>
              <w:jc w:val="right"/>
              <w:ind w:right="191"/>
              <w:spacing w:after="0"/>
              <w:rPr>
                <w:sz w:val="20"/>
                <w:szCs w:val="20"/>
                <w:color w:val="auto"/>
              </w:rPr>
            </w:pPr>
            <w:r>
              <w:rPr>
                <w:rFonts w:ascii="Arial" w:cs="Arial" w:eastAsia="Arial" w:hAnsi="Arial"/>
                <w:sz w:val="14"/>
                <w:szCs w:val="14"/>
                <w:b w:val="1"/>
                <w:bCs w:val="1"/>
                <w:color w:val="auto"/>
              </w:rPr>
              <w:t>Dollars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191"/>
              <w:spacing w:after="0"/>
              <w:rPr>
                <w:sz w:val="20"/>
                <w:szCs w:val="20"/>
                <w:color w:val="auto"/>
              </w:rPr>
            </w:pPr>
            <w:r>
              <w:rPr>
                <w:rFonts w:ascii="Arial" w:cs="Arial" w:eastAsia="Arial" w:hAnsi="Arial"/>
                <w:sz w:val="14"/>
                <w:szCs w:val="14"/>
                <w:b w:val="1"/>
                <w:bCs w:val="1"/>
                <w:color w:val="auto"/>
              </w:rPr>
              <w:t>Dollars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4"/>
        </w:trPr>
        <w:tc>
          <w:tcPr>
            <w:tcW w:w="6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2"/>
        </w:trPr>
        <w:tc>
          <w:tcPr>
            <w:tcW w:w="6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460" w:type="dxa"/>
            <w:vAlign w:val="bottom"/>
            <w:tcBorders>
              <w:bottom w:val="single" w:sz="8" w:color="DBDBDB"/>
            </w:tcBorders>
            <w:shd w:val="clear" w:color="auto" w:fill="DBDBDB"/>
          </w:tcPr>
          <w:p>
            <w:pPr>
              <w:jc w:val="right"/>
              <w:ind w:right="31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DBDBDB"/>
            </w:tcBorders>
            <w:shd w:val="clear" w:color="auto" w:fill="DBDBDB"/>
          </w:tcPr>
          <w:p>
            <w:pPr>
              <w:jc w:val="right"/>
              <w:ind w:right="231"/>
              <w:spacing w:after="0"/>
              <w:rPr>
                <w:sz w:val="20"/>
                <w:szCs w:val="20"/>
                <w:color w:val="auto"/>
              </w:rPr>
            </w:pPr>
            <w:r>
              <w:rPr>
                <w:rFonts w:ascii="Arial" w:cs="Arial" w:eastAsia="Arial" w:hAnsi="Arial"/>
                <w:sz w:val="14"/>
                <w:szCs w:val="14"/>
                <w:color w:val="auto"/>
              </w:rPr>
              <w:t>213.5</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60" w:type="dxa"/>
            <w:vAlign w:val="bottom"/>
            <w:tcBorders>
              <w:bottom w:val="single" w:sz="8" w:color="DBDBDB"/>
            </w:tcBorders>
            <w:shd w:val="clear" w:color="auto" w:fill="DBDBDB"/>
          </w:tcPr>
          <w:p>
            <w:pPr>
              <w:spacing w:after="0"/>
              <w:rPr>
                <w:sz w:val="16"/>
                <w:szCs w:val="16"/>
                <w:color w:val="auto"/>
              </w:rPr>
            </w:pPr>
          </w:p>
        </w:tc>
        <w:tc>
          <w:tcPr>
            <w:tcW w:w="480" w:type="dxa"/>
            <w:vAlign w:val="bottom"/>
            <w:tcBorders>
              <w:bottom w:val="single" w:sz="8" w:color="DBDBDB"/>
            </w:tcBorders>
            <w:shd w:val="clear" w:color="auto" w:fill="DBDBDB"/>
          </w:tcPr>
          <w:p>
            <w:pPr>
              <w:jc w:val="right"/>
              <w:ind w:right="31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251"/>
              <w:spacing w:after="0"/>
              <w:rPr>
                <w:sz w:val="20"/>
                <w:szCs w:val="20"/>
                <w:color w:val="auto"/>
              </w:rPr>
            </w:pPr>
            <w:r>
              <w:rPr>
                <w:rFonts w:ascii="Arial" w:cs="Arial" w:eastAsia="Arial" w:hAnsi="Arial"/>
                <w:sz w:val="14"/>
                <w:szCs w:val="14"/>
                <w:color w:val="auto"/>
              </w:rPr>
              <w:t>216.6</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r>
      <w:tr>
        <w:trPr>
          <w:trHeight w:val="195"/>
        </w:trPr>
        <w:tc>
          <w:tcPr>
            <w:tcW w:w="656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460" w:type="dxa"/>
            <w:vAlign w:val="bottom"/>
          </w:tcPr>
          <w:p>
            <w:pPr>
              <w:spacing w:after="0"/>
              <w:rPr>
                <w:sz w:val="16"/>
                <w:szCs w:val="16"/>
                <w:color w:val="auto"/>
              </w:rPr>
            </w:pPr>
          </w:p>
        </w:tc>
        <w:tc>
          <w:tcPr>
            <w:tcW w:w="1100" w:type="dxa"/>
            <w:vAlign w:val="bottom"/>
          </w:tcPr>
          <w:p>
            <w:pPr>
              <w:jc w:val="right"/>
              <w:ind w:right="231"/>
              <w:spacing w:after="0"/>
              <w:rPr>
                <w:sz w:val="20"/>
                <w:szCs w:val="20"/>
                <w:color w:val="auto"/>
              </w:rPr>
            </w:pPr>
            <w:r>
              <w:rPr>
                <w:rFonts w:ascii="Arial" w:cs="Arial" w:eastAsia="Arial" w:hAnsi="Arial"/>
                <w:sz w:val="14"/>
                <w:szCs w:val="14"/>
                <w:color w:val="auto"/>
              </w:rPr>
              <w:t>204.5</w:t>
            </w:r>
          </w:p>
        </w:tc>
        <w:tc>
          <w:tcPr>
            <w:tcW w:w="680" w:type="dxa"/>
            <w:vAlign w:val="bottom"/>
          </w:tcPr>
          <w:p>
            <w:pPr>
              <w:jc w:val="right"/>
              <w:spacing w:after="0"/>
              <w:rPr>
                <w:sz w:val="20"/>
                <w:szCs w:val="20"/>
                <w:color w:val="auto"/>
              </w:rPr>
            </w:pPr>
            <w:r>
              <w:rPr>
                <w:rFonts w:ascii="Arial" w:cs="Arial" w:eastAsia="Arial" w:hAnsi="Arial"/>
                <w:sz w:val="14"/>
                <w:szCs w:val="14"/>
                <w:color w:val="auto"/>
              </w:rPr>
              <w:t>96 %</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Arial" w:cs="Arial" w:eastAsia="Arial" w:hAnsi="Arial"/>
                <w:sz w:val="14"/>
                <w:szCs w:val="14"/>
                <w:color w:val="auto"/>
              </w:rPr>
              <w:t>216.1</w:t>
            </w:r>
          </w:p>
        </w:tc>
        <w:tc>
          <w:tcPr>
            <w:tcW w:w="68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24"/>
        </w:trPr>
        <w:tc>
          <w:tcPr>
            <w:tcW w:w="6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2"/>
        </w:trPr>
        <w:tc>
          <w:tcPr>
            <w:tcW w:w="6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4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231"/>
              <w:spacing w:after="0"/>
              <w:rPr>
                <w:sz w:val="20"/>
                <w:szCs w:val="20"/>
                <w:color w:val="auto"/>
              </w:rPr>
            </w:pPr>
            <w:r>
              <w:rPr>
                <w:rFonts w:ascii="Arial" w:cs="Arial" w:eastAsia="Arial" w:hAnsi="Arial"/>
                <w:sz w:val="14"/>
                <w:szCs w:val="14"/>
                <w:color w:val="auto"/>
              </w:rPr>
              <w:t>9.0</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4 %</w:t>
            </w:r>
          </w:p>
        </w:tc>
        <w:tc>
          <w:tcPr>
            <w:tcW w:w="160" w:type="dxa"/>
            <w:vAlign w:val="bottom"/>
            <w:tcBorders>
              <w:bottom w:val="single" w:sz="8" w:color="DBDBDB"/>
            </w:tcBorders>
            <w:shd w:val="clear" w:color="auto" w:fill="DBDBDB"/>
          </w:tcPr>
          <w:p>
            <w:pPr>
              <w:spacing w:after="0"/>
              <w:rPr>
                <w:sz w:val="16"/>
                <w:szCs w:val="16"/>
                <w:color w:val="auto"/>
              </w:rPr>
            </w:pPr>
          </w:p>
        </w:tc>
        <w:tc>
          <w:tcPr>
            <w:tcW w:w="48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251"/>
              <w:spacing w:after="0"/>
              <w:rPr>
                <w:sz w:val="20"/>
                <w:szCs w:val="20"/>
                <w:color w:val="auto"/>
              </w:rPr>
            </w:pPr>
            <w:r>
              <w:rPr>
                <w:rFonts w:ascii="Arial" w:cs="Arial" w:eastAsia="Arial" w:hAnsi="Arial"/>
                <w:sz w:val="14"/>
                <w:szCs w:val="14"/>
                <w:color w:val="auto"/>
              </w:rPr>
              <w:t>0.5</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 %</w:t>
            </w:r>
          </w:p>
        </w:tc>
      </w:tr>
      <w:tr>
        <w:trPr>
          <w:trHeight w:val="195"/>
        </w:trPr>
        <w:tc>
          <w:tcPr>
            <w:tcW w:w="656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460" w:type="dxa"/>
            <w:vAlign w:val="bottom"/>
          </w:tcPr>
          <w:p>
            <w:pPr>
              <w:spacing w:after="0"/>
              <w:rPr>
                <w:sz w:val="16"/>
                <w:szCs w:val="16"/>
                <w:color w:val="auto"/>
              </w:rPr>
            </w:pPr>
          </w:p>
        </w:tc>
        <w:tc>
          <w:tcPr>
            <w:tcW w:w="1100" w:type="dxa"/>
            <w:vAlign w:val="bottom"/>
          </w:tcPr>
          <w:p>
            <w:pPr>
              <w:jc w:val="right"/>
              <w:ind w:right="231"/>
              <w:spacing w:after="0"/>
              <w:rPr>
                <w:sz w:val="20"/>
                <w:szCs w:val="20"/>
                <w:color w:val="auto"/>
              </w:rPr>
            </w:pPr>
            <w:r>
              <w:rPr>
                <w:rFonts w:ascii="Arial" w:cs="Arial" w:eastAsia="Arial" w:hAnsi="Arial"/>
                <w:sz w:val="14"/>
                <w:szCs w:val="14"/>
                <w:color w:val="auto"/>
              </w:rPr>
              <w:t>19.1</w:t>
            </w:r>
          </w:p>
        </w:tc>
        <w:tc>
          <w:tcPr>
            <w:tcW w:w="680" w:type="dxa"/>
            <w:vAlign w:val="bottom"/>
          </w:tcPr>
          <w:p>
            <w:pPr>
              <w:jc w:val="right"/>
              <w:spacing w:after="0"/>
              <w:rPr>
                <w:sz w:val="20"/>
                <w:szCs w:val="20"/>
                <w:color w:val="auto"/>
              </w:rPr>
            </w:pPr>
            <w:r>
              <w:rPr>
                <w:rFonts w:ascii="Arial" w:cs="Arial" w:eastAsia="Arial" w:hAnsi="Arial"/>
                <w:sz w:val="14"/>
                <w:szCs w:val="14"/>
                <w:color w:val="auto"/>
              </w:rPr>
              <w:t>9 %</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Arial" w:cs="Arial" w:eastAsia="Arial" w:hAnsi="Arial"/>
                <w:sz w:val="14"/>
                <w:szCs w:val="14"/>
                <w:color w:val="auto"/>
              </w:rPr>
              <w:t>18.7</w:t>
            </w:r>
          </w:p>
        </w:tc>
        <w:tc>
          <w:tcPr>
            <w:tcW w:w="680" w:type="dxa"/>
            <w:vAlign w:val="bottom"/>
          </w:tcPr>
          <w:p>
            <w:pPr>
              <w:jc w:val="right"/>
              <w:spacing w:after="0"/>
              <w:rPr>
                <w:sz w:val="20"/>
                <w:szCs w:val="20"/>
                <w:color w:val="auto"/>
              </w:rPr>
            </w:pPr>
            <w:r>
              <w:rPr>
                <w:rFonts w:ascii="Arial" w:cs="Arial" w:eastAsia="Arial" w:hAnsi="Arial"/>
                <w:sz w:val="14"/>
                <w:szCs w:val="14"/>
                <w:color w:val="auto"/>
              </w:rPr>
              <w:t>9 %</w:t>
            </w:r>
          </w:p>
        </w:tc>
      </w:tr>
      <w:tr>
        <w:trPr>
          <w:trHeight w:val="24"/>
        </w:trPr>
        <w:tc>
          <w:tcPr>
            <w:tcW w:w="6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2"/>
        </w:trPr>
        <w:tc>
          <w:tcPr>
            <w:tcW w:w="6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Operating loss</w:t>
            </w:r>
          </w:p>
        </w:tc>
        <w:tc>
          <w:tcPr>
            <w:tcW w:w="4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(10.1)</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DBDBDB"/>
            </w:tcBorders>
            <w:shd w:val="clear" w:color="auto" w:fill="DBDBDB"/>
          </w:tcPr>
          <w:p>
            <w:pPr>
              <w:spacing w:after="0"/>
              <w:rPr>
                <w:sz w:val="16"/>
                <w:szCs w:val="16"/>
                <w:color w:val="auto"/>
              </w:rPr>
            </w:pPr>
          </w:p>
        </w:tc>
        <w:tc>
          <w:tcPr>
            <w:tcW w:w="48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(18.2)</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w:t>
            </w:r>
          </w:p>
        </w:tc>
      </w:tr>
      <w:tr>
        <w:trPr>
          <w:trHeight w:val="195"/>
        </w:trPr>
        <w:tc>
          <w:tcPr>
            <w:tcW w:w="65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460" w:type="dxa"/>
            <w:vAlign w:val="bottom"/>
          </w:tcPr>
          <w:p>
            <w:pPr>
              <w:spacing w:after="0"/>
              <w:rPr>
                <w:sz w:val="16"/>
                <w:szCs w:val="16"/>
                <w:color w:val="auto"/>
              </w:rPr>
            </w:pPr>
          </w:p>
        </w:tc>
        <w:tc>
          <w:tcPr>
            <w:tcW w:w="1100" w:type="dxa"/>
            <w:vAlign w:val="bottom"/>
          </w:tcPr>
          <w:p>
            <w:pPr>
              <w:jc w:val="right"/>
              <w:ind w:right="191"/>
              <w:spacing w:after="0"/>
              <w:rPr>
                <w:sz w:val="20"/>
                <w:szCs w:val="20"/>
                <w:color w:val="auto"/>
              </w:rPr>
            </w:pPr>
            <w:r>
              <w:rPr>
                <w:rFonts w:ascii="Arial" w:cs="Arial" w:eastAsia="Arial" w:hAnsi="Arial"/>
                <w:sz w:val="14"/>
                <w:szCs w:val="14"/>
                <w:color w:val="auto"/>
              </w:rPr>
              <w:t>(2.4)</w:t>
            </w: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211"/>
              <w:spacing w:after="0"/>
              <w:rPr>
                <w:sz w:val="20"/>
                <w:szCs w:val="20"/>
                <w:color w:val="auto"/>
              </w:rPr>
            </w:pPr>
            <w:r>
              <w:rPr>
                <w:rFonts w:ascii="Arial" w:cs="Arial" w:eastAsia="Arial" w:hAnsi="Arial"/>
                <w:sz w:val="14"/>
                <w:szCs w:val="14"/>
                <w:color w:val="auto"/>
              </w:rPr>
              <w:t>(0.9)</w:t>
            </w:r>
          </w:p>
        </w:tc>
        <w:tc>
          <w:tcPr>
            <w:tcW w:w="68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4"/>
        </w:trPr>
        <w:tc>
          <w:tcPr>
            <w:tcW w:w="6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99"/>
        </w:trPr>
        <w:tc>
          <w:tcPr>
            <w:tcW w:w="6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46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231"/>
              <w:spacing w:after="0"/>
              <w:rPr>
                <w:sz w:val="20"/>
                <w:szCs w:val="20"/>
                <w:color w:val="auto"/>
              </w:rPr>
            </w:pPr>
            <w:r>
              <w:rPr>
                <w:rFonts w:ascii="Arial" w:cs="Arial" w:eastAsia="Arial" w:hAnsi="Arial"/>
                <w:sz w:val="14"/>
                <w:szCs w:val="14"/>
                <w:color w:val="auto"/>
              </w:rPr>
              <w:t>1.0</w:t>
            </w:r>
          </w:p>
        </w:tc>
        <w:tc>
          <w:tcPr>
            <w:tcW w:w="84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 %</w:t>
            </w:r>
          </w:p>
        </w:tc>
        <w:tc>
          <w:tcPr>
            <w:tcW w:w="48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ind w:right="251"/>
              <w:spacing w:after="0"/>
              <w:rPr>
                <w:sz w:val="20"/>
                <w:szCs w:val="20"/>
                <w:color w:val="auto"/>
              </w:rPr>
            </w:pPr>
            <w:r>
              <w:rPr>
                <w:rFonts w:ascii="Arial" w:cs="Arial" w:eastAsia="Arial" w:hAnsi="Arial"/>
                <w:sz w:val="14"/>
                <w:szCs w:val="14"/>
                <w:color w:val="auto"/>
              </w:rPr>
              <w:t>1.6</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1 %</w:t>
            </w:r>
          </w:p>
        </w:tc>
      </w:tr>
      <w:tr>
        <w:trPr>
          <w:trHeight w:val="195"/>
        </w:trPr>
        <w:tc>
          <w:tcPr>
            <w:tcW w:w="6560" w:type="dxa"/>
            <w:vAlign w:val="bottom"/>
          </w:tcPr>
          <w:p>
            <w:pPr>
              <w:ind w:left="20"/>
              <w:spacing w:after="0"/>
              <w:rPr>
                <w:sz w:val="20"/>
                <w:szCs w:val="20"/>
                <w:color w:val="auto"/>
              </w:rPr>
            </w:pPr>
            <w:r>
              <w:rPr>
                <w:rFonts w:ascii="Arial" w:cs="Arial" w:eastAsia="Arial" w:hAnsi="Arial"/>
                <w:sz w:val="14"/>
                <w:szCs w:val="14"/>
                <w:color w:val="auto"/>
              </w:rPr>
              <w:t>Other (expense) income, net</w:t>
            </w:r>
          </w:p>
        </w:tc>
        <w:tc>
          <w:tcPr>
            <w:tcW w:w="460" w:type="dxa"/>
            <w:vAlign w:val="bottom"/>
          </w:tcPr>
          <w:p>
            <w:pPr>
              <w:spacing w:after="0"/>
              <w:rPr>
                <w:sz w:val="16"/>
                <w:szCs w:val="16"/>
                <w:color w:val="auto"/>
              </w:rPr>
            </w:pPr>
          </w:p>
        </w:tc>
        <w:tc>
          <w:tcPr>
            <w:tcW w:w="1100" w:type="dxa"/>
            <w:vAlign w:val="bottom"/>
          </w:tcPr>
          <w:p>
            <w:pPr>
              <w:jc w:val="right"/>
              <w:ind w:right="191"/>
              <w:spacing w:after="0"/>
              <w:rPr>
                <w:sz w:val="20"/>
                <w:szCs w:val="20"/>
                <w:color w:val="auto"/>
              </w:rPr>
            </w:pPr>
            <w:r>
              <w:rPr>
                <w:rFonts w:ascii="Arial" w:cs="Arial" w:eastAsia="Arial" w:hAnsi="Arial"/>
                <w:sz w:val="14"/>
                <w:szCs w:val="14"/>
                <w:color w:val="auto"/>
              </w:rPr>
              <w:t>(0.8)</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480" w:type="dxa"/>
            <w:vAlign w:val="bottom"/>
          </w:tcPr>
          <w:p>
            <w:pPr>
              <w:spacing w:after="0"/>
              <w:rPr>
                <w:sz w:val="16"/>
                <w:szCs w:val="16"/>
                <w:color w:val="auto"/>
              </w:rPr>
            </w:pPr>
          </w:p>
        </w:tc>
        <w:tc>
          <w:tcPr>
            <w:tcW w:w="1100" w:type="dxa"/>
            <w:vAlign w:val="bottom"/>
          </w:tcPr>
          <w:p>
            <w:pPr>
              <w:jc w:val="right"/>
              <w:ind w:right="251"/>
              <w:spacing w:after="0"/>
              <w:rPr>
                <w:sz w:val="20"/>
                <w:szCs w:val="20"/>
                <w:color w:val="auto"/>
              </w:rPr>
            </w:pPr>
            <w:r>
              <w:rPr>
                <w:rFonts w:ascii="Arial" w:cs="Arial" w:eastAsia="Arial" w:hAnsi="Arial"/>
                <w:sz w:val="14"/>
                <w:szCs w:val="14"/>
                <w:color w:val="auto"/>
              </w:rPr>
              <w:t>1.6</w:t>
            </w:r>
          </w:p>
        </w:tc>
        <w:tc>
          <w:tcPr>
            <w:tcW w:w="68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24"/>
        </w:trPr>
        <w:tc>
          <w:tcPr>
            <w:tcW w:w="6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2"/>
        </w:trPr>
        <w:tc>
          <w:tcPr>
            <w:tcW w:w="6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Loss before income taxes</w:t>
            </w:r>
          </w:p>
        </w:tc>
        <w:tc>
          <w:tcPr>
            <w:tcW w:w="4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(12.3)</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DBDBDB"/>
            </w:tcBorders>
            <w:shd w:val="clear" w:color="auto" w:fill="DBDBDB"/>
          </w:tcPr>
          <w:p>
            <w:pPr>
              <w:spacing w:after="0"/>
              <w:rPr>
                <w:sz w:val="16"/>
                <w:szCs w:val="16"/>
                <w:color w:val="auto"/>
              </w:rPr>
            </w:pPr>
          </w:p>
        </w:tc>
        <w:tc>
          <w:tcPr>
            <w:tcW w:w="48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(15.9)</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w:t>
            </w:r>
          </w:p>
        </w:tc>
      </w:tr>
      <w:tr>
        <w:trPr>
          <w:trHeight w:val="195"/>
        </w:trPr>
        <w:tc>
          <w:tcPr>
            <w:tcW w:w="656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460" w:type="dxa"/>
            <w:vAlign w:val="bottom"/>
          </w:tcPr>
          <w:p>
            <w:pPr>
              <w:spacing w:after="0"/>
              <w:rPr>
                <w:sz w:val="16"/>
                <w:szCs w:val="16"/>
                <w:color w:val="auto"/>
              </w:rPr>
            </w:pPr>
          </w:p>
        </w:tc>
        <w:tc>
          <w:tcPr>
            <w:tcW w:w="1100" w:type="dxa"/>
            <w:vAlign w:val="bottom"/>
          </w:tcPr>
          <w:p>
            <w:pPr>
              <w:jc w:val="right"/>
              <w:ind w:right="191"/>
              <w:spacing w:after="0"/>
              <w:rPr>
                <w:sz w:val="20"/>
                <w:szCs w:val="20"/>
                <w:color w:val="auto"/>
              </w:rPr>
            </w:pPr>
            <w:r>
              <w:rPr>
                <w:rFonts w:ascii="Arial" w:cs="Arial" w:eastAsia="Arial" w:hAnsi="Arial"/>
                <w:sz w:val="14"/>
                <w:szCs w:val="14"/>
                <w:color w:val="auto"/>
              </w:rPr>
              <w:t>(1.7)</w:t>
            </w: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211"/>
              <w:spacing w:after="0"/>
              <w:rPr>
                <w:sz w:val="20"/>
                <w:szCs w:val="20"/>
                <w:color w:val="auto"/>
              </w:rPr>
            </w:pPr>
            <w:r>
              <w:rPr>
                <w:rFonts w:ascii="Arial" w:cs="Arial" w:eastAsia="Arial" w:hAnsi="Arial"/>
                <w:sz w:val="14"/>
                <w:szCs w:val="14"/>
                <w:color w:val="auto"/>
              </w:rPr>
              <w:t>(2.5)</w:t>
            </w: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4"/>
        </w:trPr>
        <w:tc>
          <w:tcPr>
            <w:tcW w:w="6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6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w:t>
            </w:r>
          </w:p>
        </w:tc>
        <w:tc>
          <w:tcPr>
            <w:tcW w:w="46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(10.6)</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160" w:type="dxa"/>
            <w:vAlign w:val="bottom"/>
            <w:tcBorders>
              <w:bottom w:val="single" w:sz="8" w:color="DBDBDB"/>
            </w:tcBorders>
            <w:shd w:val="clear" w:color="auto" w:fill="DBDBDB"/>
          </w:tcPr>
          <w:p>
            <w:pPr>
              <w:spacing w:after="0"/>
              <w:rPr>
                <w:sz w:val="18"/>
                <w:szCs w:val="18"/>
                <w:color w:val="auto"/>
              </w:rPr>
            </w:pPr>
          </w:p>
        </w:tc>
        <w:tc>
          <w:tcPr>
            <w:tcW w:w="48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(13.4)</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w:t>
            </w:r>
          </w:p>
        </w:tc>
      </w:tr>
      <w:tr>
        <w:trPr>
          <w:trHeight w:val="188"/>
        </w:trPr>
        <w:tc>
          <w:tcPr>
            <w:tcW w:w="65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loss attributable to noncontrolling interest</w:t>
            </w:r>
          </w:p>
        </w:tc>
        <w:tc>
          <w:tcPr>
            <w:tcW w:w="4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color w:val="auto"/>
              </w:rPr>
              <w:t>(1.8)</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25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4"/>
        </w:trPr>
        <w:tc>
          <w:tcPr>
            <w:tcW w:w="6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2"/>
        </w:trPr>
        <w:tc>
          <w:tcPr>
            <w:tcW w:w="65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 attributable to Mission Produce</w:t>
            </w:r>
          </w:p>
        </w:tc>
        <w:tc>
          <w:tcPr>
            <w:tcW w:w="460" w:type="dxa"/>
            <w:vAlign w:val="bottom"/>
            <w:tcBorders>
              <w:bottom w:val="single" w:sz="8" w:color="DBDBDB"/>
            </w:tcBorders>
            <w:shd w:val="clear" w:color="auto" w:fill="DBDBDB"/>
          </w:tcPr>
          <w:p>
            <w:pPr>
              <w:jc w:val="right"/>
              <w:ind w:right="31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(8.8)</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w:t>
            </w:r>
          </w:p>
        </w:tc>
        <w:tc>
          <w:tcPr>
            <w:tcW w:w="160" w:type="dxa"/>
            <w:vAlign w:val="bottom"/>
            <w:tcBorders>
              <w:bottom w:val="single" w:sz="8" w:color="DBDBDB"/>
            </w:tcBorders>
            <w:shd w:val="clear" w:color="auto" w:fill="DBDBDB"/>
          </w:tcPr>
          <w:p>
            <w:pPr>
              <w:spacing w:after="0"/>
              <w:rPr>
                <w:sz w:val="16"/>
                <w:szCs w:val="16"/>
                <w:color w:val="auto"/>
              </w:rPr>
            </w:pPr>
          </w:p>
        </w:tc>
        <w:tc>
          <w:tcPr>
            <w:tcW w:w="480" w:type="dxa"/>
            <w:vAlign w:val="bottom"/>
            <w:tcBorders>
              <w:bottom w:val="single" w:sz="8" w:color="DBDBDB"/>
            </w:tcBorders>
            <w:shd w:val="clear" w:color="auto" w:fill="DBDBDB"/>
          </w:tcPr>
          <w:p>
            <w:pPr>
              <w:jc w:val="right"/>
              <w:ind w:right="31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4"/>
                <w:szCs w:val="14"/>
                <w:color w:val="auto"/>
              </w:rPr>
              <w:t>(13.4)</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w:t>
            </w:r>
          </w:p>
        </w:tc>
      </w:tr>
      <w:tr>
        <w:trPr>
          <w:trHeight w:val="20"/>
        </w:trPr>
        <w:tc>
          <w:tcPr>
            <w:tcW w:w="65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sales</w:t>
      </w:r>
    </w:p>
    <w:p>
      <w:pPr>
        <w:spacing w:after="0" w:line="232" w:lineRule="exact"/>
        <w:rPr>
          <w:sz w:val="20"/>
          <w:szCs w:val="20"/>
          <w:color w:val="auto"/>
        </w:rPr>
      </w:pPr>
    </w:p>
    <w:p>
      <w:pPr>
        <w:jc w:val="both"/>
        <w:ind w:right="180" w:firstLine="619"/>
        <w:spacing w:after="0" w:line="269" w:lineRule="auto"/>
        <w:rPr>
          <w:sz w:val="20"/>
          <w:szCs w:val="20"/>
          <w:color w:val="auto"/>
        </w:rPr>
      </w:pPr>
      <w:r>
        <w:rPr>
          <w:rFonts w:ascii="Arial" w:cs="Arial" w:eastAsia="Arial" w:hAnsi="Arial"/>
          <w:sz w:val="15"/>
          <w:szCs w:val="15"/>
          <w:color w:val="auto"/>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80" w:type="dxa"/>
            <w:vAlign w:val="bottom"/>
            <w:gridSpan w:val="2"/>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r>
      <w:tr>
        <w:trPr>
          <w:trHeight w:val="180"/>
        </w:trPr>
        <w:tc>
          <w:tcPr>
            <w:tcW w:w="7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80" w:type="dxa"/>
            <w:vAlign w:val="bottom"/>
            <w:gridSpan w:val="2"/>
          </w:tcPr>
          <w:p>
            <w:pPr>
              <w:jc w:val="right"/>
              <w:ind w:right="531"/>
              <w:spacing w:after="0"/>
              <w:rPr>
                <w:sz w:val="20"/>
                <w:szCs w:val="20"/>
                <w:color w:val="auto"/>
              </w:rPr>
            </w:pPr>
            <w:r>
              <w:rPr>
                <w:rFonts w:ascii="Arial" w:cs="Arial" w:eastAsia="Arial" w:hAnsi="Arial"/>
                <w:sz w:val="14"/>
                <w:szCs w:val="14"/>
                <w:b w:val="1"/>
                <w:bCs w:val="1"/>
                <w:color w:val="auto"/>
              </w:rPr>
              <w:t>January 31,</w:t>
            </w:r>
          </w:p>
        </w:tc>
        <w:tc>
          <w:tcPr>
            <w:tcW w:w="780" w:type="dxa"/>
            <w:vAlign w:val="bottom"/>
          </w:tcPr>
          <w:p>
            <w:pPr>
              <w:spacing w:after="0"/>
              <w:rPr>
                <w:sz w:val="15"/>
                <w:szCs w:val="15"/>
                <w:color w:val="auto"/>
              </w:rPr>
            </w:pPr>
          </w:p>
        </w:tc>
      </w:tr>
      <w:tr>
        <w:trPr>
          <w:trHeight w:val="24"/>
        </w:trPr>
        <w:tc>
          <w:tcPr>
            <w:tcW w:w="7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6"/>
                <w:szCs w:val="16"/>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b w:val="1"/>
                <w:bCs w:val="1"/>
                <w:color w:val="auto"/>
              </w:rPr>
              <w:t>2023</w:t>
            </w:r>
          </w:p>
        </w:tc>
        <w:tc>
          <w:tcPr>
            <w:tcW w:w="102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b w:val="1"/>
                <w:bCs w:val="1"/>
                <w:color w:val="auto"/>
              </w:rPr>
              <w:t>2022</w:t>
            </w:r>
          </w:p>
        </w:tc>
      </w:tr>
      <w:tr>
        <w:trPr>
          <w:trHeight w:val="24"/>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sales:</w:t>
            </w:r>
          </w:p>
        </w:tc>
        <w:tc>
          <w:tcPr>
            <w:tcW w:w="56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spacing w:after="0"/>
              <w:rPr>
                <w:sz w:val="16"/>
                <w:szCs w:val="16"/>
                <w:color w:val="auto"/>
              </w:rPr>
            </w:pPr>
          </w:p>
        </w:tc>
      </w:tr>
      <w:tr>
        <w:trPr>
          <w:trHeight w:val="195"/>
        </w:trPr>
        <w:tc>
          <w:tcPr>
            <w:tcW w:w="7700" w:type="dxa"/>
            <w:vAlign w:val="bottom"/>
          </w:tcPr>
          <w:p>
            <w:pPr>
              <w:ind w:left="220"/>
              <w:spacing w:after="0"/>
              <w:rPr>
                <w:sz w:val="20"/>
                <w:szCs w:val="20"/>
                <w:color w:val="auto"/>
              </w:rPr>
            </w:pPr>
            <w:r>
              <w:rPr>
                <w:rFonts w:ascii="Arial" w:cs="Arial" w:eastAsia="Arial" w:hAnsi="Arial"/>
                <w:sz w:val="14"/>
                <w:szCs w:val="14"/>
                <w:color w:val="auto"/>
              </w:rPr>
              <w:t>Marketing and Distribution</w:t>
            </w:r>
          </w:p>
        </w:tc>
        <w:tc>
          <w:tcPr>
            <w:tcW w:w="560" w:type="dxa"/>
            <w:vAlign w:val="bottom"/>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181.8</w:t>
            </w:r>
          </w:p>
        </w:tc>
        <w:tc>
          <w:tcPr>
            <w:tcW w:w="1020" w:type="dxa"/>
            <w:vAlign w:val="bottom"/>
          </w:tcPr>
          <w:p>
            <w:pPr>
              <w:jc w:val="right"/>
              <w:ind w:right="75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212.3</w:t>
            </w:r>
          </w:p>
        </w:tc>
      </w:tr>
      <w:tr>
        <w:trPr>
          <w:trHeight w:val="24"/>
        </w:trPr>
        <w:tc>
          <w:tcPr>
            <w:tcW w:w="7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9"/>
        </w:trPr>
        <w:tc>
          <w:tcPr>
            <w:tcW w:w="770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4"/>
                <w:szCs w:val="14"/>
                <w:color w:val="auto"/>
              </w:rPr>
              <w:t>International Farming</w:t>
            </w:r>
          </w:p>
        </w:tc>
        <w:tc>
          <w:tcPr>
            <w:tcW w:w="56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1.9</w:t>
            </w:r>
          </w:p>
        </w:tc>
        <w:tc>
          <w:tcPr>
            <w:tcW w:w="102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4.3</w:t>
            </w:r>
          </w:p>
        </w:tc>
      </w:tr>
      <w:tr>
        <w:trPr>
          <w:trHeight w:val="195"/>
        </w:trPr>
        <w:tc>
          <w:tcPr>
            <w:tcW w:w="7700" w:type="dxa"/>
            <w:vAlign w:val="bottom"/>
          </w:tcPr>
          <w:p>
            <w:pPr>
              <w:ind w:left="220"/>
              <w:spacing w:after="0"/>
              <w:rPr>
                <w:sz w:val="20"/>
                <w:szCs w:val="20"/>
                <w:color w:val="auto"/>
              </w:rPr>
            </w:pPr>
            <w:r>
              <w:rPr>
                <w:rFonts w:ascii="Arial" w:cs="Arial" w:eastAsia="Arial" w:hAnsi="Arial"/>
                <w:sz w:val="14"/>
                <w:szCs w:val="14"/>
                <w:color w:val="auto"/>
              </w:rPr>
              <w:t>Blueberries</w:t>
            </w:r>
          </w:p>
        </w:tc>
        <w:tc>
          <w:tcPr>
            <w:tcW w:w="560" w:type="dxa"/>
            <w:vAlign w:val="bottom"/>
          </w:tcPr>
          <w:p>
            <w:pPr>
              <w:spacing w:after="0"/>
              <w:rPr>
                <w:sz w:val="16"/>
                <w:szCs w:val="16"/>
                <w:color w:val="auto"/>
              </w:rPr>
            </w:pPr>
          </w:p>
        </w:tc>
        <w:tc>
          <w:tcPr>
            <w:tcW w:w="1160" w:type="dxa"/>
            <w:vAlign w:val="bottom"/>
          </w:tcPr>
          <w:p>
            <w:pPr>
              <w:jc w:val="right"/>
              <w:ind w:right="51"/>
              <w:spacing w:after="0"/>
              <w:rPr>
                <w:sz w:val="20"/>
                <w:szCs w:val="20"/>
                <w:color w:val="auto"/>
              </w:rPr>
            </w:pPr>
            <w:r>
              <w:rPr>
                <w:rFonts w:ascii="Arial" w:cs="Arial" w:eastAsia="Arial" w:hAnsi="Arial"/>
                <w:sz w:val="14"/>
                <w:szCs w:val="14"/>
                <w:color w:val="auto"/>
              </w:rPr>
              <w:t>29.8</w:t>
            </w:r>
          </w:p>
        </w:tc>
        <w:tc>
          <w:tcPr>
            <w:tcW w:w="1020" w:type="dxa"/>
            <w:vAlign w:val="bottom"/>
          </w:tcPr>
          <w:p>
            <w:pPr>
              <w:spacing w:after="0"/>
              <w:rPr>
                <w:sz w:val="16"/>
                <w:szCs w:val="16"/>
                <w:color w:val="auto"/>
              </w:rPr>
            </w:pPr>
          </w:p>
        </w:tc>
        <w:tc>
          <w:tcPr>
            <w:tcW w:w="78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4"/>
        </w:trPr>
        <w:tc>
          <w:tcPr>
            <w:tcW w:w="7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2"/>
        </w:trPr>
        <w:tc>
          <w:tcPr>
            <w:tcW w:w="77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net sales</w:t>
            </w:r>
          </w:p>
        </w:tc>
        <w:tc>
          <w:tcPr>
            <w:tcW w:w="560" w:type="dxa"/>
            <w:vAlign w:val="bottom"/>
            <w:tcBorders>
              <w:bottom w:val="single" w:sz="8" w:color="DBDBDB"/>
            </w:tcBorders>
            <w:shd w:val="clear" w:color="auto" w:fill="DBDBDB"/>
          </w:tcPr>
          <w:p>
            <w:pPr>
              <w:jc w:val="right"/>
              <w:ind w:right="41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213.5</w:t>
            </w:r>
          </w:p>
        </w:tc>
        <w:tc>
          <w:tcPr>
            <w:tcW w:w="102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216.6</w:t>
            </w:r>
          </w:p>
        </w:tc>
      </w:tr>
      <w:tr>
        <w:trPr>
          <w:trHeight w:val="20"/>
        </w:trPr>
        <w:tc>
          <w:tcPr>
            <w:tcW w:w="77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98" w:lineRule="exact"/>
        <w:rPr>
          <w:sz w:val="20"/>
          <w:szCs w:val="20"/>
          <w:color w:val="auto"/>
        </w:rPr>
      </w:pPr>
    </w:p>
    <w:p>
      <w:pPr>
        <w:ind w:right="60" w:firstLine="619"/>
        <w:spacing w:after="0" w:line="263" w:lineRule="auto"/>
        <w:rPr>
          <w:sz w:val="20"/>
          <w:szCs w:val="20"/>
          <w:color w:val="auto"/>
        </w:rPr>
      </w:pPr>
      <w:r>
        <w:rPr>
          <w:rFonts w:ascii="Arial" w:cs="Arial" w:eastAsia="Arial" w:hAnsi="Arial"/>
          <w:sz w:val="15"/>
          <w:szCs w:val="15"/>
          <w:color w:val="auto"/>
        </w:rPr>
        <w:t>Net sales decreased $3.1 million or 1% in the three months ended January 31, 2023 compared to the same period last year. Lower sales in our Marketing and Distribution segment were largely offset by the consolidation of revenue from our Blueberries segment. In Marketing and Distribution, a 27% decrease in average per-unit avocado sales prices was partially offset by an increase in avocado volume sold of 14%, both of which were driven by higher industry supply out of Mexico during the quarter.</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profit</w:t>
      </w:r>
    </w:p>
    <w:p>
      <w:pPr>
        <w:spacing w:after="0" w:line="245" w:lineRule="exact"/>
        <w:rPr>
          <w:sz w:val="20"/>
          <w:szCs w:val="20"/>
          <w:color w:val="auto"/>
        </w:rPr>
      </w:pPr>
    </w:p>
    <w:p>
      <w:pPr>
        <w:ind w:right="100" w:firstLine="619"/>
        <w:spacing w:after="0" w:line="260" w:lineRule="auto"/>
        <w:rPr>
          <w:sz w:val="20"/>
          <w:szCs w:val="20"/>
          <w:color w:val="auto"/>
        </w:rPr>
      </w:pPr>
      <w:r>
        <w:rPr>
          <w:rFonts w:ascii="Arial" w:cs="Arial" w:eastAsia="Arial" w:hAnsi="Arial"/>
          <w:sz w:val="15"/>
          <w:szCs w:val="15"/>
          <w:color w:val="auto"/>
        </w:rPr>
        <w:t>Cost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spacing w:after="0" w:line="200" w:lineRule="exact"/>
        <w:rPr>
          <w:sz w:val="20"/>
          <w:szCs w:val="20"/>
          <w:color w:val="auto"/>
        </w:rPr>
      </w:pPr>
    </w:p>
    <w:p>
      <w:pPr>
        <w:ind w:right="100" w:firstLine="619"/>
        <w:spacing w:after="0" w:line="266" w:lineRule="auto"/>
        <w:rPr>
          <w:sz w:val="20"/>
          <w:szCs w:val="20"/>
          <w:color w:val="auto"/>
        </w:rPr>
      </w:pPr>
      <w:r>
        <w:rPr>
          <w:rFonts w:ascii="Arial" w:cs="Arial" w:eastAsia="Arial" w:hAnsi="Arial"/>
          <w:sz w:val="15"/>
          <w:szCs w:val="15"/>
          <w:color w:val="auto"/>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Variations in containerboard prices, which affect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60"/>
        <w:spacing w:after="0"/>
        <w:rPr>
          <w:sz w:val="20"/>
          <w:szCs w:val="20"/>
          <w:color w:val="auto"/>
        </w:rPr>
      </w:pPr>
      <w:r>
        <w:rPr>
          <w:rFonts w:ascii="Arial" w:cs="Arial" w:eastAsia="Arial" w:hAnsi="Arial"/>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146" w:lineRule="exact"/>
        <w:rPr>
          <w:sz w:val="20"/>
          <w:szCs w:val="20"/>
          <w:color w:val="auto"/>
        </w:rPr>
      </w:pPr>
    </w:p>
    <w:p>
      <w:pPr>
        <w:ind w:right="80"/>
        <w:spacing w:after="0" w:line="269" w:lineRule="auto"/>
        <w:rPr>
          <w:sz w:val="20"/>
          <w:szCs w:val="20"/>
          <w:color w:val="auto"/>
        </w:rPr>
      </w:pPr>
      <w:r>
        <w:rPr>
          <w:rFonts w:ascii="Arial" w:cs="Arial" w:eastAsia="Arial" w:hAnsi="Arial"/>
          <w:sz w:val="15"/>
          <w:szCs w:val="15"/>
          <w:color w:val="auto"/>
        </w:rPr>
        <w:t>cost of boxes and other packaging materials, and fuel prices can have an impact on our product cost and our profit margins. Variations in the production yields, and other input costs also affect our cost of sales.</w:t>
      </w:r>
    </w:p>
    <w:p>
      <w:pPr>
        <w:spacing w:after="0" w:line="193" w:lineRule="exact"/>
        <w:rPr>
          <w:sz w:val="20"/>
          <w:szCs w:val="20"/>
          <w:color w:val="auto"/>
        </w:rPr>
      </w:pPr>
    </w:p>
    <w:p>
      <w:pPr>
        <w:ind w:right="80" w:firstLine="619"/>
        <w:spacing w:after="0" w:line="260" w:lineRule="auto"/>
        <w:rPr>
          <w:sz w:val="20"/>
          <w:szCs w:val="20"/>
          <w:color w:val="auto"/>
        </w:rPr>
      </w:pPr>
      <w:r>
        <w:rPr>
          <w:rFonts w:ascii="Arial" w:cs="Arial" w:eastAsia="Arial" w:hAnsi="Arial"/>
          <w:sz w:val="15"/>
          <w:szCs w:val="15"/>
          <w:color w:val="auto"/>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7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60" w:type="dxa"/>
            <w:vAlign w:val="bottom"/>
            <w:gridSpan w:val="2"/>
          </w:tcPr>
          <w:p>
            <w:pPr>
              <w:jc w:val="center"/>
              <w:ind w:left="71"/>
              <w:spacing w:after="0"/>
              <w:rPr>
                <w:sz w:val="20"/>
                <w:szCs w:val="20"/>
                <w:color w:val="auto"/>
              </w:rPr>
            </w:pPr>
            <w:r>
              <w:rPr>
                <w:rFonts w:ascii="Arial" w:cs="Arial" w:eastAsia="Arial" w:hAnsi="Arial"/>
                <w:sz w:val="14"/>
                <w:szCs w:val="14"/>
                <w:b w:val="1"/>
                <w:bCs w:val="1"/>
                <w:color w:val="auto"/>
                <w:w w:val="98"/>
              </w:rPr>
              <w:t>Three Months Ended</w:t>
            </w:r>
          </w:p>
        </w:tc>
        <w:tc>
          <w:tcPr>
            <w:tcW w:w="800" w:type="dxa"/>
            <w:vAlign w:val="bottom"/>
          </w:tcPr>
          <w:p>
            <w:pPr>
              <w:spacing w:after="0"/>
              <w:rPr>
                <w:sz w:val="14"/>
                <w:szCs w:val="14"/>
                <w:color w:val="auto"/>
              </w:rPr>
            </w:pPr>
          </w:p>
        </w:tc>
      </w:tr>
      <w:tr>
        <w:trPr>
          <w:trHeight w:val="180"/>
        </w:trPr>
        <w:tc>
          <w:tcPr>
            <w:tcW w:w="7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6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8"/>
              </w:rPr>
              <w:t>January 31,</w:t>
            </w:r>
          </w:p>
        </w:tc>
        <w:tc>
          <w:tcPr>
            <w:tcW w:w="800" w:type="dxa"/>
            <w:vAlign w:val="bottom"/>
          </w:tcPr>
          <w:p>
            <w:pPr>
              <w:spacing w:after="0"/>
              <w:rPr>
                <w:sz w:val="15"/>
                <w:szCs w:val="15"/>
                <w:color w:val="auto"/>
              </w:rPr>
            </w:pPr>
          </w:p>
        </w:tc>
      </w:tr>
      <w:tr>
        <w:trPr>
          <w:trHeight w:val="24"/>
        </w:trPr>
        <w:tc>
          <w:tcPr>
            <w:tcW w:w="75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8"/>
        </w:trPr>
        <w:tc>
          <w:tcPr>
            <w:tcW w:w="7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tcPr>
          <w:p>
            <w:pPr>
              <w:jc w:val="right"/>
              <w:ind w:right="131"/>
              <w:spacing w:after="0"/>
              <w:rPr>
                <w:sz w:val="20"/>
                <w:szCs w:val="20"/>
                <w:color w:val="auto"/>
              </w:rPr>
            </w:pPr>
            <w:r>
              <w:rPr>
                <w:rFonts w:ascii="Arial" w:cs="Arial" w:eastAsia="Arial" w:hAnsi="Arial"/>
                <w:sz w:val="14"/>
                <w:szCs w:val="14"/>
                <w:b w:val="1"/>
                <w:bCs w:val="1"/>
                <w:color w:val="auto"/>
              </w:rPr>
              <w:t>2023</w:t>
            </w:r>
          </w:p>
        </w:tc>
        <w:tc>
          <w:tcPr>
            <w:tcW w:w="1040" w:type="dxa"/>
            <w:vAlign w:val="bottom"/>
          </w:tcPr>
          <w:p>
            <w:pPr>
              <w:spacing w:after="0"/>
              <w:rPr>
                <w:sz w:val="16"/>
                <w:szCs w:val="16"/>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b w:val="1"/>
                <w:bCs w:val="1"/>
                <w:color w:val="auto"/>
              </w:rPr>
              <w:t>2022</w:t>
            </w:r>
          </w:p>
        </w:tc>
      </w:tr>
      <w:tr>
        <w:trPr>
          <w:trHeight w:val="24"/>
        </w:trPr>
        <w:tc>
          <w:tcPr>
            <w:tcW w:w="7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2"/>
        </w:trPr>
        <w:tc>
          <w:tcPr>
            <w:tcW w:w="7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 (in millions)</w:t>
            </w:r>
          </w:p>
        </w:tc>
        <w:tc>
          <w:tcPr>
            <w:tcW w:w="62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BDBDB"/>
            </w:tcBorders>
            <w:shd w:val="clear" w:color="auto" w:fill="DBDBDB"/>
          </w:tcPr>
          <w:p>
            <w:pPr>
              <w:ind w:left="760"/>
              <w:spacing w:after="0"/>
              <w:rPr>
                <w:sz w:val="20"/>
                <w:szCs w:val="20"/>
                <w:color w:val="auto"/>
              </w:rPr>
            </w:pPr>
            <w:r>
              <w:rPr>
                <w:rFonts w:ascii="Arial" w:cs="Arial" w:eastAsia="Arial" w:hAnsi="Arial"/>
                <w:sz w:val="14"/>
                <w:szCs w:val="14"/>
                <w:color w:val="auto"/>
              </w:rPr>
              <w:t>9.0</w:t>
            </w:r>
          </w:p>
        </w:tc>
        <w:tc>
          <w:tcPr>
            <w:tcW w:w="1040" w:type="dxa"/>
            <w:vAlign w:val="bottom"/>
            <w:tcBorders>
              <w:bottom w:val="single" w:sz="8" w:color="DBDBDB"/>
            </w:tcBorders>
            <w:shd w:val="clear" w:color="auto" w:fill="DBDBDB"/>
          </w:tcPr>
          <w:p>
            <w:pPr>
              <w:jc w:val="right"/>
              <w:ind w:right="79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0.5</w:t>
            </w:r>
          </w:p>
        </w:tc>
      </w:tr>
      <w:tr>
        <w:trPr>
          <w:trHeight w:val="195"/>
        </w:trPr>
        <w:tc>
          <w:tcPr>
            <w:tcW w:w="7540" w:type="dxa"/>
            <w:vAlign w:val="bottom"/>
          </w:tcPr>
          <w:p>
            <w:pPr>
              <w:ind w:left="20"/>
              <w:spacing w:after="0"/>
              <w:rPr>
                <w:sz w:val="20"/>
                <w:szCs w:val="20"/>
                <w:color w:val="auto"/>
              </w:rPr>
            </w:pPr>
            <w:r>
              <w:rPr>
                <w:rFonts w:ascii="Arial" w:cs="Arial" w:eastAsia="Arial" w:hAnsi="Arial"/>
                <w:sz w:val="14"/>
                <w:szCs w:val="14"/>
                <w:color w:val="auto"/>
              </w:rPr>
              <w:t>Gross profit as a percentage of sales</w:t>
            </w:r>
          </w:p>
        </w:tc>
        <w:tc>
          <w:tcPr>
            <w:tcW w:w="620" w:type="dxa"/>
            <w:vAlign w:val="bottom"/>
          </w:tcPr>
          <w:p>
            <w:pPr>
              <w:spacing w:after="0"/>
              <w:rPr>
                <w:sz w:val="16"/>
                <w:szCs w:val="16"/>
                <w:color w:val="auto"/>
              </w:rPr>
            </w:pPr>
          </w:p>
        </w:tc>
        <w:tc>
          <w:tcPr>
            <w:tcW w:w="1220" w:type="dxa"/>
            <w:vAlign w:val="bottom"/>
          </w:tcPr>
          <w:p>
            <w:pPr>
              <w:ind w:left="760"/>
              <w:spacing w:after="0"/>
              <w:rPr>
                <w:sz w:val="20"/>
                <w:szCs w:val="20"/>
                <w:color w:val="auto"/>
              </w:rPr>
            </w:pPr>
            <w:r>
              <w:rPr>
                <w:rFonts w:ascii="Arial" w:cs="Arial" w:eastAsia="Arial" w:hAnsi="Arial"/>
                <w:sz w:val="14"/>
                <w:szCs w:val="14"/>
                <w:color w:val="auto"/>
              </w:rPr>
              <w:t>4.2 %</w:t>
            </w:r>
          </w:p>
        </w:tc>
        <w:tc>
          <w:tcPr>
            <w:tcW w:w="10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0.2 %</w:t>
            </w:r>
          </w:p>
        </w:tc>
      </w:tr>
      <w:tr>
        <w:trPr>
          <w:trHeight w:val="24"/>
        </w:trPr>
        <w:tc>
          <w:tcPr>
            <w:tcW w:w="7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85" w:lineRule="exact"/>
        <w:rPr>
          <w:sz w:val="20"/>
          <w:szCs w:val="20"/>
          <w:color w:val="auto"/>
        </w:rPr>
      </w:pPr>
    </w:p>
    <w:p>
      <w:pPr>
        <w:ind w:firstLine="619"/>
        <w:spacing w:after="0" w:line="263" w:lineRule="auto"/>
        <w:rPr>
          <w:sz w:val="20"/>
          <w:szCs w:val="20"/>
          <w:color w:val="auto"/>
        </w:rPr>
      </w:pPr>
      <w:r>
        <w:rPr>
          <w:rFonts w:ascii="Arial" w:cs="Arial" w:eastAsia="Arial" w:hAnsi="Arial"/>
          <w:sz w:val="15"/>
          <w:szCs w:val="15"/>
          <w:color w:val="auto"/>
        </w:rPr>
        <w:t>Gross profit increased $8.5 million or 1700% in the three months ended January 31, 2023 compared to the same period last year to $9.0 million, and gross profit percentage increased 400 basis points to 4.2% of revenue compared to the same period last year. Gross profit and gross profit percentage for the three months ended January 31, 2022 were significantly affected by challenges with the implementation of our new ERP system in our Marketing and Distribution segment. In the three months ended January 31, 2023 higher volumes had a favorable impact on fixed cost absorption while the lower pricing environment limited our ability to generate per-box margins on the buy-sell of avocados. We experienced negative gross margin within the Blueberries segment during the first quarter of 2023 as a result of weak sales prices within the European and US markets driven by strong industry supply as well as the amortization of purchase accounting adjustments associated with the business combination of Moruga during fiscal 2022.</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Selling, general and administrative expenses</w:t>
      </w:r>
    </w:p>
    <w:p>
      <w:pPr>
        <w:spacing w:after="0" w:line="245" w:lineRule="exact"/>
        <w:rPr>
          <w:sz w:val="20"/>
          <w:szCs w:val="20"/>
          <w:color w:val="auto"/>
        </w:rPr>
      </w:pPr>
    </w:p>
    <w:p>
      <w:pPr>
        <w:ind w:right="220" w:firstLine="619"/>
        <w:spacing w:after="0" w:line="269" w:lineRule="auto"/>
        <w:rPr>
          <w:sz w:val="20"/>
          <w:szCs w:val="20"/>
          <w:color w:val="auto"/>
        </w:rPr>
      </w:pPr>
      <w:r>
        <w:rPr>
          <w:rFonts w:ascii="Arial" w:cs="Arial" w:eastAsia="Arial" w:hAnsi="Arial"/>
          <w:sz w:val="15"/>
          <w:szCs w:val="15"/>
          <w:color w:val="auto"/>
        </w:rPr>
        <w:t>Selling, general and administrative (“SG&amp;A”) expenses primarily include the costs associated with selling, professional fees, general corporate overhead and other related administrative functions.</w:t>
      </w:r>
    </w:p>
    <w:p>
      <w:pPr>
        <w:spacing w:after="0" w:line="64"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19685</wp:posOffset>
            </wp:positionV>
            <wp:extent cx="22345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34565" cy="8255"/>
                    </a:xfrm>
                    <a:prstGeom prst="rect">
                      <a:avLst/>
                    </a:prstGeom>
                    <a:noFill/>
                  </pic:spPr>
                </pic:pic>
              </a:graphicData>
            </a:graphic>
          </wp:anchor>
        </w:drawing>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140" w:type="dxa"/>
            <w:vAlign w:val="bottom"/>
          </w:tcPr>
          <w:p>
            <w:pPr>
              <w:spacing w:after="0"/>
              <w:rPr>
                <w:sz w:val="15"/>
                <w:szCs w:val="15"/>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rPr>
              <w:t>2022</w:t>
            </w:r>
          </w:p>
        </w:tc>
      </w:tr>
      <w:tr>
        <w:trPr>
          <w:trHeight w:val="24"/>
        </w:trPr>
        <w:tc>
          <w:tcPr>
            <w:tcW w:w="52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2"/>
        </w:trPr>
        <w:tc>
          <w:tcPr>
            <w:tcW w:w="5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314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19.1</w:t>
            </w:r>
          </w:p>
        </w:tc>
        <w:tc>
          <w:tcPr>
            <w:tcW w:w="7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18.7</w:t>
            </w:r>
          </w:p>
        </w:tc>
      </w:tr>
      <w:tr>
        <w:trPr>
          <w:trHeight w:val="20"/>
        </w:trPr>
        <w:tc>
          <w:tcPr>
            <w:tcW w:w="522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85" w:lineRule="exact"/>
        <w:rPr>
          <w:sz w:val="20"/>
          <w:szCs w:val="20"/>
          <w:color w:val="auto"/>
        </w:rPr>
      </w:pPr>
    </w:p>
    <w:p>
      <w:pPr>
        <w:ind w:right="260" w:firstLine="619"/>
        <w:spacing w:after="0" w:line="269" w:lineRule="auto"/>
        <w:rPr>
          <w:sz w:val="20"/>
          <w:szCs w:val="20"/>
          <w:color w:val="auto"/>
        </w:rPr>
      </w:pPr>
      <w:r>
        <w:rPr>
          <w:rFonts w:ascii="Arial" w:cs="Arial" w:eastAsia="Arial" w:hAnsi="Arial"/>
          <w:sz w:val="15"/>
          <w:szCs w:val="15"/>
          <w:color w:val="auto"/>
        </w:rPr>
        <w:t>SG&amp;A expenses increased $0.4 million or 2% in the three months ended January 31, 2023 compared to the same period last year. The current period included the consolidation of $1.6 million in expenses from the Blueberries segment, a large portion of which was attributed to amortization of an intangible asset recognized in the business combination. This impact was partially offset by non-recurring ERP process reengineering costs incurred in the previous period.</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Interest expense</w:t>
      </w:r>
    </w:p>
    <w:p>
      <w:pPr>
        <w:spacing w:after="0" w:line="245" w:lineRule="exact"/>
        <w:rPr>
          <w:sz w:val="20"/>
          <w:szCs w:val="20"/>
          <w:color w:val="auto"/>
        </w:rPr>
      </w:pPr>
    </w:p>
    <w:p>
      <w:pPr>
        <w:ind w:right="180" w:firstLine="619"/>
        <w:spacing w:after="0" w:line="269" w:lineRule="auto"/>
        <w:rPr>
          <w:sz w:val="20"/>
          <w:szCs w:val="20"/>
          <w:color w:val="auto"/>
        </w:rPr>
      </w:pPr>
      <w:r>
        <w:rPr>
          <w:rFonts w:ascii="Arial" w:cs="Arial" w:eastAsia="Arial" w:hAnsi="Arial"/>
          <w:sz w:val="15"/>
          <w:szCs w:val="15"/>
          <w:color w:val="auto"/>
        </w:rPr>
        <w:t>Interest expense consists primarily of interest on borrowings under working capital facilities that we maintain and interest on other long-term debt used to make capital and equity investments.</w:t>
      </w:r>
    </w:p>
    <w:p>
      <w:pPr>
        <w:spacing w:after="0" w:line="64"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4881245</wp:posOffset>
            </wp:positionH>
            <wp:positionV relativeFrom="paragraph">
              <wp:posOffset>19685</wp:posOffset>
            </wp:positionV>
            <wp:extent cx="22345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34565" cy="8255"/>
                    </a:xfrm>
                    <a:prstGeom prst="rect">
                      <a:avLst/>
                    </a:prstGeom>
                    <a:noFill/>
                  </pic:spPr>
                </pic:pic>
              </a:graphicData>
            </a:graphic>
          </wp:anchor>
        </w:drawing>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3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980" w:type="dxa"/>
            <w:vAlign w:val="bottom"/>
          </w:tcPr>
          <w:p>
            <w:pPr>
              <w:spacing w:after="0"/>
              <w:rPr>
                <w:sz w:val="15"/>
                <w:szCs w:val="15"/>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15"/>
                <w:szCs w:val="15"/>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b w:val="1"/>
                <w:bCs w:val="1"/>
                <w:color w:val="auto"/>
              </w:rPr>
              <w:t>2022</w:t>
            </w:r>
          </w:p>
        </w:tc>
      </w:tr>
      <w:tr>
        <w:trPr>
          <w:trHeight w:val="24"/>
        </w:trPr>
        <w:tc>
          <w:tcPr>
            <w:tcW w:w="434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2"/>
        </w:trPr>
        <w:tc>
          <w:tcPr>
            <w:tcW w:w="4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Interest expense</w:t>
            </w:r>
          </w:p>
        </w:tc>
        <w:tc>
          <w:tcPr>
            <w:tcW w:w="39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2.4</w:t>
            </w:r>
          </w:p>
        </w:tc>
        <w:tc>
          <w:tcPr>
            <w:tcW w:w="7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0.9</w:t>
            </w:r>
          </w:p>
        </w:tc>
      </w:tr>
      <w:tr>
        <w:trPr>
          <w:trHeight w:val="20"/>
        </w:trPr>
        <w:tc>
          <w:tcPr>
            <w:tcW w:w="434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98" w:lineRule="exact"/>
        <w:rPr>
          <w:sz w:val="20"/>
          <w:szCs w:val="20"/>
          <w:color w:val="auto"/>
        </w:rPr>
      </w:pPr>
    </w:p>
    <w:p>
      <w:pPr>
        <w:ind w:right="120" w:firstLine="619"/>
        <w:spacing w:after="0" w:line="269" w:lineRule="auto"/>
        <w:rPr>
          <w:sz w:val="20"/>
          <w:szCs w:val="20"/>
          <w:color w:val="auto"/>
        </w:rPr>
      </w:pPr>
      <w:r>
        <w:rPr>
          <w:rFonts w:ascii="Arial" w:cs="Arial" w:eastAsia="Arial" w:hAnsi="Arial"/>
          <w:sz w:val="15"/>
          <w:szCs w:val="15"/>
          <w:color w:val="auto"/>
        </w:rPr>
        <w:t>Interest expense increased $1.5 million or 167% in the three months ended January 31, 2023 compared to the same period last year. The increases were due to rising interest rates, as the majority of our outstanding debt is subject to variable rates. Additionally, we incurred interest expense of $0.3 million in the first quarter of 2023 related to a long-term land lease for blueberry development which was classified as a finance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6" w:lineRule="exact"/>
        <w:rPr>
          <w:sz w:val="20"/>
          <w:szCs w:val="20"/>
          <w:color w:val="auto"/>
        </w:rPr>
      </w:pPr>
    </w:p>
    <w:p>
      <w:pPr>
        <w:ind w:right="20" w:firstLine="619"/>
        <w:spacing w:after="0" w:line="279" w:lineRule="auto"/>
        <w:rPr>
          <w:sz w:val="20"/>
          <w:szCs w:val="20"/>
          <w:color w:val="auto"/>
        </w:rPr>
      </w:pPr>
      <w:r>
        <w:rPr>
          <w:rFonts w:ascii="Arial" w:cs="Arial" w:eastAsia="Arial" w:hAnsi="Arial"/>
          <w:sz w:val="15"/>
          <w:szCs w:val="15"/>
          <w:color w:val="auto"/>
        </w:rPr>
        <w:t>To reduce interest rate risk on our long-term debt, we have interest rate swaps with a total notional amount of $100 million to hedge changes in the variable rates applicable to our term loan principal. Gains or losses generated from the swaps are recognized in other expense (income) in the consolidated financial statements.</w:t>
      </w: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 method income</w:t>
      </w:r>
    </w:p>
    <w:p>
      <w:pPr>
        <w:spacing w:after="0" w:line="245" w:lineRule="exact"/>
        <w:rPr>
          <w:sz w:val="20"/>
          <w:szCs w:val="20"/>
          <w:color w:val="auto"/>
        </w:rPr>
      </w:pPr>
    </w:p>
    <w:p>
      <w:pPr>
        <w:ind w:right="20" w:firstLine="619"/>
        <w:spacing w:after="0" w:line="269" w:lineRule="auto"/>
        <w:rPr>
          <w:sz w:val="20"/>
          <w:szCs w:val="20"/>
          <w:color w:val="auto"/>
        </w:rPr>
      </w:pPr>
      <w:r>
        <w:rPr>
          <w:rFonts w:ascii="Arial" w:cs="Arial" w:eastAsia="Arial" w:hAnsi="Arial"/>
          <w:sz w:val="15"/>
          <w:szCs w:val="15"/>
          <w:color w:val="auto"/>
        </w:rPr>
        <w:t>Our material equity method investees include Henry Avocado (“HAC”), Mr. Avocado, Copaltas, and up until May 1, 2022, Moruga. On May 1, 2022, Moruga became a variable interest entity and prospectively consolidated into our financial statements.</w:t>
      </w:r>
    </w:p>
    <w:p>
      <w:pPr>
        <w:spacing w:after="0" w:line="219"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19685</wp:posOffset>
            </wp:positionV>
            <wp:extent cx="2234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34565" cy="8255"/>
                    </a:xfrm>
                    <a:prstGeom prst="rect">
                      <a:avLst/>
                    </a:prstGeom>
                    <a:noFill/>
                  </pic:spPr>
                </pic:pic>
              </a:graphicData>
            </a:graphic>
          </wp:anchor>
        </w:drawing>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820" w:type="dxa"/>
            <w:vAlign w:val="bottom"/>
          </w:tcPr>
          <w:p>
            <w:pPr>
              <w:spacing w:after="0"/>
              <w:rPr>
                <w:sz w:val="15"/>
                <w:szCs w:val="15"/>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rPr>
              <w:t>2022</w:t>
            </w:r>
          </w:p>
        </w:tc>
      </w:tr>
      <w:tr>
        <w:trPr>
          <w:trHeight w:val="24"/>
        </w:trPr>
        <w:tc>
          <w:tcPr>
            <w:tcW w:w="45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2"/>
        </w:trPr>
        <w:tc>
          <w:tcPr>
            <w:tcW w:w="4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382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1.0</w:t>
            </w:r>
          </w:p>
        </w:tc>
        <w:tc>
          <w:tcPr>
            <w:tcW w:w="7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4"/>
                <w:szCs w:val="14"/>
                <w:color w:val="auto"/>
              </w:rPr>
              <w:t>1.6</w:t>
            </w:r>
          </w:p>
        </w:tc>
      </w:tr>
      <w:tr>
        <w:trPr>
          <w:trHeight w:val="20"/>
        </w:trPr>
        <w:tc>
          <w:tcPr>
            <w:tcW w:w="4540" w:type="dxa"/>
            <w:vAlign w:val="bottom"/>
            <w:shd w:val="clear" w:color="auto" w:fill="000000"/>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98" w:lineRule="exact"/>
        <w:rPr>
          <w:sz w:val="20"/>
          <w:szCs w:val="20"/>
          <w:color w:val="auto"/>
        </w:rPr>
      </w:pPr>
    </w:p>
    <w:p>
      <w:pPr>
        <w:jc w:val="both"/>
        <w:ind w:right="60" w:firstLine="619"/>
        <w:spacing w:after="0" w:line="269" w:lineRule="auto"/>
        <w:rPr>
          <w:sz w:val="20"/>
          <w:szCs w:val="20"/>
          <w:color w:val="auto"/>
        </w:rPr>
      </w:pPr>
      <w:r>
        <w:rPr>
          <w:rFonts w:ascii="Arial" w:cs="Arial" w:eastAsia="Arial" w:hAnsi="Arial"/>
          <w:sz w:val="15"/>
          <w:szCs w:val="15"/>
          <w:color w:val="auto"/>
        </w:rPr>
        <w:t>Equity method income decreased $0.6 million or 38% in the three months ended January 31, 2023 compared to the same period last year, primarily due to the consolidation of Moruga.</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expense (income), net</w:t>
      </w:r>
    </w:p>
    <w:p>
      <w:pPr>
        <w:spacing w:after="0" w:line="232" w:lineRule="exact"/>
        <w:rPr>
          <w:sz w:val="20"/>
          <w:szCs w:val="20"/>
          <w:color w:val="auto"/>
        </w:rPr>
      </w:pPr>
    </w:p>
    <w:p>
      <w:pPr>
        <w:ind w:right="940" w:firstLine="619"/>
        <w:spacing w:after="0" w:line="287" w:lineRule="auto"/>
        <w:rPr>
          <w:sz w:val="20"/>
          <w:szCs w:val="20"/>
          <w:color w:val="auto"/>
        </w:rPr>
      </w:pPr>
      <w:r>
        <w:rPr>
          <w:rFonts w:ascii="Arial" w:cs="Arial" w:eastAsia="Arial" w:hAnsi="Arial"/>
          <w:sz w:val="15"/>
          <w:szCs w:val="15"/>
          <w:color w:val="auto"/>
        </w:rPr>
        <w:t>Other expense (income), net consists of interest income, currency exchange gains or losses, interest rate derivative gains or losses and other miscellaneous income and expense items.</w:t>
      </w:r>
    </w:p>
    <w:p>
      <w:pPr>
        <w:spacing w:after="0" w:line="283" w:lineRule="exact"/>
        <w:rPr>
          <w:sz w:val="20"/>
          <w:szCs w:val="20"/>
          <w:color w:val="auto"/>
        </w:rPr>
      </w:pPr>
    </w:p>
    <w:p>
      <w:pPr>
        <w:ind w:left="878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19685</wp:posOffset>
            </wp:positionV>
            <wp:extent cx="22345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34565" cy="8255"/>
                    </a:xfrm>
                    <a:prstGeom prst="rect">
                      <a:avLst/>
                    </a:prstGeom>
                    <a:noFill/>
                  </pic:spPr>
                </pic:pic>
              </a:graphicData>
            </a:graphic>
          </wp:anchor>
        </w:drawing>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620" w:type="dxa"/>
            <w:vAlign w:val="bottom"/>
          </w:tcPr>
          <w:p>
            <w:pPr>
              <w:spacing w:after="0"/>
              <w:rPr>
                <w:sz w:val="15"/>
                <w:szCs w:val="15"/>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rPr>
              <w:t>2022</w:t>
            </w:r>
          </w:p>
        </w:tc>
      </w:tr>
      <w:tr>
        <w:trPr>
          <w:trHeight w:val="24"/>
        </w:trPr>
        <w:tc>
          <w:tcPr>
            <w:tcW w:w="474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2"/>
        </w:trPr>
        <w:tc>
          <w:tcPr>
            <w:tcW w:w="4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Other expense (income), net</w:t>
            </w:r>
          </w:p>
        </w:tc>
        <w:tc>
          <w:tcPr>
            <w:tcW w:w="362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0.8</w:t>
            </w:r>
          </w:p>
        </w:tc>
        <w:tc>
          <w:tcPr>
            <w:tcW w:w="780" w:type="dxa"/>
            <w:vAlign w:val="bottom"/>
            <w:tcBorders>
              <w:bottom w:val="single" w:sz="8" w:color="DBDBDB"/>
            </w:tcBorders>
            <w:shd w:val="clear" w:color="auto" w:fill="DBDBDB"/>
          </w:tcPr>
          <w:p>
            <w:pPr>
              <w:jc w:val="right"/>
              <w:ind w:right="51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w:t>
            </w:r>
          </w:p>
        </w:tc>
      </w:tr>
      <w:tr>
        <w:trPr>
          <w:trHeight w:val="20"/>
        </w:trPr>
        <w:tc>
          <w:tcPr>
            <w:tcW w:w="474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98" w:lineRule="exact"/>
        <w:rPr>
          <w:sz w:val="20"/>
          <w:szCs w:val="20"/>
          <w:color w:val="auto"/>
        </w:rPr>
      </w:pPr>
    </w:p>
    <w:p>
      <w:pPr>
        <w:ind w:right="240" w:firstLine="619"/>
        <w:spacing w:after="0" w:line="260" w:lineRule="auto"/>
        <w:rPr>
          <w:sz w:val="20"/>
          <w:szCs w:val="20"/>
          <w:color w:val="auto"/>
        </w:rPr>
      </w:pPr>
      <w:r>
        <w:rPr>
          <w:rFonts w:ascii="Arial" w:cs="Arial" w:eastAsia="Arial" w:hAnsi="Arial"/>
          <w:sz w:val="15"/>
          <w:szCs w:val="15"/>
          <w:color w:val="auto"/>
        </w:rPr>
        <w:t>Other expense was $0.8 million in three months ended January 31, 2023 compared to other income of $1.6 million in the same period last year primarily due to loss on foreign currency transactions in the current period compared to gains in the prior period, both driven by movement between the U.S. dollar and Mexican peso. Our interest rate swaps also generated gains in the previous period as a result of rising interest rates during the period.</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232" w:lineRule="exact"/>
        <w:rPr>
          <w:sz w:val="20"/>
          <w:szCs w:val="20"/>
          <w:color w:val="auto"/>
        </w:rPr>
      </w:pPr>
    </w:p>
    <w:p>
      <w:pPr>
        <w:ind w:right="140" w:firstLine="619"/>
        <w:spacing w:after="0" w:line="263" w:lineRule="auto"/>
        <w:rPr>
          <w:sz w:val="20"/>
          <w:szCs w:val="20"/>
          <w:color w:val="auto"/>
        </w:rPr>
      </w:pPr>
      <w:r>
        <w:rPr>
          <w:rFonts w:ascii="Arial" w:cs="Arial" w:eastAsia="Arial" w:hAnsi="Arial"/>
          <w:sz w:val="15"/>
          <w:szCs w:val="15"/>
          <w:color w:val="auto"/>
        </w:rPr>
        <w:t>The benefit or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spacing w:after="0" w:line="198" w:lineRule="exact"/>
        <w:rPr>
          <w:sz w:val="20"/>
          <w:szCs w:val="20"/>
          <w:color w:val="auto"/>
        </w:rPr>
      </w:pPr>
    </w:p>
    <w:p>
      <w:pPr>
        <w:ind w:right="40" w:firstLine="619"/>
        <w:spacing w:after="0" w:line="263" w:lineRule="auto"/>
        <w:rPr>
          <w:sz w:val="20"/>
          <w:szCs w:val="20"/>
          <w:color w:val="auto"/>
        </w:rPr>
      </w:pPr>
      <w:r>
        <w:rPr>
          <w:rFonts w:ascii="Arial" w:cs="Arial" w:eastAsia="Arial" w:hAnsi="Arial"/>
          <w:sz w:val="15"/>
          <w:szCs w:val="15"/>
          <w:color w:val="auto"/>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301"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7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40" w:type="dxa"/>
            <w:vAlign w:val="bottom"/>
            <w:gridSpan w:val="2"/>
          </w:tcPr>
          <w:p>
            <w:pPr>
              <w:jc w:val="center"/>
              <w:ind w:left="91"/>
              <w:spacing w:after="0"/>
              <w:rPr>
                <w:sz w:val="20"/>
                <w:szCs w:val="20"/>
                <w:color w:val="auto"/>
              </w:rPr>
            </w:pPr>
            <w:r>
              <w:rPr>
                <w:rFonts w:ascii="Arial" w:cs="Arial" w:eastAsia="Arial" w:hAnsi="Arial"/>
                <w:sz w:val="14"/>
                <w:szCs w:val="14"/>
                <w:b w:val="1"/>
                <w:bCs w:val="1"/>
                <w:color w:val="auto"/>
                <w:w w:val="98"/>
              </w:rPr>
              <w:t>Three Months Ended</w:t>
            </w:r>
          </w:p>
        </w:tc>
        <w:tc>
          <w:tcPr>
            <w:tcW w:w="820" w:type="dxa"/>
            <w:vAlign w:val="bottom"/>
          </w:tcPr>
          <w:p>
            <w:pPr>
              <w:spacing w:after="0"/>
              <w:rPr>
                <w:sz w:val="14"/>
                <w:szCs w:val="14"/>
                <w:color w:val="auto"/>
              </w:rPr>
            </w:pPr>
          </w:p>
        </w:tc>
      </w:tr>
      <w:tr>
        <w:trPr>
          <w:trHeight w:val="180"/>
        </w:trPr>
        <w:tc>
          <w:tcPr>
            <w:tcW w:w="7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40" w:type="dxa"/>
            <w:vAlign w:val="bottom"/>
            <w:gridSpan w:val="2"/>
          </w:tcPr>
          <w:p>
            <w:pPr>
              <w:jc w:val="center"/>
              <w:ind w:left="131"/>
              <w:spacing w:after="0"/>
              <w:rPr>
                <w:sz w:val="20"/>
                <w:szCs w:val="20"/>
                <w:color w:val="auto"/>
              </w:rPr>
            </w:pPr>
            <w:r>
              <w:rPr>
                <w:rFonts w:ascii="Arial" w:cs="Arial" w:eastAsia="Arial" w:hAnsi="Arial"/>
                <w:sz w:val="14"/>
                <w:szCs w:val="14"/>
                <w:b w:val="1"/>
                <w:bCs w:val="1"/>
                <w:color w:val="auto"/>
                <w:w w:val="98"/>
              </w:rPr>
              <w:t>January 31,</w:t>
            </w:r>
          </w:p>
        </w:tc>
        <w:tc>
          <w:tcPr>
            <w:tcW w:w="820" w:type="dxa"/>
            <w:vAlign w:val="bottom"/>
          </w:tcPr>
          <w:p>
            <w:pPr>
              <w:spacing w:after="0"/>
              <w:rPr>
                <w:sz w:val="15"/>
                <w:szCs w:val="15"/>
                <w:color w:val="auto"/>
              </w:rPr>
            </w:pPr>
          </w:p>
        </w:tc>
      </w:tr>
      <w:tr>
        <w:trPr>
          <w:trHeight w:val="24"/>
        </w:trPr>
        <w:tc>
          <w:tcPr>
            <w:tcW w:w="75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8"/>
        </w:trPr>
        <w:tc>
          <w:tcPr>
            <w:tcW w:w="7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tcPr>
          <w:p>
            <w:pPr>
              <w:jc w:val="right"/>
              <w:ind w:right="131"/>
              <w:spacing w:after="0"/>
              <w:rPr>
                <w:sz w:val="20"/>
                <w:szCs w:val="20"/>
                <w:color w:val="auto"/>
              </w:rPr>
            </w:pPr>
            <w:r>
              <w:rPr>
                <w:rFonts w:ascii="Arial" w:cs="Arial" w:eastAsia="Arial" w:hAnsi="Arial"/>
                <w:sz w:val="14"/>
                <w:szCs w:val="14"/>
                <w:b w:val="1"/>
                <w:bCs w:val="1"/>
                <w:color w:val="auto"/>
              </w:rPr>
              <w:t>2023</w:t>
            </w:r>
          </w:p>
        </w:tc>
        <w:tc>
          <w:tcPr>
            <w:tcW w:w="1020" w:type="dxa"/>
            <w:vAlign w:val="bottom"/>
          </w:tcPr>
          <w:p>
            <w:pPr>
              <w:spacing w:after="0"/>
              <w:rPr>
                <w:sz w:val="16"/>
                <w:szCs w:val="16"/>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b w:val="1"/>
                <w:bCs w:val="1"/>
                <w:color w:val="auto"/>
              </w:rPr>
              <w:t>2022</w:t>
            </w:r>
          </w:p>
        </w:tc>
      </w:tr>
      <w:tr>
        <w:trPr>
          <w:trHeight w:val="24"/>
        </w:trPr>
        <w:tc>
          <w:tcPr>
            <w:tcW w:w="7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2"/>
        </w:trPr>
        <w:tc>
          <w:tcPr>
            <w:tcW w:w="7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Income tax benefit (in millions)</w:t>
            </w:r>
          </w:p>
        </w:tc>
        <w:tc>
          <w:tcPr>
            <w:tcW w:w="62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1.7</w:t>
            </w:r>
          </w:p>
        </w:tc>
        <w:tc>
          <w:tcPr>
            <w:tcW w:w="1020" w:type="dxa"/>
            <w:vAlign w:val="bottom"/>
            <w:tcBorders>
              <w:bottom w:val="single" w:sz="8" w:color="DBDBDB"/>
            </w:tcBorders>
            <w:shd w:val="clear" w:color="auto" w:fill="DBDBDB"/>
          </w:tcPr>
          <w:p>
            <w:pPr>
              <w:jc w:val="right"/>
              <w:ind w:right="77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2.5</w:t>
            </w:r>
          </w:p>
        </w:tc>
      </w:tr>
      <w:tr>
        <w:trPr>
          <w:trHeight w:val="195"/>
        </w:trPr>
        <w:tc>
          <w:tcPr>
            <w:tcW w:w="7500" w:type="dxa"/>
            <w:vAlign w:val="bottom"/>
          </w:tcPr>
          <w:p>
            <w:pPr>
              <w:ind w:left="20"/>
              <w:spacing w:after="0"/>
              <w:rPr>
                <w:sz w:val="20"/>
                <w:szCs w:val="20"/>
                <w:color w:val="auto"/>
              </w:rPr>
            </w:pPr>
            <w:r>
              <w:rPr>
                <w:rFonts w:ascii="Arial" w:cs="Arial" w:eastAsia="Arial" w:hAnsi="Arial"/>
                <w:sz w:val="14"/>
                <w:szCs w:val="14"/>
                <w:color w:val="auto"/>
              </w:rPr>
              <w:t>Effective tax rate</w:t>
            </w:r>
          </w:p>
        </w:tc>
        <w:tc>
          <w:tcPr>
            <w:tcW w:w="620" w:type="dxa"/>
            <w:vAlign w:val="bottom"/>
          </w:tcPr>
          <w:p>
            <w:pPr>
              <w:spacing w:after="0"/>
              <w:rPr>
                <w:sz w:val="16"/>
                <w:szCs w:val="16"/>
                <w:color w:val="auto"/>
              </w:rPr>
            </w:pPr>
          </w:p>
        </w:tc>
        <w:tc>
          <w:tcPr>
            <w:tcW w:w="1220" w:type="dxa"/>
            <w:vAlign w:val="bottom"/>
          </w:tcPr>
          <w:p>
            <w:pPr>
              <w:jc w:val="right"/>
              <w:ind w:right="31"/>
              <w:spacing w:after="0"/>
              <w:rPr>
                <w:sz w:val="20"/>
                <w:szCs w:val="20"/>
                <w:color w:val="auto"/>
              </w:rPr>
            </w:pPr>
            <w:r>
              <w:rPr>
                <w:rFonts w:ascii="Arial" w:cs="Arial" w:eastAsia="Arial" w:hAnsi="Arial"/>
                <w:sz w:val="14"/>
                <w:szCs w:val="14"/>
                <w:color w:val="auto"/>
              </w:rPr>
              <w:t>13.8 %</w:t>
            </w:r>
          </w:p>
        </w:tc>
        <w:tc>
          <w:tcPr>
            <w:tcW w:w="10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15.7 %</w:t>
            </w:r>
          </w:p>
        </w:tc>
      </w:tr>
      <w:tr>
        <w:trPr>
          <w:trHeight w:val="24"/>
        </w:trPr>
        <w:tc>
          <w:tcPr>
            <w:tcW w:w="75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298" w:lineRule="exact"/>
        <w:rPr>
          <w:sz w:val="20"/>
          <w:szCs w:val="20"/>
          <w:color w:val="auto"/>
        </w:rPr>
      </w:pPr>
    </w:p>
    <w:p>
      <w:pPr>
        <w:ind w:right="60" w:firstLine="619"/>
        <w:spacing w:after="0" w:line="269" w:lineRule="auto"/>
        <w:rPr>
          <w:sz w:val="20"/>
          <w:szCs w:val="20"/>
          <w:color w:val="auto"/>
        </w:rPr>
      </w:pPr>
      <w:r>
        <w:rPr>
          <w:rFonts w:ascii="Arial" w:cs="Arial" w:eastAsia="Arial" w:hAnsi="Arial"/>
          <w:sz w:val="15"/>
          <w:szCs w:val="15"/>
          <w:color w:val="auto"/>
        </w:rPr>
        <w:t>The income tax benefit decreased $0.8 million or 32% in the three months ended January 31, 2023 compared to the same period last year primarily due to a reduction in pre-tax losses. Our effective tax rate is impacted by income attributable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6" w:lineRule="exact"/>
        <w:rPr>
          <w:sz w:val="20"/>
          <w:szCs w:val="20"/>
          <w:color w:val="auto"/>
        </w:rPr>
      </w:pPr>
    </w:p>
    <w:p>
      <w:pPr>
        <w:ind w:right="120"/>
        <w:spacing w:after="0" w:line="269" w:lineRule="auto"/>
        <w:rPr>
          <w:sz w:val="20"/>
          <w:szCs w:val="20"/>
          <w:color w:val="auto"/>
        </w:rPr>
      </w:pPr>
      <w:r>
        <w:rPr>
          <w:rFonts w:ascii="Arial" w:cs="Arial" w:eastAsia="Arial" w:hAnsi="Arial"/>
          <w:sz w:val="15"/>
          <w:szCs w:val="15"/>
          <w:color w:val="auto"/>
        </w:rPr>
        <w:t>foreign jurisdictions which is taxed at different rates from the U.S. federal statutory tax rate of 21%, changes in foreign exchange rates taxable in foreign jurisdictions and nondeductible tax items.</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Segment Results of Operations</w:t>
      </w:r>
    </w:p>
    <w:p>
      <w:pPr>
        <w:spacing w:after="0" w:line="236" w:lineRule="exact"/>
        <w:rPr>
          <w:sz w:val="20"/>
          <w:szCs w:val="20"/>
          <w:color w:val="auto"/>
        </w:rPr>
      </w:pPr>
    </w:p>
    <w:p>
      <w:pPr>
        <w:ind w:right="100" w:firstLine="619"/>
        <w:spacing w:after="0" w:line="269" w:lineRule="auto"/>
        <w:rPr>
          <w:sz w:val="20"/>
          <w:szCs w:val="20"/>
          <w:color w:val="auto"/>
        </w:rPr>
      </w:pPr>
      <w:r>
        <w:rPr>
          <w:rFonts w:ascii="Arial" w:cs="Arial" w:eastAsia="Arial" w:hAnsi="Arial"/>
          <w:sz w:val="15"/>
          <w:szCs w:val="15"/>
          <w:color w:val="auto"/>
        </w:rPr>
        <w:t>Our CEO evaluates and monitors segment performance primarily through segment sales and segment adjusted earnings before interest expense, income taxes and depreciation and amortization (“adjusted EBITDA”). We believe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181" w:lineRule="exact"/>
        <w:rPr>
          <w:sz w:val="20"/>
          <w:szCs w:val="20"/>
          <w:color w:val="auto"/>
        </w:rPr>
      </w:pPr>
    </w:p>
    <w:p>
      <w:pPr>
        <w:ind w:right="100" w:firstLine="619"/>
        <w:spacing w:after="0" w:line="262" w:lineRule="auto"/>
        <w:rPr>
          <w:sz w:val="20"/>
          <w:szCs w:val="20"/>
          <w:color w:val="auto"/>
        </w:rPr>
      </w:pPr>
      <w:r>
        <w:rPr>
          <w:rFonts w:ascii="Arial" w:cs="Arial" w:eastAsia="Arial" w:hAnsi="Arial"/>
          <w:sz w:val="15"/>
          <w:szCs w:val="15"/>
          <w:color w:val="auto"/>
        </w:rPr>
        <w:t>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certain noncash and nonrecurring ERP costs, transaction costs, amortization of inventory adjustments recognized from business combinations, and any special, non-recurring, or one-time items such as remeasurements or impairments, and any portion of these items attributable to the noncontrolling interest, all of which are excluded from the results the CEO reviews uses to assess segment performance and results.</w:t>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sales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b w:val="1"/>
                <w:bCs w:val="1"/>
                <w:color w:val="auto"/>
              </w:rPr>
              <w:t>Marketing and</w:t>
            </w:r>
          </w:p>
        </w:tc>
        <w:tc>
          <w:tcPr>
            <w:tcW w:w="300" w:type="dxa"/>
            <w:vAlign w:val="bottom"/>
          </w:tcPr>
          <w:p>
            <w:pPr>
              <w:spacing w:after="0"/>
              <w:rPr>
                <w:sz w:val="14"/>
                <w:szCs w:val="14"/>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b w:val="1"/>
                <w:bCs w:val="1"/>
                <w:color w:val="auto"/>
              </w:rPr>
              <w:t>International</w:t>
            </w: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b w:val="1"/>
                <w:bCs w:val="1"/>
                <w:color w:val="auto"/>
              </w:rPr>
              <w:t>Marketing and</w:t>
            </w:r>
          </w:p>
        </w:tc>
        <w:tc>
          <w:tcPr>
            <w:tcW w:w="300" w:type="dxa"/>
            <w:vAlign w:val="bottom"/>
          </w:tcPr>
          <w:p>
            <w:pPr>
              <w:spacing w:after="0"/>
              <w:rPr>
                <w:sz w:val="14"/>
                <w:szCs w:val="14"/>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b w:val="1"/>
                <w:bCs w:val="1"/>
                <w:color w:val="auto"/>
              </w:rPr>
              <w:t>International</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b w:val="1"/>
                <w:bCs w:val="1"/>
                <w:color w:val="auto"/>
              </w:rPr>
              <w:t>Distribution</w:t>
            </w:r>
          </w:p>
        </w:tc>
        <w:tc>
          <w:tcPr>
            <w:tcW w:w="30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b w:val="1"/>
                <w:bCs w:val="1"/>
                <w:color w:val="auto"/>
              </w:rPr>
              <w:t>Farming</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Blueberries</w:t>
            </w:r>
          </w:p>
        </w:tc>
        <w:tc>
          <w:tcPr>
            <w:tcW w:w="280" w:type="dxa"/>
            <w:vAlign w:val="bottom"/>
          </w:tcPr>
          <w:p>
            <w:pPr>
              <w:spacing w:after="0"/>
              <w:rPr>
                <w:sz w:val="16"/>
                <w:szCs w:val="16"/>
                <w:color w:val="auto"/>
              </w:rPr>
            </w:pPr>
          </w:p>
        </w:tc>
        <w:tc>
          <w:tcPr>
            <w:tcW w:w="1200" w:type="dxa"/>
            <w:vAlign w:val="bottom"/>
          </w:tcPr>
          <w:p>
            <w:pPr>
              <w:jc w:val="right"/>
              <w:ind w:right="151"/>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6"/>
                <w:szCs w:val="16"/>
                <w:color w:val="auto"/>
              </w:rPr>
            </w:pPr>
          </w:p>
        </w:tc>
        <w:tc>
          <w:tcPr>
            <w:tcW w:w="1100" w:type="dxa"/>
            <w:vAlign w:val="bottom"/>
          </w:tcPr>
          <w:p>
            <w:pPr>
              <w:jc w:val="right"/>
              <w:ind w:right="11"/>
              <w:spacing w:after="0"/>
              <w:rPr>
                <w:sz w:val="20"/>
                <w:szCs w:val="20"/>
                <w:color w:val="auto"/>
              </w:rPr>
            </w:pPr>
            <w:r>
              <w:rPr>
                <w:rFonts w:ascii="Arial" w:cs="Arial" w:eastAsia="Arial" w:hAnsi="Arial"/>
                <w:sz w:val="14"/>
                <w:szCs w:val="14"/>
                <w:b w:val="1"/>
                <w:bCs w:val="1"/>
                <w:color w:val="auto"/>
              </w:rPr>
              <w:t>Distribution</w:t>
            </w:r>
          </w:p>
        </w:tc>
        <w:tc>
          <w:tcPr>
            <w:tcW w:w="300" w:type="dxa"/>
            <w:vAlign w:val="bottom"/>
          </w:tcPr>
          <w:p>
            <w:pPr>
              <w:spacing w:after="0"/>
              <w:rPr>
                <w:sz w:val="16"/>
                <w:szCs w:val="16"/>
                <w:color w:val="auto"/>
              </w:rPr>
            </w:pPr>
          </w:p>
        </w:tc>
        <w:tc>
          <w:tcPr>
            <w:tcW w:w="1040" w:type="dxa"/>
            <w:vAlign w:val="bottom"/>
          </w:tcPr>
          <w:p>
            <w:pPr>
              <w:jc w:val="right"/>
              <w:ind w:right="11"/>
              <w:spacing w:after="0"/>
              <w:rPr>
                <w:sz w:val="20"/>
                <w:szCs w:val="20"/>
                <w:color w:val="auto"/>
              </w:rPr>
            </w:pPr>
            <w:r>
              <w:rPr>
                <w:rFonts w:ascii="Arial" w:cs="Arial" w:eastAsia="Arial" w:hAnsi="Arial"/>
                <w:sz w:val="14"/>
                <w:szCs w:val="14"/>
                <w:b w:val="1"/>
                <w:bCs w:val="1"/>
                <w:color w:val="auto"/>
              </w:rPr>
              <w:t>Farming</w:t>
            </w: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1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291"/>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9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jc w:val="right"/>
              <w:ind w:right="111"/>
              <w:spacing w:after="0"/>
              <w:rPr>
                <w:sz w:val="20"/>
                <w:szCs w:val="20"/>
                <w:color w:val="auto"/>
              </w:rPr>
            </w:pPr>
            <w:r>
              <w:rPr>
                <w:rFonts w:ascii="Arial" w:cs="Arial" w:eastAsia="Arial" w:hAnsi="Arial"/>
                <w:sz w:val="14"/>
                <w:szCs w:val="14"/>
                <w:b w:val="1"/>
                <w:bCs w:val="1"/>
                <w:color w:val="auto"/>
              </w:rPr>
              <w:t>2023</w:t>
            </w: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Third party sales</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181.8</w:t>
            </w:r>
          </w:p>
        </w:tc>
        <w:tc>
          <w:tcPr>
            <w:tcW w:w="3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shd w:val="clear" w:color="auto" w:fill="DBDBDB"/>
          </w:tcPr>
          <w:p>
            <w:pPr>
              <w:jc w:val="center"/>
              <w:ind w:left="511"/>
              <w:spacing w:after="0"/>
              <w:rPr>
                <w:sz w:val="20"/>
                <w:szCs w:val="20"/>
                <w:color w:val="auto"/>
              </w:rPr>
            </w:pPr>
            <w:r>
              <w:rPr>
                <w:rFonts w:ascii="Arial" w:cs="Arial" w:eastAsia="Arial" w:hAnsi="Arial"/>
                <w:sz w:val="14"/>
                <w:szCs w:val="14"/>
                <w:color w:val="auto"/>
                <w:w w:val="92"/>
              </w:rPr>
              <w:t>1.9</w:t>
            </w:r>
          </w:p>
        </w:tc>
        <w:tc>
          <w:tcPr>
            <w:tcW w:w="34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29.8</w:t>
            </w:r>
          </w:p>
        </w:tc>
        <w:tc>
          <w:tcPr>
            <w:tcW w:w="2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213.5</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212.3</w:t>
            </w:r>
          </w:p>
        </w:tc>
        <w:tc>
          <w:tcPr>
            <w:tcW w:w="3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shd w:val="clear" w:color="auto" w:fill="DBDBDB"/>
          </w:tcPr>
          <w:p>
            <w:pPr>
              <w:jc w:val="center"/>
              <w:ind w:left="531"/>
              <w:spacing w:after="0"/>
              <w:rPr>
                <w:sz w:val="20"/>
                <w:szCs w:val="20"/>
                <w:color w:val="auto"/>
              </w:rPr>
            </w:pPr>
            <w:r>
              <w:rPr>
                <w:rFonts w:ascii="Arial" w:cs="Arial" w:eastAsia="Arial" w:hAnsi="Arial"/>
                <w:sz w:val="14"/>
                <w:szCs w:val="14"/>
                <w:color w:val="auto"/>
              </w:rPr>
              <w:t>4.3</w:t>
            </w:r>
          </w:p>
        </w:tc>
        <w:tc>
          <w:tcPr>
            <w:tcW w:w="52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216.6</w:t>
            </w:r>
          </w:p>
        </w:tc>
        <w:tc>
          <w:tcPr>
            <w:tcW w:w="0" w:type="dxa"/>
            <w:vAlign w:val="bottom"/>
          </w:tcPr>
          <w:p>
            <w:pPr>
              <w:spacing w:after="0"/>
              <w:rPr>
                <w:sz w:val="1"/>
                <w:szCs w:val="1"/>
                <w:color w:val="auto"/>
              </w:rPr>
            </w:pPr>
          </w:p>
        </w:tc>
      </w:tr>
      <w:tr>
        <w:trPr>
          <w:trHeight w:val="195"/>
        </w:trPr>
        <w:tc>
          <w:tcPr>
            <w:tcW w:w="1920" w:type="dxa"/>
            <w:vAlign w:val="bottom"/>
          </w:tcPr>
          <w:p>
            <w:pPr>
              <w:ind w:left="20"/>
              <w:spacing w:after="0"/>
              <w:rPr>
                <w:sz w:val="20"/>
                <w:szCs w:val="20"/>
                <w:color w:val="auto"/>
              </w:rPr>
            </w:pPr>
            <w:r>
              <w:rPr>
                <w:rFonts w:ascii="Arial" w:cs="Arial" w:eastAsia="Arial" w:hAnsi="Arial"/>
                <w:sz w:val="14"/>
                <w:szCs w:val="14"/>
                <w:color w:val="auto"/>
              </w:rPr>
              <w:t>Affiliated sales</w:t>
            </w:r>
          </w:p>
        </w:tc>
        <w:tc>
          <w:tcPr>
            <w:tcW w:w="160" w:type="dxa"/>
            <w:vAlign w:val="bottom"/>
          </w:tcPr>
          <w:p>
            <w:pPr>
              <w:spacing w:after="0"/>
              <w:rPr>
                <w:sz w:val="16"/>
                <w:szCs w:val="16"/>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center"/>
              <w:ind w:left="511"/>
              <w:spacing w:after="0"/>
              <w:rPr>
                <w:sz w:val="20"/>
                <w:szCs w:val="20"/>
                <w:color w:val="auto"/>
              </w:rPr>
            </w:pPr>
            <w:r>
              <w:rPr>
                <w:rFonts w:ascii="Arial" w:cs="Arial" w:eastAsia="Arial" w:hAnsi="Arial"/>
                <w:sz w:val="14"/>
                <w:szCs w:val="14"/>
                <w:color w:val="auto"/>
                <w:w w:val="92"/>
              </w:rPr>
              <w:t>3.8</w:t>
            </w:r>
          </w:p>
        </w:tc>
        <w:tc>
          <w:tcPr>
            <w:tcW w:w="340" w:type="dxa"/>
            <w:vAlign w:val="bottom"/>
          </w:tcPr>
          <w:p>
            <w:pPr>
              <w:spacing w:after="0"/>
              <w:rPr>
                <w:sz w:val="16"/>
                <w:szCs w:val="16"/>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6"/>
                <w:szCs w:val="16"/>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center"/>
              <w:ind w:left="511"/>
              <w:spacing w:after="0"/>
              <w:rPr>
                <w:sz w:val="20"/>
                <w:szCs w:val="20"/>
                <w:color w:val="auto"/>
              </w:rPr>
            </w:pPr>
            <w:r>
              <w:rPr>
                <w:rFonts w:ascii="Arial" w:cs="Arial" w:eastAsia="Arial" w:hAnsi="Arial"/>
                <w:sz w:val="14"/>
                <w:szCs w:val="14"/>
                <w:color w:val="auto"/>
              </w:rPr>
              <w:t>(1.0)</w:t>
            </w: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4"/>
        </w:trPr>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segment sales</w:t>
            </w:r>
          </w:p>
        </w:tc>
        <w:tc>
          <w:tcPr>
            <w:tcW w:w="1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181.8</w:t>
            </w:r>
          </w:p>
        </w:tc>
        <w:tc>
          <w:tcPr>
            <w:tcW w:w="3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center"/>
              <w:ind w:left="511"/>
              <w:spacing w:after="0"/>
              <w:rPr>
                <w:sz w:val="20"/>
                <w:szCs w:val="20"/>
                <w:color w:val="auto"/>
              </w:rPr>
            </w:pPr>
            <w:r>
              <w:rPr>
                <w:rFonts w:ascii="Arial" w:cs="Arial" w:eastAsia="Arial" w:hAnsi="Arial"/>
                <w:sz w:val="14"/>
                <w:szCs w:val="14"/>
                <w:color w:val="auto"/>
                <w:w w:val="92"/>
              </w:rPr>
              <w:t>5.7</w:t>
            </w:r>
          </w:p>
        </w:tc>
        <w:tc>
          <w:tcPr>
            <w:tcW w:w="34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29.8</w:t>
            </w:r>
          </w:p>
        </w:tc>
        <w:tc>
          <w:tcPr>
            <w:tcW w:w="280" w:type="dxa"/>
            <w:vAlign w:val="bottom"/>
            <w:tcBorders>
              <w:bottom w:val="single" w:sz="8" w:color="DBDBDB"/>
            </w:tcBorders>
            <w:shd w:val="clear" w:color="auto" w:fill="DBDBDB"/>
          </w:tcPr>
          <w:p>
            <w:pPr>
              <w:spacing w:after="0"/>
              <w:rPr>
                <w:sz w:val="16"/>
                <w:szCs w:val="16"/>
                <w:color w:val="auto"/>
              </w:rPr>
            </w:pPr>
          </w:p>
        </w:tc>
        <w:tc>
          <w:tcPr>
            <w:tcW w:w="120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217.3</w:t>
            </w:r>
          </w:p>
        </w:tc>
        <w:tc>
          <w:tcPr>
            <w:tcW w:w="2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212.3</w:t>
            </w:r>
          </w:p>
        </w:tc>
        <w:tc>
          <w:tcPr>
            <w:tcW w:w="3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center"/>
              <w:ind w:left="531"/>
              <w:spacing w:after="0"/>
              <w:rPr>
                <w:sz w:val="20"/>
                <w:szCs w:val="20"/>
                <w:color w:val="auto"/>
              </w:rPr>
            </w:pPr>
            <w:r>
              <w:rPr>
                <w:rFonts w:ascii="Arial" w:cs="Arial" w:eastAsia="Arial" w:hAnsi="Arial"/>
                <w:sz w:val="14"/>
                <w:szCs w:val="14"/>
                <w:color w:val="auto"/>
              </w:rPr>
              <w:t>3.3</w:t>
            </w:r>
          </w:p>
        </w:tc>
        <w:tc>
          <w:tcPr>
            <w:tcW w:w="5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215.6</w:t>
            </w:r>
          </w:p>
        </w:tc>
        <w:tc>
          <w:tcPr>
            <w:tcW w:w="0" w:type="dxa"/>
            <w:vAlign w:val="bottom"/>
          </w:tcPr>
          <w:p>
            <w:pPr>
              <w:spacing w:after="0"/>
              <w:rPr>
                <w:sz w:val="1"/>
                <w:szCs w:val="1"/>
                <w:color w:val="auto"/>
              </w:rPr>
            </w:pPr>
          </w:p>
        </w:tc>
      </w:tr>
      <w:tr>
        <w:trPr>
          <w:trHeight w:val="195"/>
        </w:trPr>
        <w:tc>
          <w:tcPr>
            <w:tcW w:w="1920" w:type="dxa"/>
            <w:vAlign w:val="bottom"/>
          </w:tcPr>
          <w:p>
            <w:pPr>
              <w:ind w:left="20"/>
              <w:spacing w:after="0"/>
              <w:rPr>
                <w:sz w:val="20"/>
                <w:szCs w:val="20"/>
                <w:color w:val="auto"/>
              </w:rPr>
            </w:pPr>
            <w:r>
              <w:rPr>
                <w:rFonts w:ascii="Arial" w:cs="Arial" w:eastAsia="Arial" w:hAnsi="Arial"/>
                <w:sz w:val="14"/>
                <w:szCs w:val="14"/>
                <w:color w:val="auto"/>
              </w:rPr>
              <w:t>Intercompany eliminations</w:t>
            </w:r>
          </w:p>
        </w:tc>
        <w:tc>
          <w:tcPr>
            <w:tcW w:w="160" w:type="dxa"/>
            <w:vAlign w:val="bottom"/>
          </w:tcPr>
          <w:p>
            <w:pPr>
              <w:spacing w:after="0"/>
              <w:rPr>
                <w:sz w:val="16"/>
                <w:szCs w:val="16"/>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center"/>
              <w:ind w:left="491"/>
              <w:spacing w:after="0"/>
              <w:rPr>
                <w:sz w:val="20"/>
                <w:szCs w:val="20"/>
                <w:color w:val="auto"/>
              </w:rPr>
            </w:pPr>
            <w:r>
              <w:rPr>
                <w:rFonts w:ascii="Arial" w:cs="Arial" w:eastAsia="Arial" w:hAnsi="Arial"/>
                <w:sz w:val="14"/>
                <w:szCs w:val="14"/>
                <w:color w:val="auto"/>
                <w:w w:val="97"/>
              </w:rPr>
              <w:t>(3.8)</w:t>
            </w:r>
          </w:p>
        </w:tc>
        <w:tc>
          <w:tcPr>
            <w:tcW w:w="340" w:type="dxa"/>
            <w:vAlign w:val="bottom"/>
          </w:tcPr>
          <w:p>
            <w:pPr>
              <w:spacing w:after="0"/>
              <w:rPr>
                <w:sz w:val="16"/>
                <w:szCs w:val="16"/>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ind w:right="151"/>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16"/>
                <w:szCs w:val="16"/>
                <w:color w:val="auto"/>
              </w:rPr>
            </w:pPr>
          </w:p>
        </w:tc>
        <w:tc>
          <w:tcPr>
            <w:tcW w:w="11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40" w:type="dxa"/>
            <w:vAlign w:val="bottom"/>
          </w:tcPr>
          <w:p>
            <w:pPr>
              <w:jc w:val="center"/>
              <w:ind w:left="531"/>
              <w:spacing w:after="0"/>
              <w:rPr>
                <w:sz w:val="20"/>
                <w:szCs w:val="20"/>
                <w:color w:val="auto"/>
              </w:rPr>
            </w:pPr>
            <w:r>
              <w:rPr>
                <w:rFonts w:ascii="Arial" w:cs="Arial" w:eastAsia="Arial" w:hAnsi="Arial"/>
                <w:sz w:val="14"/>
                <w:szCs w:val="14"/>
                <w:color w:val="auto"/>
              </w:rPr>
              <w:t>1.0</w:t>
            </w: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4"/>
        </w:trPr>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net sales</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181.8</w:t>
            </w:r>
          </w:p>
        </w:tc>
        <w:tc>
          <w:tcPr>
            <w:tcW w:w="3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shd w:val="clear" w:color="auto" w:fill="DBDBDB"/>
          </w:tcPr>
          <w:p>
            <w:pPr>
              <w:jc w:val="center"/>
              <w:ind w:left="511"/>
              <w:spacing w:after="0"/>
              <w:rPr>
                <w:sz w:val="20"/>
                <w:szCs w:val="20"/>
                <w:color w:val="auto"/>
              </w:rPr>
            </w:pPr>
            <w:r>
              <w:rPr>
                <w:rFonts w:ascii="Arial" w:cs="Arial" w:eastAsia="Arial" w:hAnsi="Arial"/>
                <w:sz w:val="14"/>
                <w:szCs w:val="14"/>
                <w:color w:val="auto"/>
                <w:w w:val="92"/>
              </w:rPr>
              <w:t>1.9</w:t>
            </w:r>
          </w:p>
        </w:tc>
        <w:tc>
          <w:tcPr>
            <w:tcW w:w="34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29.8</w:t>
            </w:r>
          </w:p>
        </w:tc>
        <w:tc>
          <w:tcPr>
            <w:tcW w:w="280" w:type="dxa"/>
            <w:vAlign w:val="bottom"/>
            <w:tcBorders>
              <w:bottom w:val="single" w:sz="8" w:color="DBDBDB"/>
            </w:tcBorders>
            <w:shd w:val="clear" w:color="auto" w:fill="DBDBDB"/>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4"/>
                <w:szCs w:val="14"/>
                <w:color w:val="auto"/>
              </w:rPr>
              <w:t>213.5</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212.3</w:t>
            </w:r>
          </w:p>
        </w:tc>
        <w:tc>
          <w:tcPr>
            <w:tcW w:w="30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DBDBDB"/>
            </w:tcBorders>
            <w:shd w:val="clear" w:color="auto" w:fill="DBDBDB"/>
          </w:tcPr>
          <w:p>
            <w:pPr>
              <w:jc w:val="center"/>
              <w:ind w:left="531"/>
              <w:spacing w:after="0"/>
              <w:rPr>
                <w:sz w:val="20"/>
                <w:szCs w:val="20"/>
                <w:color w:val="auto"/>
              </w:rPr>
            </w:pPr>
            <w:r>
              <w:rPr>
                <w:rFonts w:ascii="Arial" w:cs="Arial" w:eastAsia="Arial" w:hAnsi="Arial"/>
                <w:sz w:val="14"/>
                <w:szCs w:val="14"/>
                <w:color w:val="auto"/>
              </w:rPr>
              <w:t>4.3</w:t>
            </w:r>
          </w:p>
        </w:tc>
        <w:tc>
          <w:tcPr>
            <w:tcW w:w="52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216.6</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Adjusted EBITDA</w:t>
      </w:r>
    </w:p>
    <w:p>
      <w:pPr>
        <w:spacing w:after="0" w:line="116" w:lineRule="exact"/>
        <w:rPr>
          <w:sz w:val="20"/>
          <w:szCs w:val="20"/>
          <w:color w:val="auto"/>
        </w:rPr>
      </w:pPr>
    </w:p>
    <w:tbl>
      <w:tblPr>
        <w:tblLayout w:type="fixed"/>
        <w:tblInd w:w="160" w:type="dxa"/>
        <w:tblCellMar>
          <w:top w:w="0" w:type="dxa"/>
          <w:left w:w="0" w:type="dxa"/>
          <w:bottom w:w="0" w:type="dxa"/>
          <w:right w:w="0" w:type="dxa"/>
        </w:tblCellMar>
      </w:tblPr>
      <w:tr>
        <w:trPr>
          <w:trHeight w:val="168"/>
        </w:trPr>
        <w:tc>
          <w:tcPr>
            <w:tcW w:w="7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80" w:type="dxa"/>
            <w:vAlign w:val="bottom"/>
            <w:gridSpan w:val="2"/>
          </w:tcPr>
          <w:p>
            <w:pPr>
              <w:jc w:val="right"/>
              <w:ind w:right="271"/>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80" w:type="dxa"/>
            <w:vAlign w:val="bottom"/>
            <w:gridSpan w:val="2"/>
          </w:tcPr>
          <w:p>
            <w:pPr>
              <w:jc w:val="right"/>
              <w:ind w:right="551"/>
              <w:spacing w:after="0"/>
              <w:rPr>
                <w:sz w:val="20"/>
                <w:szCs w:val="20"/>
                <w:color w:val="auto"/>
              </w:rPr>
            </w:pPr>
            <w:r>
              <w:rPr>
                <w:rFonts w:ascii="Arial" w:cs="Arial" w:eastAsia="Arial" w:hAnsi="Arial"/>
                <w:sz w:val="14"/>
                <w:szCs w:val="14"/>
                <w:b w:val="1"/>
                <w:bCs w:val="1"/>
                <w:color w:val="auto"/>
              </w:rPr>
              <w:t>January 31,</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660" w:type="dxa"/>
            <w:vAlign w:val="bottom"/>
            <w:vMerge w:val="continue"/>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jc w:val="right"/>
              <w:ind w:right="131"/>
              <w:spacing w:after="0"/>
              <w:rPr>
                <w:sz w:val="20"/>
                <w:szCs w:val="20"/>
                <w:color w:val="auto"/>
              </w:rPr>
            </w:pPr>
            <w:r>
              <w:rPr>
                <w:rFonts w:ascii="Arial" w:cs="Arial" w:eastAsia="Arial" w:hAnsi="Arial"/>
                <w:sz w:val="14"/>
                <w:szCs w:val="14"/>
                <w:b w:val="1"/>
                <w:bCs w:val="1"/>
                <w:color w:val="auto"/>
              </w:rPr>
              <w:t>2023</w:t>
            </w:r>
          </w:p>
        </w:tc>
        <w:tc>
          <w:tcPr>
            <w:tcW w:w="1000" w:type="dxa"/>
            <w:vAlign w:val="bottom"/>
          </w:tcPr>
          <w:p>
            <w:pPr>
              <w:spacing w:after="0"/>
              <w:rPr>
                <w:sz w:val="16"/>
                <w:szCs w:val="16"/>
                <w:color w:val="auto"/>
              </w:rPr>
            </w:pPr>
          </w:p>
        </w:tc>
        <w:tc>
          <w:tcPr>
            <w:tcW w:w="760" w:type="dxa"/>
            <w:vAlign w:val="bottom"/>
          </w:tcPr>
          <w:p>
            <w:pPr>
              <w:jc w:val="right"/>
              <w:ind w:right="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4"/>
        </w:trPr>
        <w:tc>
          <w:tcPr>
            <w:tcW w:w="7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Marketing and Distribution adjusted EBITDA</w:t>
            </w:r>
          </w:p>
        </w:tc>
        <w:tc>
          <w:tcPr>
            <w:tcW w:w="58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4.6</w:t>
            </w:r>
          </w:p>
        </w:tc>
        <w:tc>
          <w:tcPr>
            <w:tcW w:w="1000" w:type="dxa"/>
            <w:vAlign w:val="bottom"/>
            <w:tcBorders>
              <w:bottom w:val="single" w:sz="8" w:color="DBDBDB"/>
            </w:tcBorders>
            <w:shd w:val="clear" w:color="auto" w:fill="DBDBDB"/>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95"/>
        </w:trPr>
        <w:tc>
          <w:tcPr>
            <w:tcW w:w="7660" w:type="dxa"/>
            <w:vAlign w:val="bottom"/>
          </w:tcPr>
          <w:p>
            <w:pPr>
              <w:ind w:left="20"/>
              <w:spacing w:after="0"/>
              <w:rPr>
                <w:sz w:val="20"/>
                <w:szCs w:val="20"/>
                <w:color w:val="auto"/>
              </w:rPr>
            </w:pPr>
            <w:r>
              <w:rPr>
                <w:rFonts w:ascii="Arial" w:cs="Arial" w:eastAsia="Arial" w:hAnsi="Arial"/>
                <w:sz w:val="14"/>
                <w:szCs w:val="14"/>
                <w:color w:val="auto"/>
              </w:rPr>
              <w:t>International Farming adjusted EBITDA</w:t>
            </w:r>
          </w:p>
        </w:tc>
        <w:tc>
          <w:tcPr>
            <w:tcW w:w="580" w:type="dxa"/>
            <w:vAlign w:val="bottom"/>
          </w:tcPr>
          <w:p>
            <w:pPr>
              <w:spacing w:after="0"/>
              <w:rPr>
                <w:sz w:val="16"/>
                <w:szCs w:val="16"/>
                <w:color w:val="auto"/>
              </w:rPr>
            </w:pPr>
          </w:p>
        </w:tc>
        <w:tc>
          <w:tcPr>
            <w:tcW w:w="1180" w:type="dxa"/>
            <w:vAlign w:val="bottom"/>
          </w:tcPr>
          <w:p>
            <w:pPr>
              <w:jc w:val="right"/>
              <w:ind w:right="51"/>
              <w:spacing w:after="0"/>
              <w:rPr>
                <w:sz w:val="20"/>
                <w:szCs w:val="20"/>
                <w:color w:val="auto"/>
              </w:rPr>
            </w:pPr>
            <w:r>
              <w:rPr>
                <w:rFonts w:ascii="Arial" w:cs="Arial" w:eastAsia="Arial" w:hAnsi="Arial"/>
                <w:sz w:val="14"/>
                <w:szCs w:val="14"/>
                <w:color w:val="auto"/>
              </w:rPr>
              <w:t>(1.8)</w:t>
            </w:r>
          </w:p>
        </w:tc>
        <w:tc>
          <w:tcPr>
            <w:tcW w:w="10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Blueberries adjusted EBITDA</w:t>
            </w:r>
          </w:p>
        </w:tc>
        <w:tc>
          <w:tcPr>
            <w:tcW w:w="580" w:type="dxa"/>
            <w:vAlign w:val="bottom"/>
            <w:tcBorders>
              <w:bottom w:val="single" w:sz="8" w:color="DBDBDB"/>
            </w:tcBorders>
            <w:shd w:val="clear" w:color="auto" w:fill="DBDBDB"/>
          </w:tcPr>
          <w:p>
            <w:pPr>
              <w:spacing w:after="0"/>
              <w:rPr>
                <w:sz w:val="19"/>
                <w:szCs w:val="19"/>
                <w:color w:val="auto"/>
              </w:rPr>
            </w:pPr>
          </w:p>
        </w:tc>
        <w:tc>
          <w:tcPr>
            <w:tcW w:w="11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(0.5)</w:t>
            </w:r>
          </w:p>
        </w:tc>
        <w:tc>
          <w:tcPr>
            <w:tcW w:w="1000" w:type="dxa"/>
            <w:vAlign w:val="bottom"/>
            <w:tcBorders>
              <w:bottom w:val="single" w:sz="8" w:color="DBDBDB"/>
            </w:tcBorders>
            <w:shd w:val="clear" w:color="auto" w:fill="DBDBDB"/>
          </w:tcPr>
          <w:p>
            <w:pPr>
              <w:spacing w:after="0"/>
              <w:rPr>
                <w:sz w:val="19"/>
                <w:szCs w:val="19"/>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6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58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2.3</w:t>
            </w:r>
          </w:p>
        </w:tc>
        <w:tc>
          <w:tcPr>
            <w:tcW w:w="1000" w:type="dxa"/>
            <w:vAlign w:val="bottom"/>
            <w:tcBorders>
              <w:top w:val="single" w:sz="8" w:color="auto"/>
            </w:tcBorders>
          </w:tcPr>
          <w:p>
            <w:pPr>
              <w:jc w:val="right"/>
              <w:ind w:right="75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4"/>
        </w:trPr>
        <w:tc>
          <w:tcPr>
            <w:tcW w:w="76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w:t>
            </w:r>
          </w:p>
        </w:tc>
        <w:tc>
          <w:tcPr>
            <w:tcW w:w="58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(10.6)</w:t>
            </w:r>
          </w:p>
        </w:tc>
        <w:tc>
          <w:tcPr>
            <w:tcW w:w="100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5"/>
        </w:trPr>
        <w:tc>
          <w:tcPr>
            <w:tcW w:w="76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80" w:type="dxa"/>
            <w:vAlign w:val="bottom"/>
          </w:tcPr>
          <w:p>
            <w:pPr>
              <w:spacing w:after="0"/>
              <w:rPr>
                <w:sz w:val="16"/>
                <w:szCs w:val="16"/>
                <w:color w:val="auto"/>
              </w:rPr>
            </w:pP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2.4</w:t>
            </w:r>
          </w:p>
        </w:tc>
        <w:tc>
          <w:tcPr>
            <w:tcW w:w="10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Income tax benefit</w:t>
            </w:r>
          </w:p>
        </w:tc>
        <w:tc>
          <w:tcPr>
            <w:tcW w:w="5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(1.7)</w:t>
            </w:r>
          </w:p>
        </w:tc>
        <w:tc>
          <w:tcPr>
            <w:tcW w:w="100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5"/>
        </w:trPr>
        <w:tc>
          <w:tcPr>
            <w:tcW w:w="7660" w:type="dxa"/>
            <w:vAlign w:val="bottom"/>
          </w:tcPr>
          <w:p>
            <w:pPr>
              <w:ind w:left="20"/>
              <w:spacing w:after="0"/>
              <w:rPr>
                <w:sz w:val="20"/>
                <w:szCs w:val="20"/>
                <w:color w:val="auto"/>
              </w:rPr>
            </w:pPr>
            <w:r>
              <w:rPr>
                <w:rFonts w:ascii="Arial" w:cs="Arial" w:eastAsia="Arial" w:hAnsi="Arial"/>
                <w:sz w:val="14"/>
                <w:szCs w:val="14"/>
                <w:color w:val="auto"/>
              </w:rPr>
              <w:t>Depreciation and amortization</w:t>
            </w:r>
            <w:r>
              <w:rPr>
                <w:rFonts w:ascii="Arial" w:cs="Arial" w:eastAsia="Arial" w:hAnsi="Arial"/>
                <w:sz w:val="8"/>
                <w:szCs w:val="8"/>
                <w:color w:val="auto"/>
              </w:rPr>
              <w:t>(1)</w:t>
            </w:r>
          </w:p>
        </w:tc>
        <w:tc>
          <w:tcPr>
            <w:tcW w:w="580" w:type="dxa"/>
            <w:vAlign w:val="bottom"/>
          </w:tcPr>
          <w:p>
            <w:pPr>
              <w:spacing w:after="0"/>
              <w:rPr>
                <w:sz w:val="16"/>
                <w:szCs w:val="16"/>
                <w:color w:val="auto"/>
              </w:rPr>
            </w:pP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9.3</w:t>
            </w:r>
          </w:p>
        </w:tc>
        <w:tc>
          <w:tcPr>
            <w:tcW w:w="10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Equity method income</w:t>
            </w:r>
          </w:p>
        </w:tc>
        <w:tc>
          <w:tcPr>
            <w:tcW w:w="5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4"/>
                <w:szCs w:val="14"/>
                <w:color w:val="auto"/>
              </w:rPr>
              <w:t>(1.0)</w:t>
            </w:r>
          </w:p>
        </w:tc>
        <w:tc>
          <w:tcPr>
            <w:tcW w:w="100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95"/>
        </w:trPr>
        <w:tc>
          <w:tcPr>
            <w:tcW w:w="76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80" w:type="dxa"/>
            <w:vAlign w:val="bottom"/>
          </w:tcPr>
          <w:p>
            <w:pPr>
              <w:spacing w:after="0"/>
              <w:rPr>
                <w:sz w:val="16"/>
                <w:szCs w:val="16"/>
                <w:color w:val="auto"/>
              </w:rPr>
            </w:pP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0.7</w:t>
            </w:r>
          </w:p>
        </w:tc>
        <w:tc>
          <w:tcPr>
            <w:tcW w:w="10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Asset impairment and disposals, net of insurance recoveries</w:t>
            </w:r>
          </w:p>
        </w:tc>
        <w:tc>
          <w:tcPr>
            <w:tcW w:w="5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0.3</w:t>
            </w:r>
          </w:p>
        </w:tc>
        <w:tc>
          <w:tcPr>
            <w:tcW w:w="100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5"/>
        </w:trPr>
        <w:tc>
          <w:tcPr>
            <w:tcW w:w="7660" w:type="dxa"/>
            <w:vAlign w:val="bottom"/>
          </w:tcPr>
          <w:p>
            <w:pPr>
              <w:ind w:left="20"/>
              <w:spacing w:after="0"/>
              <w:rPr>
                <w:sz w:val="20"/>
                <w:szCs w:val="20"/>
                <w:color w:val="auto"/>
              </w:rPr>
            </w:pPr>
            <w:r>
              <w:rPr>
                <w:rFonts w:ascii="Arial" w:cs="Arial" w:eastAsia="Arial" w:hAnsi="Arial"/>
                <w:sz w:val="14"/>
                <w:szCs w:val="14"/>
                <w:color w:val="auto"/>
              </w:rPr>
              <w:t>Farming costs for nonproductive orchards</w:t>
            </w:r>
          </w:p>
        </w:tc>
        <w:tc>
          <w:tcPr>
            <w:tcW w:w="580" w:type="dxa"/>
            <w:vAlign w:val="bottom"/>
          </w:tcPr>
          <w:p>
            <w:pPr>
              <w:spacing w:after="0"/>
              <w:rPr>
                <w:sz w:val="16"/>
                <w:szCs w:val="16"/>
                <w:color w:val="auto"/>
              </w:rPr>
            </w:pP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0.4</w:t>
            </w:r>
          </w:p>
        </w:tc>
        <w:tc>
          <w:tcPr>
            <w:tcW w:w="10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7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ERP costs</w:t>
            </w:r>
            <w:r>
              <w:rPr>
                <w:rFonts w:ascii="Arial" w:cs="Arial" w:eastAsia="Arial" w:hAnsi="Arial"/>
                <w:sz w:val="8"/>
                <w:szCs w:val="8"/>
                <w:color w:val="auto"/>
              </w:rPr>
              <w:t>(2)</w:t>
            </w:r>
          </w:p>
        </w:tc>
        <w:tc>
          <w:tcPr>
            <w:tcW w:w="58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0.6</w:t>
            </w:r>
          </w:p>
        </w:tc>
        <w:tc>
          <w:tcPr>
            <w:tcW w:w="100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5"/>
        </w:trPr>
        <w:tc>
          <w:tcPr>
            <w:tcW w:w="766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580" w:type="dxa"/>
            <w:vAlign w:val="bottom"/>
          </w:tcPr>
          <w:p>
            <w:pPr>
              <w:spacing w:after="0"/>
              <w:rPr>
                <w:sz w:val="16"/>
                <w:szCs w:val="16"/>
                <w:color w:val="auto"/>
              </w:rPr>
            </w:pPr>
          </w:p>
        </w:tc>
        <w:tc>
          <w:tcPr>
            <w:tcW w:w="1180" w:type="dxa"/>
            <w:vAlign w:val="bottom"/>
          </w:tcPr>
          <w:p>
            <w:pPr>
              <w:jc w:val="right"/>
              <w:ind w:right="91"/>
              <w:spacing w:after="0"/>
              <w:rPr>
                <w:sz w:val="20"/>
                <w:szCs w:val="20"/>
                <w:color w:val="auto"/>
              </w:rPr>
            </w:pPr>
            <w:r>
              <w:rPr>
                <w:rFonts w:ascii="Arial" w:cs="Arial" w:eastAsia="Arial" w:hAnsi="Arial"/>
                <w:sz w:val="14"/>
                <w:szCs w:val="14"/>
                <w:color w:val="auto"/>
              </w:rPr>
              <w:t>0.1</w:t>
            </w:r>
          </w:p>
        </w:tc>
        <w:tc>
          <w:tcPr>
            <w:tcW w:w="10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4"/>
        </w:trPr>
        <w:tc>
          <w:tcPr>
            <w:tcW w:w="7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7660" w:type="dxa"/>
            <w:vAlign w:val="bottom"/>
            <w:shd w:val="clear" w:color="auto" w:fill="DBDBDB"/>
          </w:tcPr>
          <w:p>
            <w:pPr>
              <w:ind w:left="20"/>
              <w:spacing w:after="0"/>
              <w:rPr>
                <w:sz w:val="20"/>
                <w:szCs w:val="20"/>
                <w:color w:val="auto"/>
              </w:rPr>
            </w:pPr>
            <w:r>
              <w:rPr>
                <w:rFonts w:ascii="Arial" w:cs="Arial" w:eastAsia="Arial" w:hAnsi="Arial"/>
                <w:sz w:val="14"/>
                <w:szCs w:val="14"/>
                <w:color w:val="auto"/>
              </w:rPr>
              <w:t>Amortization of inventory adjustment recognized from business combination</w:t>
            </w:r>
          </w:p>
        </w:tc>
        <w:tc>
          <w:tcPr>
            <w:tcW w:w="580" w:type="dxa"/>
            <w:vAlign w:val="bottom"/>
            <w:shd w:val="clear" w:color="auto" w:fill="DBDBDB"/>
          </w:tcPr>
          <w:p>
            <w:pPr>
              <w:spacing w:after="0"/>
              <w:rPr>
                <w:sz w:val="16"/>
                <w:szCs w:val="16"/>
                <w:color w:val="auto"/>
              </w:rPr>
            </w:pPr>
          </w:p>
        </w:tc>
        <w:tc>
          <w:tcPr>
            <w:tcW w:w="1180" w:type="dxa"/>
            <w:vAlign w:val="bottom"/>
            <w:shd w:val="clear" w:color="auto" w:fill="DBDBDB"/>
          </w:tcPr>
          <w:p>
            <w:pPr>
              <w:jc w:val="right"/>
              <w:ind w:right="91"/>
              <w:spacing w:after="0"/>
              <w:rPr>
                <w:sz w:val="20"/>
                <w:szCs w:val="20"/>
                <w:color w:val="auto"/>
              </w:rPr>
            </w:pPr>
            <w:r>
              <w:rPr>
                <w:rFonts w:ascii="Arial" w:cs="Arial" w:eastAsia="Arial" w:hAnsi="Arial"/>
                <w:sz w:val="14"/>
                <w:szCs w:val="14"/>
                <w:color w:val="auto"/>
              </w:rPr>
              <w:t>0.7</w:t>
            </w:r>
          </w:p>
        </w:tc>
        <w:tc>
          <w:tcPr>
            <w:tcW w:w="10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7660" w:type="dxa"/>
            <w:vAlign w:val="bottom"/>
            <w:shd w:val="clear" w:color="auto" w:fill="DBDBDB"/>
          </w:tcPr>
          <w:p>
            <w:pPr>
              <w:spacing w:after="0"/>
              <w:rPr>
                <w:sz w:val="2"/>
                <w:szCs w:val="2"/>
                <w:color w:val="auto"/>
              </w:rPr>
            </w:pPr>
          </w:p>
        </w:tc>
        <w:tc>
          <w:tcPr>
            <w:tcW w:w="58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c>
          <w:tcPr>
            <w:tcW w:w="7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60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4" w:name="page25"/>
    <w:bookmarkEnd w:id="24"/>
    <w:p>
      <w:pPr>
        <w:spacing w:after="0" w:line="45" w:lineRule="exact"/>
        <w:rPr>
          <w:sz w:val="20"/>
          <w:szCs w:val="20"/>
          <w:color w:val="auto"/>
        </w:rPr>
      </w:pPr>
    </w:p>
    <w:tbl>
      <w:tblPr>
        <w:tblLayout w:type="fixed"/>
        <w:tblInd w:w="160" w:type="dxa"/>
        <w:tblCellMar>
          <w:top w:w="0" w:type="dxa"/>
          <w:left w:w="0" w:type="dxa"/>
          <w:bottom w:w="0" w:type="dxa"/>
          <w:right w:w="0" w:type="dxa"/>
        </w:tblCellMar>
      </w:tblPr>
      <w:tr>
        <w:trPr>
          <w:trHeight w:val="164"/>
        </w:trPr>
        <w:tc>
          <w:tcPr>
            <w:tcW w:w="458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3840" w:type="dxa"/>
            <w:vAlign w:val="bottom"/>
          </w:tcPr>
          <w:p>
            <w:pPr>
              <w:spacing w:after="0"/>
              <w:rPr>
                <w:sz w:val="14"/>
                <w:szCs w:val="14"/>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0.8</w:t>
            </w:r>
          </w:p>
        </w:tc>
        <w:tc>
          <w:tcPr>
            <w:tcW w:w="8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4"/>
        </w:trPr>
        <w:tc>
          <w:tcPr>
            <w:tcW w:w="45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9"/>
        </w:trPr>
        <w:tc>
          <w:tcPr>
            <w:tcW w:w="45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Noncontrolling interest</w:t>
            </w:r>
            <w:r>
              <w:rPr>
                <w:rFonts w:ascii="Arial" w:cs="Arial" w:eastAsia="Arial" w:hAnsi="Arial"/>
                <w:sz w:val="17"/>
                <w:szCs w:val="17"/>
                <w:color w:val="auto"/>
                <w:vertAlign w:val="superscript"/>
              </w:rPr>
              <w:t>(3)</w:t>
            </w:r>
          </w:p>
        </w:tc>
        <w:tc>
          <w:tcPr>
            <w:tcW w:w="384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ind w:right="51"/>
              <w:spacing w:after="0"/>
              <w:rPr>
                <w:sz w:val="20"/>
                <w:szCs w:val="20"/>
                <w:color w:val="auto"/>
              </w:rPr>
            </w:pPr>
            <w:r>
              <w:rPr>
                <w:rFonts w:ascii="Arial" w:cs="Arial" w:eastAsia="Arial" w:hAnsi="Arial"/>
                <w:sz w:val="14"/>
                <w:szCs w:val="14"/>
                <w:color w:val="auto"/>
              </w:rPr>
              <w:t>0.3</w:t>
            </w:r>
          </w:p>
        </w:tc>
        <w:tc>
          <w:tcPr>
            <w:tcW w:w="80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4580" w:type="dxa"/>
            <w:vAlign w:val="bottom"/>
          </w:tcPr>
          <w:p>
            <w:pPr>
              <w:ind w:left="20"/>
              <w:spacing w:after="0"/>
              <w:rPr>
                <w:sz w:val="20"/>
                <w:szCs w:val="20"/>
                <w:color w:val="auto"/>
              </w:rPr>
            </w:pPr>
            <w:r>
              <w:rPr>
                <w:rFonts w:ascii="Arial" w:cs="Arial" w:eastAsia="Arial" w:hAnsi="Arial"/>
                <w:sz w:val="14"/>
                <w:szCs w:val="14"/>
                <w:color w:val="auto"/>
              </w:rPr>
              <w:t>Total adjusted EBITDA</w:t>
            </w:r>
          </w:p>
        </w:tc>
        <w:tc>
          <w:tcPr>
            <w:tcW w:w="3840" w:type="dxa"/>
            <w:vAlign w:val="bottom"/>
          </w:tcPr>
          <w:p>
            <w:pPr>
              <w:jc w:val="right"/>
              <w:ind w:right="59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2.3</w:t>
            </w:r>
          </w:p>
        </w:tc>
        <w:tc>
          <w:tcPr>
            <w:tcW w:w="800" w:type="dxa"/>
            <w:vAlign w:val="bottom"/>
          </w:tcPr>
          <w:p>
            <w:pPr>
              <w:jc w:val="right"/>
              <w:ind w:right="531"/>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4"/>
        </w:trPr>
        <w:tc>
          <w:tcPr>
            <w:tcW w:w="45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97" w:lineRule="exact"/>
        <w:rPr>
          <w:sz w:val="20"/>
          <w:szCs w:val="20"/>
          <w:color w:val="auto"/>
        </w:rPr>
      </w:pPr>
    </w:p>
    <w:p>
      <w:pPr>
        <w:ind w:left="160" w:hanging="157"/>
        <w:spacing w:after="0"/>
        <w:tabs>
          <w:tab w:leader="none" w:pos="16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Includes depreciation and amortization of purchase accounting assets of $1.6 million and $0.1 million for the three months ended January 31, 2023 and 2022, respectively.</w:t>
      </w:r>
    </w:p>
    <w:p>
      <w:pPr>
        <w:spacing w:after="0" w:line="35" w:lineRule="exact"/>
        <w:rPr>
          <w:rFonts w:ascii="Arial" w:cs="Arial" w:eastAsia="Arial" w:hAnsi="Arial"/>
          <w:sz w:val="16"/>
          <w:szCs w:val="16"/>
          <w:color w:val="auto"/>
          <w:vertAlign w:val="superscript"/>
        </w:rPr>
      </w:pPr>
    </w:p>
    <w:p>
      <w:pPr>
        <w:ind w:left="160" w:hanging="157"/>
        <w:spacing w:after="0" w:line="188" w:lineRule="auto"/>
        <w:tabs>
          <w:tab w:leader="none" w:pos="16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Includes recognition of deferred implementation costs for both periods, and for the three months ended January 31, 2022, non-recurring post-implementation process reengineering costs are also included.</w:t>
      </w:r>
    </w:p>
    <w:p>
      <w:pPr>
        <w:spacing w:after="0" w:line="49" w:lineRule="exact"/>
        <w:rPr>
          <w:rFonts w:ascii="Arial" w:cs="Arial" w:eastAsia="Arial" w:hAnsi="Arial"/>
          <w:sz w:val="16"/>
          <w:szCs w:val="16"/>
          <w:color w:val="auto"/>
          <w:vertAlign w:val="superscript"/>
        </w:rPr>
      </w:pPr>
    </w:p>
    <w:p>
      <w:pPr>
        <w:ind w:left="160" w:hanging="157"/>
        <w:spacing w:after="0" w:line="188" w:lineRule="auto"/>
        <w:tabs>
          <w:tab w:leader="none" w:pos="160" w:val="left"/>
        </w:tabs>
        <w:numPr>
          <w:ilvl w:val="0"/>
          <w:numId w:val="19"/>
        </w:numPr>
        <w:rPr>
          <w:rFonts w:ascii="Arial" w:cs="Arial" w:eastAsia="Arial" w:hAnsi="Arial"/>
          <w:sz w:val="16"/>
          <w:szCs w:val="16"/>
          <w:color w:val="auto"/>
          <w:vertAlign w:val="superscript"/>
        </w:rPr>
      </w:pPr>
      <w:r>
        <w:rPr>
          <w:rFonts w:ascii="Arial" w:cs="Arial" w:eastAsia="Arial" w:hAnsi="Arial"/>
          <w:sz w:val="12"/>
          <w:szCs w:val="12"/>
          <w:color w:val="auto"/>
        </w:rPr>
        <w:t>Represents net loss attributable to noncontrolling interest plus the impact of non-GAAP adjustments, allocable to the noncontrolling owner based on their percentage of ownership interest.</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Marketing and Distribution</w:t>
      </w:r>
    </w:p>
    <w:p>
      <w:pPr>
        <w:spacing w:after="0" w:line="243" w:lineRule="exact"/>
        <w:rPr>
          <w:sz w:val="20"/>
          <w:szCs w:val="20"/>
          <w:color w:val="auto"/>
        </w:rPr>
      </w:pPr>
    </w:p>
    <w:p>
      <w:pPr>
        <w:jc w:val="both"/>
        <w:ind w:right="300" w:firstLine="619"/>
        <w:spacing w:after="0" w:line="269" w:lineRule="auto"/>
        <w:rPr>
          <w:sz w:val="20"/>
          <w:szCs w:val="20"/>
          <w:color w:val="auto"/>
        </w:rPr>
      </w:pPr>
      <w:r>
        <w:rPr>
          <w:rFonts w:ascii="Arial" w:cs="Arial" w:eastAsia="Arial" w:hAnsi="Arial"/>
          <w:sz w:val="15"/>
          <w:szCs w:val="15"/>
          <w:color w:val="auto"/>
        </w:rPr>
        <w:t>Net sales in our Marketing and Distribution segment decreased $30.5 million or 14% in the three months ended January 31, 2023 compared to the same period last year, primarily due to a 27% decrease in average per-unit avocado sales prices, partially offset by an increase in avocado volume sold of 14%, both of which were driven by higher industry supply out of Mexico during the quarter.</w:t>
      </w:r>
    </w:p>
    <w:p>
      <w:pPr>
        <w:spacing w:after="0" w:line="181" w:lineRule="exact"/>
        <w:rPr>
          <w:sz w:val="20"/>
          <w:szCs w:val="20"/>
          <w:color w:val="auto"/>
        </w:rPr>
      </w:pPr>
    </w:p>
    <w:p>
      <w:pPr>
        <w:ind w:right="240" w:firstLine="619"/>
        <w:spacing w:after="0" w:line="269" w:lineRule="auto"/>
        <w:rPr>
          <w:sz w:val="20"/>
          <w:szCs w:val="20"/>
          <w:color w:val="auto"/>
        </w:rPr>
      </w:pPr>
      <w:r>
        <w:rPr>
          <w:rFonts w:ascii="Arial" w:cs="Arial" w:eastAsia="Arial" w:hAnsi="Arial"/>
          <w:sz w:val="15"/>
          <w:szCs w:val="15"/>
          <w:color w:val="auto"/>
        </w:rPr>
        <w:t>Segment adjusted EBITDA increased $12.3 million or 160% in the three months ended January 31, 2023 compared to the same period last year primarily due to the same factors impacting segment gross profit as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International Farming</w:t>
      </w:r>
    </w:p>
    <w:p>
      <w:pPr>
        <w:spacing w:after="0" w:line="230" w:lineRule="exact"/>
        <w:rPr>
          <w:sz w:val="20"/>
          <w:szCs w:val="20"/>
          <w:color w:val="auto"/>
        </w:rPr>
      </w:pPr>
    </w:p>
    <w:p>
      <w:pPr>
        <w:ind w:right="200" w:firstLine="619"/>
        <w:spacing w:after="0" w:line="262" w:lineRule="auto"/>
        <w:rPr>
          <w:sz w:val="20"/>
          <w:szCs w:val="20"/>
          <w:color w:val="auto"/>
        </w:rPr>
      </w:pPr>
      <w:r>
        <w:rPr>
          <w:rFonts w:ascii="Arial" w:cs="Arial" w:eastAsia="Arial" w:hAnsi="Arial"/>
          <w:sz w:val="15"/>
          <w:szCs w:val="15"/>
          <w:color w:val="auto"/>
        </w:rPr>
        <w:t>Substantially all sales of fruit from our International Farming segment are to the Marketing and Distribution segment, with the remainder of revenue largely derived from services provided to third parties and our Blueberries segment. Affiliated sales are concentrated in the second half of the fiscal year in alignment with the Peruvian avocado harvest season, which typically runs from April through August of each year. As a result, adjusted EBITDA for the International Farming segment is generally concentrated in the third and fourth quarters of the fiscal year in alignment with the timing of sales. The Company operates approximately 700 acres of mangos in Peru that are largely in an early stage of production. The timing of the mango harvest is concentrated in the fiscal second quarter and, as a result, mangos have a more pronounced impact on segment financial performance during this timeframe.</w:t>
      </w:r>
    </w:p>
    <w:p>
      <w:pPr>
        <w:spacing w:after="0" w:line="198" w:lineRule="exact"/>
        <w:rPr>
          <w:sz w:val="20"/>
          <w:szCs w:val="20"/>
          <w:color w:val="auto"/>
        </w:rPr>
      </w:pPr>
    </w:p>
    <w:p>
      <w:pPr>
        <w:ind w:right="200" w:firstLine="619"/>
        <w:spacing w:after="0" w:line="260" w:lineRule="auto"/>
        <w:rPr>
          <w:sz w:val="20"/>
          <w:szCs w:val="20"/>
          <w:color w:val="auto"/>
        </w:rPr>
      </w:pPr>
      <w:r>
        <w:rPr>
          <w:rFonts w:ascii="Arial" w:cs="Arial" w:eastAsia="Arial" w:hAnsi="Arial"/>
          <w:sz w:val="15"/>
          <w:szCs w:val="15"/>
          <w:color w:val="auto"/>
        </w:rPr>
        <w:t>Total segment sales in our International Farming segment increased $2.4 million, or 73% in the three months ended January 31, 2023 compared to the same period last year due primarily to higher packing and cooling service revenue for our blueberry operations. Net sales decreased due to the consolidation of the Blueberries segment in the current period, thus eliminating sales generated from Moruga.</w:t>
      </w:r>
    </w:p>
    <w:p>
      <w:pPr>
        <w:spacing w:after="0" w:line="200" w:lineRule="exact"/>
        <w:rPr>
          <w:sz w:val="20"/>
          <w:szCs w:val="20"/>
          <w:color w:val="auto"/>
        </w:rPr>
      </w:pPr>
    </w:p>
    <w:p>
      <w:pPr>
        <w:ind w:right="320" w:firstLine="619"/>
        <w:spacing w:after="0" w:line="269" w:lineRule="auto"/>
        <w:rPr>
          <w:sz w:val="20"/>
          <w:szCs w:val="20"/>
          <w:color w:val="auto"/>
        </w:rPr>
      </w:pPr>
      <w:r>
        <w:rPr>
          <w:rFonts w:ascii="Arial" w:cs="Arial" w:eastAsia="Arial" w:hAnsi="Arial"/>
          <w:sz w:val="15"/>
          <w:szCs w:val="15"/>
          <w:color w:val="auto"/>
        </w:rPr>
        <w:t>Segment adjusted EBITDA increased $0.9 million or 33% in the three months ended January 31, 2023 compared to the same period last year, driven by margin generated from higher segment sales combined with lower SG&amp;A expense.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Blueberries</w:t>
      </w:r>
    </w:p>
    <w:p>
      <w:pPr>
        <w:spacing w:after="0" w:line="230" w:lineRule="exact"/>
        <w:rPr>
          <w:sz w:val="20"/>
          <w:szCs w:val="20"/>
          <w:color w:val="auto"/>
        </w:rPr>
      </w:pPr>
    </w:p>
    <w:p>
      <w:pPr>
        <w:ind w:right="640" w:firstLine="619"/>
        <w:spacing w:after="0" w:line="269" w:lineRule="auto"/>
        <w:rPr>
          <w:sz w:val="20"/>
          <w:szCs w:val="20"/>
          <w:color w:val="auto"/>
        </w:rPr>
      </w:pPr>
      <w:r>
        <w:rPr>
          <w:rFonts w:ascii="Arial" w:cs="Arial" w:eastAsia="Arial" w:hAnsi="Arial"/>
          <w:sz w:val="15"/>
          <w:szCs w:val="15"/>
          <w:color w:val="auto"/>
        </w:rPr>
        <w:t>Sales in our Blueberries segment are concentrated in the first and fourth quarters of our fiscal year in alignment with the Peruvian blueberry harvest season, which typically runs from July through January.</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Net sales in our Blueberries segment were $29.8 million and segment adjusted EBITDA was $(0.5) million for the three months ended January 31, 2023.</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Negative segment adjusted EBITDA was a result of weak blueberry sales prices within the European and U.S. markets driven by strong industry supply.</w:t>
      </w:r>
    </w:p>
    <w:p>
      <w:pPr>
        <w:spacing w:after="0" w:line="23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activities</w:t>
      </w:r>
    </w:p>
    <w:p>
      <w:pPr>
        <w:spacing w:after="0" w:line="232" w:lineRule="exact"/>
        <w:rPr>
          <w:sz w:val="20"/>
          <w:szCs w:val="20"/>
          <w:color w:val="auto"/>
        </w:rPr>
      </w:pPr>
    </w:p>
    <w:p>
      <w:pPr>
        <w:ind w:right="200" w:firstLine="619"/>
        <w:spacing w:after="0" w:line="273" w:lineRule="auto"/>
        <w:rPr>
          <w:sz w:val="20"/>
          <w:szCs w:val="20"/>
          <w:color w:val="auto"/>
        </w:rPr>
      </w:pPr>
      <w:r>
        <w:rPr>
          <w:rFonts w:ascii="Arial" w:cs="Arial" w:eastAsia="Arial" w:hAnsi="Arial"/>
          <w:sz w:val="15"/>
          <w:szCs w:val="15"/>
          <w:color w:val="auto"/>
        </w:rPr>
        <w:t>Operating cash flows are seasonal in nature. We typically see increases in working capital during the first half of our fiscal year as our supply is predominantly sourced from Mexico under payment terms that are shorter than terms established for other source markets. In addition, we are building our growing crops inventory in our International Farming segment during the first half of the year for ultimate harvest and sale that will occur during the second half of the fiscal year. While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60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5" w:name="page26"/>
    <w:bookmarkEnd w:id="25"/>
    <w:p>
      <w:pPr>
        <w:spacing w:after="0" w:line="146"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increases in working capital can cause operating cash flows to be unfavorable in individual quarters, it is not indicative of operating cash performance that we expect to realize for the full year.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20" w:type="dxa"/>
            <w:vAlign w:val="bottom"/>
            <w:gridSpan w:val="2"/>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r>
      <w:tr>
        <w:trPr>
          <w:trHeight w:val="180"/>
        </w:trPr>
        <w:tc>
          <w:tcPr>
            <w:tcW w:w="7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20" w:type="dxa"/>
            <w:vAlign w:val="bottom"/>
            <w:gridSpan w:val="2"/>
          </w:tcPr>
          <w:p>
            <w:pPr>
              <w:ind w:left="820"/>
              <w:spacing w:after="0"/>
              <w:rPr>
                <w:sz w:val="20"/>
                <w:szCs w:val="20"/>
                <w:color w:val="auto"/>
              </w:rPr>
            </w:pPr>
            <w:r>
              <w:rPr>
                <w:rFonts w:ascii="Arial" w:cs="Arial" w:eastAsia="Arial" w:hAnsi="Arial"/>
                <w:sz w:val="14"/>
                <w:szCs w:val="14"/>
                <w:b w:val="1"/>
                <w:bCs w:val="1"/>
                <w:color w:val="auto"/>
              </w:rPr>
              <w:t>January 31,</w:t>
            </w:r>
          </w:p>
        </w:tc>
        <w:tc>
          <w:tcPr>
            <w:tcW w:w="780" w:type="dxa"/>
            <w:vAlign w:val="bottom"/>
          </w:tcPr>
          <w:p>
            <w:pPr>
              <w:spacing w:after="0"/>
              <w:rPr>
                <w:sz w:val="15"/>
                <w:szCs w:val="15"/>
                <w:color w:val="auto"/>
              </w:rPr>
            </w:pPr>
          </w:p>
        </w:tc>
      </w:tr>
      <w:tr>
        <w:trPr>
          <w:trHeight w:val="24"/>
        </w:trPr>
        <w:tc>
          <w:tcPr>
            <w:tcW w:w="76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2022</w:t>
            </w:r>
          </w:p>
        </w:tc>
      </w:tr>
      <w:tr>
        <w:trPr>
          <w:trHeight w:val="198"/>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(10.6)</w:t>
            </w:r>
          </w:p>
        </w:tc>
        <w:tc>
          <w:tcPr>
            <w:tcW w:w="102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(13.4)</w:t>
            </w:r>
          </w:p>
        </w:tc>
      </w:tr>
      <w:tr>
        <w:trPr>
          <w:trHeight w:val="195"/>
        </w:trPr>
        <w:tc>
          <w:tcPr>
            <w:tcW w:w="7640" w:type="dxa"/>
            <w:vAlign w:val="bottom"/>
          </w:tcPr>
          <w:p>
            <w:pPr>
              <w:ind w:left="320"/>
              <w:spacing w:after="0"/>
              <w:rPr>
                <w:sz w:val="20"/>
                <w:szCs w:val="20"/>
                <w:color w:val="auto"/>
              </w:rPr>
            </w:pPr>
            <w:r>
              <w:rPr>
                <w:rFonts w:ascii="Arial" w:cs="Arial" w:eastAsia="Arial" w:hAnsi="Arial"/>
                <w:sz w:val="14"/>
                <w:szCs w:val="14"/>
                <w:color w:val="auto"/>
              </w:rPr>
              <w:t>Depreciation and amortization</w:t>
            </w:r>
          </w:p>
        </w:tc>
        <w:tc>
          <w:tcPr>
            <w:tcW w:w="600" w:type="dxa"/>
            <w:vAlign w:val="bottom"/>
          </w:tcPr>
          <w:p>
            <w:pPr>
              <w:spacing w:after="0"/>
              <w:rPr>
                <w:sz w:val="16"/>
                <w:szCs w:val="16"/>
                <w:color w:val="auto"/>
              </w:rPr>
            </w:pPr>
          </w:p>
        </w:tc>
        <w:tc>
          <w:tcPr>
            <w:tcW w:w="1200" w:type="dxa"/>
            <w:vAlign w:val="bottom"/>
          </w:tcPr>
          <w:p>
            <w:pPr>
              <w:ind w:left="820"/>
              <w:spacing w:after="0"/>
              <w:rPr>
                <w:sz w:val="20"/>
                <w:szCs w:val="20"/>
                <w:color w:val="auto"/>
              </w:rPr>
            </w:pPr>
            <w:r>
              <w:rPr>
                <w:rFonts w:ascii="Arial" w:cs="Arial" w:eastAsia="Arial" w:hAnsi="Arial"/>
                <w:sz w:val="14"/>
                <w:szCs w:val="14"/>
                <w:color w:val="auto"/>
              </w:rPr>
              <w:t>9.3</w:t>
            </w:r>
          </w:p>
        </w:tc>
        <w:tc>
          <w:tcPr>
            <w:tcW w:w="10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4"/>
        </w:trPr>
        <w:tc>
          <w:tcPr>
            <w:tcW w:w="7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9"/>
        </w:trPr>
        <w:tc>
          <w:tcPr>
            <w:tcW w:w="764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Equity method income</w:t>
            </w:r>
          </w:p>
        </w:tc>
        <w:tc>
          <w:tcPr>
            <w:tcW w:w="60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(1.0)</w:t>
            </w:r>
          </w:p>
        </w:tc>
        <w:tc>
          <w:tcPr>
            <w:tcW w:w="102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w:t>
            </w:r>
          </w:p>
        </w:tc>
      </w:tr>
      <w:tr>
        <w:trPr>
          <w:trHeight w:val="195"/>
        </w:trPr>
        <w:tc>
          <w:tcPr>
            <w:tcW w:w="7640" w:type="dxa"/>
            <w:vAlign w:val="bottom"/>
          </w:tcPr>
          <w:p>
            <w:pPr>
              <w:ind w:left="320"/>
              <w:spacing w:after="0"/>
              <w:rPr>
                <w:sz w:val="20"/>
                <w:szCs w:val="20"/>
                <w:color w:val="auto"/>
              </w:rPr>
            </w:pPr>
            <w:r>
              <w:rPr>
                <w:rFonts w:ascii="Arial" w:cs="Arial" w:eastAsia="Arial" w:hAnsi="Arial"/>
                <w:sz w:val="14"/>
                <w:szCs w:val="14"/>
                <w:color w:val="auto"/>
              </w:rPr>
              <w:t>Noncash lease expense</w:t>
            </w:r>
          </w:p>
        </w:tc>
        <w:tc>
          <w:tcPr>
            <w:tcW w:w="600" w:type="dxa"/>
            <w:vAlign w:val="bottom"/>
          </w:tcPr>
          <w:p>
            <w:pPr>
              <w:spacing w:after="0"/>
              <w:rPr>
                <w:sz w:val="16"/>
                <w:szCs w:val="16"/>
                <w:color w:val="auto"/>
              </w:rPr>
            </w:pPr>
          </w:p>
        </w:tc>
        <w:tc>
          <w:tcPr>
            <w:tcW w:w="1200" w:type="dxa"/>
            <w:vAlign w:val="bottom"/>
          </w:tcPr>
          <w:p>
            <w:pPr>
              <w:ind w:left="820"/>
              <w:spacing w:after="0"/>
              <w:rPr>
                <w:sz w:val="20"/>
                <w:szCs w:val="20"/>
                <w:color w:val="auto"/>
              </w:rPr>
            </w:pPr>
            <w:r>
              <w:rPr>
                <w:rFonts w:ascii="Arial" w:cs="Arial" w:eastAsia="Arial" w:hAnsi="Arial"/>
                <w:sz w:val="14"/>
                <w:szCs w:val="14"/>
                <w:color w:val="auto"/>
              </w:rPr>
              <w:t>1.4</w:t>
            </w:r>
          </w:p>
        </w:tc>
        <w:tc>
          <w:tcPr>
            <w:tcW w:w="10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4"/>
        </w:trPr>
        <w:tc>
          <w:tcPr>
            <w:tcW w:w="7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9"/>
        </w:trPr>
        <w:tc>
          <w:tcPr>
            <w:tcW w:w="764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Stock-based compensation</w:t>
            </w:r>
          </w:p>
        </w:tc>
        <w:tc>
          <w:tcPr>
            <w:tcW w:w="60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ind w:left="820"/>
              <w:spacing w:after="0"/>
              <w:rPr>
                <w:sz w:val="20"/>
                <w:szCs w:val="20"/>
                <w:color w:val="auto"/>
              </w:rPr>
            </w:pPr>
            <w:r>
              <w:rPr>
                <w:rFonts w:ascii="Arial" w:cs="Arial" w:eastAsia="Arial" w:hAnsi="Arial"/>
                <w:sz w:val="14"/>
                <w:szCs w:val="14"/>
                <w:color w:val="auto"/>
              </w:rPr>
              <w:t>0.7</w:t>
            </w:r>
          </w:p>
        </w:tc>
        <w:tc>
          <w:tcPr>
            <w:tcW w:w="102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0.8</w:t>
            </w:r>
          </w:p>
        </w:tc>
      </w:tr>
      <w:tr>
        <w:trPr>
          <w:trHeight w:val="195"/>
        </w:trPr>
        <w:tc>
          <w:tcPr>
            <w:tcW w:w="7640" w:type="dxa"/>
            <w:vAlign w:val="bottom"/>
          </w:tcPr>
          <w:p>
            <w:pPr>
              <w:ind w:left="320"/>
              <w:spacing w:after="0"/>
              <w:rPr>
                <w:sz w:val="20"/>
                <w:szCs w:val="20"/>
                <w:color w:val="auto"/>
              </w:rPr>
            </w:pPr>
            <w:r>
              <w:rPr>
                <w:rFonts w:ascii="Arial" w:cs="Arial" w:eastAsia="Arial" w:hAnsi="Arial"/>
                <w:sz w:val="14"/>
                <w:szCs w:val="14"/>
                <w:color w:val="auto"/>
              </w:rPr>
              <w:t>Dividends received from equity method investees</w:t>
            </w:r>
          </w:p>
        </w:tc>
        <w:tc>
          <w:tcPr>
            <w:tcW w:w="600" w:type="dxa"/>
            <w:vAlign w:val="bottom"/>
          </w:tcPr>
          <w:p>
            <w:pPr>
              <w:spacing w:after="0"/>
              <w:rPr>
                <w:sz w:val="16"/>
                <w:szCs w:val="16"/>
                <w:color w:val="auto"/>
              </w:rPr>
            </w:pPr>
          </w:p>
        </w:tc>
        <w:tc>
          <w:tcPr>
            <w:tcW w:w="1200" w:type="dxa"/>
            <w:vAlign w:val="bottom"/>
          </w:tcPr>
          <w:p>
            <w:pPr>
              <w:ind w:left="820"/>
              <w:spacing w:after="0"/>
              <w:rPr>
                <w:sz w:val="20"/>
                <w:szCs w:val="20"/>
                <w:color w:val="auto"/>
              </w:rPr>
            </w:pPr>
            <w:r>
              <w:rPr>
                <w:rFonts w:ascii="Arial" w:cs="Arial" w:eastAsia="Arial" w:hAnsi="Arial"/>
                <w:sz w:val="14"/>
                <w:szCs w:val="14"/>
                <w:color w:val="auto"/>
              </w:rPr>
              <w:t>2.7</w:t>
            </w:r>
          </w:p>
        </w:tc>
        <w:tc>
          <w:tcPr>
            <w:tcW w:w="10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4"/>
        </w:trPr>
        <w:tc>
          <w:tcPr>
            <w:tcW w:w="7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9"/>
        </w:trPr>
        <w:tc>
          <w:tcPr>
            <w:tcW w:w="7640" w:type="dxa"/>
            <w:vAlign w:val="bottom"/>
            <w:tcBorders>
              <w:bottom w:val="single" w:sz="8" w:color="DBDBDB"/>
            </w:tcBorders>
            <w:shd w:val="clear" w:color="auto" w:fill="DBDBDB"/>
          </w:tcPr>
          <w:p>
            <w:pPr>
              <w:ind w:left="320"/>
              <w:spacing w:after="0"/>
              <w:rPr>
                <w:sz w:val="20"/>
                <w:szCs w:val="20"/>
                <w:color w:val="auto"/>
              </w:rPr>
            </w:pPr>
            <w:r>
              <w:rPr>
                <w:rFonts w:ascii="Arial" w:cs="Arial" w:eastAsia="Arial" w:hAnsi="Arial"/>
                <w:sz w:val="14"/>
                <w:szCs w:val="14"/>
                <w:color w:val="auto"/>
              </w:rPr>
              <w:t>Deferred income taxes</w:t>
            </w:r>
          </w:p>
        </w:tc>
        <w:tc>
          <w:tcPr>
            <w:tcW w:w="60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(0.5)</w:t>
            </w:r>
          </w:p>
        </w:tc>
        <w:tc>
          <w:tcPr>
            <w:tcW w:w="102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5"/>
        </w:trPr>
        <w:tc>
          <w:tcPr>
            <w:tcW w:w="7640" w:type="dxa"/>
            <w:vAlign w:val="bottom"/>
          </w:tcPr>
          <w:p>
            <w:pPr>
              <w:ind w:left="320"/>
              <w:spacing w:after="0"/>
              <w:rPr>
                <w:sz w:val="20"/>
                <w:szCs w:val="20"/>
                <w:color w:val="auto"/>
              </w:rPr>
            </w:pPr>
            <w:r>
              <w:rPr>
                <w:rFonts w:ascii="Arial" w:cs="Arial" w:eastAsia="Arial" w:hAnsi="Arial"/>
                <w:sz w:val="14"/>
                <w:szCs w:val="14"/>
                <w:color w:val="auto"/>
              </w:rPr>
              <w:t>Other</w:t>
            </w:r>
          </w:p>
        </w:tc>
        <w:tc>
          <w:tcPr>
            <w:tcW w:w="600" w:type="dxa"/>
            <w:vAlign w:val="bottom"/>
          </w:tcPr>
          <w:p>
            <w:pPr>
              <w:spacing w:after="0"/>
              <w:rPr>
                <w:sz w:val="16"/>
                <w:szCs w:val="16"/>
                <w:color w:val="auto"/>
              </w:rPr>
            </w:pPr>
          </w:p>
        </w:tc>
        <w:tc>
          <w:tcPr>
            <w:tcW w:w="1200" w:type="dxa"/>
            <w:vAlign w:val="bottom"/>
          </w:tcPr>
          <w:p>
            <w:pPr>
              <w:ind w:left="820"/>
              <w:spacing w:after="0"/>
              <w:rPr>
                <w:sz w:val="20"/>
                <w:szCs w:val="20"/>
                <w:color w:val="auto"/>
              </w:rPr>
            </w:pPr>
            <w:r>
              <w:rPr>
                <w:rFonts w:ascii="Arial" w:cs="Arial" w:eastAsia="Arial" w:hAnsi="Arial"/>
                <w:sz w:val="14"/>
                <w:szCs w:val="14"/>
                <w:color w:val="auto"/>
              </w:rPr>
              <w:t>0.5</w:t>
            </w:r>
          </w:p>
        </w:tc>
        <w:tc>
          <w:tcPr>
            <w:tcW w:w="10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4"/>
        </w:trPr>
        <w:tc>
          <w:tcPr>
            <w:tcW w:w="7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4"/>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Changes in working capital</w:t>
            </w:r>
          </w:p>
        </w:tc>
        <w:tc>
          <w:tcPr>
            <w:tcW w:w="600" w:type="dxa"/>
            <w:vAlign w:val="bottom"/>
            <w:tcBorders>
              <w:bottom w:val="single" w:sz="8" w:color="DBDBDB"/>
            </w:tcBorders>
            <w:shd w:val="clear" w:color="auto" w:fill="DBDBDB"/>
          </w:tcPr>
          <w:p>
            <w:pPr>
              <w:spacing w:after="0"/>
              <w:rPr>
                <w:sz w:val="19"/>
                <w:szCs w:val="19"/>
                <w:color w:val="auto"/>
              </w:rPr>
            </w:pPr>
          </w:p>
        </w:tc>
        <w:tc>
          <w:tcPr>
            <w:tcW w:w="1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(3.8)</w:t>
            </w:r>
          </w:p>
        </w:tc>
        <w:tc>
          <w:tcPr>
            <w:tcW w:w="1020" w:type="dxa"/>
            <w:vAlign w:val="bottom"/>
            <w:tcBorders>
              <w:bottom w:val="single" w:sz="8" w:color="DBDBDB"/>
            </w:tcBorders>
            <w:shd w:val="clear" w:color="auto" w:fill="DBDBDB"/>
          </w:tcPr>
          <w:p>
            <w:pPr>
              <w:spacing w:after="0"/>
              <w:rPr>
                <w:sz w:val="19"/>
                <w:szCs w:val="19"/>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(34.5)</w:t>
            </w:r>
          </w:p>
        </w:tc>
      </w:tr>
      <w:tr>
        <w:trPr>
          <w:trHeight w:val="188"/>
        </w:trPr>
        <w:tc>
          <w:tcPr>
            <w:tcW w:w="76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600" w:type="dxa"/>
            <w:vAlign w:val="bottom"/>
            <w:tcBorders>
              <w:top w:val="single" w:sz="8" w:color="auto"/>
            </w:tcBorders>
          </w:tcPr>
          <w:p>
            <w:pPr>
              <w:jc w:val="right"/>
              <w:ind w:right="451"/>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(1.3)</w:t>
            </w:r>
          </w:p>
        </w:tc>
        <w:tc>
          <w:tcPr>
            <w:tcW w:w="1020" w:type="dxa"/>
            <w:vAlign w:val="bottom"/>
            <w:tcBorders>
              <w:top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(41.4)</w:t>
            </w:r>
          </w:p>
        </w:tc>
      </w:tr>
      <w:tr>
        <w:trPr>
          <w:trHeight w:val="24"/>
        </w:trPr>
        <w:tc>
          <w:tcPr>
            <w:tcW w:w="7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85" w:lineRule="exact"/>
        <w:rPr>
          <w:sz w:val="20"/>
          <w:szCs w:val="20"/>
          <w:color w:val="auto"/>
        </w:rPr>
      </w:pPr>
    </w:p>
    <w:p>
      <w:pPr>
        <w:ind w:right="80" w:firstLine="619"/>
        <w:spacing w:after="0" w:line="263" w:lineRule="auto"/>
        <w:rPr>
          <w:sz w:val="20"/>
          <w:szCs w:val="20"/>
          <w:color w:val="auto"/>
        </w:rPr>
      </w:pPr>
      <w:r>
        <w:rPr>
          <w:rFonts w:ascii="Arial" w:cs="Arial" w:eastAsia="Arial" w:hAnsi="Arial"/>
          <w:sz w:val="15"/>
          <w:szCs w:val="15"/>
          <w:color w:val="auto"/>
        </w:rPr>
        <w:t>Net cash used in operating activities was $1.3 million for the three months ended January 31, 2023, compared to $41.4 million for the same period last year. The change was driven by a reduction in our net loss despite higher depreciation and amortization expense and favorable net changes in working capital. The increase in depreciation and amortization was largely attributed to the consolidation of the Blueberries segment in the current period, inclusive of the impact of the amortization of purchase accounting adjustments. Within working capital, favorable changes in accounts receivable and inventory were partially offset by unfavorable changes in accounts payable and grower payables. Changes in inventory and grower payables were driven by lower per-unit cost of Mexican sourced fruit on-hand in comparison to prior period. Favorable changes in accounts receivable were attributed to lower per-unit sales prices, which correlate to the costing factors noted above.</w:t>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Investing activities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2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r>
      <w:tr>
        <w:trPr>
          <w:trHeight w:val="180"/>
        </w:trPr>
        <w:tc>
          <w:tcPr>
            <w:tcW w:w="7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20" w:type="dxa"/>
            <w:vAlign w:val="bottom"/>
            <w:gridSpan w:val="2"/>
          </w:tcPr>
          <w:p>
            <w:pPr>
              <w:jc w:val="right"/>
              <w:ind w:right="571"/>
              <w:spacing w:after="0"/>
              <w:rPr>
                <w:sz w:val="20"/>
                <w:szCs w:val="20"/>
                <w:color w:val="auto"/>
              </w:rPr>
            </w:pPr>
            <w:r>
              <w:rPr>
                <w:rFonts w:ascii="Arial" w:cs="Arial" w:eastAsia="Arial" w:hAnsi="Arial"/>
                <w:sz w:val="14"/>
                <w:szCs w:val="14"/>
                <w:b w:val="1"/>
                <w:bCs w:val="1"/>
                <w:color w:val="auto"/>
              </w:rPr>
              <w:t>January 31,</w:t>
            </w:r>
          </w:p>
        </w:tc>
        <w:tc>
          <w:tcPr>
            <w:tcW w:w="780" w:type="dxa"/>
            <w:vAlign w:val="bottom"/>
          </w:tcPr>
          <w:p>
            <w:pPr>
              <w:spacing w:after="0"/>
              <w:rPr>
                <w:sz w:val="15"/>
                <w:szCs w:val="15"/>
                <w:color w:val="auto"/>
              </w:rPr>
            </w:pPr>
          </w:p>
        </w:tc>
      </w:tr>
      <w:tr>
        <w:trPr>
          <w:trHeight w:val="37"/>
        </w:trPr>
        <w:tc>
          <w:tcPr>
            <w:tcW w:w="76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0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2022</w:t>
            </w:r>
          </w:p>
        </w:tc>
      </w:tr>
      <w:tr>
        <w:trPr>
          <w:trHeight w:val="198"/>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Purchases of property, plant and equipment</w:t>
            </w:r>
          </w:p>
        </w:tc>
        <w:tc>
          <w:tcPr>
            <w:tcW w:w="60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(17.6)</w:t>
            </w:r>
          </w:p>
        </w:tc>
        <w:tc>
          <w:tcPr>
            <w:tcW w:w="102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(20.9)</w:t>
            </w:r>
          </w:p>
        </w:tc>
      </w:tr>
      <w:tr>
        <w:trPr>
          <w:trHeight w:val="195"/>
        </w:trPr>
        <w:tc>
          <w:tcPr>
            <w:tcW w:w="7640" w:type="dxa"/>
            <w:vAlign w:val="bottom"/>
          </w:tcPr>
          <w:p>
            <w:pPr>
              <w:ind w:left="20"/>
              <w:spacing w:after="0"/>
              <w:rPr>
                <w:sz w:val="20"/>
                <w:szCs w:val="20"/>
                <w:color w:val="auto"/>
              </w:rPr>
            </w:pPr>
            <w:r>
              <w:rPr>
                <w:rFonts w:ascii="Arial" w:cs="Arial" w:eastAsia="Arial" w:hAnsi="Arial"/>
                <w:sz w:val="14"/>
                <w:szCs w:val="14"/>
                <w:color w:val="auto"/>
              </w:rPr>
              <w:t>Investment in equity method investees</w:t>
            </w:r>
          </w:p>
        </w:tc>
        <w:tc>
          <w:tcPr>
            <w:tcW w:w="600" w:type="dxa"/>
            <w:vAlign w:val="bottom"/>
          </w:tcPr>
          <w:p>
            <w:pPr>
              <w:spacing w:after="0"/>
              <w:rPr>
                <w:sz w:val="16"/>
                <w:szCs w:val="16"/>
                <w:color w:val="auto"/>
              </w:rPr>
            </w:pP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(0.3)</w:t>
            </w:r>
          </w:p>
        </w:tc>
        <w:tc>
          <w:tcPr>
            <w:tcW w:w="10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7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9"/>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Loan repayments from equity method investees</w:t>
            </w:r>
          </w:p>
        </w:tc>
        <w:tc>
          <w:tcPr>
            <w:tcW w:w="60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w:t>
            </w:r>
          </w:p>
        </w:tc>
      </w:tr>
      <w:tr>
        <w:trPr>
          <w:trHeight w:val="195"/>
        </w:trPr>
        <w:tc>
          <w:tcPr>
            <w:tcW w:w="7640" w:type="dxa"/>
            <w:vAlign w:val="bottom"/>
          </w:tcPr>
          <w:p>
            <w:pPr>
              <w:ind w:left="20"/>
              <w:spacing w:after="0"/>
              <w:rPr>
                <w:sz w:val="20"/>
                <w:szCs w:val="20"/>
                <w:color w:val="auto"/>
              </w:rPr>
            </w:pPr>
            <w:r>
              <w:rPr>
                <w:rFonts w:ascii="Arial" w:cs="Arial" w:eastAsia="Arial" w:hAnsi="Arial"/>
                <w:sz w:val="14"/>
                <w:szCs w:val="14"/>
                <w:color w:val="auto"/>
              </w:rPr>
              <w:t>Other</w:t>
            </w:r>
          </w:p>
        </w:tc>
        <w:tc>
          <w:tcPr>
            <w:tcW w:w="600" w:type="dxa"/>
            <w:vAlign w:val="bottom"/>
          </w:tcPr>
          <w:p>
            <w:pPr>
              <w:spacing w:after="0"/>
              <w:rPr>
                <w:sz w:val="16"/>
                <w:szCs w:val="16"/>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
        </w:trPr>
        <w:tc>
          <w:tcPr>
            <w:tcW w:w="7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2"/>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cash used in investing activities</w:t>
            </w:r>
          </w:p>
        </w:tc>
        <w:tc>
          <w:tcPr>
            <w:tcW w:w="60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(17.9)</w:t>
            </w:r>
          </w:p>
        </w:tc>
        <w:tc>
          <w:tcPr>
            <w:tcW w:w="102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(20.1)</w:t>
            </w:r>
          </w:p>
        </w:tc>
      </w:tr>
      <w:tr>
        <w:trPr>
          <w:trHeight w:val="20"/>
        </w:trPr>
        <w:tc>
          <w:tcPr>
            <w:tcW w:w="7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Capital expenditures</w:t>
      </w:r>
    </w:p>
    <w:p>
      <w:pPr>
        <w:spacing w:after="0" w:line="37" w:lineRule="exact"/>
        <w:rPr>
          <w:sz w:val="20"/>
          <w:szCs w:val="20"/>
          <w:color w:val="auto"/>
        </w:rPr>
      </w:pPr>
    </w:p>
    <w:p>
      <w:pPr>
        <w:ind w:right="160" w:firstLine="619"/>
        <w:spacing w:after="0" w:line="263" w:lineRule="auto"/>
        <w:rPr>
          <w:sz w:val="20"/>
          <w:szCs w:val="20"/>
          <w:color w:val="auto"/>
        </w:rPr>
      </w:pPr>
      <w:r>
        <w:rPr>
          <w:rFonts w:ascii="Arial" w:cs="Arial" w:eastAsia="Arial" w:hAnsi="Arial"/>
          <w:sz w:val="15"/>
          <w:szCs w:val="15"/>
          <w:color w:val="auto"/>
        </w:rPr>
        <w:t>In the three months ended January 31, 2023 and 2022, capital expenditures were concentrated in avocado orchard development, pre-production orchard maintenance and land improvements in Peru and Guatemala. In the first quarter of 2023, capital expenditures also included construction costs on our new UK distribution facility that is scheduled to open in spring 2023 and $4.4 million of spend related to irrigation installation and early-stage plant cultivation in our Blueberries operation.</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Equity method investees</w:t>
      </w:r>
    </w:p>
    <w:p>
      <w:pPr>
        <w:spacing w:after="0" w:line="243" w:lineRule="exact"/>
        <w:rPr>
          <w:sz w:val="20"/>
          <w:szCs w:val="20"/>
          <w:color w:val="auto"/>
        </w:rPr>
      </w:pPr>
    </w:p>
    <w:p>
      <w:pPr>
        <w:jc w:val="both"/>
        <w:ind w:right="40" w:firstLine="619"/>
        <w:spacing w:after="0" w:line="260" w:lineRule="auto"/>
        <w:rPr>
          <w:sz w:val="20"/>
          <w:szCs w:val="20"/>
          <w:color w:val="auto"/>
        </w:rPr>
      </w:pPr>
      <w:r>
        <w:rPr>
          <w:rFonts w:ascii="Arial" w:cs="Arial" w:eastAsia="Arial" w:hAnsi="Arial"/>
          <w:sz w:val="15"/>
          <w:szCs w:val="15"/>
          <w:color w:val="auto"/>
        </w:rPr>
        <w:t>In the three months ended January 31, 2023, we made capital contributions to Mr. Avocado. In the three months ended January 31, 2022, we received an installment payment on outstanding loans to Moruga. From time to time, we may issue loans to support the working capital needs of our equity method investees, at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 activities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20" w:type="dxa"/>
            <w:vAlign w:val="bottom"/>
            <w:gridSpan w:val="2"/>
          </w:tcPr>
          <w:p>
            <w:pPr>
              <w:jc w:val="right"/>
              <w:ind w:right="291"/>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r>
      <w:tr>
        <w:trPr>
          <w:trHeight w:val="180"/>
        </w:trPr>
        <w:tc>
          <w:tcPr>
            <w:tcW w:w="7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20" w:type="dxa"/>
            <w:vAlign w:val="bottom"/>
            <w:gridSpan w:val="2"/>
          </w:tcPr>
          <w:p>
            <w:pPr>
              <w:jc w:val="right"/>
              <w:ind w:right="571"/>
              <w:spacing w:after="0"/>
              <w:rPr>
                <w:sz w:val="20"/>
                <w:szCs w:val="20"/>
                <w:color w:val="auto"/>
              </w:rPr>
            </w:pPr>
            <w:r>
              <w:rPr>
                <w:rFonts w:ascii="Arial" w:cs="Arial" w:eastAsia="Arial" w:hAnsi="Arial"/>
                <w:sz w:val="14"/>
                <w:szCs w:val="14"/>
                <w:b w:val="1"/>
                <w:bCs w:val="1"/>
                <w:color w:val="auto"/>
              </w:rPr>
              <w:t>January 31,</w:t>
            </w:r>
          </w:p>
        </w:tc>
        <w:tc>
          <w:tcPr>
            <w:tcW w:w="780" w:type="dxa"/>
            <w:vAlign w:val="bottom"/>
          </w:tcPr>
          <w:p>
            <w:pPr>
              <w:spacing w:after="0"/>
              <w:rPr>
                <w:sz w:val="15"/>
                <w:szCs w:val="15"/>
                <w:color w:val="auto"/>
              </w:rPr>
            </w:pPr>
          </w:p>
        </w:tc>
      </w:tr>
      <w:tr>
        <w:trPr>
          <w:trHeight w:val="24"/>
        </w:trPr>
        <w:tc>
          <w:tcPr>
            <w:tcW w:w="76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6"/>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2022</w:t>
            </w:r>
          </w:p>
        </w:tc>
      </w:tr>
      <w:tr>
        <w:trPr>
          <w:trHeight w:val="198"/>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Borrowings on revolving credit facility</w:t>
            </w:r>
          </w:p>
        </w:tc>
        <w:tc>
          <w:tcPr>
            <w:tcW w:w="60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10.0</w:t>
            </w:r>
          </w:p>
        </w:tc>
        <w:tc>
          <w:tcPr>
            <w:tcW w:w="102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580"/>
              <w:spacing w:after="0"/>
              <w:rPr>
                <w:sz w:val="20"/>
                <w:szCs w:val="20"/>
                <w:color w:val="auto"/>
              </w:rPr>
            </w:pPr>
            <w:r>
              <w:rPr>
                <w:rFonts w:ascii="Arial" w:cs="Arial" w:eastAsia="Arial" w:hAnsi="Arial"/>
                <w:sz w:val="14"/>
                <w:szCs w:val="14"/>
                <w:color w:val="auto"/>
              </w:rPr>
              <w:t>—</w:t>
            </w:r>
          </w:p>
        </w:tc>
      </w:tr>
      <w:tr>
        <w:trPr>
          <w:trHeight w:val="195"/>
        </w:trPr>
        <w:tc>
          <w:tcPr>
            <w:tcW w:w="7640" w:type="dxa"/>
            <w:vAlign w:val="bottom"/>
          </w:tcPr>
          <w:p>
            <w:pPr>
              <w:ind w:left="20"/>
              <w:spacing w:after="0"/>
              <w:rPr>
                <w:sz w:val="20"/>
                <w:szCs w:val="20"/>
                <w:color w:val="auto"/>
              </w:rPr>
            </w:pPr>
            <w:r>
              <w:rPr>
                <w:rFonts w:ascii="Arial" w:cs="Arial" w:eastAsia="Arial" w:hAnsi="Arial"/>
                <w:sz w:val="14"/>
                <w:szCs w:val="14"/>
                <w:color w:val="auto"/>
              </w:rPr>
              <w:t>Short-term borrowings, net</w:t>
            </w:r>
          </w:p>
        </w:tc>
        <w:tc>
          <w:tcPr>
            <w:tcW w:w="600" w:type="dxa"/>
            <w:vAlign w:val="bottom"/>
          </w:tcPr>
          <w:p>
            <w:pPr>
              <w:spacing w:after="0"/>
              <w:rPr>
                <w:sz w:val="16"/>
                <w:szCs w:val="16"/>
                <w:color w:val="auto"/>
              </w:rPr>
            </w:pP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(2.5)</w:t>
            </w:r>
          </w:p>
        </w:tc>
        <w:tc>
          <w:tcPr>
            <w:tcW w:w="102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rPr>
              <w:t>—</w:t>
            </w:r>
          </w:p>
        </w:tc>
      </w:tr>
      <w:tr>
        <w:trPr>
          <w:trHeight w:val="24"/>
        </w:trPr>
        <w:tc>
          <w:tcPr>
            <w:tcW w:w="7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9"/>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Principal payments on long-term debt obligations</w:t>
            </w:r>
          </w:p>
        </w:tc>
        <w:tc>
          <w:tcPr>
            <w:tcW w:w="60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(0.9)</w:t>
            </w:r>
          </w:p>
        </w:tc>
        <w:tc>
          <w:tcPr>
            <w:tcW w:w="102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4"/>
                <w:szCs w:val="14"/>
                <w:color w:val="auto"/>
                <w:w w:val="97"/>
              </w:rPr>
              <w:t>(2.2)</w:t>
            </w:r>
          </w:p>
        </w:tc>
      </w:tr>
      <w:tr>
        <w:trPr>
          <w:trHeight w:val="195"/>
        </w:trPr>
        <w:tc>
          <w:tcPr>
            <w:tcW w:w="7640" w:type="dxa"/>
            <w:vAlign w:val="bottom"/>
          </w:tcPr>
          <w:p>
            <w:pPr>
              <w:ind w:left="20"/>
              <w:spacing w:after="0"/>
              <w:rPr>
                <w:sz w:val="20"/>
                <w:szCs w:val="20"/>
                <w:color w:val="auto"/>
              </w:rPr>
            </w:pPr>
            <w:r>
              <w:rPr>
                <w:rFonts w:ascii="Arial" w:cs="Arial" w:eastAsia="Arial" w:hAnsi="Arial"/>
                <w:sz w:val="14"/>
                <w:szCs w:val="14"/>
                <w:color w:val="auto"/>
              </w:rPr>
              <w:t>Principal payments on finance lease obligations</w:t>
            </w:r>
          </w:p>
        </w:tc>
        <w:tc>
          <w:tcPr>
            <w:tcW w:w="600" w:type="dxa"/>
            <w:vAlign w:val="bottom"/>
          </w:tcPr>
          <w:p>
            <w:pPr>
              <w:spacing w:after="0"/>
              <w:rPr>
                <w:sz w:val="16"/>
                <w:szCs w:val="16"/>
                <w:color w:val="auto"/>
              </w:rPr>
            </w:pP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(1.7)</w:t>
            </w:r>
          </w:p>
        </w:tc>
        <w:tc>
          <w:tcPr>
            <w:tcW w:w="1020" w:type="dxa"/>
            <w:vAlign w:val="bottom"/>
          </w:tcPr>
          <w:p>
            <w:pPr>
              <w:spacing w:after="0"/>
              <w:rPr>
                <w:sz w:val="16"/>
                <w:szCs w:val="16"/>
                <w:color w:val="auto"/>
              </w:rPr>
            </w:pPr>
          </w:p>
        </w:tc>
        <w:tc>
          <w:tcPr>
            <w:tcW w:w="780" w:type="dxa"/>
            <w:vAlign w:val="bottom"/>
          </w:tcPr>
          <w:p>
            <w:pPr>
              <w:ind w:left="480"/>
              <w:spacing w:after="0"/>
              <w:rPr>
                <w:sz w:val="20"/>
                <w:szCs w:val="20"/>
                <w:color w:val="auto"/>
              </w:rPr>
            </w:pPr>
            <w:r>
              <w:rPr>
                <w:rFonts w:ascii="Arial" w:cs="Arial" w:eastAsia="Arial" w:hAnsi="Arial"/>
                <w:sz w:val="14"/>
                <w:szCs w:val="14"/>
                <w:color w:val="auto"/>
                <w:w w:val="97"/>
              </w:rPr>
              <w:t>(0.3)</w:t>
            </w:r>
          </w:p>
        </w:tc>
      </w:tr>
      <w:tr>
        <w:trPr>
          <w:trHeight w:val="24"/>
        </w:trPr>
        <w:tc>
          <w:tcPr>
            <w:tcW w:w="7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99"/>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Taxes paid related to shares withheld from the settlement of equity awards</w:t>
            </w:r>
          </w:p>
        </w:tc>
        <w:tc>
          <w:tcPr>
            <w:tcW w:w="60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4"/>
                <w:szCs w:val="14"/>
                <w:color w:val="auto"/>
              </w:rPr>
              <w:t>(0.4)</w:t>
            </w:r>
          </w:p>
        </w:tc>
        <w:tc>
          <w:tcPr>
            <w:tcW w:w="102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ind w:left="580"/>
              <w:spacing w:after="0"/>
              <w:rPr>
                <w:sz w:val="20"/>
                <w:szCs w:val="20"/>
                <w:color w:val="auto"/>
              </w:rPr>
            </w:pPr>
            <w:r>
              <w:rPr>
                <w:rFonts w:ascii="Arial" w:cs="Arial" w:eastAsia="Arial" w:hAnsi="Arial"/>
                <w:sz w:val="14"/>
                <w:szCs w:val="14"/>
                <w:color w:val="auto"/>
              </w:rPr>
              <w:t>—</w:t>
            </w:r>
          </w:p>
        </w:tc>
      </w:tr>
      <w:tr>
        <w:trPr>
          <w:trHeight w:val="195"/>
        </w:trPr>
        <w:tc>
          <w:tcPr>
            <w:tcW w:w="7640" w:type="dxa"/>
            <w:vAlign w:val="bottom"/>
          </w:tcPr>
          <w:p>
            <w:pPr>
              <w:ind w:left="20"/>
              <w:spacing w:after="0"/>
              <w:rPr>
                <w:sz w:val="20"/>
                <w:szCs w:val="20"/>
                <w:color w:val="auto"/>
              </w:rPr>
            </w:pPr>
            <w:r>
              <w:rPr>
                <w:rFonts w:ascii="Arial" w:cs="Arial" w:eastAsia="Arial" w:hAnsi="Arial"/>
                <w:sz w:val="14"/>
                <w:szCs w:val="14"/>
                <w:color w:val="auto"/>
              </w:rPr>
              <w:t>Contributions from noncontrolling interest holders</w:t>
            </w:r>
          </w:p>
        </w:tc>
        <w:tc>
          <w:tcPr>
            <w:tcW w:w="600" w:type="dxa"/>
            <w:vAlign w:val="bottom"/>
          </w:tcPr>
          <w:p>
            <w:pPr>
              <w:spacing w:after="0"/>
              <w:rPr>
                <w:sz w:val="16"/>
                <w:szCs w:val="16"/>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color w:val="auto"/>
              </w:rPr>
              <w:t>1.0</w:t>
            </w:r>
          </w:p>
        </w:tc>
        <w:tc>
          <w:tcPr>
            <w:tcW w:w="102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Arial" w:cs="Arial" w:eastAsia="Arial" w:hAnsi="Arial"/>
                <w:sz w:val="14"/>
                <w:szCs w:val="14"/>
                <w:color w:val="auto"/>
              </w:rPr>
              <w:t>—</w:t>
            </w:r>
          </w:p>
        </w:tc>
      </w:tr>
      <w:tr>
        <w:trPr>
          <w:trHeight w:val="24"/>
        </w:trPr>
        <w:tc>
          <w:tcPr>
            <w:tcW w:w="76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2"/>
        </w:trPr>
        <w:tc>
          <w:tcPr>
            <w:tcW w:w="7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600" w:type="dxa"/>
            <w:vAlign w:val="bottom"/>
            <w:tcBorders>
              <w:bottom w:val="single" w:sz="8" w:color="DBDBDB"/>
            </w:tcBorders>
            <w:shd w:val="clear" w:color="auto" w:fill="DBDBDB"/>
          </w:tcPr>
          <w:p>
            <w:pPr>
              <w:jc w:val="right"/>
              <w:ind w:right="45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5.5</w:t>
            </w:r>
          </w:p>
        </w:tc>
        <w:tc>
          <w:tcPr>
            <w:tcW w:w="1020" w:type="dxa"/>
            <w:vAlign w:val="bottom"/>
            <w:tcBorders>
              <w:bottom w:val="single" w:sz="8" w:color="DBDBDB"/>
            </w:tcBorders>
            <w:shd w:val="clear" w:color="auto" w:fill="DBDBDB"/>
          </w:tcPr>
          <w:p>
            <w:pPr>
              <w:jc w:val="right"/>
              <w:ind w:right="73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4"/>
                <w:szCs w:val="14"/>
                <w:color w:val="auto"/>
                <w:w w:val="97"/>
              </w:rPr>
              <w:t>(2.5)</w:t>
            </w:r>
          </w:p>
        </w:tc>
      </w:tr>
      <w:tr>
        <w:trPr>
          <w:trHeight w:val="20"/>
        </w:trPr>
        <w:tc>
          <w:tcPr>
            <w:tcW w:w="76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Borrowings and repayments of debt</w:t>
      </w:r>
    </w:p>
    <w:p>
      <w:pPr>
        <w:spacing w:after="0" w:line="230" w:lineRule="exact"/>
        <w:rPr>
          <w:sz w:val="20"/>
          <w:szCs w:val="20"/>
          <w:color w:val="auto"/>
        </w:rPr>
      </w:pPr>
    </w:p>
    <w:p>
      <w:pPr>
        <w:ind w:right="360" w:firstLine="619"/>
        <w:spacing w:after="0" w:line="287" w:lineRule="auto"/>
        <w:rPr>
          <w:sz w:val="20"/>
          <w:szCs w:val="20"/>
          <w:color w:val="auto"/>
        </w:rPr>
      </w:pPr>
      <w:r>
        <w:rPr>
          <w:rFonts w:ascii="Arial" w:cs="Arial" w:eastAsia="Arial" w:hAnsi="Arial"/>
          <w:sz w:val="15"/>
          <w:szCs w:val="15"/>
          <w:color w:val="auto"/>
        </w:rPr>
        <w:t>We utilize a revolving line of credit for short-term working capital purposes. Principal payments on our term loans and other notes payable are made in accordance with debt maturity schedules.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w:t>
      </w:r>
    </w:p>
    <w:p>
      <w:pPr>
        <w:spacing w:after="0" w:line="243" w:lineRule="exact"/>
        <w:rPr>
          <w:sz w:val="20"/>
          <w:szCs w:val="20"/>
          <w:color w:val="auto"/>
        </w:rPr>
      </w:pPr>
    </w:p>
    <w:p>
      <w:pPr>
        <w:ind w:right="380" w:firstLine="619"/>
        <w:spacing w:after="0" w:line="269" w:lineRule="auto"/>
        <w:rPr>
          <w:sz w:val="20"/>
          <w:szCs w:val="20"/>
          <w:color w:val="auto"/>
        </w:rPr>
      </w:pPr>
      <w:r>
        <w:rPr>
          <w:rFonts w:ascii="Arial" w:cs="Arial" w:eastAsia="Arial" w:hAnsi="Arial"/>
          <w:sz w:val="15"/>
          <w:szCs w:val="15"/>
          <w:color w:val="auto"/>
        </w:rPr>
        <w:t>Principal payments on finance lease obligations during the first quarter of 2023 primarily related to a long-term land lease by our Blueberries segment, which for accounting purposes has been classified as a finance lease.</w:t>
      </w:r>
    </w:p>
    <w:p>
      <w:pPr>
        <w:spacing w:after="0" w:line="181" w:lineRule="exact"/>
        <w:rPr>
          <w:sz w:val="20"/>
          <w:szCs w:val="20"/>
          <w:color w:val="auto"/>
        </w:rPr>
      </w:pPr>
    </w:p>
    <w:p>
      <w:pPr>
        <w:ind w:right="200" w:firstLine="619"/>
        <w:spacing w:after="0" w:line="287" w:lineRule="auto"/>
        <w:rPr>
          <w:sz w:val="20"/>
          <w:szCs w:val="20"/>
          <w:color w:val="auto"/>
        </w:rPr>
      </w:pPr>
      <w:r>
        <w:rPr>
          <w:rFonts w:ascii="Arial" w:cs="Arial" w:eastAsia="Arial" w:hAnsi="Arial"/>
          <w:sz w:val="15"/>
          <w:szCs w:val="15"/>
          <w:color w:val="auto"/>
        </w:rPr>
        <w:t>Contributions from noncontrolling interest holders were made in support of the blueberry capital project in the Olmos region of Peru that was agreed to in conjunction with the Moruga business combination.</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Capital resources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300" w:type="dxa"/>
            <w:vAlign w:val="bottom"/>
          </w:tcPr>
          <w:p>
            <w:pPr>
              <w:spacing w:after="0"/>
              <w:rPr>
                <w:sz w:val="15"/>
                <w:szCs w:val="15"/>
                <w:color w:val="auto"/>
              </w:rPr>
            </w:pPr>
          </w:p>
        </w:tc>
        <w:tc>
          <w:tcPr>
            <w:tcW w:w="1480" w:type="dxa"/>
            <w:vAlign w:val="bottom"/>
          </w:tcPr>
          <w:p>
            <w:pPr>
              <w:jc w:val="right"/>
              <w:ind w:right="71"/>
              <w:spacing w:after="0"/>
              <w:rPr>
                <w:sz w:val="20"/>
                <w:szCs w:val="20"/>
                <w:color w:val="auto"/>
              </w:rPr>
            </w:pPr>
            <w:r>
              <w:rPr>
                <w:rFonts w:ascii="Arial" w:cs="Arial" w:eastAsia="Arial" w:hAnsi="Arial"/>
                <w:sz w:val="14"/>
                <w:szCs w:val="14"/>
                <w:b w:val="1"/>
                <w:bCs w:val="1"/>
                <w:color w:val="auto"/>
              </w:rPr>
              <w:t>January 31, 2023</w:t>
            </w:r>
          </w:p>
        </w:tc>
        <w:tc>
          <w:tcPr>
            <w:tcW w:w="4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October 31, 2022</w:t>
            </w:r>
          </w:p>
        </w:tc>
      </w:tr>
      <w:tr>
        <w:trPr>
          <w:trHeight w:val="24"/>
        </w:trPr>
        <w:tc>
          <w:tcPr>
            <w:tcW w:w="46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2"/>
        </w:trPr>
        <w:tc>
          <w:tcPr>
            <w:tcW w:w="4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and cash equivalents</w:t>
            </w:r>
          </w:p>
        </w:tc>
        <w:tc>
          <w:tcPr>
            <w:tcW w:w="330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4"/>
                <w:szCs w:val="14"/>
                <w:color w:val="auto"/>
              </w:rPr>
              <w:t>39.2</w:t>
            </w:r>
          </w:p>
        </w:tc>
        <w:tc>
          <w:tcPr>
            <w:tcW w:w="4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52.8</w:t>
            </w:r>
          </w:p>
        </w:tc>
      </w:tr>
      <w:tr>
        <w:trPr>
          <w:trHeight w:val="219"/>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Working capital</w:t>
            </w:r>
            <w:r>
              <w:rPr>
                <w:rFonts w:ascii="Arial" w:cs="Arial" w:eastAsia="Arial" w:hAnsi="Arial"/>
                <w:sz w:val="17"/>
                <w:szCs w:val="17"/>
                <w:color w:val="auto"/>
                <w:vertAlign w:val="superscript"/>
              </w:rPr>
              <w:t>(1)</w:t>
            </w:r>
          </w:p>
        </w:tc>
        <w:tc>
          <w:tcPr>
            <w:tcW w:w="3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120.1</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w:t>
            </w:r>
          </w:p>
        </w:tc>
      </w:tr>
    </w:tbl>
    <w:p>
      <w:pPr>
        <w:spacing w:after="0" w:line="84" w:lineRule="exact"/>
        <w:rPr>
          <w:sz w:val="20"/>
          <w:szCs w:val="20"/>
          <w:color w:val="auto"/>
        </w:rPr>
      </w:pPr>
    </w:p>
    <w:p>
      <w:pPr>
        <w:ind w:left="160" w:hanging="157"/>
        <w:spacing w:after="0"/>
        <w:tabs>
          <w:tab w:leader="none" w:pos="160" w:val="left"/>
        </w:tabs>
        <w:numPr>
          <w:ilvl w:val="0"/>
          <w:numId w:val="20"/>
        </w:numPr>
        <w:rPr>
          <w:rFonts w:ascii="Arial" w:cs="Arial" w:eastAsia="Arial" w:hAnsi="Arial"/>
          <w:sz w:val="16"/>
          <w:szCs w:val="16"/>
          <w:color w:val="auto"/>
          <w:vertAlign w:val="superscript"/>
        </w:rPr>
      </w:pPr>
      <w:r>
        <w:rPr>
          <w:rFonts w:ascii="Arial" w:cs="Arial" w:eastAsia="Arial" w:hAnsi="Arial"/>
          <w:sz w:val="12"/>
          <w:szCs w:val="12"/>
          <w:color w:val="auto"/>
        </w:rPr>
        <w:t>Includes cash and cash equivalents</w:t>
      </w:r>
    </w:p>
    <w:p>
      <w:pPr>
        <w:spacing w:after="0" w:line="211" w:lineRule="exact"/>
        <w:rPr>
          <w:sz w:val="20"/>
          <w:szCs w:val="20"/>
          <w:color w:val="auto"/>
        </w:rPr>
      </w:pPr>
    </w:p>
    <w:p>
      <w:pPr>
        <w:ind w:right="240" w:firstLine="619"/>
        <w:spacing w:after="0" w:line="287" w:lineRule="auto"/>
        <w:rPr>
          <w:sz w:val="20"/>
          <w:szCs w:val="20"/>
          <w:color w:val="auto"/>
        </w:rPr>
      </w:pPr>
      <w:r>
        <w:rPr>
          <w:rFonts w:ascii="Arial" w:cs="Arial" w:eastAsia="Arial" w:hAnsi="Arial"/>
          <w:sz w:val="15"/>
          <w:szCs w:val="15"/>
          <w:color w:val="auto"/>
        </w:rPr>
        <w:t>Capital resources include cash flows from operations, cash and cash equivalents, and debt financing. Our Blueberries segment may also receive capital contributions or loans from shareholders, or enter into short-term bank borrowings from time to time.</w:t>
      </w:r>
    </w:p>
    <w:p>
      <w:pPr>
        <w:spacing w:after="0" w:line="168" w:lineRule="exact"/>
        <w:rPr>
          <w:sz w:val="20"/>
          <w:szCs w:val="20"/>
          <w:color w:val="auto"/>
        </w:rPr>
      </w:pPr>
    </w:p>
    <w:p>
      <w:pPr>
        <w:ind w:right="80" w:firstLine="619"/>
        <w:spacing w:after="0" w:line="263" w:lineRule="auto"/>
        <w:rPr>
          <w:sz w:val="20"/>
          <w:szCs w:val="20"/>
          <w:color w:val="auto"/>
        </w:rPr>
      </w:pPr>
      <w:r>
        <w:rPr>
          <w:rFonts w:ascii="Arial" w:cs="Arial" w:eastAsia="Arial" w:hAnsi="Arial"/>
          <w:sz w:val="15"/>
          <w:szCs w:val="15"/>
          <w:color w:val="auto"/>
        </w:rPr>
        <w:t>Our syndicated credit facility with Bank of America has a total borrowing capacity of $250 million. The credit facility is comprised of two senior term loans totaling $100 million and a revolving credit agreement up to $150 million. The loans are secured by assets of the Company, including certain real property, personal property and capital stock of the Company’s subsidiaries. Borrowings under the credit facility bear interest at a spread over SOFR ranging from 1.5% to 2.5% depending on the Company’s consolidated total net leverage ratio. We pay fees on unused commitments on the credit facility.</w:t>
      </w:r>
    </w:p>
    <w:p>
      <w:pPr>
        <w:spacing w:after="0" w:line="198" w:lineRule="exact"/>
        <w:rPr>
          <w:sz w:val="20"/>
          <w:szCs w:val="20"/>
          <w:color w:val="auto"/>
        </w:rPr>
      </w:pPr>
    </w:p>
    <w:p>
      <w:pPr>
        <w:jc w:val="both"/>
        <w:ind w:right="100" w:firstLine="619"/>
        <w:spacing w:after="0" w:line="269" w:lineRule="auto"/>
        <w:rPr>
          <w:sz w:val="20"/>
          <w:szCs w:val="20"/>
          <w:color w:val="auto"/>
        </w:rPr>
      </w:pPr>
      <w:r>
        <w:rPr>
          <w:rFonts w:ascii="Arial" w:cs="Arial" w:eastAsia="Arial" w:hAnsi="Arial"/>
          <w:sz w:val="15"/>
          <w:szCs w:val="15"/>
          <w:color w:val="auto"/>
        </w:rPr>
        <w:t>As of January 31, 2023, we were required to comply with the following financial covenants: (a) a quarterly consolidated leverage ratio of not more than 3.5 to 1.00 and (b) a quarterly consolidated fixed charge coverage ratio of not less than 1.25 to 1.00. As of January 31, 2023, our consolidated leverage ratio was 2.11 to 1.00 and our consolidated fixed charge coverage ratio was 2.29 to 1.00 and we were in compliance with all such covenants of the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cash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Capital expenditures</w:t>
      </w:r>
    </w:p>
    <w:p>
      <w:pPr>
        <w:spacing w:after="0" w:line="243" w:lineRule="exact"/>
        <w:rPr>
          <w:sz w:val="20"/>
          <w:szCs w:val="20"/>
          <w:color w:val="auto"/>
        </w:rPr>
      </w:pPr>
    </w:p>
    <w:p>
      <w:pPr>
        <w:ind w:right="200" w:firstLine="619"/>
        <w:spacing w:after="0" w:line="269" w:lineRule="auto"/>
        <w:rPr>
          <w:sz w:val="20"/>
          <w:szCs w:val="20"/>
          <w:color w:val="auto"/>
        </w:rPr>
      </w:pPr>
      <w:r>
        <w:rPr>
          <w:rFonts w:ascii="Arial" w:cs="Arial" w:eastAsia="Arial" w:hAnsi="Arial"/>
          <w:sz w:val="15"/>
          <w:szCs w:val="15"/>
          <w:color w:val="auto"/>
        </w:rPr>
        <w:t>We have various capital projects in progress for farming expansion and facility improvements which we intend to fund through our operating cash flow as well as cash and cash equivalents on hand. For fiscal 2023, we expect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6"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color w:val="auto"/>
        </w:rPr>
        <w:t>excluding the Moruga Blueberry Project (described below) to be lower than fiscal 2022. Cash paid for capital expenditures for the year ended October 31, 2022 was $61.2 million.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Moruga Blueberry Project</w:t>
      </w:r>
    </w:p>
    <w:p>
      <w:pPr>
        <w:spacing w:after="0" w:line="230" w:lineRule="exact"/>
        <w:rPr>
          <w:sz w:val="20"/>
          <w:szCs w:val="20"/>
          <w:color w:val="auto"/>
        </w:rPr>
      </w:pPr>
    </w:p>
    <w:p>
      <w:pPr>
        <w:ind w:right="120" w:firstLine="619"/>
        <w:spacing w:after="0" w:line="264" w:lineRule="auto"/>
        <w:rPr>
          <w:sz w:val="20"/>
          <w:szCs w:val="20"/>
          <w:color w:val="auto"/>
        </w:rPr>
      </w:pPr>
      <w:r>
        <w:rPr>
          <w:rFonts w:ascii="Arial" w:cs="Arial" w:eastAsia="Arial" w:hAnsi="Arial"/>
          <w:sz w:val="15"/>
          <w:szCs w:val="15"/>
          <w:color w:val="auto"/>
        </w:rPr>
        <w:t>On May 1, 2022, the shareholders of Moruga approved a new capital project to farm approximately 1,500 additional acres of blueberries in the Olmos region of Peru. The project is anticipated to require a total investment of approximately $50 million, the majority of which will be funded by cash flow generated by Moruga and supplemented by pro-rata shareholder contributions based on each shareholders’ respective ownership interest. The project is expected to be carried out in phases, commencing in fiscal year 2023. For fiscal 2023, capital expenditures related to the project are currently expected to be approximately $15.0 million, depending on timing and other factors.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Leases</w:t>
      </w:r>
    </w:p>
    <w:p>
      <w:pPr>
        <w:spacing w:after="0" w:line="243" w:lineRule="exact"/>
        <w:rPr>
          <w:sz w:val="20"/>
          <w:szCs w:val="20"/>
          <w:color w:val="auto"/>
        </w:rPr>
      </w:pPr>
    </w:p>
    <w:p>
      <w:pPr>
        <w:ind w:right="60" w:firstLine="619"/>
        <w:spacing w:after="0" w:line="269" w:lineRule="auto"/>
        <w:rPr>
          <w:sz w:val="20"/>
          <w:szCs w:val="20"/>
          <w:color w:val="auto"/>
        </w:rPr>
      </w:pPr>
      <w:r>
        <w:rPr>
          <w:rFonts w:ascii="Arial" w:cs="Arial" w:eastAsia="Arial" w:hAnsi="Arial"/>
          <w:sz w:val="15"/>
          <w:szCs w:val="15"/>
          <w:color w:val="auto"/>
        </w:rPr>
        <w:t>We are party to various leases for facilities, land, and equipment, for which our undiscounted cash liabilities were $183.8 million as of January 31, 2023. Of that amount, approximately $60.0 million was related to the commencement of a portion of a 25-year land lease agreement in our Blueberries segment.</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Long-term Debt</w:t>
      </w:r>
    </w:p>
    <w:p>
      <w:pPr>
        <w:spacing w:after="0" w:line="243" w:lineRule="exact"/>
        <w:rPr>
          <w:sz w:val="20"/>
          <w:szCs w:val="20"/>
          <w:color w:val="auto"/>
        </w:rPr>
      </w:pPr>
    </w:p>
    <w:p>
      <w:pPr>
        <w:ind w:right="360" w:firstLine="619"/>
        <w:spacing w:after="0" w:line="269" w:lineRule="auto"/>
        <w:rPr>
          <w:sz w:val="20"/>
          <w:szCs w:val="20"/>
          <w:color w:val="auto"/>
        </w:rPr>
      </w:pPr>
      <w:r>
        <w:rPr>
          <w:rFonts w:ascii="Arial" w:cs="Arial" w:eastAsia="Arial" w:hAnsi="Arial"/>
          <w:sz w:val="15"/>
          <w:szCs w:val="15"/>
          <w:color w:val="auto"/>
        </w:rPr>
        <w:t>As of January 31, 2023, remaining maturities on our term loans and notes were $150.1 million. See Note 5 to the consolidated financial statements for more information.</w:t>
      </w:r>
    </w:p>
    <w:p>
      <w:pPr>
        <w:spacing w:after="0" w:line="3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estimates</w:t>
      </w:r>
    </w:p>
    <w:p>
      <w:pPr>
        <w:spacing w:after="0" w:line="245" w:lineRule="exact"/>
        <w:rPr>
          <w:sz w:val="20"/>
          <w:szCs w:val="20"/>
          <w:color w:val="auto"/>
        </w:rPr>
      </w:pPr>
    </w:p>
    <w:p>
      <w:pPr>
        <w:ind w:right="60" w:firstLine="619"/>
        <w:spacing w:after="0" w:line="269" w:lineRule="auto"/>
        <w:rPr>
          <w:sz w:val="20"/>
          <w:szCs w:val="20"/>
          <w:color w:val="auto"/>
        </w:rPr>
      </w:pPr>
      <w:r>
        <w:rPr>
          <w:rFonts w:ascii="Arial" w:cs="Arial" w:eastAsia="Arial" w:hAnsi="Arial"/>
          <w:sz w:val="15"/>
          <w:szCs w:val="15"/>
          <w:color w:val="auto"/>
        </w:rPr>
        <w:t>For a discussion of our critical accounting estimates, see “Part II, Item 7. Management’s Discussion and Analysis of Financial Condition and Operations” in our Annual Report on Form 10-K for the year ended October 31, 2022, filed with the SEC on December 22, 2022. There have been no material changes to the critical accounting estimates disclosed in such Annual Report on Form 10-K.</w:t>
      </w:r>
    </w:p>
    <w:p>
      <w:pPr>
        <w:spacing w:after="0" w:line="288"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auto"/>
        </w:rPr>
        <w:t>Item 3.</w:t>
      </w:r>
      <w:r>
        <w:rPr>
          <w:sz w:val="20"/>
          <w:szCs w:val="20"/>
          <w:color w:val="auto"/>
        </w:rPr>
        <w:tab/>
      </w:r>
      <w:r>
        <w:rPr>
          <w:rFonts w:ascii="Arial" w:cs="Arial" w:eastAsia="Arial" w:hAnsi="Arial"/>
          <w:sz w:val="20"/>
          <w:szCs w:val="20"/>
          <w:b w:val="1"/>
          <w:bCs w:val="1"/>
          <w:color w:val="auto"/>
        </w:rPr>
        <w:t>Quantitative and Qualitative Disclosures About Market Risk</w:t>
      </w:r>
    </w:p>
    <w:p>
      <w:pPr>
        <w:spacing w:after="0" w:line="231" w:lineRule="exact"/>
        <w:rPr>
          <w:sz w:val="20"/>
          <w:szCs w:val="20"/>
          <w:color w:val="auto"/>
        </w:rPr>
      </w:pPr>
    </w:p>
    <w:p>
      <w:pPr>
        <w:ind w:right="80" w:firstLine="619"/>
        <w:spacing w:after="0" w:line="287" w:lineRule="auto"/>
        <w:rPr>
          <w:sz w:val="20"/>
          <w:szCs w:val="20"/>
          <w:color w:val="auto"/>
        </w:rPr>
      </w:pPr>
      <w:r>
        <w:rPr>
          <w:rFonts w:ascii="Arial" w:cs="Arial" w:eastAsia="Arial" w:hAnsi="Arial"/>
          <w:sz w:val="15"/>
          <w:szCs w:val="15"/>
          <w:color w:val="auto"/>
        </w:rPr>
        <w:t>There have been no material changes to “Part II, Item 7A. Quantitative and Qualitative Disclosures About Market Risk” in our Annual Report on Form 10-K for the year ended October 31, 2022.</w:t>
      </w:r>
    </w:p>
    <w:p>
      <w:pPr>
        <w:spacing w:after="0" w:line="275"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auto"/>
        </w:rPr>
        <w:t>Item 4.</w:t>
      </w:r>
      <w:r>
        <w:rPr>
          <w:sz w:val="20"/>
          <w:szCs w:val="20"/>
          <w:color w:val="auto"/>
        </w:rPr>
        <w:tab/>
      </w:r>
      <w:r>
        <w:rPr>
          <w:rFonts w:ascii="Arial" w:cs="Arial" w:eastAsia="Arial" w:hAnsi="Arial"/>
          <w:sz w:val="20"/>
          <w:szCs w:val="20"/>
          <w:b w:val="1"/>
          <w:bCs w:val="1"/>
          <w:color w:val="auto"/>
        </w:rPr>
        <w:t>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245" w:lineRule="exact"/>
        <w:rPr>
          <w:sz w:val="20"/>
          <w:szCs w:val="20"/>
          <w:color w:val="auto"/>
        </w:rPr>
      </w:pPr>
    </w:p>
    <w:p>
      <w:pPr>
        <w:ind w:firstLine="619"/>
        <w:spacing w:after="0" w:line="260" w:lineRule="auto"/>
        <w:rPr>
          <w:sz w:val="20"/>
          <w:szCs w:val="20"/>
          <w:color w:val="auto"/>
        </w:rPr>
      </w:pPr>
      <w:r>
        <w:rPr>
          <w:rFonts w:ascii="Arial" w:cs="Arial" w:eastAsia="Arial" w:hAnsi="Arial"/>
          <w:sz w:val="15"/>
          <w:szCs w:val="15"/>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245" w:lineRule="exact"/>
        <w:rPr>
          <w:sz w:val="20"/>
          <w:szCs w:val="20"/>
          <w:color w:val="auto"/>
        </w:rPr>
      </w:pPr>
    </w:p>
    <w:p>
      <w:pPr>
        <w:ind w:right="60" w:firstLine="619"/>
        <w:spacing w:after="0" w:line="269" w:lineRule="auto"/>
        <w:rPr>
          <w:sz w:val="20"/>
          <w:szCs w:val="20"/>
          <w:color w:val="auto"/>
        </w:rPr>
      </w:pPr>
      <w:r>
        <w:rPr>
          <w:rFonts w:ascii="Arial" w:cs="Arial" w:eastAsia="Arial" w:hAnsi="Arial"/>
          <w:sz w:val="15"/>
          <w:szCs w:val="15"/>
          <w:color w:val="auto"/>
        </w:rPr>
        <w:t>There were no other changes in our internal control over financial reporting during the quarter ended January 31,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on Effectiveness of Controls and Procedures</w:t>
      </w:r>
    </w:p>
    <w:p>
      <w:pPr>
        <w:spacing w:after="0" w:line="232" w:lineRule="exact"/>
        <w:rPr>
          <w:sz w:val="20"/>
          <w:szCs w:val="20"/>
          <w:color w:val="auto"/>
        </w:rPr>
      </w:pPr>
    </w:p>
    <w:p>
      <w:pPr>
        <w:jc w:val="both"/>
        <w:ind w:right="100" w:firstLine="619"/>
        <w:spacing w:after="0" w:line="264" w:lineRule="auto"/>
        <w:rPr>
          <w:sz w:val="20"/>
          <w:szCs w:val="20"/>
          <w:color w:val="auto"/>
        </w:rPr>
      </w:pPr>
      <w:r>
        <w:rPr>
          <w:rFonts w:ascii="Arial" w:cs="Arial" w:eastAsia="Arial" w:hAnsi="Arial"/>
          <w:sz w:val="15"/>
          <w:szCs w:val="15"/>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PART II- OTHER INFORMATION</w:t>
      </w:r>
    </w:p>
    <w:p>
      <w:pPr>
        <w:spacing w:after="0" w:line="223"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auto"/>
        </w:rPr>
        <w:t>Item 1.</w:t>
      </w:r>
      <w:r>
        <w:rPr>
          <w:sz w:val="20"/>
          <w:szCs w:val="20"/>
          <w:color w:val="auto"/>
        </w:rPr>
        <w:tab/>
      </w:r>
      <w:r>
        <w:rPr>
          <w:rFonts w:ascii="Arial" w:cs="Arial" w:eastAsia="Arial" w:hAnsi="Arial"/>
          <w:sz w:val="20"/>
          <w:szCs w:val="20"/>
          <w:b w:val="1"/>
          <w:bCs w:val="1"/>
          <w:color w:val="auto"/>
        </w:rPr>
        <w:t>Legal Proceedings</w:t>
      </w:r>
    </w:p>
    <w:p>
      <w:pPr>
        <w:spacing w:after="0" w:line="231" w:lineRule="exact"/>
        <w:rPr>
          <w:sz w:val="20"/>
          <w:szCs w:val="20"/>
          <w:color w:val="auto"/>
        </w:rPr>
      </w:pPr>
    </w:p>
    <w:p>
      <w:pPr>
        <w:ind w:right="20" w:firstLine="619"/>
        <w:spacing w:after="0" w:line="269" w:lineRule="auto"/>
        <w:rPr>
          <w:sz w:val="20"/>
          <w:szCs w:val="20"/>
          <w:color w:val="auto"/>
        </w:rPr>
      </w:pPr>
      <w:r>
        <w:rPr>
          <w:rFonts w:ascii="Arial" w:cs="Arial" w:eastAsia="Arial" w:hAnsi="Arial"/>
          <w:sz w:val="15"/>
          <w:szCs w:val="15"/>
          <w:color w:val="auto"/>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updates the matter discussed in “Part I, Item 3. Legal Proceedings” in our Annual Report on Form 10-K for the year ended October 31, 2022:</w:t>
      </w:r>
    </w:p>
    <w:p>
      <w:pPr>
        <w:spacing w:after="0" w:line="214" w:lineRule="exact"/>
        <w:rPr>
          <w:sz w:val="20"/>
          <w:szCs w:val="20"/>
          <w:color w:val="auto"/>
        </w:rPr>
      </w:pPr>
    </w:p>
    <w:p>
      <w:pPr>
        <w:ind w:firstLine="619"/>
        <w:spacing w:after="0" w:line="259" w:lineRule="auto"/>
        <w:rPr>
          <w:sz w:val="20"/>
          <w:szCs w:val="20"/>
          <w:color w:val="auto"/>
        </w:rPr>
      </w:pPr>
      <w:r>
        <w:rPr>
          <w:rFonts w:ascii="Arial" w:cs="Arial" w:eastAsia="Arial" w:hAnsi="Arial"/>
          <w:sz w:val="15"/>
          <w:szCs w:val="15"/>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While the Company believes that it did not violate any wage or labor laws, it nevertheless decided to settle these class action lawsuits. In May 2021, the plaintiffs in both class action lawsuits and the Company agreed preliminarily to a comprehensive settlement to resolve both class action cases for a total of $0.8 million, which the Company recorded as a loss contingency in selling, general and administrative expenses in the consolidated statements of income during the three months ended April 30, 2021. The parties executed a stipulation of settlement agreement on such terms in November 2021. This preliminary settlement was approved by the applicable courts in October 2022. In the course of preparing to send out notices to the settlement class, issues arose regarding the nature and scope of the settlement, specifically with respect to the universe of participants in the settlement class, which the parties have been unable to resolve to-date. The parties intend to petition the court to enforce the terms of the settlement as each party has understood them to be. An informal conference before the judge is scheduled for March 2023.</w:t>
      </w:r>
    </w:p>
    <w:p>
      <w:pPr>
        <w:spacing w:after="0" w:line="203" w:lineRule="exact"/>
        <w:rPr>
          <w:sz w:val="20"/>
          <w:szCs w:val="20"/>
          <w:color w:val="auto"/>
        </w:rPr>
      </w:pPr>
    </w:p>
    <w:p>
      <w:pPr>
        <w:jc w:val="both"/>
        <w:ind w:right="100" w:firstLine="619"/>
        <w:spacing w:after="0" w:line="260" w:lineRule="auto"/>
        <w:rPr>
          <w:sz w:val="20"/>
          <w:szCs w:val="20"/>
          <w:color w:val="auto"/>
        </w:rPr>
      </w:pPr>
      <w:r>
        <w:rPr>
          <w:rFonts w:ascii="Arial" w:cs="Arial" w:eastAsia="Arial" w:hAnsi="Arial"/>
          <w:sz w:val="15"/>
          <w:szCs w:val="15"/>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30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b w:val="1"/>
          <w:bCs w:val="1"/>
          <w:color w:val="auto"/>
        </w:rPr>
        <w:t>Item 1A.</w:t>
      </w:r>
      <w:r>
        <w:rPr>
          <w:sz w:val="20"/>
          <w:szCs w:val="20"/>
          <w:color w:val="auto"/>
        </w:rPr>
        <w:tab/>
      </w:r>
      <w:r>
        <w:rPr>
          <w:rFonts w:ascii="Arial" w:cs="Arial" w:eastAsia="Arial" w:hAnsi="Arial"/>
          <w:sz w:val="20"/>
          <w:szCs w:val="20"/>
          <w:b w:val="1"/>
          <w:bCs w:val="1"/>
          <w:color w:val="auto"/>
        </w:rPr>
        <w:t>Risk Factors</w:t>
      </w:r>
    </w:p>
    <w:p>
      <w:pPr>
        <w:spacing w:after="0" w:line="231" w:lineRule="exact"/>
        <w:rPr>
          <w:sz w:val="20"/>
          <w:szCs w:val="20"/>
          <w:color w:val="auto"/>
        </w:rPr>
      </w:pPr>
    </w:p>
    <w:p>
      <w:pPr>
        <w:ind w:right="160" w:firstLine="619"/>
        <w:spacing w:after="0" w:line="260" w:lineRule="auto"/>
        <w:rPr>
          <w:sz w:val="20"/>
          <w:szCs w:val="20"/>
          <w:color w:val="auto"/>
        </w:rPr>
      </w:pPr>
      <w:r>
        <w:rPr>
          <w:rFonts w:ascii="Arial" w:cs="Arial" w:eastAsia="Arial" w:hAnsi="Arial"/>
          <w:sz w:val="15"/>
          <w:szCs w:val="15"/>
          <w:color w:val="auto"/>
        </w:rPr>
        <w:t>For a discussion of our risk factors, see “Part I, Item 1A. Risk Factors” in our Annual Report on Form 10-K for the year ended October 31, 2022, filed with the SEC on December 22, 2022. There have been no material changes from the risk factors previously disclosed in such Annual Report on Form 10-K, except as set forth below. The risks and uncertainties that we face are not limited to those set forth in the 2022 Form 10-K and in this quarterly report. You should carefully consider the risk factors in the 2022 Form 10-K,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53975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21"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auto"/>
        </w:rPr>
        <w:t>Item 2.</w:t>
      </w:r>
      <w:r>
        <w:rPr>
          <w:sz w:val="20"/>
          <w:szCs w:val="20"/>
          <w:color w:val="auto"/>
        </w:rPr>
        <w:tab/>
      </w:r>
      <w:r>
        <w:rPr>
          <w:rFonts w:ascii="Arial" w:cs="Arial" w:eastAsia="Arial" w:hAnsi="Arial"/>
          <w:sz w:val="20"/>
          <w:szCs w:val="20"/>
          <w:b w:val="1"/>
          <w:bCs w:val="1"/>
          <w:color w:val="auto"/>
        </w:rPr>
        <w:t>Unregistered Sales of Equity Securities and Use of Proceeds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335"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auto"/>
        </w:rPr>
        <w:t>Item 3.</w:t>
      </w:r>
      <w:r>
        <w:rPr>
          <w:sz w:val="20"/>
          <w:szCs w:val="20"/>
          <w:color w:val="auto"/>
        </w:rPr>
        <w:tab/>
      </w:r>
      <w:r>
        <w:rPr>
          <w:rFonts w:ascii="Arial" w:cs="Arial" w:eastAsia="Arial" w:hAnsi="Arial"/>
          <w:sz w:val="20"/>
          <w:szCs w:val="20"/>
          <w:b w:val="1"/>
          <w:bCs w:val="1"/>
          <w:color w:val="auto"/>
        </w:rPr>
        <w:t>Defaults Upon Senior Securities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322"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auto"/>
        </w:rPr>
        <w:t>Item 4.</w:t>
      </w:r>
      <w:r>
        <w:rPr>
          <w:sz w:val="20"/>
          <w:szCs w:val="20"/>
          <w:color w:val="auto"/>
        </w:rPr>
        <w:tab/>
      </w:r>
      <w:r>
        <w:rPr>
          <w:rFonts w:ascii="Arial" w:cs="Arial" w:eastAsia="Arial" w:hAnsi="Arial"/>
          <w:sz w:val="20"/>
          <w:szCs w:val="20"/>
          <w:b w:val="1"/>
          <w:bCs w:val="1"/>
          <w:color w:val="auto"/>
        </w:rPr>
        <w:t>Mine Safety Disclosures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335"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auto"/>
        </w:rPr>
        <w:t>Item 5.</w:t>
      </w:r>
      <w:r>
        <w:rPr>
          <w:sz w:val="20"/>
          <w:szCs w:val="20"/>
          <w:color w:val="auto"/>
        </w:rPr>
        <w:tab/>
      </w:r>
      <w:r>
        <w:rPr>
          <w:rFonts w:ascii="Arial" w:cs="Arial" w:eastAsia="Arial" w:hAnsi="Arial"/>
          <w:sz w:val="20"/>
          <w:szCs w:val="20"/>
          <w:b w:val="1"/>
          <w:bCs w:val="1"/>
          <w:color w:val="auto"/>
        </w:rPr>
        <w:t>Other Information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90"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b w:val="1"/>
          <w:bCs w:val="1"/>
          <w:color w:val="auto"/>
        </w:rPr>
        <w:t>Item 6.</w:t>
      </w:r>
      <w:r>
        <w:rPr>
          <w:sz w:val="20"/>
          <w:szCs w:val="20"/>
          <w:color w:val="auto"/>
        </w:rPr>
        <w:tab/>
      </w:r>
      <w:r>
        <w:rPr>
          <w:rFonts w:ascii="Arial" w:cs="Arial" w:eastAsia="Arial" w:hAnsi="Arial"/>
          <w:sz w:val="20"/>
          <w:szCs w:val="20"/>
          <w:b w:val="1"/>
          <w:bCs w:val="1"/>
          <w:color w:val="auto"/>
        </w:rPr>
        <w:t>Exhibits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documents set forth are filed herewith or incorporated herein by reference.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INDEX</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5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Exhibit No.</w:t>
            </w: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vMerge w:val="restart"/>
          </w:tcPr>
          <w:p>
            <w:pPr>
              <w:jc w:val="center"/>
              <w:ind w:left="51"/>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62"/>
        </w:trPr>
        <w:tc>
          <w:tcPr>
            <w:tcW w:w="1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40" w:type="dxa"/>
            <w:vAlign w:val="bottom"/>
            <w:gridSpan w:val="7"/>
          </w:tcPr>
          <w:p>
            <w:pPr>
              <w:ind w:left="360"/>
              <w:spacing w:after="0"/>
              <w:rPr>
                <w:sz w:val="20"/>
                <w:szCs w:val="20"/>
                <w:color w:val="auto"/>
              </w:rPr>
            </w:pPr>
            <w:r>
              <w:rPr>
                <w:rFonts w:ascii="Arial" w:cs="Arial" w:eastAsia="Arial" w:hAnsi="Arial"/>
                <w:sz w:val="14"/>
                <w:szCs w:val="14"/>
                <w:b w:val="1"/>
                <w:bCs w:val="1"/>
                <w:color w:val="auto"/>
              </w:rPr>
              <w:t>Exhibit Description</w:t>
            </w:r>
          </w:p>
        </w:tc>
        <w:tc>
          <w:tcPr>
            <w:tcW w:w="620" w:type="dxa"/>
            <w:vAlign w:val="bottom"/>
          </w:tcPr>
          <w:p>
            <w:pPr>
              <w:jc w:val="center"/>
              <w:ind w:left="11"/>
              <w:spacing w:after="0"/>
              <w:rPr>
                <w:sz w:val="20"/>
                <w:szCs w:val="20"/>
                <w:color w:val="auto"/>
              </w:rPr>
            </w:pPr>
            <w:r>
              <w:rPr>
                <w:rFonts w:ascii="Arial" w:cs="Arial" w:eastAsia="Arial" w:hAnsi="Arial"/>
                <w:sz w:val="14"/>
                <w:szCs w:val="14"/>
                <w:b w:val="1"/>
                <w:bCs w:val="1"/>
                <w:color w:val="auto"/>
                <w:w w:val="97"/>
              </w:rPr>
              <w:t>Form</w:t>
            </w:r>
          </w:p>
        </w:tc>
        <w:tc>
          <w:tcPr>
            <w:tcW w:w="1480" w:type="dxa"/>
            <w:vAlign w:val="bottom"/>
          </w:tcPr>
          <w:p>
            <w:pPr>
              <w:jc w:val="center"/>
              <w:ind w:left="111"/>
              <w:spacing w:after="0"/>
              <w:rPr>
                <w:sz w:val="20"/>
                <w:szCs w:val="20"/>
                <w:color w:val="auto"/>
              </w:rPr>
            </w:pPr>
            <w:r>
              <w:rPr>
                <w:rFonts w:ascii="Arial" w:cs="Arial" w:eastAsia="Arial" w:hAnsi="Arial"/>
                <w:sz w:val="14"/>
                <w:szCs w:val="14"/>
                <w:b w:val="1"/>
                <w:bCs w:val="1"/>
                <w:color w:val="auto"/>
                <w:w w:val="98"/>
              </w:rPr>
              <w:t>Date</w:t>
            </w:r>
          </w:p>
        </w:tc>
        <w:tc>
          <w:tcPr>
            <w:tcW w:w="1060" w:type="dxa"/>
            <w:vAlign w:val="bottom"/>
          </w:tcPr>
          <w:p>
            <w:pPr>
              <w:jc w:val="center"/>
              <w:ind w:left="31"/>
              <w:spacing w:after="0"/>
              <w:rPr>
                <w:sz w:val="20"/>
                <w:szCs w:val="20"/>
                <w:color w:val="auto"/>
              </w:rPr>
            </w:pPr>
            <w:r>
              <w:rPr>
                <w:rFonts w:ascii="Arial" w:cs="Arial" w:eastAsia="Arial" w:hAnsi="Arial"/>
                <w:sz w:val="14"/>
                <w:szCs w:val="14"/>
                <w:b w:val="1"/>
                <w:bCs w:val="1"/>
                <w:color w:val="auto"/>
                <w:w w:val="98"/>
              </w:rPr>
              <w:t>Number</w:t>
            </w:r>
          </w:p>
        </w:tc>
        <w:tc>
          <w:tcPr>
            <w:tcW w:w="1120" w:type="dxa"/>
            <w:vAlign w:val="bottom"/>
          </w:tcPr>
          <w:p>
            <w:pPr>
              <w:jc w:val="center"/>
              <w:ind w:left="71"/>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4"/>
        </w:trPr>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1000" w:type="dxa"/>
            <w:vAlign w:val="bottom"/>
            <w:tcBorders>
              <w:bottom w:val="single" w:sz="8" w:color="DBDBDB"/>
            </w:tcBorders>
            <w:shd w:val="clear" w:color="auto" w:fill="DBDBDB"/>
          </w:tcPr>
          <w:p>
            <w:pPr>
              <w:jc w:val="center"/>
              <w:ind w:right="31"/>
              <w:spacing w:after="0"/>
              <w:rPr>
                <w:sz w:val="20"/>
                <w:szCs w:val="20"/>
                <w:color w:val="auto"/>
              </w:rPr>
            </w:pPr>
            <w:r>
              <w:rPr>
                <w:rFonts w:ascii="Arial" w:cs="Arial" w:eastAsia="Arial" w:hAnsi="Arial"/>
                <w:sz w:val="14"/>
                <w:szCs w:val="14"/>
                <w:color w:val="auto"/>
                <w:w w:val="95"/>
              </w:rPr>
              <w:t>3.1#</w:t>
            </w:r>
          </w:p>
        </w:tc>
        <w:tc>
          <w:tcPr>
            <w:tcW w:w="3100" w:type="dxa"/>
            <w:vAlign w:val="bottom"/>
            <w:tcBorders>
              <w:bottom w:val="single" w:sz="8" w:color="auto"/>
            </w:tcBorders>
            <w:gridSpan w:val="4"/>
            <w:shd w:val="clear" w:color="auto" w:fill="DBDBDB"/>
          </w:tcPr>
          <w:p>
            <w:pPr>
              <w:spacing w:after="0"/>
              <w:rPr>
                <w:rFonts w:ascii="Arial" w:cs="Arial" w:eastAsia="Arial" w:hAnsi="Arial"/>
                <w:sz w:val="14"/>
                <w:szCs w:val="14"/>
                <w:color w:val="auto"/>
                <w:w w:val="97"/>
              </w:rPr>
            </w:pPr>
            <w:hyperlink r:id="rId49">
              <w:r>
                <w:rPr>
                  <w:rFonts w:ascii="Arial" w:cs="Arial" w:eastAsia="Arial" w:hAnsi="Arial"/>
                  <w:sz w:val="14"/>
                  <w:szCs w:val="14"/>
                  <w:color w:val="auto"/>
                  <w:w w:val="97"/>
                </w:rPr>
                <w:t>Amended and Restated Certificate of Incorporation</w:t>
              </w:r>
            </w:hyperlink>
          </w:p>
        </w:tc>
        <w:tc>
          <w:tcPr>
            <w:tcW w:w="2860" w:type="dxa"/>
            <w:vAlign w:val="bottom"/>
            <w:tcBorders>
              <w:bottom w:val="single" w:sz="8" w:color="DBDBDB"/>
            </w:tcBorders>
            <w:gridSpan w:val="6"/>
            <w:shd w:val="clear" w:color="auto" w:fill="DBDBDB"/>
          </w:tcPr>
          <w:p>
            <w:pPr>
              <w:spacing w:after="0"/>
              <w:rPr>
                <w:sz w:val="16"/>
                <w:szCs w:val="16"/>
                <w:color w:val="auto"/>
              </w:rPr>
            </w:pPr>
          </w:p>
        </w:tc>
        <w:tc>
          <w:tcPr>
            <w:tcW w:w="620" w:type="dxa"/>
            <w:vAlign w:val="bottom"/>
            <w:tcBorders>
              <w:bottom w:val="single" w:sz="8" w:color="DBDBDB"/>
            </w:tcBorders>
            <w:shd w:val="clear" w:color="auto" w:fill="DBDBDB"/>
          </w:tcPr>
          <w:p>
            <w:pPr>
              <w:jc w:val="center"/>
              <w:ind w:left="11"/>
              <w:spacing w:after="0"/>
              <w:rPr>
                <w:sz w:val="20"/>
                <w:szCs w:val="20"/>
                <w:color w:val="auto"/>
              </w:rPr>
            </w:pPr>
            <w:r>
              <w:rPr>
                <w:rFonts w:ascii="Arial" w:cs="Arial" w:eastAsia="Arial" w:hAnsi="Arial"/>
                <w:sz w:val="14"/>
                <w:szCs w:val="14"/>
                <w:color w:val="auto"/>
              </w:rPr>
              <w:t>8-K</w:t>
            </w:r>
          </w:p>
        </w:tc>
        <w:tc>
          <w:tcPr>
            <w:tcW w:w="1480" w:type="dxa"/>
            <w:vAlign w:val="bottom"/>
            <w:tcBorders>
              <w:bottom w:val="single" w:sz="8" w:color="DBDBDB"/>
            </w:tcBorders>
            <w:shd w:val="clear" w:color="auto" w:fill="DBDBDB"/>
          </w:tcPr>
          <w:p>
            <w:pPr>
              <w:jc w:val="center"/>
              <w:ind w:left="111"/>
              <w:spacing w:after="0"/>
              <w:rPr>
                <w:sz w:val="20"/>
                <w:szCs w:val="20"/>
                <w:color w:val="auto"/>
              </w:rPr>
            </w:pPr>
            <w:r>
              <w:rPr>
                <w:rFonts w:ascii="Arial" w:cs="Arial" w:eastAsia="Arial" w:hAnsi="Arial"/>
                <w:sz w:val="14"/>
                <w:szCs w:val="14"/>
                <w:color w:val="auto"/>
                <w:w w:val="99"/>
              </w:rPr>
              <w:t>10/7/2020</w:t>
            </w:r>
          </w:p>
        </w:tc>
        <w:tc>
          <w:tcPr>
            <w:tcW w:w="1060" w:type="dxa"/>
            <w:vAlign w:val="bottom"/>
            <w:tcBorders>
              <w:bottom w:val="single" w:sz="8" w:color="DBDBDB"/>
            </w:tcBorders>
            <w:shd w:val="clear" w:color="auto" w:fill="DBDBDB"/>
          </w:tcPr>
          <w:p>
            <w:pPr>
              <w:jc w:val="center"/>
              <w:ind w:left="51"/>
              <w:spacing w:after="0"/>
              <w:rPr>
                <w:sz w:val="20"/>
                <w:szCs w:val="20"/>
                <w:color w:val="auto"/>
              </w:rPr>
            </w:pPr>
            <w:r>
              <w:rPr>
                <w:rFonts w:ascii="Arial" w:cs="Arial" w:eastAsia="Arial" w:hAnsi="Arial"/>
                <w:sz w:val="14"/>
                <w:szCs w:val="14"/>
                <w:color w:val="auto"/>
                <w:w w:val="92"/>
              </w:rPr>
              <w:t>3.1</w:t>
            </w:r>
          </w:p>
        </w:tc>
        <w:tc>
          <w:tcPr>
            <w:tcW w:w="11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000" w:type="dxa"/>
            <w:vAlign w:val="bottom"/>
          </w:tcPr>
          <w:p>
            <w:pPr>
              <w:jc w:val="center"/>
              <w:ind w:right="31"/>
              <w:spacing w:after="0"/>
              <w:rPr>
                <w:sz w:val="20"/>
                <w:szCs w:val="20"/>
                <w:color w:val="auto"/>
              </w:rPr>
            </w:pPr>
            <w:r>
              <w:rPr>
                <w:rFonts w:ascii="Arial" w:cs="Arial" w:eastAsia="Arial" w:hAnsi="Arial"/>
                <w:sz w:val="14"/>
                <w:szCs w:val="14"/>
                <w:color w:val="auto"/>
                <w:w w:val="95"/>
              </w:rPr>
              <w:t>3.2#</w:t>
            </w:r>
          </w:p>
        </w:tc>
        <w:tc>
          <w:tcPr>
            <w:tcW w:w="5960" w:type="dxa"/>
            <w:vAlign w:val="bottom"/>
            <w:gridSpan w:val="10"/>
          </w:tcPr>
          <w:p>
            <w:pPr>
              <w:spacing w:after="0"/>
              <w:rPr>
                <w:rFonts w:ascii="Arial" w:cs="Arial" w:eastAsia="Arial" w:hAnsi="Arial"/>
                <w:sz w:val="14"/>
                <w:szCs w:val="14"/>
                <w:color w:val="auto"/>
              </w:rPr>
            </w:pPr>
            <w:hyperlink r:id="rId50">
              <w:r>
                <w:rPr>
                  <w:rFonts w:ascii="Arial" w:cs="Arial" w:eastAsia="Arial" w:hAnsi="Arial"/>
                  <w:sz w:val="14"/>
                  <w:szCs w:val="14"/>
                  <w:color w:val="auto"/>
                </w:rPr>
                <w:t>Amended and Restated Bylaws</w:t>
              </w:r>
            </w:hyperlink>
          </w:p>
        </w:tc>
        <w:tc>
          <w:tcPr>
            <w:tcW w:w="620" w:type="dxa"/>
            <w:vAlign w:val="bottom"/>
          </w:tcPr>
          <w:p>
            <w:pPr>
              <w:jc w:val="center"/>
              <w:ind w:left="11"/>
              <w:spacing w:after="0"/>
              <w:rPr>
                <w:sz w:val="20"/>
                <w:szCs w:val="20"/>
                <w:color w:val="auto"/>
              </w:rPr>
            </w:pPr>
            <w:r>
              <w:rPr>
                <w:rFonts w:ascii="Arial" w:cs="Arial" w:eastAsia="Arial" w:hAnsi="Arial"/>
                <w:sz w:val="14"/>
                <w:szCs w:val="14"/>
                <w:color w:val="auto"/>
              </w:rPr>
              <w:t>8-K</w:t>
            </w:r>
          </w:p>
        </w:tc>
        <w:tc>
          <w:tcPr>
            <w:tcW w:w="1480" w:type="dxa"/>
            <w:vAlign w:val="bottom"/>
          </w:tcPr>
          <w:p>
            <w:pPr>
              <w:jc w:val="center"/>
              <w:ind w:left="111"/>
              <w:spacing w:after="0"/>
              <w:rPr>
                <w:sz w:val="20"/>
                <w:szCs w:val="20"/>
                <w:color w:val="auto"/>
              </w:rPr>
            </w:pPr>
            <w:r>
              <w:rPr>
                <w:rFonts w:ascii="Arial" w:cs="Arial" w:eastAsia="Arial" w:hAnsi="Arial"/>
                <w:sz w:val="14"/>
                <w:szCs w:val="14"/>
                <w:color w:val="auto"/>
                <w:w w:val="99"/>
              </w:rPr>
              <w:t>10/7/2020</w:t>
            </w:r>
          </w:p>
        </w:tc>
        <w:tc>
          <w:tcPr>
            <w:tcW w:w="1060" w:type="dxa"/>
            <w:vAlign w:val="bottom"/>
          </w:tcPr>
          <w:p>
            <w:pPr>
              <w:jc w:val="center"/>
              <w:ind w:left="51"/>
              <w:spacing w:after="0"/>
              <w:rPr>
                <w:sz w:val="20"/>
                <w:szCs w:val="20"/>
                <w:color w:val="auto"/>
              </w:rPr>
            </w:pPr>
            <w:r>
              <w:rPr>
                <w:rFonts w:ascii="Arial" w:cs="Arial" w:eastAsia="Arial" w:hAnsi="Arial"/>
                <w:sz w:val="14"/>
                <w:szCs w:val="14"/>
                <w:color w:val="auto"/>
                <w:w w:val="92"/>
              </w:rPr>
              <w:t>3.2</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1000" w:type="dxa"/>
            <w:vAlign w:val="bottom"/>
            <w:shd w:val="clear" w:color="auto" w:fill="DBDBDB"/>
          </w:tcPr>
          <w:p>
            <w:pPr>
              <w:jc w:val="center"/>
              <w:ind w:right="51"/>
              <w:spacing w:after="0"/>
              <w:rPr>
                <w:sz w:val="20"/>
                <w:szCs w:val="20"/>
                <w:color w:val="auto"/>
              </w:rPr>
            </w:pPr>
            <w:r>
              <w:rPr>
                <w:rFonts w:ascii="Arial" w:cs="Arial" w:eastAsia="Arial" w:hAnsi="Arial"/>
                <w:sz w:val="14"/>
                <w:szCs w:val="14"/>
                <w:color w:val="auto"/>
                <w:w w:val="97"/>
              </w:rPr>
              <w:t>31.1*</w:t>
            </w:r>
          </w:p>
        </w:tc>
        <w:tc>
          <w:tcPr>
            <w:tcW w:w="5960" w:type="dxa"/>
            <w:vAlign w:val="bottom"/>
            <w:gridSpan w:val="10"/>
            <w:shd w:val="clear" w:color="auto" w:fill="DBDBDB"/>
          </w:tcPr>
          <w:p>
            <w:pPr>
              <w:spacing w:after="0"/>
              <w:rPr>
                <w:sz w:val="20"/>
                <w:szCs w:val="20"/>
                <w:color w:val="auto"/>
              </w:rPr>
            </w:pPr>
            <w:r>
              <w:rPr>
                <w:rFonts w:ascii="Arial" w:cs="Arial" w:eastAsia="Arial" w:hAnsi="Arial"/>
                <w:sz w:val="14"/>
                <w:szCs w:val="14"/>
                <w:color w:val="auto"/>
              </w:rPr>
              <w:t>Certification of Principal Executive Officer Pursuant to Rules 13a-14(a) and 15d-14(a) under the</w:t>
            </w:r>
          </w:p>
        </w:tc>
        <w:tc>
          <w:tcPr>
            <w:tcW w:w="620" w:type="dxa"/>
            <w:vAlign w:val="bottom"/>
            <w:shd w:val="clear" w:color="auto" w:fill="DBDBDB"/>
          </w:tcPr>
          <w:p>
            <w:pPr>
              <w:spacing w:after="0"/>
              <w:rPr>
                <w:sz w:val="14"/>
                <w:szCs w:val="14"/>
                <w:color w:val="auto"/>
              </w:rPr>
            </w:pPr>
          </w:p>
        </w:tc>
        <w:tc>
          <w:tcPr>
            <w:tcW w:w="148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1120" w:type="dxa"/>
            <w:vAlign w:val="bottom"/>
            <w:shd w:val="clear" w:color="auto" w:fill="DBDBDB"/>
          </w:tcPr>
          <w:p>
            <w:pPr>
              <w:jc w:val="center"/>
              <w:ind w:left="71"/>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8"/>
        </w:trPr>
        <w:tc>
          <w:tcPr>
            <w:tcW w:w="1000" w:type="dxa"/>
            <w:vAlign w:val="bottom"/>
            <w:tcBorders>
              <w:top w:val="single" w:sz="8" w:color="DBDBDB"/>
            </w:tcBorders>
            <w:shd w:val="clear" w:color="auto" w:fill="DBDBDB"/>
          </w:tcPr>
          <w:p>
            <w:pPr>
              <w:spacing w:after="0"/>
              <w:rPr>
                <w:sz w:val="12"/>
                <w:szCs w:val="12"/>
                <w:color w:val="auto"/>
              </w:rPr>
            </w:pPr>
          </w:p>
        </w:tc>
        <w:tc>
          <w:tcPr>
            <w:tcW w:w="5800" w:type="dxa"/>
            <w:vAlign w:val="bottom"/>
            <w:tcBorders>
              <w:top w:val="single" w:sz="8" w:color="auto"/>
            </w:tcBorders>
            <w:gridSpan w:val="9"/>
            <w:shd w:val="clear" w:color="auto" w:fill="DBDBDB"/>
          </w:tcPr>
          <w:p>
            <w:pPr>
              <w:spacing w:after="0" w:line="148" w:lineRule="exact"/>
              <w:rPr>
                <w:sz w:val="20"/>
                <w:szCs w:val="20"/>
                <w:color w:val="auto"/>
              </w:rPr>
            </w:pPr>
            <w:r>
              <w:rPr>
                <w:rFonts w:ascii="Arial" w:cs="Arial" w:eastAsia="Arial" w:hAnsi="Arial"/>
                <w:sz w:val="14"/>
                <w:szCs w:val="14"/>
                <w:color w:val="auto"/>
              </w:rPr>
              <w:t>Securities Exchange Act of 1934, as Adopted Pursuant to Section 302 of the Sarbanes-Oxley</w:t>
            </w:r>
          </w:p>
        </w:tc>
        <w:tc>
          <w:tcPr>
            <w:tcW w:w="160" w:type="dxa"/>
            <w:vAlign w:val="bottom"/>
            <w:tcBorders>
              <w:top w:val="single" w:sz="8" w:color="DBDBDB"/>
            </w:tcBorders>
            <w:shd w:val="clear" w:color="auto" w:fill="DBDBDB"/>
          </w:tcPr>
          <w:p>
            <w:pPr>
              <w:spacing w:after="0"/>
              <w:rPr>
                <w:sz w:val="12"/>
                <w:szCs w:val="12"/>
                <w:color w:val="auto"/>
              </w:rPr>
            </w:pPr>
          </w:p>
        </w:tc>
        <w:tc>
          <w:tcPr>
            <w:tcW w:w="620" w:type="dxa"/>
            <w:vAlign w:val="bottom"/>
            <w:tcBorders>
              <w:top w:val="single" w:sz="8" w:color="DBDBDB"/>
            </w:tcBorders>
            <w:shd w:val="clear" w:color="auto" w:fill="DBDBDB"/>
          </w:tcPr>
          <w:p>
            <w:pPr>
              <w:spacing w:after="0"/>
              <w:rPr>
                <w:sz w:val="12"/>
                <w:szCs w:val="12"/>
                <w:color w:val="auto"/>
              </w:rPr>
            </w:pPr>
          </w:p>
        </w:tc>
        <w:tc>
          <w:tcPr>
            <w:tcW w:w="1480" w:type="dxa"/>
            <w:vAlign w:val="bottom"/>
            <w:tcBorders>
              <w:top w:val="single" w:sz="8" w:color="DBDBDB"/>
            </w:tcBorders>
            <w:shd w:val="clear" w:color="auto" w:fill="DBDBDB"/>
          </w:tcPr>
          <w:p>
            <w:pPr>
              <w:spacing w:after="0"/>
              <w:rPr>
                <w:sz w:val="12"/>
                <w:szCs w:val="12"/>
                <w:color w:val="auto"/>
              </w:rPr>
            </w:pPr>
          </w:p>
        </w:tc>
        <w:tc>
          <w:tcPr>
            <w:tcW w:w="1060" w:type="dxa"/>
            <w:vAlign w:val="bottom"/>
            <w:tcBorders>
              <w:top w:val="single" w:sz="8" w:color="DBDBDB"/>
            </w:tcBorders>
            <w:shd w:val="clear" w:color="auto" w:fill="DBDBDB"/>
          </w:tcPr>
          <w:p>
            <w:pPr>
              <w:spacing w:after="0"/>
              <w:rPr>
                <w:sz w:val="12"/>
                <w:szCs w:val="12"/>
                <w:color w:val="auto"/>
              </w:rPr>
            </w:pPr>
          </w:p>
        </w:tc>
        <w:tc>
          <w:tcPr>
            <w:tcW w:w="1120" w:type="dxa"/>
            <w:vAlign w:val="bottom"/>
            <w:tcBorders>
              <w:top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000" w:type="dxa"/>
            <w:vAlign w:val="bottom"/>
            <w:tcBorders>
              <w:top w:val="single" w:sz="8" w:color="DBDBDB"/>
              <w:bottom w:val="single" w:sz="8" w:color="DBDBDB"/>
            </w:tcBorders>
            <w:shd w:val="clear" w:color="auto" w:fill="DBDBDB"/>
          </w:tcPr>
          <w:p>
            <w:pPr>
              <w:spacing w:after="0"/>
              <w:rPr>
                <w:sz w:val="14"/>
                <w:szCs w:val="14"/>
                <w:color w:val="auto"/>
              </w:rPr>
            </w:pPr>
          </w:p>
        </w:tc>
        <w:tc>
          <w:tcPr>
            <w:tcW w:w="700" w:type="dxa"/>
            <w:vAlign w:val="bottom"/>
            <w:tcBorders>
              <w:top w:val="single" w:sz="8" w:color="auto"/>
              <w:bottom w:val="single" w:sz="8" w:color="auto"/>
            </w:tcBorders>
            <w:gridSpan w:val="2"/>
            <w:shd w:val="clear" w:color="auto" w:fill="DBDBDB"/>
          </w:tcPr>
          <w:p>
            <w:pPr>
              <w:spacing w:after="0" w:line="148" w:lineRule="exact"/>
              <w:rPr>
                <w:sz w:val="20"/>
                <w:szCs w:val="20"/>
                <w:color w:val="auto"/>
              </w:rPr>
            </w:pPr>
            <w:r>
              <w:rPr>
                <w:rFonts w:ascii="Arial" w:cs="Arial" w:eastAsia="Arial" w:hAnsi="Arial"/>
                <w:sz w:val="14"/>
                <w:szCs w:val="14"/>
                <w:color w:val="auto"/>
                <w:w w:val="95"/>
              </w:rPr>
              <w:t>Act of 2002</w:t>
            </w:r>
          </w:p>
        </w:tc>
        <w:tc>
          <w:tcPr>
            <w:tcW w:w="4960" w:type="dxa"/>
            <w:vAlign w:val="bottom"/>
            <w:tcBorders>
              <w:top w:val="single" w:sz="8" w:color="auto"/>
              <w:bottom w:val="single" w:sz="8" w:color="DBDBDB"/>
            </w:tcBorders>
            <w:gridSpan w:val="5"/>
            <w:shd w:val="clear" w:color="auto" w:fill="DBDBDB"/>
          </w:tcPr>
          <w:p>
            <w:pPr>
              <w:spacing w:after="0"/>
              <w:rPr>
                <w:sz w:val="14"/>
                <w:szCs w:val="14"/>
                <w:color w:val="auto"/>
              </w:rPr>
            </w:pPr>
          </w:p>
        </w:tc>
        <w:tc>
          <w:tcPr>
            <w:tcW w:w="300" w:type="dxa"/>
            <w:vAlign w:val="bottom"/>
            <w:tcBorders>
              <w:top w:val="single" w:sz="8" w:color="DBDBDB"/>
              <w:bottom w:val="single" w:sz="8" w:color="DBDBDB"/>
            </w:tcBorders>
            <w:gridSpan w:val="3"/>
            <w:shd w:val="clear" w:color="auto" w:fill="DBDBDB"/>
          </w:tcPr>
          <w:p>
            <w:pPr>
              <w:spacing w:after="0"/>
              <w:rPr>
                <w:sz w:val="14"/>
                <w:szCs w:val="14"/>
                <w:color w:val="auto"/>
              </w:rPr>
            </w:pPr>
          </w:p>
        </w:tc>
        <w:tc>
          <w:tcPr>
            <w:tcW w:w="620" w:type="dxa"/>
            <w:vAlign w:val="bottom"/>
            <w:tcBorders>
              <w:top w:val="single" w:sz="8" w:color="DBDBDB"/>
              <w:bottom w:val="single" w:sz="8" w:color="DBDBDB"/>
            </w:tcBorders>
            <w:shd w:val="clear" w:color="auto" w:fill="DBDBDB"/>
          </w:tcPr>
          <w:p>
            <w:pPr>
              <w:spacing w:after="0"/>
              <w:rPr>
                <w:sz w:val="14"/>
                <w:szCs w:val="14"/>
                <w:color w:val="auto"/>
              </w:rPr>
            </w:pPr>
          </w:p>
        </w:tc>
        <w:tc>
          <w:tcPr>
            <w:tcW w:w="1480" w:type="dxa"/>
            <w:vAlign w:val="bottom"/>
            <w:tcBorders>
              <w:top w:val="single" w:sz="8" w:color="DBDBDB"/>
              <w:bottom w:val="single" w:sz="8" w:color="DBDBDB"/>
            </w:tcBorders>
            <w:shd w:val="clear" w:color="auto" w:fill="DBDBDB"/>
          </w:tcPr>
          <w:p>
            <w:pPr>
              <w:spacing w:after="0"/>
              <w:rPr>
                <w:sz w:val="14"/>
                <w:szCs w:val="14"/>
                <w:color w:val="auto"/>
              </w:rPr>
            </w:pPr>
          </w:p>
        </w:tc>
        <w:tc>
          <w:tcPr>
            <w:tcW w:w="1060" w:type="dxa"/>
            <w:vAlign w:val="bottom"/>
            <w:tcBorders>
              <w:top w:val="single" w:sz="8" w:color="DBDBDB"/>
              <w:bottom w:val="single" w:sz="8" w:color="DBDBDB"/>
            </w:tcBorders>
            <w:shd w:val="clear" w:color="auto" w:fill="DBDBDB"/>
          </w:tcPr>
          <w:p>
            <w:pPr>
              <w:spacing w:after="0"/>
              <w:rPr>
                <w:sz w:val="14"/>
                <w:szCs w:val="14"/>
                <w:color w:val="auto"/>
              </w:rPr>
            </w:pPr>
          </w:p>
        </w:tc>
        <w:tc>
          <w:tcPr>
            <w:tcW w:w="1120" w:type="dxa"/>
            <w:vAlign w:val="bottom"/>
            <w:tcBorders>
              <w:top w:val="single" w:sz="8" w:color="DBDBDB"/>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00" w:type="dxa"/>
            <w:vAlign w:val="bottom"/>
          </w:tcPr>
          <w:p>
            <w:pPr>
              <w:jc w:val="center"/>
              <w:ind w:right="51"/>
              <w:spacing w:after="0"/>
              <w:rPr>
                <w:sz w:val="20"/>
                <w:szCs w:val="20"/>
                <w:color w:val="auto"/>
              </w:rPr>
            </w:pPr>
            <w:r>
              <w:rPr>
                <w:rFonts w:ascii="Arial" w:cs="Arial" w:eastAsia="Arial" w:hAnsi="Arial"/>
                <w:sz w:val="14"/>
                <w:szCs w:val="14"/>
                <w:color w:val="auto"/>
                <w:w w:val="97"/>
              </w:rPr>
              <w:t>31.2*</w:t>
            </w:r>
          </w:p>
        </w:tc>
        <w:tc>
          <w:tcPr>
            <w:tcW w:w="576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w w:val="97"/>
              </w:rPr>
              <w:t>Certification of Principal Financial Officer Pursuant to Rules 13a-14(a) and 15d-14(a) under the</w:t>
            </w:r>
          </w:p>
        </w:tc>
        <w:tc>
          <w:tcPr>
            <w:tcW w:w="200" w:type="dxa"/>
            <w:vAlign w:val="bottom"/>
            <w:gridSpan w:val="2"/>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jc w:val="center"/>
              <w:ind w:left="71"/>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5960" w:type="dxa"/>
            <w:vAlign w:val="bottom"/>
            <w:gridSpan w:val="10"/>
          </w:tcPr>
          <w:p>
            <w:pPr>
              <w:spacing w:after="0" w:line="148" w:lineRule="exact"/>
              <w:rPr>
                <w:sz w:val="20"/>
                <w:szCs w:val="20"/>
                <w:color w:val="auto"/>
              </w:rPr>
            </w:pPr>
            <w:r>
              <w:rPr>
                <w:rFonts w:ascii="Arial" w:cs="Arial" w:eastAsia="Arial" w:hAnsi="Arial"/>
                <w:sz w:val="14"/>
                <w:szCs w:val="14"/>
                <w:color w:val="auto"/>
              </w:rPr>
              <w:t>Securities Exchange Act of 1934, as Adopted Pursuant to Section 302 of the Sarbanes-Oxley</w:t>
            </w:r>
          </w:p>
        </w:tc>
        <w:tc>
          <w:tcPr>
            <w:tcW w:w="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700" w:type="dxa"/>
            <w:vAlign w:val="bottom"/>
            <w:tcBorders>
              <w:top w:val="single" w:sz="8" w:color="auto"/>
              <w:bottom w:val="single" w:sz="8" w:color="auto"/>
            </w:tcBorders>
            <w:gridSpan w:val="2"/>
          </w:tcPr>
          <w:p>
            <w:pPr>
              <w:spacing w:after="0" w:line="148" w:lineRule="exact"/>
              <w:rPr>
                <w:sz w:val="20"/>
                <w:szCs w:val="20"/>
                <w:color w:val="auto"/>
              </w:rPr>
            </w:pPr>
            <w:r>
              <w:rPr>
                <w:rFonts w:ascii="Arial" w:cs="Arial" w:eastAsia="Arial" w:hAnsi="Arial"/>
                <w:sz w:val="14"/>
                <w:szCs w:val="14"/>
                <w:color w:val="auto"/>
                <w:w w:val="95"/>
              </w:rPr>
              <w:t>Act of 2002</w:t>
            </w:r>
          </w:p>
        </w:tc>
        <w:tc>
          <w:tcPr>
            <w:tcW w:w="4960" w:type="dxa"/>
            <w:vAlign w:val="bottom"/>
            <w:tcBorders>
              <w:top w:val="single" w:sz="8" w:color="auto"/>
            </w:tcBorders>
            <w:gridSpan w:val="5"/>
          </w:tcPr>
          <w:p>
            <w:pPr>
              <w:spacing w:after="0"/>
              <w:rPr>
                <w:sz w:val="13"/>
                <w:szCs w:val="13"/>
                <w:color w:val="auto"/>
              </w:rPr>
            </w:pPr>
          </w:p>
        </w:tc>
        <w:tc>
          <w:tcPr>
            <w:tcW w:w="300" w:type="dxa"/>
            <w:vAlign w:val="bottom"/>
            <w:gridSpan w:val="3"/>
          </w:tcPr>
          <w:p>
            <w:pPr>
              <w:spacing w:after="0"/>
              <w:rPr>
                <w:sz w:val="13"/>
                <w:szCs w:val="13"/>
                <w:color w:val="auto"/>
              </w:rPr>
            </w:pPr>
          </w:p>
        </w:tc>
        <w:tc>
          <w:tcPr>
            <w:tcW w:w="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000" w:type="dxa"/>
            <w:vAlign w:val="bottom"/>
            <w:shd w:val="clear" w:color="auto" w:fill="DBDBDB"/>
          </w:tcPr>
          <w:p>
            <w:pPr>
              <w:jc w:val="center"/>
              <w:ind w:right="51"/>
              <w:spacing w:after="0"/>
              <w:rPr>
                <w:sz w:val="20"/>
                <w:szCs w:val="20"/>
                <w:color w:val="auto"/>
              </w:rPr>
            </w:pPr>
            <w:r>
              <w:rPr>
                <w:rFonts w:ascii="Arial" w:cs="Arial" w:eastAsia="Arial" w:hAnsi="Arial"/>
                <w:sz w:val="14"/>
                <w:szCs w:val="14"/>
                <w:color w:val="auto"/>
                <w:w w:val="97"/>
              </w:rPr>
              <w:t>32.1*</w:t>
            </w:r>
          </w:p>
        </w:tc>
        <w:tc>
          <w:tcPr>
            <w:tcW w:w="5960" w:type="dxa"/>
            <w:vAlign w:val="bottom"/>
            <w:gridSpan w:val="10"/>
            <w:shd w:val="clear" w:color="auto" w:fill="DBDBDB"/>
          </w:tcPr>
          <w:p>
            <w:pPr>
              <w:spacing w:after="0"/>
              <w:rPr>
                <w:sz w:val="20"/>
                <w:szCs w:val="20"/>
                <w:color w:val="auto"/>
              </w:rPr>
            </w:pPr>
            <w:r>
              <w:rPr>
                <w:rFonts w:ascii="Arial" w:cs="Arial" w:eastAsia="Arial" w:hAnsi="Arial"/>
                <w:sz w:val="14"/>
                <w:szCs w:val="14"/>
                <w:color w:val="auto"/>
              </w:rPr>
              <w:t>Certification of Chief Executive Officer pursuant to Section 906 of the Sarbanes-Oxley Act of</w:t>
            </w:r>
          </w:p>
        </w:tc>
        <w:tc>
          <w:tcPr>
            <w:tcW w:w="62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120" w:type="dxa"/>
            <w:vAlign w:val="bottom"/>
            <w:shd w:val="clear" w:color="auto" w:fill="DBDBDB"/>
          </w:tcPr>
          <w:p>
            <w:pPr>
              <w:jc w:val="center"/>
              <w:ind w:left="71"/>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4"/>
        </w:trPr>
        <w:tc>
          <w:tcPr>
            <w:tcW w:w="1000" w:type="dxa"/>
            <w:vAlign w:val="bottom"/>
            <w:tcBorders>
              <w:top w:val="single" w:sz="8" w:color="DBDBDB"/>
              <w:bottom w:val="single" w:sz="8" w:color="DBDBDB"/>
            </w:tcBorders>
            <w:shd w:val="clear" w:color="auto" w:fill="DBDBDB"/>
          </w:tcPr>
          <w:p>
            <w:pPr>
              <w:spacing w:after="0"/>
              <w:rPr>
                <w:sz w:val="15"/>
                <w:szCs w:val="15"/>
                <w:color w:val="auto"/>
              </w:rPr>
            </w:pPr>
          </w:p>
        </w:tc>
        <w:tc>
          <w:tcPr>
            <w:tcW w:w="300" w:type="dxa"/>
            <w:vAlign w:val="bottom"/>
            <w:tcBorders>
              <w:top w:val="single" w:sz="8" w:color="auto"/>
              <w:bottom w:val="single" w:sz="8" w:color="auto"/>
            </w:tcBorders>
            <w:shd w:val="clear" w:color="auto" w:fill="DBDBDB"/>
          </w:tcPr>
          <w:p>
            <w:pPr>
              <w:spacing w:after="0" w:line="148" w:lineRule="exact"/>
              <w:rPr>
                <w:sz w:val="20"/>
                <w:szCs w:val="20"/>
                <w:color w:val="auto"/>
              </w:rPr>
            </w:pPr>
            <w:r>
              <w:rPr>
                <w:rFonts w:ascii="Arial" w:cs="Arial" w:eastAsia="Arial" w:hAnsi="Arial"/>
                <w:sz w:val="14"/>
                <w:szCs w:val="14"/>
                <w:color w:val="auto"/>
                <w:w w:val="89"/>
              </w:rPr>
              <w:t>2002</w:t>
            </w:r>
          </w:p>
        </w:tc>
        <w:tc>
          <w:tcPr>
            <w:tcW w:w="400" w:type="dxa"/>
            <w:vAlign w:val="bottom"/>
            <w:tcBorders>
              <w:top w:val="single" w:sz="8" w:color="auto"/>
              <w:bottom w:val="single" w:sz="8" w:color="DBDBDB"/>
            </w:tcBorders>
            <w:shd w:val="clear" w:color="auto" w:fill="DBDBDB"/>
          </w:tcPr>
          <w:p>
            <w:pPr>
              <w:spacing w:after="0"/>
              <w:rPr>
                <w:sz w:val="15"/>
                <w:szCs w:val="15"/>
                <w:color w:val="auto"/>
              </w:rPr>
            </w:pPr>
          </w:p>
        </w:tc>
        <w:tc>
          <w:tcPr>
            <w:tcW w:w="1220" w:type="dxa"/>
            <w:vAlign w:val="bottom"/>
            <w:tcBorders>
              <w:top w:val="single" w:sz="8" w:color="auto"/>
              <w:bottom w:val="single" w:sz="8" w:color="DBDBDB"/>
            </w:tcBorders>
            <w:shd w:val="clear" w:color="auto" w:fill="DBDBDB"/>
          </w:tcPr>
          <w:p>
            <w:pPr>
              <w:spacing w:after="0"/>
              <w:rPr>
                <w:sz w:val="15"/>
                <w:szCs w:val="15"/>
                <w:color w:val="auto"/>
              </w:rPr>
            </w:pPr>
          </w:p>
        </w:tc>
        <w:tc>
          <w:tcPr>
            <w:tcW w:w="1180" w:type="dxa"/>
            <w:vAlign w:val="bottom"/>
            <w:tcBorders>
              <w:top w:val="single" w:sz="8" w:color="auto"/>
              <w:bottom w:val="single" w:sz="8" w:color="DBDBDB"/>
            </w:tcBorders>
            <w:shd w:val="clear" w:color="auto" w:fill="DBDBDB"/>
          </w:tcPr>
          <w:p>
            <w:pPr>
              <w:spacing w:after="0"/>
              <w:rPr>
                <w:sz w:val="15"/>
                <w:szCs w:val="15"/>
                <w:color w:val="auto"/>
              </w:rPr>
            </w:pPr>
          </w:p>
        </w:tc>
        <w:tc>
          <w:tcPr>
            <w:tcW w:w="2440" w:type="dxa"/>
            <w:vAlign w:val="bottom"/>
            <w:tcBorders>
              <w:top w:val="single" w:sz="8" w:color="auto"/>
              <w:bottom w:val="single" w:sz="8" w:color="DBDBDB"/>
            </w:tcBorders>
            <w:shd w:val="clear" w:color="auto" w:fill="DBDBDB"/>
          </w:tcPr>
          <w:p>
            <w:pPr>
              <w:spacing w:after="0"/>
              <w:rPr>
                <w:sz w:val="15"/>
                <w:szCs w:val="15"/>
                <w:color w:val="auto"/>
              </w:rPr>
            </w:pPr>
          </w:p>
        </w:tc>
        <w:tc>
          <w:tcPr>
            <w:tcW w:w="60" w:type="dxa"/>
            <w:vAlign w:val="bottom"/>
            <w:tcBorders>
              <w:top w:val="single" w:sz="8" w:color="auto"/>
              <w:bottom w:val="single" w:sz="8" w:color="DBDBDB"/>
            </w:tcBorders>
            <w:shd w:val="clear" w:color="auto" w:fill="DBDBDB"/>
          </w:tcPr>
          <w:p>
            <w:pPr>
              <w:spacing w:after="0"/>
              <w:rPr>
                <w:sz w:val="15"/>
                <w:szCs w:val="15"/>
                <w:color w:val="auto"/>
              </w:rPr>
            </w:pPr>
          </w:p>
        </w:tc>
        <w:tc>
          <w:tcPr>
            <w:tcW w:w="60" w:type="dxa"/>
            <w:vAlign w:val="bottom"/>
            <w:tcBorders>
              <w:top w:val="single" w:sz="8" w:color="DBDBDB"/>
              <w:bottom w:val="single" w:sz="8" w:color="DBDBDB"/>
            </w:tcBorders>
            <w:shd w:val="clear" w:color="auto" w:fill="DBDBDB"/>
          </w:tcPr>
          <w:p>
            <w:pPr>
              <w:spacing w:after="0"/>
              <w:rPr>
                <w:sz w:val="15"/>
                <w:szCs w:val="15"/>
                <w:color w:val="auto"/>
              </w:rPr>
            </w:pPr>
          </w:p>
        </w:tc>
        <w:tc>
          <w:tcPr>
            <w:tcW w:w="100" w:type="dxa"/>
            <w:vAlign w:val="bottom"/>
            <w:tcBorders>
              <w:top w:val="single" w:sz="8" w:color="DBDBDB"/>
              <w:bottom w:val="single" w:sz="8" w:color="DBDBDB"/>
            </w:tcBorders>
            <w:shd w:val="clear" w:color="auto" w:fill="DBDBDB"/>
          </w:tcPr>
          <w:p>
            <w:pPr>
              <w:spacing w:after="0"/>
              <w:rPr>
                <w:sz w:val="15"/>
                <w:szCs w:val="15"/>
                <w:color w:val="auto"/>
              </w:rPr>
            </w:pPr>
          </w:p>
        </w:tc>
        <w:tc>
          <w:tcPr>
            <w:tcW w:w="40" w:type="dxa"/>
            <w:vAlign w:val="bottom"/>
            <w:tcBorders>
              <w:top w:val="single" w:sz="8" w:color="DBDBDB"/>
              <w:bottom w:val="single" w:sz="8" w:color="DBDBDB"/>
            </w:tcBorders>
            <w:shd w:val="clear" w:color="auto" w:fill="DBDBDB"/>
          </w:tcPr>
          <w:p>
            <w:pPr>
              <w:spacing w:after="0"/>
              <w:rPr>
                <w:sz w:val="15"/>
                <w:szCs w:val="15"/>
                <w:color w:val="auto"/>
              </w:rPr>
            </w:pPr>
          </w:p>
        </w:tc>
        <w:tc>
          <w:tcPr>
            <w:tcW w:w="160" w:type="dxa"/>
            <w:vAlign w:val="bottom"/>
            <w:tcBorders>
              <w:top w:val="single" w:sz="8" w:color="DBDBDB"/>
              <w:bottom w:val="single" w:sz="8" w:color="DBDBDB"/>
            </w:tcBorders>
            <w:shd w:val="clear" w:color="auto" w:fill="DBDBDB"/>
          </w:tcPr>
          <w:p>
            <w:pPr>
              <w:spacing w:after="0"/>
              <w:rPr>
                <w:sz w:val="15"/>
                <w:szCs w:val="15"/>
                <w:color w:val="auto"/>
              </w:rPr>
            </w:pPr>
          </w:p>
        </w:tc>
        <w:tc>
          <w:tcPr>
            <w:tcW w:w="620" w:type="dxa"/>
            <w:vAlign w:val="bottom"/>
            <w:tcBorders>
              <w:top w:val="single" w:sz="8" w:color="DBDBDB"/>
              <w:bottom w:val="single" w:sz="8" w:color="DBDBDB"/>
            </w:tcBorders>
            <w:shd w:val="clear" w:color="auto" w:fill="DBDBDB"/>
          </w:tcPr>
          <w:p>
            <w:pPr>
              <w:spacing w:after="0"/>
              <w:rPr>
                <w:sz w:val="15"/>
                <w:szCs w:val="15"/>
                <w:color w:val="auto"/>
              </w:rPr>
            </w:pPr>
          </w:p>
        </w:tc>
        <w:tc>
          <w:tcPr>
            <w:tcW w:w="1480" w:type="dxa"/>
            <w:vAlign w:val="bottom"/>
            <w:tcBorders>
              <w:top w:val="single" w:sz="8" w:color="DBDBDB"/>
              <w:bottom w:val="single" w:sz="8" w:color="DBDBDB"/>
            </w:tcBorders>
            <w:shd w:val="clear" w:color="auto" w:fill="DBDBDB"/>
          </w:tcPr>
          <w:p>
            <w:pPr>
              <w:spacing w:after="0"/>
              <w:rPr>
                <w:sz w:val="15"/>
                <w:szCs w:val="15"/>
                <w:color w:val="auto"/>
              </w:rPr>
            </w:pPr>
          </w:p>
        </w:tc>
        <w:tc>
          <w:tcPr>
            <w:tcW w:w="1060" w:type="dxa"/>
            <w:vAlign w:val="bottom"/>
            <w:tcBorders>
              <w:top w:val="single" w:sz="8" w:color="DBDBDB"/>
              <w:bottom w:val="single" w:sz="8" w:color="DBDBDB"/>
            </w:tcBorders>
            <w:shd w:val="clear" w:color="auto" w:fill="DBDBDB"/>
          </w:tcPr>
          <w:p>
            <w:pPr>
              <w:spacing w:after="0"/>
              <w:rPr>
                <w:sz w:val="15"/>
                <w:szCs w:val="15"/>
                <w:color w:val="auto"/>
              </w:rPr>
            </w:pPr>
          </w:p>
        </w:tc>
        <w:tc>
          <w:tcPr>
            <w:tcW w:w="1120" w:type="dxa"/>
            <w:vAlign w:val="bottom"/>
            <w:tcBorders>
              <w:top w:val="single" w:sz="8" w:color="DBDBDB"/>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000" w:type="dxa"/>
            <w:vAlign w:val="bottom"/>
            <w:tcBorders>
              <w:top w:val="single" w:sz="8" w:color="DBDBDB"/>
            </w:tcBorders>
          </w:tcPr>
          <w:p>
            <w:pPr>
              <w:jc w:val="center"/>
              <w:ind w:right="51"/>
              <w:spacing w:after="0"/>
              <w:rPr>
                <w:sz w:val="20"/>
                <w:szCs w:val="20"/>
                <w:color w:val="auto"/>
              </w:rPr>
            </w:pPr>
            <w:r>
              <w:rPr>
                <w:rFonts w:ascii="Arial" w:cs="Arial" w:eastAsia="Arial" w:hAnsi="Arial"/>
                <w:sz w:val="14"/>
                <w:szCs w:val="14"/>
                <w:color w:val="auto"/>
                <w:w w:val="97"/>
              </w:rPr>
              <w:t>32.2*</w:t>
            </w:r>
          </w:p>
        </w:tc>
        <w:tc>
          <w:tcPr>
            <w:tcW w:w="5960" w:type="dxa"/>
            <w:vAlign w:val="bottom"/>
            <w:tcBorders>
              <w:top w:val="single" w:sz="8" w:color="DBDBDB"/>
            </w:tcBorders>
            <w:gridSpan w:val="10"/>
          </w:tcPr>
          <w:p>
            <w:pPr>
              <w:spacing w:after="0"/>
              <w:rPr>
                <w:sz w:val="20"/>
                <w:szCs w:val="20"/>
                <w:color w:val="auto"/>
              </w:rPr>
            </w:pPr>
            <w:r>
              <w:rPr>
                <w:rFonts w:ascii="Arial" w:cs="Arial" w:eastAsia="Arial" w:hAnsi="Arial"/>
                <w:sz w:val="14"/>
                <w:szCs w:val="14"/>
                <w:color w:val="auto"/>
              </w:rPr>
              <w:t>Certification of Chief Financial Officer pursuant to Section 906 of the Sarbanes-Oxley Act of</w:t>
            </w:r>
          </w:p>
        </w:tc>
        <w:tc>
          <w:tcPr>
            <w:tcW w:w="620" w:type="dxa"/>
            <w:vAlign w:val="bottom"/>
            <w:tcBorders>
              <w:top w:val="single" w:sz="8" w:color="DBDBDB"/>
            </w:tcBorders>
          </w:tcPr>
          <w:p>
            <w:pPr>
              <w:spacing w:after="0"/>
              <w:rPr>
                <w:sz w:val="14"/>
                <w:szCs w:val="14"/>
                <w:color w:val="auto"/>
              </w:rPr>
            </w:pPr>
          </w:p>
        </w:tc>
        <w:tc>
          <w:tcPr>
            <w:tcW w:w="1480" w:type="dxa"/>
            <w:vAlign w:val="bottom"/>
            <w:tcBorders>
              <w:top w:val="single" w:sz="8" w:color="DBDBDB"/>
            </w:tcBorders>
          </w:tcPr>
          <w:p>
            <w:pPr>
              <w:spacing w:after="0"/>
              <w:rPr>
                <w:sz w:val="14"/>
                <w:szCs w:val="14"/>
                <w:color w:val="auto"/>
              </w:rPr>
            </w:pPr>
          </w:p>
        </w:tc>
        <w:tc>
          <w:tcPr>
            <w:tcW w:w="1060" w:type="dxa"/>
            <w:vAlign w:val="bottom"/>
            <w:tcBorders>
              <w:top w:val="single" w:sz="8" w:color="DBDBDB"/>
            </w:tcBorders>
          </w:tcPr>
          <w:p>
            <w:pPr>
              <w:spacing w:after="0"/>
              <w:rPr>
                <w:sz w:val="14"/>
                <w:szCs w:val="14"/>
                <w:color w:val="auto"/>
              </w:rPr>
            </w:pPr>
          </w:p>
        </w:tc>
        <w:tc>
          <w:tcPr>
            <w:tcW w:w="1120" w:type="dxa"/>
            <w:vAlign w:val="bottom"/>
            <w:tcBorders>
              <w:top w:val="single" w:sz="8" w:color="DBDBDB"/>
            </w:tcBorders>
          </w:tcPr>
          <w:p>
            <w:pPr>
              <w:jc w:val="center"/>
              <w:ind w:left="71"/>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line="148" w:lineRule="exact"/>
              <w:rPr>
                <w:sz w:val="20"/>
                <w:szCs w:val="20"/>
                <w:color w:val="auto"/>
              </w:rPr>
            </w:pPr>
            <w:r>
              <w:rPr>
                <w:rFonts w:ascii="Arial" w:cs="Arial" w:eastAsia="Arial" w:hAnsi="Arial"/>
                <w:sz w:val="14"/>
                <w:szCs w:val="14"/>
                <w:color w:val="auto"/>
                <w:w w:val="89"/>
              </w:rPr>
              <w:t>2002</w:t>
            </w:r>
          </w:p>
        </w:tc>
        <w:tc>
          <w:tcPr>
            <w:tcW w:w="4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000" w:type="dxa"/>
            <w:vAlign w:val="bottom"/>
            <w:shd w:val="clear" w:color="auto" w:fill="DBDBDB"/>
          </w:tcPr>
          <w:p>
            <w:pPr>
              <w:jc w:val="center"/>
              <w:ind w:right="31"/>
              <w:spacing w:after="0"/>
              <w:rPr>
                <w:sz w:val="20"/>
                <w:szCs w:val="20"/>
                <w:color w:val="auto"/>
              </w:rPr>
            </w:pPr>
            <w:r>
              <w:rPr>
                <w:rFonts w:ascii="Arial" w:cs="Arial" w:eastAsia="Arial" w:hAnsi="Arial"/>
                <w:sz w:val="14"/>
                <w:szCs w:val="14"/>
                <w:color w:val="auto"/>
                <w:w w:val="94"/>
              </w:rPr>
              <w:t>101</w:t>
            </w:r>
          </w:p>
        </w:tc>
        <w:tc>
          <w:tcPr>
            <w:tcW w:w="5960" w:type="dxa"/>
            <w:vAlign w:val="bottom"/>
            <w:gridSpan w:val="10"/>
            <w:shd w:val="clear" w:color="auto" w:fill="DBDBDB"/>
          </w:tcPr>
          <w:p>
            <w:pPr>
              <w:spacing w:after="0"/>
              <w:rPr>
                <w:sz w:val="20"/>
                <w:szCs w:val="20"/>
                <w:color w:val="auto"/>
              </w:rPr>
            </w:pPr>
            <w:r>
              <w:rPr>
                <w:rFonts w:ascii="Arial" w:cs="Arial" w:eastAsia="Arial" w:hAnsi="Arial"/>
                <w:sz w:val="14"/>
                <w:szCs w:val="14"/>
                <w:color w:val="auto"/>
              </w:rPr>
              <w:t>The following financial statements from the Company's Quarterly Report on Form 10-Q for the</w:t>
            </w:r>
          </w:p>
        </w:tc>
        <w:tc>
          <w:tcPr>
            <w:tcW w:w="620" w:type="dxa"/>
            <w:vAlign w:val="bottom"/>
            <w:shd w:val="clear" w:color="auto" w:fill="DBDBDB"/>
          </w:tcPr>
          <w:p>
            <w:pPr>
              <w:spacing w:after="0"/>
              <w:rPr>
                <w:sz w:val="16"/>
                <w:szCs w:val="16"/>
                <w:color w:val="auto"/>
              </w:rPr>
            </w:pPr>
          </w:p>
        </w:tc>
        <w:tc>
          <w:tcPr>
            <w:tcW w:w="148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120" w:type="dxa"/>
            <w:vAlign w:val="bottom"/>
            <w:shd w:val="clear" w:color="auto" w:fill="DBDBDB"/>
          </w:tcPr>
          <w:p>
            <w:pPr>
              <w:jc w:val="center"/>
              <w:ind w:left="71"/>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68"/>
        </w:trPr>
        <w:tc>
          <w:tcPr>
            <w:tcW w:w="1000" w:type="dxa"/>
            <w:vAlign w:val="bottom"/>
            <w:shd w:val="clear" w:color="auto" w:fill="DBDBDB"/>
          </w:tcPr>
          <w:p>
            <w:pPr>
              <w:spacing w:after="0"/>
              <w:rPr>
                <w:sz w:val="14"/>
                <w:szCs w:val="14"/>
                <w:color w:val="auto"/>
              </w:rPr>
            </w:pPr>
          </w:p>
        </w:tc>
        <w:tc>
          <w:tcPr>
            <w:tcW w:w="5960" w:type="dxa"/>
            <w:vAlign w:val="bottom"/>
            <w:gridSpan w:val="10"/>
            <w:shd w:val="clear" w:color="auto" w:fill="DBDBDB"/>
          </w:tcPr>
          <w:p>
            <w:pPr>
              <w:spacing w:after="0"/>
              <w:rPr>
                <w:sz w:val="20"/>
                <w:szCs w:val="20"/>
                <w:color w:val="auto"/>
              </w:rPr>
            </w:pPr>
            <w:r>
              <w:rPr>
                <w:rFonts w:ascii="Arial" w:cs="Arial" w:eastAsia="Arial" w:hAnsi="Arial"/>
                <w:sz w:val="14"/>
                <w:szCs w:val="14"/>
                <w:color w:val="auto"/>
              </w:rPr>
              <w:t>quarter ended January 31, 2023 formatted in Inline XBRL: (i) Condensed Consolidated Balance</w:t>
            </w:r>
          </w:p>
        </w:tc>
        <w:tc>
          <w:tcPr>
            <w:tcW w:w="620" w:type="dxa"/>
            <w:vAlign w:val="bottom"/>
            <w:shd w:val="clear" w:color="auto" w:fill="DBDBDB"/>
          </w:tcPr>
          <w:p>
            <w:pPr>
              <w:spacing w:after="0"/>
              <w:rPr>
                <w:sz w:val="14"/>
                <w:szCs w:val="14"/>
                <w:color w:val="auto"/>
              </w:rPr>
            </w:pPr>
          </w:p>
        </w:tc>
        <w:tc>
          <w:tcPr>
            <w:tcW w:w="148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DBDBDB"/>
          </w:tcPr>
          <w:p>
            <w:pPr>
              <w:spacing w:after="0"/>
              <w:rPr>
                <w:sz w:val="14"/>
                <w:szCs w:val="14"/>
                <w:color w:val="auto"/>
              </w:rPr>
            </w:pPr>
          </w:p>
        </w:tc>
        <w:tc>
          <w:tcPr>
            <w:tcW w:w="5960" w:type="dxa"/>
            <w:vAlign w:val="bottom"/>
            <w:gridSpan w:val="10"/>
            <w:shd w:val="clear" w:color="auto" w:fill="DBDBDB"/>
          </w:tcPr>
          <w:p>
            <w:pPr>
              <w:spacing w:after="0"/>
              <w:rPr>
                <w:sz w:val="20"/>
                <w:szCs w:val="20"/>
                <w:color w:val="auto"/>
              </w:rPr>
            </w:pPr>
            <w:r>
              <w:rPr>
                <w:rFonts w:ascii="Arial" w:cs="Arial" w:eastAsia="Arial" w:hAnsi="Arial"/>
                <w:sz w:val="14"/>
                <w:szCs w:val="14"/>
                <w:color w:val="auto"/>
              </w:rPr>
              <w:t>Sheets, (ii) Condensed Consolidated Statements of Loss, (iii) Condensed Consolidated</w:t>
            </w:r>
          </w:p>
        </w:tc>
        <w:tc>
          <w:tcPr>
            <w:tcW w:w="620" w:type="dxa"/>
            <w:vAlign w:val="bottom"/>
            <w:shd w:val="clear" w:color="auto" w:fill="DBDBDB"/>
          </w:tcPr>
          <w:p>
            <w:pPr>
              <w:spacing w:after="0"/>
              <w:rPr>
                <w:sz w:val="14"/>
                <w:szCs w:val="14"/>
                <w:color w:val="auto"/>
              </w:rPr>
            </w:pPr>
          </w:p>
        </w:tc>
        <w:tc>
          <w:tcPr>
            <w:tcW w:w="148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000" w:type="dxa"/>
            <w:vAlign w:val="bottom"/>
            <w:shd w:val="clear" w:color="auto" w:fill="DBDBDB"/>
          </w:tcPr>
          <w:p>
            <w:pPr>
              <w:spacing w:after="0"/>
              <w:rPr>
                <w:sz w:val="13"/>
                <w:szCs w:val="13"/>
                <w:color w:val="auto"/>
              </w:rPr>
            </w:pPr>
          </w:p>
        </w:tc>
        <w:tc>
          <w:tcPr>
            <w:tcW w:w="5960" w:type="dxa"/>
            <w:vAlign w:val="bottom"/>
            <w:gridSpan w:val="10"/>
            <w:shd w:val="clear" w:color="auto" w:fill="DBDBDB"/>
          </w:tcPr>
          <w:p>
            <w:pPr>
              <w:spacing w:after="0" w:line="158" w:lineRule="exact"/>
              <w:rPr>
                <w:sz w:val="20"/>
                <w:szCs w:val="20"/>
                <w:color w:val="auto"/>
              </w:rPr>
            </w:pPr>
            <w:r>
              <w:rPr>
                <w:rFonts w:ascii="Arial" w:cs="Arial" w:eastAsia="Arial" w:hAnsi="Arial"/>
                <w:sz w:val="14"/>
                <w:szCs w:val="14"/>
                <w:color w:val="auto"/>
              </w:rPr>
              <w:t>Statements of Loss (iv) Condensed Consolidated Statements of Changes in Equity, (v)</w:t>
            </w:r>
          </w:p>
        </w:tc>
        <w:tc>
          <w:tcPr>
            <w:tcW w:w="620" w:type="dxa"/>
            <w:vAlign w:val="bottom"/>
            <w:shd w:val="clear" w:color="auto" w:fill="DBDBDB"/>
          </w:tcPr>
          <w:p>
            <w:pPr>
              <w:spacing w:after="0"/>
              <w:rPr>
                <w:sz w:val="13"/>
                <w:szCs w:val="13"/>
                <w:color w:val="auto"/>
              </w:rPr>
            </w:pPr>
          </w:p>
        </w:tc>
        <w:tc>
          <w:tcPr>
            <w:tcW w:w="148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00" w:type="dxa"/>
            <w:vAlign w:val="bottom"/>
            <w:shd w:val="clear" w:color="auto" w:fill="DBDBDB"/>
          </w:tcPr>
          <w:p>
            <w:pPr>
              <w:spacing w:after="0"/>
              <w:rPr>
                <w:sz w:val="14"/>
                <w:szCs w:val="14"/>
                <w:color w:val="auto"/>
              </w:rPr>
            </w:pPr>
          </w:p>
        </w:tc>
        <w:tc>
          <w:tcPr>
            <w:tcW w:w="5960" w:type="dxa"/>
            <w:vAlign w:val="bottom"/>
            <w:gridSpan w:val="10"/>
            <w:shd w:val="clear" w:color="auto" w:fill="DBDBDB"/>
          </w:tcPr>
          <w:p>
            <w:pPr>
              <w:spacing w:after="0"/>
              <w:rPr>
                <w:sz w:val="20"/>
                <w:szCs w:val="20"/>
                <w:color w:val="auto"/>
              </w:rPr>
            </w:pPr>
            <w:r>
              <w:rPr>
                <w:rFonts w:ascii="Arial" w:cs="Arial" w:eastAsia="Arial" w:hAnsi="Arial"/>
                <w:sz w:val="14"/>
                <w:szCs w:val="14"/>
                <w:color w:val="auto"/>
              </w:rPr>
              <w:t>Condensed Consolidated Statements of Cash Flows, and (vi) Notes to Consolidated Financial</w:t>
            </w:r>
          </w:p>
        </w:tc>
        <w:tc>
          <w:tcPr>
            <w:tcW w:w="620" w:type="dxa"/>
            <w:vAlign w:val="bottom"/>
            <w:shd w:val="clear" w:color="auto" w:fill="DBDBDB"/>
          </w:tcPr>
          <w:p>
            <w:pPr>
              <w:spacing w:after="0"/>
              <w:rPr>
                <w:sz w:val="14"/>
                <w:szCs w:val="14"/>
                <w:color w:val="auto"/>
              </w:rPr>
            </w:pPr>
          </w:p>
        </w:tc>
        <w:tc>
          <w:tcPr>
            <w:tcW w:w="148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00" w:type="dxa"/>
            <w:vAlign w:val="bottom"/>
            <w:tcBorders>
              <w:bottom w:val="single" w:sz="8" w:color="DBDBDB"/>
            </w:tcBorders>
            <w:shd w:val="clear" w:color="auto" w:fill="DBDBDB"/>
          </w:tcPr>
          <w:p>
            <w:pPr>
              <w:spacing w:after="0"/>
              <w:rPr>
                <w:sz w:val="14"/>
                <w:szCs w:val="14"/>
                <w:color w:val="auto"/>
              </w:rPr>
            </w:pPr>
          </w:p>
        </w:tc>
        <w:tc>
          <w:tcPr>
            <w:tcW w:w="5960" w:type="dxa"/>
            <w:vAlign w:val="bottom"/>
            <w:tcBorders>
              <w:bottom w:val="single" w:sz="8" w:color="DBDBDB"/>
            </w:tcBorders>
            <w:gridSpan w:val="10"/>
            <w:shd w:val="clear" w:color="auto" w:fill="DBDBDB"/>
          </w:tcPr>
          <w:p>
            <w:pPr>
              <w:spacing w:after="0"/>
              <w:rPr>
                <w:sz w:val="20"/>
                <w:szCs w:val="20"/>
                <w:color w:val="auto"/>
              </w:rPr>
            </w:pPr>
            <w:r>
              <w:rPr>
                <w:rFonts w:ascii="Arial" w:cs="Arial" w:eastAsia="Arial" w:hAnsi="Arial"/>
                <w:sz w:val="14"/>
                <w:szCs w:val="14"/>
                <w:color w:val="auto"/>
              </w:rPr>
              <w:t>Statements, tagged as blocks of text and including detailed tags.</w:t>
            </w:r>
          </w:p>
        </w:tc>
        <w:tc>
          <w:tcPr>
            <w:tcW w:w="620" w:type="dxa"/>
            <w:vAlign w:val="bottom"/>
            <w:tcBorders>
              <w:bottom w:val="single" w:sz="8" w:color="DBDBDB"/>
            </w:tcBorders>
            <w:shd w:val="clear" w:color="auto" w:fill="DBDBDB"/>
          </w:tcPr>
          <w:p>
            <w:pPr>
              <w:spacing w:after="0"/>
              <w:rPr>
                <w:sz w:val="14"/>
                <w:szCs w:val="14"/>
                <w:color w:val="auto"/>
              </w:rPr>
            </w:pPr>
          </w:p>
        </w:tc>
        <w:tc>
          <w:tcPr>
            <w:tcW w:w="1480" w:type="dxa"/>
            <w:vAlign w:val="bottom"/>
            <w:tcBorders>
              <w:bottom w:val="single" w:sz="8" w:color="DBDBDB"/>
            </w:tcBorders>
            <w:shd w:val="clear" w:color="auto" w:fill="DBDBDB"/>
          </w:tcPr>
          <w:p>
            <w:pPr>
              <w:spacing w:after="0"/>
              <w:rPr>
                <w:sz w:val="14"/>
                <w:szCs w:val="14"/>
                <w:color w:val="auto"/>
              </w:rPr>
            </w:pPr>
          </w:p>
        </w:tc>
        <w:tc>
          <w:tcPr>
            <w:tcW w:w="106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00" w:type="dxa"/>
            <w:vAlign w:val="bottom"/>
          </w:tcPr>
          <w:p>
            <w:pPr>
              <w:jc w:val="center"/>
              <w:ind w:right="31"/>
              <w:spacing w:after="0"/>
              <w:rPr>
                <w:sz w:val="20"/>
                <w:szCs w:val="20"/>
                <w:color w:val="auto"/>
              </w:rPr>
            </w:pPr>
            <w:r>
              <w:rPr>
                <w:rFonts w:ascii="Arial" w:cs="Arial" w:eastAsia="Arial" w:hAnsi="Arial"/>
                <w:sz w:val="14"/>
                <w:szCs w:val="14"/>
                <w:color w:val="auto"/>
                <w:w w:val="94"/>
              </w:rPr>
              <w:t>104</w:t>
            </w:r>
          </w:p>
        </w:tc>
        <w:tc>
          <w:tcPr>
            <w:tcW w:w="5960" w:type="dxa"/>
            <w:vAlign w:val="bottom"/>
            <w:gridSpan w:val="10"/>
          </w:tcPr>
          <w:p>
            <w:pPr>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c>
          <w:tcPr>
            <w:tcW w:w="6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jc w:val="center"/>
              <w:ind w:left="71"/>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4"/>
        </w:trPr>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400"/>
        <w:spacing w:after="0"/>
        <w:rPr>
          <w:sz w:val="20"/>
          <w:szCs w:val="20"/>
          <w:color w:val="auto"/>
        </w:rPr>
      </w:pPr>
      <w:r>
        <w:rPr>
          <w:rFonts w:ascii="Arial" w:cs="Arial" w:eastAsia="Arial" w:hAnsi="Arial"/>
          <w:sz w:val="12"/>
          <w:szCs w:val="12"/>
          <w:color w:val="auto"/>
        </w:rPr>
        <w:t># Previously filed</w:t>
      </w:r>
    </w:p>
    <w:p>
      <w:pPr>
        <w:spacing w:after="0" w:line="94" w:lineRule="exact"/>
        <w:rPr>
          <w:sz w:val="20"/>
          <w:szCs w:val="20"/>
          <w:color w:val="auto"/>
        </w:rPr>
      </w:pPr>
    </w:p>
    <w:p>
      <w:pPr>
        <w:ind w:left="520" w:right="140" w:hanging="91"/>
        <w:spacing w:after="0" w:line="181" w:lineRule="auto"/>
        <w:tabs>
          <w:tab w:leader="none" w:pos="520" w:val="left"/>
        </w:tabs>
        <w:numPr>
          <w:ilvl w:val="0"/>
          <w:numId w:val="21"/>
        </w:numPr>
        <w:rPr>
          <w:rFonts w:ascii="Arial" w:cs="Arial" w:eastAsia="Arial" w:hAnsi="Arial"/>
          <w:sz w:val="22"/>
          <w:szCs w:val="22"/>
          <w:color w:val="auto"/>
          <w:vertAlign w:val="superscript"/>
        </w:rPr>
      </w:pPr>
      <w:r>
        <w:rPr>
          <w:rFonts w:ascii="Arial" w:cs="Arial" w:eastAsia="Arial" w:hAnsi="Arial"/>
          <w:sz w:val="11"/>
          <w:szCs w:val="11"/>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45720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21"/>
          <w:szCs w:val="21"/>
          <w:b w:val="1"/>
          <w:bCs w:val="1"/>
          <w:color w:val="auto"/>
        </w:rPr>
        <w:t>SIGNATURES</w:t>
      </w:r>
    </w:p>
    <w:p>
      <w:pPr>
        <w:spacing w:after="0" w:line="231" w:lineRule="exact"/>
        <w:rPr>
          <w:sz w:val="20"/>
          <w:szCs w:val="20"/>
          <w:color w:val="auto"/>
        </w:rPr>
      </w:pPr>
    </w:p>
    <w:p>
      <w:pPr>
        <w:ind w:firstLine="619"/>
        <w:spacing w:after="0" w:line="287"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quarterly report to be signed on its behalf by the undersigned, thereunto duly authorized, on March 9, 2023.</w:t>
      </w:r>
    </w:p>
    <w:p>
      <w:pPr>
        <w:spacing w:after="0" w:line="227" w:lineRule="exact"/>
        <w:rPr>
          <w:sz w:val="20"/>
          <w:szCs w:val="20"/>
          <w:color w:val="auto"/>
        </w:rPr>
      </w:pPr>
    </w:p>
    <w:p>
      <w:pPr>
        <w:jc w:val="center"/>
        <w:ind w:left="6720"/>
        <w:spacing w:after="0"/>
        <w:rPr>
          <w:sz w:val="20"/>
          <w:szCs w:val="20"/>
          <w:color w:val="auto"/>
        </w:rPr>
      </w:pPr>
      <w:r>
        <w:rPr>
          <w:rFonts w:ascii="Arial" w:cs="Arial" w:eastAsia="Arial" w:hAnsi="Arial"/>
          <w:sz w:val="15"/>
          <w:szCs w:val="15"/>
          <w:b w:val="1"/>
          <w:bCs w:val="1"/>
          <w:color w:val="auto"/>
        </w:rPr>
        <w:t>MISSION PRODUCE, INC.</w:t>
      </w:r>
    </w:p>
    <w:p>
      <w:pPr>
        <w:spacing w:after="0" w:line="158" w:lineRule="exact"/>
        <w:rPr>
          <w:sz w:val="20"/>
          <w:szCs w:val="20"/>
          <w:color w:val="auto"/>
        </w:rPr>
      </w:pPr>
    </w:p>
    <w:p>
      <w:pPr>
        <w:ind w:left="832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9525</wp:posOffset>
            </wp:positionV>
            <wp:extent cx="28568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38" w:lineRule="exact"/>
        <w:rPr>
          <w:sz w:val="20"/>
          <w:szCs w:val="20"/>
          <w:color w:val="auto"/>
        </w:rPr>
      </w:pPr>
    </w:p>
    <w:p>
      <w:pPr>
        <w:ind w:left="8400"/>
        <w:spacing w:after="0"/>
        <w:rPr>
          <w:sz w:val="20"/>
          <w:szCs w:val="20"/>
          <w:color w:val="auto"/>
        </w:rPr>
      </w:pPr>
      <w:r>
        <w:rPr>
          <w:rFonts w:ascii="Arial" w:cs="Arial" w:eastAsia="Arial" w:hAnsi="Arial"/>
          <w:sz w:val="14"/>
          <w:szCs w:val="14"/>
          <w:color w:val="auto"/>
        </w:rPr>
        <w:t>Stephen J. Barnard</w:t>
      </w:r>
    </w:p>
    <w:p>
      <w:pPr>
        <w:spacing w:after="0" w:line="31" w:lineRule="exact"/>
        <w:rPr>
          <w:sz w:val="20"/>
          <w:szCs w:val="20"/>
          <w:color w:val="auto"/>
        </w:rPr>
      </w:pPr>
    </w:p>
    <w:p>
      <w:pPr>
        <w:ind w:left="8300"/>
        <w:spacing w:after="0"/>
        <w:rPr>
          <w:sz w:val="20"/>
          <w:szCs w:val="20"/>
          <w:color w:val="auto"/>
        </w:rPr>
      </w:pPr>
      <w:r>
        <w:rPr>
          <w:rFonts w:ascii="Arial" w:cs="Arial" w:eastAsia="Arial" w:hAnsi="Arial"/>
          <w:sz w:val="14"/>
          <w:szCs w:val="14"/>
          <w:i w:val="1"/>
          <w:iCs w:val="1"/>
          <w:color w:val="auto"/>
        </w:rPr>
        <w:t>Chief Executive Officer</w:t>
      </w:r>
    </w:p>
    <w:p>
      <w:pPr>
        <w:spacing w:after="0" w:line="266" w:lineRule="exact"/>
        <w:rPr>
          <w:sz w:val="20"/>
          <w:szCs w:val="20"/>
          <w:color w:val="auto"/>
        </w:rPr>
      </w:pPr>
    </w:p>
    <w:p>
      <w:pPr>
        <w:ind w:left="846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17780</wp:posOffset>
            </wp:positionV>
            <wp:extent cx="28568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56865" cy="8255"/>
                    </a:xfrm>
                    <a:prstGeom prst="rect">
                      <a:avLst/>
                    </a:prstGeom>
                    <a:noFill/>
                  </pic:spPr>
                </pic:pic>
              </a:graphicData>
            </a:graphic>
          </wp:anchor>
        </w:drawing>
      </w:r>
    </w:p>
    <w:p>
      <w:pPr>
        <w:spacing w:after="0" w:line="257" w:lineRule="exact"/>
        <w:rPr>
          <w:sz w:val="20"/>
          <w:szCs w:val="20"/>
          <w:color w:val="auto"/>
        </w:rPr>
      </w:pPr>
    </w:p>
    <w:p>
      <w:pPr>
        <w:jc w:val="center"/>
        <w:ind w:left="6720"/>
        <w:spacing w:after="0"/>
        <w:rPr>
          <w:sz w:val="20"/>
          <w:szCs w:val="20"/>
          <w:color w:val="auto"/>
        </w:rPr>
      </w:pPr>
      <w:r>
        <w:rPr>
          <w:rFonts w:ascii="Arial" w:cs="Arial" w:eastAsia="Arial" w:hAnsi="Arial"/>
          <w:sz w:val="14"/>
          <w:szCs w:val="14"/>
          <w:color w:val="auto"/>
        </w:rPr>
        <w:t>Bryan E. Giles</w:t>
      </w:r>
    </w:p>
    <w:p>
      <w:pPr>
        <w:spacing w:after="0" w:line="31" w:lineRule="exact"/>
        <w:rPr>
          <w:sz w:val="20"/>
          <w:szCs w:val="20"/>
          <w:color w:val="auto"/>
        </w:rPr>
      </w:pPr>
    </w:p>
    <w:p>
      <w:pPr>
        <w:jc w:val="center"/>
        <w:ind w:left="6720"/>
        <w:spacing w:after="0"/>
        <w:rPr>
          <w:sz w:val="20"/>
          <w:szCs w:val="20"/>
          <w:color w:val="auto"/>
        </w:rPr>
      </w:pPr>
      <w:r>
        <w:rPr>
          <w:rFonts w:ascii="Arial" w:cs="Arial" w:eastAsia="Arial" w:hAnsi="Arial"/>
          <w:sz w:val="14"/>
          <w:szCs w:val="14"/>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86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760"/>
          </w:cols>
          <w:pgMar w:left="320" w:top="1440" w:right="819" w:bottom="1440" w:gutter="0" w:footer="0" w:header="0"/>
        </w:sectPr>
      </w:pPr>
    </w:p>
    <w:bookmarkStart w:id="31" w:name="page32"/>
    <w:bookmarkEnd w:id="31"/>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CERTIFICATION OF CHIEF EXECUTIVE OFFICER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PURSUANT TO SECTION 302 OF THE SARBANES-OXLEY ACT OF 2002</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I, Stephen J. Barnard, certify that:</w:t>
      </w:r>
    </w:p>
    <w:p>
      <w:pPr>
        <w:spacing w:after="0" w:line="214"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Mission Produce, Inc.;</w:t>
      </w:r>
    </w:p>
    <w:p>
      <w:pPr>
        <w:spacing w:after="0" w:line="227" w:lineRule="exact"/>
        <w:rPr>
          <w:rFonts w:ascii="Arial" w:cs="Arial" w:eastAsia="Arial" w:hAnsi="Arial"/>
          <w:sz w:val="15"/>
          <w:szCs w:val="15"/>
          <w:color w:val="auto"/>
        </w:rPr>
      </w:pPr>
    </w:p>
    <w:p>
      <w:pPr>
        <w:ind w:left="620" w:right="160" w:hanging="307"/>
        <w:spacing w:after="0" w:line="269" w:lineRule="auto"/>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15"/>
          <w:szCs w:val="15"/>
          <w:color w:val="auto"/>
        </w:rPr>
      </w:pPr>
    </w:p>
    <w:p>
      <w:pPr>
        <w:ind w:left="620" w:right="120" w:hanging="307"/>
        <w:spacing w:after="0" w:line="269" w:lineRule="auto"/>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5"/>
          <w:szCs w:val="15"/>
          <w:color w:val="auto"/>
        </w:rPr>
      </w:pPr>
    </w:p>
    <w:p>
      <w:pPr>
        <w:ind w:left="620" w:right="160" w:hanging="307"/>
        <w:spacing w:after="0" w:line="269" w:lineRule="auto"/>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15"/>
          <w:szCs w:val="15"/>
          <w:color w:val="auto"/>
        </w:rPr>
      </w:pPr>
    </w:p>
    <w:p>
      <w:pPr>
        <w:ind w:left="1240" w:right="140" w:hanging="309"/>
        <w:spacing w:after="0" w:line="260" w:lineRule="auto"/>
        <w:tabs>
          <w:tab w:leader="none" w:pos="1261" w:val="left"/>
        </w:tabs>
        <w:numPr>
          <w:ilvl w:val="1"/>
          <w:numId w:val="2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5"/>
          <w:szCs w:val="15"/>
          <w:color w:val="auto"/>
        </w:rPr>
      </w:pPr>
    </w:p>
    <w:p>
      <w:pPr>
        <w:ind w:left="1240" w:right="60" w:hanging="309"/>
        <w:spacing w:after="0" w:line="269" w:lineRule="auto"/>
        <w:tabs>
          <w:tab w:leader="none" w:pos="1248" w:val="left"/>
        </w:tabs>
        <w:numPr>
          <w:ilvl w:val="1"/>
          <w:numId w:val="2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5"/>
          <w:szCs w:val="15"/>
          <w:color w:val="auto"/>
        </w:rPr>
      </w:pPr>
    </w:p>
    <w:p>
      <w:pPr>
        <w:jc w:val="both"/>
        <w:ind w:left="1240" w:right="680" w:hanging="309"/>
        <w:spacing w:after="0" w:line="269" w:lineRule="auto"/>
        <w:tabs>
          <w:tab w:leader="none" w:pos="1253" w:val="left"/>
        </w:tabs>
        <w:numPr>
          <w:ilvl w:val="1"/>
          <w:numId w:val="2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3" w:lineRule="exact"/>
        <w:rPr>
          <w:rFonts w:ascii="Arial" w:cs="Arial" w:eastAsia="Arial" w:hAnsi="Arial"/>
          <w:sz w:val="15"/>
          <w:szCs w:val="15"/>
          <w:color w:val="auto"/>
        </w:rPr>
      </w:pPr>
    </w:p>
    <w:p>
      <w:pPr>
        <w:ind w:left="1240" w:right="120" w:hanging="309"/>
        <w:spacing w:after="0" w:line="269" w:lineRule="auto"/>
        <w:tabs>
          <w:tab w:leader="none" w:pos="1248" w:val="left"/>
        </w:tabs>
        <w:numPr>
          <w:ilvl w:val="1"/>
          <w:numId w:val="2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5"/>
          <w:szCs w:val="15"/>
          <w:color w:val="auto"/>
        </w:rPr>
      </w:pPr>
    </w:p>
    <w:p>
      <w:pPr>
        <w:ind w:left="620" w:right="500" w:hanging="307"/>
        <w:spacing w:after="0" w:line="269" w:lineRule="auto"/>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3" w:lineRule="exact"/>
        <w:rPr>
          <w:rFonts w:ascii="Arial" w:cs="Arial" w:eastAsia="Arial" w:hAnsi="Arial"/>
          <w:sz w:val="15"/>
          <w:szCs w:val="15"/>
          <w:color w:val="auto"/>
        </w:rPr>
      </w:pPr>
    </w:p>
    <w:p>
      <w:pPr>
        <w:ind w:left="1240" w:right="300" w:hanging="309"/>
        <w:spacing w:after="0" w:line="269" w:lineRule="auto"/>
        <w:tabs>
          <w:tab w:leader="none" w:pos="1261" w:val="left"/>
        </w:tabs>
        <w:numPr>
          <w:ilvl w:val="1"/>
          <w:numId w:val="2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5"/>
          <w:szCs w:val="15"/>
          <w:color w:val="auto"/>
        </w:rPr>
      </w:pPr>
    </w:p>
    <w:p>
      <w:pPr>
        <w:ind w:left="1240" w:right="260" w:hanging="309"/>
        <w:spacing w:after="0" w:line="287" w:lineRule="auto"/>
        <w:tabs>
          <w:tab w:leader="none" w:pos="1248" w:val="left"/>
        </w:tabs>
        <w:numPr>
          <w:ilvl w:val="1"/>
          <w:numId w:val="22"/>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8" w:lineRule="exact"/>
        <w:rPr>
          <w:sz w:val="20"/>
          <w:szCs w:val="20"/>
          <w:color w:val="auto"/>
        </w:rPr>
      </w:pPr>
    </w:p>
    <w:p>
      <w:pPr>
        <w:ind w:left="8400"/>
        <w:spacing w:after="0"/>
        <w:rPr>
          <w:sz w:val="20"/>
          <w:szCs w:val="20"/>
          <w:color w:val="auto"/>
        </w:rPr>
      </w:pPr>
      <w:r>
        <w:rPr>
          <w:rFonts w:ascii="Arial" w:cs="Arial" w:eastAsia="Arial" w:hAnsi="Arial"/>
          <w:sz w:val="15"/>
          <w:szCs w:val="15"/>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12065</wp:posOffset>
            </wp:positionV>
            <wp:extent cx="26441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40" w:lineRule="exact"/>
        <w:rPr>
          <w:sz w:val="20"/>
          <w:szCs w:val="20"/>
          <w:color w:val="auto"/>
        </w:rPr>
      </w:pPr>
    </w:p>
    <w:p>
      <w:pPr>
        <w:ind w:left="8500"/>
        <w:spacing w:after="0"/>
        <w:rPr>
          <w:sz w:val="20"/>
          <w:szCs w:val="20"/>
          <w:color w:val="auto"/>
        </w:rPr>
      </w:pPr>
      <w:r>
        <w:rPr>
          <w:rFonts w:ascii="Arial" w:cs="Arial" w:eastAsia="Arial" w:hAnsi="Arial"/>
          <w:sz w:val="15"/>
          <w:szCs w:val="15"/>
          <w:color w:val="auto"/>
        </w:rPr>
        <w:t>Stephen J. Barnard</w:t>
      </w:r>
    </w:p>
    <w:p>
      <w:pPr>
        <w:spacing w:after="0" w:line="31" w:lineRule="exact"/>
        <w:rPr>
          <w:sz w:val="20"/>
          <w:szCs w:val="20"/>
          <w:color w:val="auto"/>
        </w:rPr>
      </w:pPr>
    </w:p>
    <w:p>
      <w:pPr>
        <w:ind w:left="7560"/>
        <w:spacing w:after="0"/>
        <w:rPr>
          <w:sz w:val="20"/>
          <w:szCs w:val="20"/>
          <w:color w:val="auto"/>
        </w:rPr>
      </w:pPr>
      <w:r>
        <w:rPr>
          <w:rFonts w:ascii="Arial" w:cs="Arial" w:eastAsia="Arial" w:hAnsi="Arial"/>
          <w:sz w:val="15"/>
          <w:szCs w:val="15"/>
          <w:i w:val="1"/>
          <w:iCs w:val="1"/>
          <w:color w:val="auto"/>
        </w:rPr>
        <w:t>President, Chief Executive Officer and Director</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Date: March 9, 2023</w:t>
      </w:r>
    </w:p>
    <w:p>
      <w:pPr>
        <w:sectPr>
          <w:pgSz w:w="11900" w:h="16838" w:orient="portrait"/>
          <w:cols w:equalWidth="0" w:num="1">
            <w:col w:w="11240"/>
          </w:cols>
          <w:pgMar w:left="320" w:top="123"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CERTIFICATION OF CHIEF FINANCIAL OFFICER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PURSUANT TO SECTION 302 OF THE SARBANES-OXLEY ACT OF 2002</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I, Bryan E. Giles, certify that:</w:t>
      </w:r>
    </w:p>
    <w:p>
      <w:pPr>
        <w:spacing w:after="0" w:line="214"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Mission Produce, Inc.;</w:t>
      </w:r>
    </w:p>
    <w:p>
      <w:pPr>
        <w:spacing w:after="0" w:line="227" w:lineRule="exact"/>
        <w:rPr>
          <w:rFonts w:ascii="Arial" w:cs="Arial" w:eastAsia="Arial" w:hAnsi="Arial"/>
          <w:sz w:val="15"/>
          <w:szCs w:val="15"/>
          <w:color w:val="auto"/>
        </w:rPr>
      </w:pPr>
    </w:p>
    <w:p>
      <w:pPr>
        <w:ind w:left="620" w:right="160" w:hanging="307"/>
        <w:spacing w:after="0" w:line="269" w:lineRule="auto"/>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15"/>
          <w:szCs w:val="15"/>
          <w:color w:val="auto"/>
        </w:rPr>
      </w:pPr>
    </w:p>
    <w:p>
      <w:pPr>
        <w:ind w:left="620" w:right="120" w:hanging="307"/>
        <w:spacing w:after="0" w:line="269" w:lineRule="auto"/>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5"/>
          <w:szCs w:val="15"/>
          <w:color w:val="auto"/>
        </w:rPr>
      </w:pPr>
    </w:p>
    <w:p>
      <w:pPr>
        <w:ind w:left="620" w:right="160" w:hanging="307"/>
        <w:spacing w:after="0" w:line="269" w:lineRule="auto"/>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15"/>
          <w:szCs w:val="15"/>
          <w:color w:val="auto"/>
        </w:rPr>
      </w:pPr>
    </w:p>
    <w:p>
      <w:pPr>
        <w:ind w:left="1240" w:right="140" w:hanging="309"/>
        <w:spacing w:after="0" w:line="260" w:lineRule="auto"/>
        <w:tabs>
          <w:tab w:leader="none" w:pos="1261" w:val="left"/>
        </w:tabs>
        <w:numPr>
          <w:ilvl w:val="1"/>
          <w:numId w:val="2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5"/>
          <w:szCs w:val="15"/>
          <w:color w:val="auto"/>
        </w:rPr>
      </w:pPr>
    </w:p>
    <w:p>
      <w:pPr>
        <w:ind w:left="1240" w:right="60" w:hanging="309"/>
        <w:spacing w:after="0" w:line="269" w:lineRule="auto"/>
        <w:tabs>
          <w:tab w:leader="none" w:pos="1248" w:val="left"/>
        </w:tabs>
        <w:numPr>
          <w:ilvl w:val="1"/>
          <w:numId w:val="23"/>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5"/>
          <w:szCs w:val="15"/>
          <w:color w:val="auto"/>
        </w:rPr>
      </w:pPr>
    </w:p>
    <w:p>
      <w:pPr>
        <w:jc w:val="both"/>
        <w:ind w:left="1240" w:right="680" w:hanging="309"/>
        <w:spacing w:after="0" w:line="269" w:lineRule="auto"/>
        <w:tabs>
          <w:tab w:leader="none" w:pos="1253"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3" w:lineRule="exact"/>
        <w:rPr>
          <w:rFonts w:ascii="Arial" w:cs="Arial" w:eastAsia="Arial" w:hAnsi="Arial"/>
          <w:sz w:val="15"/>
          <w:szCs w:val="15"/>
          <w:color w:val="auto"/>
        </w:rPr>
      </w:pPr>
    </w:p>
    <w:p>
      <w:pPr>
        <w:ind w:left="1240" w:right="120" w:hanging="309"/>
        <w:spacing w:after="0" w:line="269" w:lineRule="auto"/>
        <w:tabs>
          <w:tab w:leader="none" w:pos="1248" w:val="left"/>
        </w:tabs>
        <w:numPr>
          <w:ilvl w:val="1"/>
          <w:numId w:val="2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5"/>
          <w:szCs w:val="15"/>
          <w:color w:val="auto"/>
        </w:rPr>
      </w:pPr>
    </w:p>
    <w:p>
      <w:pPr>
        <w:ind w:left="620" w:right="500" w:hanging="307"/>
        <w:spacing w:after="0" w:line="269" w:lineRule="auto"/>
        <w:tabs>
          <w:tab w:leader="none" w:pos="6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3" w:lineRule="exact"/>
        <w:rPr>
          <w:rFonts w:ascii="Arial" w:cs="Arial" w:eastAsia="Arial" w:hAnsi="Arial"/>
          <w:sz w:val="15"/>
          <w:szCs w:val="15"/>
          <w:color w:val="auto"/>
        </w:rPr>
      </w:pPr>
    </w:p>
    <w:p>
      <w:pPr>
        <w:ind w:left="1240" w:right="300" w:hanging="309"/>
        <w:spacing w:after="0" w:line="269" w:lineRule="auto"/>
        <w:tabs>
          <w:tab w:leader="none" w:pos="1261" w:val="left"/>
        </w:tabs>
        <w:numPr>
          <w:ilvl w:val="1"/>
          <w:numId w:val="2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5"/>
          <w:szCs w:val="15"/>
          <w:color w:val="auto"/>
        </w:rPr>
      </w:pPr>
    </w:p>
    <w:p>
      <w:pPr>
        <w:ind w:left="1240" w:right="260" w:hanging="309"/>
        <w:spacing w:after="0" w:line="287" w:lineRule="auto"/>
        <w:tabs>
          <w:tab w:leader="none" w:pos="1248" w:val="left"/>
        </w:tabs>
        <w:numPr>
          <w:ilvl w:val="1"/>
          <w:numId w:val="23"/>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8" w:lineRule="exact"/>
        <w:rPr>
          <w:sz w:val="20"/>
          <w:szCs w:val="20"/>
          <w:color w:val="auto"/>
        </w:rPr>
      </w:pPr>
    </w:p>
    <w:p>
      <w:pPr>
        <w:jc w:val="center"/>
        <w:ind w:left="7060"/>
        <w:spacing w:after="0"/>
        <w:rPr>
          <w:sz w:val="20"/>
          <w:szCs w:val="20"/>
          <w:color w:val="auto"/>
        </w:rPr>
      </w:pPr>
      <w:r>
        <w:rPr>
          <w:rFonts w:ascii="Arial" w:cs="Arial" w:eastAsia="Arial" w:hAnsi="Arial"/>
          <w:sz w:val="15"/>
          <w:szCs w:val="15"/>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12065</wp:posOffset>
            </wp:positionV>
            <wp:extent cx="26441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40" w:lineRule="exact"/>
        <w:rPr>
          <w:sz w:val="20"/>
          <w:szCs w:val="20"/>
          <w:color w:val="auto"/>
        </w:rPr>
      </w:pPr>
    </w:p>
    <w:p>
      <w:pPr>
        <w:jc w:val="center"/>
        <w:ind w:left="7060"/>
        <w:spacing w:after="0"/>
        <w:rPr>
          <w:sz w:val="20"/>
          <w:szCs w:val="20"/>
          <w:color w:val="auto"/>
        </w:rPr>
      </w:pPr>
      <w:r>
        <w:rPr>
          <w:rFonts w:ascii="Arial" w:cs="Arial" w:eastAsia="Arial" w:hAnsi="Arial"/>
          <w:sz w:val="15"/>
          <w:szCs w:val="15"/>
          <w:color w:val="auto"/>
        </w:rPr>
        <w:t>Bryan E. Giles</w:t>
      </w:r>
    </w:p>
    <w:p>
      <w:pPr>
        <w:spacing w:after="0" w:line="44" w:lineRule="exact"/>
        <w:rPr>
          <w:sz w:val="20"/>
          <w:szCs w:val="20"/>
          <w:color w:val="auto"/>
        </w:rPr>
      </w:pPr>
    </w:p>
    <w:p>
      <w:pPr>
        <w:jc w:val="center"/>
        <w:ind w:left="7060"/>
        <w:spacing w:after="0"/>
        <w:rPr>
          <w:sz w:val="20"/>
          <w:szCs w:val="20"/>
          <w:color w:val="auto"/>
        </w:rPr>
      </w:pPr>
      <w:r>
        <w:rPr>
          <w:rFonts w:ascii="Arial" w:cs="Arial" w:eastAsia="Arial" w:hAnsi="Arial"/>
          <w:sz w:val="15"/>
          <w:szCs w:val="15"/>
          <w:i w:val="1"/>
          <w:iCs w:val="1"/>
          <w:color w:val="auto"/>
        </w:rPr>
        <w:t>Chief Financial Officer</w:t>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Date: March 9, 2023</w:t>
      </w:r>
    </w:p>
    <w:p>
      <w:pPr>
        <w:sectPr>
          <w:pgSz w:w="11900" w:h="16838" w:orient="portrait"/>
          <w:cols w:equalWidth="0" w:num="1">
            <w:col w:w="11240"/>
          </w:cols>
          <w:pgMar w:left="320" w:top="123"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CERTIFICATION OF CHIEF EXECUTIVE OFFICER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PURSUANT TO SECTION 906 OF THE SARBANES-OXLEY ACT OF 2002</w:t>
      </w:r>
    </w:p>
    <w:p>
      <w:pPr>
        <w:spacing w:after="0" w:line="244" w:lineRule="exact"/>
        <w:rPr>
          <w:sz w:val="20"/>
          <w:szCs w:val="20"/>
          <w:color w:val="auto"/>
        </w:rPr>
      </w:pPr>
    </w:p>
    <w:p>
      <w:pPr>
        <w:ind w:right="840"/>
        <w:spacing w:after="0" w:line="269"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Mission Produce, Inc. (the “Company”) hereby certifies, to the best of his knowledge, that:</w:t>
      </w:r>
    </w:p>
    <w:p>
      <w:pPr>
        <w:spacing w:after="0" w:line="193" w:lineRule="exact"/>
        <w:rPr>
          <w:sz w:val="20"/>
          <w:szCs w:val="20"/>
          <w:color w:val="auto"/>
        </w:rPr>
      </w:pPr>
    </w:p>
    <w:p>
      <w:pPr>
        <w:ind w:left="620" w:right="140" w:hanging="307"/>
        <w:spacing w:after="0" w:line="269" w:lineRule="auto"/>
        <w:tabs>
          <w:tab w:leader="none" w:pos="628"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quarter ended January 31, 2023 (the “Report”) fully complies with the requirements of Section 13(a) or Section 15(d), as applicable, of the Securities Exchange Act of 1934, as amended; and</w:t>
      </w:r>
    </w:p>
    <w:p>
      <w:pPr>
        <w:spacing w:after="0" w:line="193" w:lineRule="exact"/>
        <w:rPr>
          <w:rFonts w:ascii="Arial" w:cs="Arial" w:eastAsia="Arial" w:hAnsi="Arial"/>
          <w:sz w:val="15"/>
          <w:szCs w:val="15"/>
          <w:color w:val="auto"/>
        </w:rPr>
      </w:pPr>
    </w:p>
    <w:p>
      <w:pPr>
        <w:ind w:left="620" w:hanging="307"/>
        <w:spacing w:after="0"/>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400"/>
        <w:spacing w:after="0"/>
        <w:rPr>
          <w:sz w:val="20"/>
          <w:szCs w:val="20"/>
          <w:color w:val="auto"/>
        </w:rPr>
      </w:pPr>
      <w:r>
        <w:rPr>
          <w:rFonts w:ascii="Arial" w:cs="Arial" w:eastAsia="Arial" w:hAnsi="Arial"/>
          <w:sz w:val="15"/>
          <w:szCs w:val="15"/>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12065</wp:posOffset>
            </wp:positionV>
            <wp:extent cx="26441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40" w:lineRule="exact"/>
        <w:rPr>
          <w:sz w:val="20"/>
          <w:szCs w:val="20"/>
          <w:color w:val="auto"/>
        </w:rPr>
      </w:pPr>
    </w:p>
    <w:p>
      <w:pPr>
        <w:ind w:left="8500"/>
        <w:spacing w:after="0"/>
        <w:rPr>
          <w:sz w:val="20"/>
          <w:szCs w:val="20"/>
          <w:color w:val="auto"/>
        </w:rPr>
      </w:pPr>
      <w:r>
        <w:rPr>
          <w:rFonts w:ascii="Arial" w:cs="Arial" w:eastAsia="Arial" w:hAnsi="Arial"/>
          <w:sz w:val="15"/>
          <w:szCs w:val="15"/>
          <w:color w:val="auto"/>
        </w:rPr>
        <w:t>Stephen J. Barnard</w:t>
      </w:r>
    </w:p>
    <w:p>
      <w:pPr>
        <w:spacing w:after="0" w:line="31" w:lineRule="exact"/>
        <w:rPr>
          <w:sz w:val="20"/>
          <w:szCs w:val="20"/>
          <w:color w:val="auto"/>
        </w:rPr>
      </w:pPr>
    </w:p>
    <w:p>
      <w:pPr>
        <w:ind w:left="7560"/>
        <w:spacing w:after="0"/>
        <w:rPr>
          <w:sz w:val="20"/>
          <w:szCs w:val="20"/>
          <w:color w:val="auto"/>
        </w:rPr>
      </w:pPr>
      <w:r>
        <w:rPr>
          <w:rFonts w:ascii="Arial" w:cs="Arial" w:eastAsia="Arial" w:hAnsi="Arial"/>
          <w:sz w:val="15"/>
          <w:szCs w:val="15"/>
          <w:i w:val="1"/>
          <w:iCs w:val="1"/>
          <w:color w:val="auto"/>
        </w:rPr>
        <w:t>President, Chief Executive Officer and Director</w:t>
      </w:r>
    </w:p>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Date: March 9, 2023</w:t>
      </w:r>
    </w:p>
    <w:p>
      <w:pPr>
        <w:sectPr>
          <w:pgSz w:w="11900" w:h="16838" w:orient="portrait"/>
          <w:cols w:equalWidth="0" w:num="1">
            <w:col w:w="11240"/>
          </w:cols>
          <w:pgMar w:left="320" w:top="12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CERTIFICATION OF CHIEF FINANCIAL OFFICER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PURSUANT TO SECTION 906 OF THE SARBANES-OXLEY ACT OF 2002</w:t>
      </w:r>
    </w:p>
    <w:p>
      <w:pPr>
        <w:spacing w:after="0" w:line="244" w:lineRule="exact"/>
        <w:rPr>
          <w:sz w:val="20"/>
          <w:szCs w:val="20"/>
          <w:color w:val="auto"/>
        </w:rPr>
      </w:pPr>
    </w:p>
    <w:p>
      <w:pPr>
        <w:ind w:right="840"/>
        <w:spacing w:after="0" w:line="269"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Mission Produce, Inc. (the “Company”) hereby certifies, to the best of his knowledge, that:</w:t>
      </w:r>
    </w:p>
    <w:p>
      <w:pPr>
        <w:spacing w:after="0" w:line="193" w:lineRule="exact"/>
        <w:rPr>
          <w:sz w:val="20"/>
          <w:szCs w:val="20"/>
          <w:color w:val="auto"/>
        </w:rPr>
      </w:pPr>
    </w:p>
    <w:p>
      <w:pPr>
        <w:ind w:left="620" w:right="140" w:hanging="307"/>
        <w:spacing w:after="0" w:line="269" w:lineRule="auto"/>
        <w:tabs>
          <w:tab w:leader="none" w:pos="628"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quarter ended January 31, 2023 (the “Report”) fully complies with the requirements of Section 13(a) or Section 15(d), as applicable, of the Securities Exchange Act of 1934, as amended; and</w:t>
      </w:r>
    </w:p>
    <w:p>
      <w:pPr>
        <w:spacing w:after="0" w:line="193" w:lineRule="exact"/>
        <w:rPr>
          <w:rFonts w:ascii="Arial" w:cs="Arial" w:eastAsia="Arial" w:hAnsi="Arial"/>
          <w:sz w:val="15"/>
          <w:szCs w:val="15"/>
          <w:color w:val="auto"/>
        </w:rPr>
      </w:pPr>
    </w:p>
    <w:p>
      <w:pPr>
        <w:ind w:left="620" w:hanging="307"/>
        <w:spacing w:after="0"/>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jc w:val="center"/>
        <w:ind w:left="7060"/>
        <w:spacing w:after="0"/>
        <w:rPr>
          <w:sz w:val="20"/>
          <w:szCs w:val="20"/>
          <w:color w:val="auto"/>
        </w:rPr>
      </w:pPr>
      <w:r>
        <w:rPr>
          <w:rFonts w:ascii="Arial" w:cs="Arial" w:eastAsia="Arial" w:hAnsi="Arial"/>
          <w:sz w:val="15"/>
          <w:szCs w:val="15"/>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4496435</wp:posOffset>
            </wp:positionH>
            <wp:positionV relativeFrom="paragraph">
              <wp:posOffset>12065</wp:posOffset>
            </wp:positionV>
            <wp:extent cx="26441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644140" cy="8255"/>
                    </a:xfrm>
                    <a:prstGeom prst="rect">
                      <a:avLst/>
                    </a:prstGeom>
                    <a:noFill/>
                  </pic:spPr>
                </pic:pic>
              </a:graphicData>
            </a:graphic>
          </wp:anchor>
        </w:drawing>
      </w:r>
    </w:p>
    <w:p>
      <w:pPr>
        <w:spacing w:after="0" w:line="40" w:lineRule="exact"/>
        <w:rPr>
          <w:sz w:val="20"/>
          <w:szCs w:val="20"/>
          <w:color w:val="auto"/>
        </w:rPr>
      </w:pPr>
    </w:p>
    <w:p>
      <w:pPr>
        <w:jc w:val="center"/>
        <w:ind w:left="7060"/>
        <w:spacing w:after="0"/>
        <w:rPr>
          <w:sz w:val="20"/>
          <w:szCs w:val="20"/>
          <w:color w:val="auto"/>
        </w:rPr>
      </w:pPr>
      <w:r>
        <w:rPr>
          <w:rFonts w:ascii="Arial" w:cs="Arial" w:eastAsia="Arial" w:hAnsi="Arial"/>
          <w:sz w:val="15"/>
          <w:szCs w:val="15"/>
          <w:color w:val="auto"/>
        </w:rPr>
        <w:t>Bryan E. Giles</w:t>
      </w:r>
    </w:p>
    <w:p>
      <w:pPr>
        <w:spacing w:after="0" w:line="44" w:lineRule="exact"/>
        <w:rPr>
          <w:sz w:val="20"/>
          <w:szCs w:val="20"/>
          <w:color w:val="auto"/>
        </w:rPr>
      </w:pPr>
    </w:p>
    <w:p>
      <w:pPr>
        <w:jc w:val="center"/>
        <w:ind w:left="7060"/>
        <w:spacing w:after="0"/>
        <w:rPr>
          <w:sz w:val="20"/>
          <w:szCs w:val="20"/>
          <w:color w:val="auto"/>
        </w:rPr>
      </w:pPr>
      <w:r>
        <w:rPr>
          <w:rFonts w:ascii="Arial" w:cs="Arial" w:eastAsia="Arial" w:hAnsi="Arial"/>
          <w:sz w:val="15"/>
          <w:szCs w:val="15"/>
          <w:i w:val="1"/>
          <w:iCs w:val="1"/>
          <w:color w:val="auto"/>
        </w:rPr>
        <w:t>Chief Financial Officer</w:t>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Date: March 9, 2023</w:t>
      </w: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10"/>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49" Type="http://schemas.openxmlformats.org/officeDocument/2006/relationships/hyperlink" Target="https://www.sec.gov/Archives/edgar/data/1802974/000119312520265099/d32849dex31.htm" TargetMode="External"/><Relationship Id="rId50" Type="http://schemas.openxmlformats.org/officeDocument/2006/relationships/hyperlink" Target="https://www.sec.gov/Archives/edgar/data/1802974/000119312520265099/d3284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2023-03-09T15:34:21Z</dcterms:created>
  <dcterms:modified xsi:type="dcterms:W3CDTF">2023-03-09T15:34:21Z</dcterms:modified>
</cp:coreProperties>
</file>