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56"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16"/>
        </w:rPr>
      </w:pPr>
      <w:r>
        <w:rPr>
          <w:rFonts w:ascii="Arial;sans-serif" w:hAnsi="Arial;sans-serif"/>
          <w:b/>
          <w:color w:val="000000"/>
          <w:sz w:val="16"/>
        </w:rPr>
        <w:t>For the quarterly period ended January 31, 2026</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before="0" w:after="0"/>
        <w:jc w:val="left"/>
        <w:rPr/>
      </w:pPr>
      <w:r>
        <w:rPr/>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56" w:before="0" w:after="0"/>
        <w:jc w:val="center"/>
        <w:rPr/>
      </w:pPr>
      <w:r>
        <w:rPr>
          <w:rFonts w:ascii="Arial;sans-serif" w:hAnsi="Arial;sans-serif"/>
          <w:b/>
          <w:color w:val="000000"/>
          <w:sz w:val="16"/>
        </w:rPr>
        <w:t xml:space="preserve">For the transition period from </w:t>
      </w:r>
      <w:r>
        <w:rPr>
          <w:color w:val="000000"/>
          <w:u w:val="single"/>
        </w:rPr>
        <w:t>                    </w:t>
      </w:r>
      <w:r>
        <w:rPr>
          <w:color w:val="000000"/>
        </w:rPr>
        <w:t xml:space="preserve"> </w:t>
      </w:r>
      <w:r>
        <w:rPr>
          <w:rFonts w:ascii="Arial;sans-serif" w:hAnsi="Arial;sans-serif"/>
          <w:b/>
          <w:color w:val="000000"/>
          <w:sz w:val="16"/>
        </w:rPr>
        <w:t xml:space="preserve">to </w:t>
      </w:r>
      <w:r>
        <w:rPr>
          <w:color w:val="000000"/>
          <w:u w:val="single"/>
        </w:rPr>
        <w:t>                    </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Commission file number: 001-39561</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MISSION PRODUCE, INC.</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Delaware</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(State or Other Jurisdiction of</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Incorporation or Organization)</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2710 Camino Del Sol</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Oxnard, California</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95-3847744</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(I.R.S. Employer</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Identification No.)</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93030</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(Zip Code)</w:t>
      </w: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center"/>
        <w:rPr/>
      </w:pPr>
      <w:r>
        <w:rPr/>
      </w:r>
    </w:p>
    <w:p>
      <w:pPr>
        <w:pStyle w:val="TextBody"/>
        <w:bidi w:val="0"/>
        <w:spacing w:lineRule="auto" w:line="256"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53"/>
        <w:gridCol w:w="1533"/>
        <w:gridCol w:w="1552"/>
        <w:gridCol w:w="109"/>
        <w:gridCol w:w="109"/>
        <w:gridCol w:w="109"/>
        <w:gridCol w:w="476"/>
        <w:gridCol w:w="476"/>
        <w:gridCol w:w="478"/>
        <w:gridCol w:w="109"/>
        <w:gridCol w:w="109"/>
        <w:gridCol w:w="109"/>
        <w:gridCol w:w="930"/>
        <w:gridCol w:w="930"/>
        <w:gridCol w:w="1323"/>
      </w:tblGrid>
      <w:tr>
        <w:trPr/>
        <w:tc>
          <w:tcPr>
            <w:tcW w:w="185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4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Global Select Market</w:t>
            </w:r>
          </w:p>
        </w:tc>
      </w:tr>
      <w:tr>
        <w:trPr/>
        <w:tc>
          <w:tcPr>
            <w:tcW w:w="4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 Junior Participating Preferred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center"/>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60" w:after="60"/>
        <w:ind w:left="0" w:right="0" w:firstLine="720"/>
        <w:jc w:val="left"/>
        <w:rPr/>
      </w:pPr>
      <w:r>
        <w:rPr/>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720"/>
        <w:jc w:val="left"/>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Act).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As of March 1, 2026, the registrant had 70,845,891 shares of common stock at $0.001 par value outstanding. </w:t>
      </w:r>
    </w:p>
    <w:p>
      <w:pPr>
        <w:pStyle w:val="TextBody"/>
        <w:bidi w:val="0"/>
        <w:spacing w:before="60" w:after="283"/>
        <w:ind w:left="0" w:right="0" w:firstLine="720"/>
        <w:jc w:val="center"/>
        <w:rPr/>
      </w:pPr>
      <w:r>
        <w:rPr/>
      </w:r>
    </w:p>
    <w:p>
      <w:pPr>
        <w:pStyle w:val="TextBody"/>
        <w:bidi w:val="0"/>
        <w:spacing w:before="60" w:after="283"/>
        <w:ind w:left="0" w:right="0" w:firstLine="49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before="120" w:after="12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FORM 10-Q</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FISCAL FIRST QUARTER 2026</w:t>
      </w:r>
    </w:p>
    <w:p>
      <w:pPr>
        <w:pStyle w:val="TextBody"/>
        <w:bidi w:val="0"/>
        <w:spacing w:before="120" w:after="120"/>
        <w:jc w:val="center"/>
        <w:rPr/>
      </w:pPr>
      <w:r>
        <w:rPr/>
      </w:r>
    </w:p>
    <w:p>
      <w:pPr>
        <w:pStyle w:val="TextBody"/>
        <w:bidi w:val="0"/>
        <w:spacing w:before="0" w:after="0"/>
        <w:ind w:left="0" w:right="0" w:firstLine="720"/>
        <w:jc w:val="left"/>
        <w:rPr/>
      </w:pPr>
      <w:r>
        <w:rPr/>
      </w:r>
    </w:p>
    <w:tbl>
      <w:tblPr>
        <w:tblW w:w="8839" w:type="dxa"/>
        <w:jc w:val="center"/>
        <w:tblInd w:w="0" w:type="dxa"/>
        <w:tblLayout w:type="fixed"/>
        <w:tblCellMar>
          <w:top w:w="28" w:type="dxa"/>
          <w:left w:w="28" w:type="dxa"/>
          <w:bottom w:w="28" w:type="dxa"/>
          <w:right w:w="28" w:type="dxa"/>
        </w:tblCellMar>
      </w:tblPr>
      <w:tblGrid>
        <w:gridCol w:w="357"/>
        <w:gridCol w:w="314"/>
        <w:gridCol w:w="314"/>
        <w:gridCol w:w="314"/>
        <w:gridCol w:w="314"/>
        <w:gridCol w:w="314"/>
        <w:gridCol w:w="2164"/>
        <w:gridCol w:w="2164"/>
        <w:gridCol w:w="2212"/>
        <w:gridCol w:w="109"/>
        <w:gridCol w:w="109"/>
        <w:gridCol w:w="15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67"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3">
              <w:r>
                <w:rPr>
                  <w:rStyle w:val="InternetLink"/>
                  <w:rFonts w:ascii="Arial;sans-serif" w:hAnsi="Arial;sans-serif"/>
                  <w:b w:val="false"/>
                  <w:color w:val="0000FF"/>
                  <w:sz w:val="16"/>
                  <w:u w:val="single"/>
                </w:rPr>
                <w:t>PART I- FINANCIAL INFORMATION</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13">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6">
              <w:r>
                <w:rPr>
                  <w:rStyle w:val="InternetLink"/>
                  <w:rFonts w:ascii="Arial;sans-serif" w:hAnsi="Arial;sans-serif"/>
                  <w:b w:val="false"/>
                  <w:color w:val="0000FF"/>
                  <w:sz w:val="16"/>
                  <w:u w:val="single"/>
                </w:rPr>
                <w:t>Item 1.</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6">
              <w:r>
                <w:rPr>
                  <w:rStyle w:val="InternetLink"/>
                  <w:rFonts w:ascii="Arial;sans-serif" w:hAnsi="Arial;sans-serif"/>
                  <w:b w:val="false"/>
                  <w:color w:val="0000FF"/>
                  <w:sz w:val="16"/>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16">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9">
              <w:r>
                <w:rPr>
                  <w:rStyle w:val="InternetLink"/>
                  <w:rFonts w:ascii="Arial;sans-serif" w:hAnsi="Arial;sans-serif"/>
                  <w:b w:val="false"/>
                  <w:color w:val="0000FF"/>
                  <w:sz w:val="16"/>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19">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22">
              <w:r>
                <w:rPr>
                  <w:rStyle w:val="InternetLink"/>
                  <w:rFonts w:ascii="Arial;sans-serif" w:hAnsi="Arial;sans-serif"/>
                  <w:b w:val="false"/>
                  <w:color w:val="0000FF"/>
                  <w:sz w:val="16"/>
                  <w:u w:val="single"/>
                </w:rPr>
                <w:t>Condensed Consolidated Statements of Operations</w:t>
              </w:r>
            </w:hyperlink>
            <w:r>
              <w:rPr>
                <w:color w:val="3051F2"/>
                <w:u w:val="single"/>
              </w:rPr>
              <w:t xml:space="preserve"> </w:t>
            </w:r>
            <w:r>
              <w:rPr>
                <w:rFonts w:ascii="Arial;sans-serif" w:hAnsi="Arial;sans-serif"/>
                <w:b w:val="false"/>
                <w:color w:val="3051F2"/>
                <w:sz w:val="16"/>
                <w:u w:val="single"/>
              </w:rPr>
              <w:t>(Unaudited)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22">
              <w:r>
                <w:rPr>
                  <w:rStyle w:val="InternetLink"/>
                  <w:rFonts w:ascii="Arial;sans-serif" w:hAnsi="Arial;sans-serif"/>
                  <w:b w:val="false"/>
                  <w:color w:val="0000FF"/>
                  <w:sz w:val="16"/>
                  <w:u w:val="single"/>
                </w:rPr>
                <w:t>6</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25">
              <w:r>
                <w:rPr>
                  <w:rStyle w:val="InternetLink"/>
                  <w:rFonts w:ascii="Arial;sans-serif" w:hAnsi="Arial;sans-serif"/>
                  <w:b w:val="false"/>
                  <w:color w:val="0000FF"/>
                  <w:sz w:val="16"/>
                  <w:u w:val="single"/>
                </w:rPr>
                <w:t>Condensed Consolidated Statements of</w:t>
              </w:r>
            </w:hyperlink>
            <w:hyperlink w:anchor="i60ed4d67518a421a9d426bf90b34177d_25">
              <w:r>
                <w:rPr>
                  <w:rStyle w:val="InternetLink"/>
                  <w:color w:val="3051F2"/>
                  <w:u w:val="single"/>
                </w:rPr>
                <w:t xml:space="preserve"> </w:t>
              </w:r>
            </w:hyperlink>
            <w:r>
              <w:rPr>
                <w:rFonts w:ascii="Arial;sans-serif" w:hAnsi="Arial;sans-serif"/>
                <w:b w:val="false"/>
                <w:color w:val="3051F2"/>
                <w:sz w:val="16"/>
                <w:u w:val="single"/>
              </w:rPr>
              <w:t>Comprehensive Income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25">
              <w:r>
                <w:rPr>
                  <w:rStyle w:val="InternetLink"/>
                  <w:rFonts w:ascii="Arial;sans-serif" w:hAnsi="Arial;sans-serif"/>
                  <w:b w:val="false"/>
                  <w:color w:val="0000FF"/>
                  <w:sz w:val="16"/>
                  <w:u w:val="single"/>
                </w:rPr>
                <w:t>7</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28">
              <w:r>
                <w:rPr>
                  <w:rStyle w:val="InternetLink"/>
                  <w:rFonts w:ascii="Arial;sans-serif" w:hAnsi="Arial;sans-serif"/>
                  <w:b w:val="false"/>
                  <w:color w:val="0000FF"/>
                  <w:sz w:val="16"/>
                  <w:u w:val="single"/>
                </w:rPr>
                <w:t>Condensed Consolidated Statements of Changes in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28">
              <w:r>
                <w:rPr>
                  <w:rStyle w:val="InternetLink"/>
                  <w:rFonts w:ascii="Arial;sans-serif" w:hAnsi="Arial;sans-serif"/>
                  <w:b w:val="false"/>
                  <w:color w:val="0000FF"/>
                  <w:sz w:val="16"/>
                  <w:u w:val="single"/>
                </w:rPr>
                <w:t>8</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31">
              <w:r>
                <w:rPr>
                  <w:rStyle w:val="InternetLink"/>
                  <w:rFonts w:ascii="Arial;sans-serif" w:hAnsi="Arial;sans-serif"/>
                  <w:b w:val="false"/>
                  <w:color w:val="0000FF"/>
                  <w:sz w:val="16"/>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31">
              <w:r>
                <w:rPr>
                  <w:rStyle w:val="InternetLink"/>
                  <w:rFonts w:ascii="Arial;sans-serif" w:hAnsi="Arial;sans-serif"/>
                  <w:b w:val="false"/>
                  <w:color w:val="0000FF"/>
                  <w:sz w:val="16"/>
                  <w:u w:val="single"/>
                </w:rPr>
                <w:t>9</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34">
              <w:r>
                <w:rPr>
                  <w:rStyle w:val="InternetLink"/>
                  <w:rFonts w:ascii="Arial;sans-serif" w:hAnsi="Arial;sans-serif"/>
                  <w:b w:val="false"/>
                  <w:color w:val="0000FF"/>
                  <w:sz w:val="16"/>
                  <w:u w:val="single"/>
                </w:rPr>
                <w:t>Notes to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34">
              <w:r>
                <w:rPr>
                  <w:rStyle w:val="InternetLink"/>
                  <w:rFonts w:ascii="Arial;sans-serif" w:hAnsi="Arial;sans-serif"/>
                  <w:b w:val="false"/>
                  <w:color w:val="0000FF"/>
                  <w:sz w:val="16"/>
                  <w:u w:val="single"/>
                </w:rPr>
                <w:t>11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88">
              <w:r>
                <w:rPr>
                  <w:rStyle w:val="InternetLink"/>
                  <w:rFonts w:ascii="Arial;sans-serif" w:hAnsi="Arial;sans-serif"/>
                  <w:b w:val="false"/>
                  <w:color w:val="0000FF"/>
                  <w:sz w:val="16"/>
                  <w:u w:val="single"/>
                </w:rPr>
                <w:t>Item 2.</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88">
              <w:r>
                <w:rPr>
                  <w:rStyle w:val="InternetLink"/>
                  <w:rFonts w:ascii="Arial;sans-serif" w:hAnsi="Arial;sans-serif"/>
                  <w:b w:val="false"/>
                  <w:color w:val="0000FF"/>
                  <w:sz w:val="16"/>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88">
              <w:r>
                <w:rPr>
                  <w:rStyle w:val="InternetLink"/>
                  <w:rFonts w:ascii="Arial;sans-serif" w:hAnsi="Arial;sans-serif"/>
                  <w:b w:val="false"/>
                  <w:color w:val="0000FF"/>
                  <w:sz w:val="16"/>
                  <w:u w:val="single"/>
                </w:rPr>
                <w:t>20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06">
              <w:r>
                <w:rPr>
                  <w:rStyle w:val="InternetLink"/>
                  <w:rFonts w:ascii="Arial;sans-serif" w:hAnsi="Arial;sans-serif"/>
                  <w:b w:val="false"/>
                  <w:color w:val="0000FF"/>
                  <w:sz w:val="16"/>
                  <w:u w:val="single"/>
                </w:rPr>
                <w:t>Item 3.</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06">
              <w:r>
                <w:rPr>
                  <w:rStyle w:val="InternetLink"/>
                  <w:rFonts w:ascii="Arial;sans-serif" w:hAnsi="Arial;sans-serif"/>
                  <w:b w:val="false"/>
                  <w:color w:val="0000FF"/>
                  <w:sz w:val="16"/>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106">
              <w:r>
                <w:rPr>
                  <w:rStyle w:val="InternetLink"/>
                  <w:rFonts w:ascii="Arial;sans-serif" w:hAnsi="Arial;sans-serif"/>
                  <w:b w:val="false"/>
                  <w:color w:val="0000FF"/>
                  <w:sz w:val="16"/>
                  <w:u w:val="single"/>
                </w:rPr>
                <w:t>28</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09">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09">
              <w:r>
                <w:rPr>
                  <w:rStyle w:val="InternetLink"/>
                  <w:rFonts w:ascii="Arial;sans-serif" w:hAnsi="Arial;sans-serif"/>
                  <w:b w:val="false"/>
                  <w:color w:val="0000FF"/>
                  <w:sz w:val="16"/>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109">
              <w:r>
                <w:rPr>
                  <w:rStyle w:val="InternetLink"/>
                  <w:rFonts w:ascii="Arial;sans-serif" w:hAnsi="Arial;sans-serif"/>
                  <w:b w:val="false"/>
                  <w:color w:val="0000FF"/>
                  <w:sz w:val="16"/>
                  <w:u w:val="single"/>
                </w:rPr>
                <w:t>28</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PART II- OTHER INFORMATION</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118">
              <w:r>
                <w:rPr>
                  <w:rStyle w:val="InternetLink"/>
                  <w:rFonts w:ascii="Arial;sans-serif" w:hAnsi="Arial;sans-serif"/>
                  <w:b w:val="false"/>
                  <w:color w:val="0000FF"/>
                  <w:sz w:val="16"/>
                  <w:u w:val="single"/>
                </w:rPr>
                <w:t>29</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Legal Proceedings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3b2523305e4f2588164802f9d11929_2754">
              <w:r>
                <w:rPr>
                  <w:rStyle w:val="InternetLink"/>
                  <w:rFonts w:ascii="Arial;sans-serif" w:hAnsi="Arial;sans-serif"/>
                  <w:b w:val="false"/>
                  <w:color w:val="0000FF"/>
                  <w:sz w:val="16"/>
                  <w:u w:val="single"/>
                </w:rPr>
                <w:t>29</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1A.</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3b2523305e4f2588164802f9d11929_2758">
              <w:r>
                <w:rPr>
                  <w:rStyle w:val="InternetLink"/>
                  <w:rFonts w:ascii="Arial;sans-serif" w:hAnsi="Arial;sans-serif"/>
                  <w:b w:val="false"/>
                  <w:color w:val="0000FF"/>
                  <w:sz w:val="16"/>
                  <w:u w:val="single"/>
                </w:rPr>
                <w:t>29</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2.</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Unregistered Sales of Equity Securities and Use of Proceeds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3b2523305e4f2588164802f9d11929_2755">
              <w:r>
                <w:rPr>
                  <w:rStyle w:val="InternetLink"/>
                  <w:rFonts w:ascii="Arial;sans-serif" w:hAnsi="Arial;sans-serif"/>
                  <w:b w:val="false"/>
                  <w:color w:val="0000FF"/>
                  <w:sz w:val="16"/>
                  <w:u w:val="single"/>
                </w:rPr>
                <w:t>32</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3.</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Defaults Upon Senior Securities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3b2523305e4f2588164802f9d11929_2756">
              <w:r>
                <w:rPr>
                  <w:rStyle w:val="InternetLink"/>
                  <w:rFonts w:ascii="Arial;sans-serif" w:hAnsi="Arial;sans-serif"/>
                  <w:b w:val="false"/>
                  <w:color w:val="0000FF"/>
                  <w:sz w:val="16"/>
                  <w:u w:val="single"/>
                </w:rPr>
                <w:t>32</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83b2523305e4f2588164802f9d11929_2757">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83b2523305e4f2588164802f9d11929_2757">
              <w:r>
                <w:rPr>
                  <w:rStyle w:val="InternetLink"/>
                  <w:rFonts w:ascii="Arial;sans-serif" w:hAnsi="Arial;sans-serif"/>
                  <w:b w:val="false"/>
                  <w:color w:val="0000FF"/>
                  <w:sz w:val="16"/>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3b2523305e4f2588164802f9d11929_2757">
              <w:r>
                <w:rPr>
                  <w:rStyle w:val="InternetLink"/>
                  <w:rFonts w:ascii="Arial;sans-serif" w:hAnsi="Arial;sans-serif"/>
                  <w:b w:val="false"/>
                  <w:color w:val="0000FF"/>
                  <w:sz w:val="16"/>
                  <w:u w:val="single"/>
                </w:rPr>
                <w:t>32</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83b2523305e4f2588164802f9d11929_2759">
              <w:r>
                <w:rPr>
                  <w:rStyle w:val="InternetLink"/>
                  <w:rFonts w:ascii="Arial;sans-serif" w:hAnsi="Arial;sans-serif"/>
                  <w:b w:val="false"/>
                  <w:color w:val="0000FF"/>
                  <w:sz w:val="16"/>
                  <w:u w:val="single"/>
                </w:rPr>
                <w:t>Item 5.</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83b2523305e4f2588164802f9d11929_2759">
              <w:r>
                <w:rPr>
                  <w:rStyle w:val="InternetLink"/>
                  <w:rFonts w:ascii="Arial;sans-serif" w:hAnsi="Arial;sans-serif"/>
                  <w:b w:val="false"/>
                  <w:color w:val="0000FF"/>
                  <w:sz w:val="16"/>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3b2523305e4f2588164802f9d11929_2759">
              <w:r>
                <w:rPr>
                  <w:rStyle w:val="InternetLink"/>
                  <w:rFonts w:ascii="Arial;sans-serif" w:hAnsi="Arial;sans-serif"/>
                  <w:b w:val="false"/>
                  <w:color w:val="0000FF"/>
                  <w:sz w:val="16"/>
                  <w:u w:val="single"/>
                </w:rPr>
                <w:t>32</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83b2523305e4f2588164802f9d11929_2753">
              <w:r>
                <w:rPr>
                  <w:rStyle w:val="InternetLink"/>
                  <w:rFonts w:ascii="Arial;sans-serif" w:hAnsi="Arial;sans-serif"/>
                  <w:b w:val="false"/>
                  <w:color w:val="0000FF"/>
                  <w:sz w:val="16"/>
                  <w:u w:val="single"/>
                </w:rPr>
                <w:t>Item 6.</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83b2523305e4f2588164802f9d11929_2753">
              <w:r>
                <w:rPr>
                  <w:rStyle w:val="InternetLink"/>
                  <w:rFonts w:ascii="Arial;sans-serif" w:hAnsi="Arial;sans-serif"/>
                  <w:b w:val="false"/>
                  <w:color w:val="0000FF"/>
                  <w:sz w:val="16"/>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3b2523305e4f2588164802f9d11929_2753">
              <w:r>
                <w:rPr>
                  <w:rStyle w:val="InternetLink"/>
                  <w:rFonts w:ascii="Arial;sans-serif" w:hAnsi="Arial;sans-serif"/>
                  <w:b w:val="false"/>
                  <w:color w:val="0000FF"/>
                  <w:sz w:val="16"/>
                  <w:u w:val="single"/>
                </w:rPr>
                <w:t>33</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ed4d67518a421a9d426bf90b34177d_124">
              <w:r>
                <w:rPr>
                  <w:rStyle w:val="InternetLink"/>
                  <w:rFonts w:ascii="Arial;sans-serif" w:hAnsi="Arial;sans-serif"/>
                  <w:b w:val="false"/>
                  <w:color w:val="0000FF"/>
                  <w:sz w:val="16"/>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ed4d67518a421a9d426bf90b34177d_124">
              <w:r>
                <w:rPr>
                  <w:rStyle w:val="InternetLink"/>
                  <w:rFonts w:ascii="Arial;sans-serif" w:hAnsi="Arial;sans-serif"/>
                  <w:b w:val="false"/>
                  <w:color w:val="0000FF"/>
                  <w:sz w:val="16"/>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center"/>
        <w:rPr>
          <w:rFonts w:ascii="Arial;sans-serif" w:hAnsi="Arial;sans-serif"/>
          <w:b/>
          <w:color w:val="000000"/>
          <w:sz w:val="20"/>
        </w:rPr>
      </w:pPr>
      <w:r>
        <w:rPr>
          <w:rFonts w:ascii="Arial;sans-serif" w:hAnsi="Arial;sans-serif"/>
          <w:b/>
          <w:color w:val="000000"/>
          <w:sz w:val="20"/>
        </w:rPr>
        <w:t xml:space="preserve">FORWARD LOOKING STATEMENTS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our business, including: reliance on primarily one main product;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 xml:space="preserve">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the proposed transaction with Calavo, including: benefits of the proposed transaction involving Calavo, such as future financial and operating results,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the ability to obtain the requisite Calavo and Mission Produce stockholder approvals;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and the risk of adverse reactions or changes to business or employee relationships, including those resulting from the announcement or completion of the proposed transaction.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Other risks and factors listed under “Item 1A. Risk Factors” in our most recent Annual Report on Form 10-K for the year ended October 31, 2025 and elsewhere in this report.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2025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0"/>
                <wp:effectExtent l="0" t="0" r="0" b="0"/>
                <wp:wrapNone/>
                <wp:docPr id="3" name="Frame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0"/>
                <wp:effectExtent l="0" t="0" r="0" b="0"/>
                <wp:wrapNone/>
                <wp:docPr id="4" name="Frame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4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10"/>
        <w:gridCol w:w="2411"/>
        <w:gridCol w:w="2424"/>
        <w:gridCol w:w="240"/>
        <w:gridCol w:w="658"/>
        <w:gridCol w:w="144"/>
        <w:gridCol w:w="109"/>
        <w:gridCol w:w="109"/>
        <w:gridCol w:w="109"/>
        <w:gridCol w:w="237"/>
        <w:gridCol w:w="650"/>
        <w:gridCol w:w="204"/>
      </w:tblGrid>
      <w:tr>
        <w:trPr/>
        <w:tc>
          <w:tcPr>
            <w:tcW w:w="2910"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 except for shares)</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October 31, 2025</w:t>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Assets</w:t>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Current assets: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Trade, net of allowances of $0.6 and $0.7, respectively</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and fruit advances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receivable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273.6 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262.2 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Property, plant and equipment, net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right-of-use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method investees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assets,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997.7 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983.0 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Liabilities and Equity</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Current liabilities: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payable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payables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borrowings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Loans from noncontrolling interest holders—current portion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Long-term debt—current portion</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leases—current portion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leases—current portion</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Loans from noncontrolling interest holders, net of current portion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 net of current portion</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 net of current portion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payable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liabilities,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long-term liabilities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377.6 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363.1 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7)</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Shareholders’ Equity</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Common stock ($0.001 par value, 1,000,000,000 shares authorized; 70,839,275 and 70,569,517 shares issued and outstanding as of January 31, 2026 and October 31, 2025, respectively)</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Mission Produce shareholders' equity</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586.9 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587.3 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Noncontrolling interest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equity</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620.1 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liabilities and equity</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997.7 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983.0 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2"/>
        </w:rPr>
      </w:pPr>
      <w:r>
        <w:rPr>
          <w:rFonts w:ascii="Arial;sans-serif" w:hAnsi="Arial;sans-serif"/>
          <w:b w:val="false"/>
          <w:i/>
          <w:color w:val="000000"/>
          <w:sz w:val="12"/>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0"/>
                <wp:effectExtent l="0" t="0" r="0" b="0"/>
                <wp:wrapNone/>
                <wp:docPr id="5" name="Frame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7688" w:type="dxa"/>
        <w:jc w:val="left"/>
        <w:tblInd w:w="0" w:type="dxa"/>
        <w:tblLayout w:type="fixed"/>
        <w:tblCellMar>
          <w:top w:w="28" w:type="dxa"/>
          <w:left w:w="28" w:type="dxa"/>
          <w:bottom w:w="28" w:type="dxa"/>
          <w:right w:w="28" w:type="dxa"/>
        </w:tblCellMar>
      </w:tblPr>
      <w:tblGrid>
        <w:gridCol w:w="1623"/>
        <w:gridCol w:w="1428"/>
        <w:gridCol w:w="1434"/>
        <w:gridCol w:w="109"/>
        <w:gridCol w:w="109"/>
        <w:gridCol w:w="147"/>
        <w:gridCol w:w="147"/>
        <w:gridCol w:w="147"/>
        <w:gridCol w:w="147"/>
        <w:gridCol w:w="265"/>
        <w:gridCol w:w="752"/>
        <w:gridCol w:w="147"/>
        <w:gridCol w:w="109"/>
        <w:gridCol w:w="109"/>
        <w:gridCol w:w="109"/>
        <w:gridCol w:w="196"/>
        <w:gridCol w:w="55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color w:val="000000"/>
              </w:rPr>
            </w:pPr>
            <w:r>
              <w:rPr>
                <w:color w:val="000000"/>
              </w:rPr>
              <w:t>   </w:t>
            </w:r>
            <w:r>
              <w:rPr>
                <w:rFonts w:ascii="Arial;sans-serif" w:hAnsi="Arial;sans-serif"/>
                <w:b w:val="false"/>
                <w:color w:val="000000"/>
                <w:sz w:val="16"/>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per share attributable to Mission Produce: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0"/>
                <wp:effectExtent l="0" t="0" r="0" b="0"/>
                <wp:wrapNone/>
                <wp:docPr id="6" name="Frame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7522" w:type="dxa"/>
        <w:jc w:val="left"/>
        <w:tblInd w:w="0" w:type="dxa"/>
        <w:tblLayout w:type="fixed"/>
        <w:tblCellMar>
          <w:top w:w="28" w:type="dxa"/>
          <w:left w:w="28" w:type="dxa"/>
          <w:bottom w:w="28" w:type="dxa"/>
          <w:right w:w="28" w:type="dxa"/>
        </w:tblCellMar>
      </w:tblPr>
      <w:tblGrid>
        <w:gridCol w:w="1629"/>
        <w:gridCol w:w="1427"/>
        <w:gridCol w:w="1443"/>
        <w:gridCol w:w="109"/>
        <w:gridCol w:w="109"/>
        <w:gridCol w:w="160"/>
        <w:gridCol w:w="160"/>
        <w:gridCol w:w="160"/>
        <w:gridCol w:w="160"/>
        <w:gridCol w:w="288"/>
        <w:gridCol w:w="664"/>
        <w:gridCol w:w="160"/>
        <w:gridCol w:w="109"/>
        <w:gridCol w:w="109"/>
        <w:gridCol w:w="109"/>
        <w:gridCol w:w="196"/>
        <w:gridCol w:w="37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Comprehensive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0"/>
                <wp:effectExtent l="0" t="0" r="0" b="0"/>
                <wp:wrapNone/>
                <wp:docPr id="7" name="Frame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CHANGES IN EQUITY (UNAUDITED)</w:t>
      </w:r>
    </w:p>
    <w:p>
      <w:pPr>
        <w:pStyle w:val="TextBody"/>
        <w:bidi w:val="0"/>
        <w:spacing w:before="60" w:after="60"/>
        <w:jc w:val="center"/>
        <w:rPr/>
      </w:pPr>
      <w:r>
        <w:rPr/>
      </w:r>
    </w:p>
    <w:tbl>
      <w:tblPr>
        <w:tblW w:w="10205" w:type="dxa"/>
        <w:jc w:val="left"/>
        <w:tblInd w:w="0" w:type="dxa"/>
        <w:tblLayout w:type="fixed"/>
        <w:tblCellMar>
          <w:top w:w="28" w:type="dxa"/>
          <w:left w:w="28" w:type="dxa"/>
          <w:bottom w:w="28" w:type="dxa"/>
          <w:right w:w="28" w:type="dxa"/>
        </w:tblCellMar>
      </w:tblPr>
      <w:tblGrid>
        <w:gridCol w:w="1153"/>
        <w:gridCol w:w="753"/>
        <w:gridCol w:w="758"/>
        <w:gridCol w:w="420"/>
        <w:gridCol w:w="421"/>
        <w:gridCol w:w="186"/>
        <w:gridCol w:w="186"/>
        <w:gridCol w:w="355"/>
        <w:gridCol w:w="111"/>
        <w:gridCol w:w="109"/>
        <w:gridCol w:w="109"/>
        <w:gridCol w:w="109"/>
        <w:gridCol w:w="249"/>
        <w:gridCol w:w="683"/>
        <w:gridCol w:w="150"/>
        <w:gridCol w:w="440"/>
        <w:gridCol w:w="842"/>
        <w:gridCol w:w="267"/>
        <w:gridCol w:w="216"/>
        <w:gridCol w:w="592"/>
        <w:gridCol w:w="129"/>
        <w:gridCol w:w="280"/>
        <w:gridCol w:w="654"/>
        <w:gridCol w:w="170"/>
        <w:gridCol w:w="185"/>
        <w:gridCol w:w="509"/>
        <w:gridCol w:w="169"/>
      </w:tblGrid>
      <w:tr>
        <w:trPr/>
        <w:tc>
          <w:tcPr>
            <w:tcW w:w="11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for shares)</w:t>
            </w:r>
          </w:p>
        </w:tc>
        <w:tc>
          <w:tcPr>
            <w:tcW w:w="167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Additional paid-in capital</w:t>
            </w:r>
          </w:p>
        </w:tc>
        <w:tc>
          <w:tcPr>
            <w:tcW w:w="15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Accumulated other comprehensive (loss) income</w:t>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Retained earnings</w:t>
            </w:r>
          </w:p>
        </w:tc>
        <w:tc>
          <w:tcPr>
            <w:tcW w:w="11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Noncontrolling interest</w:t>
            </w:r>
          </w:p>
        </w:tc>
        <w:tc>
          <w:tcPr>
            <w:tcW w:w="8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Total equity</w:t>
            </w:r>
          </w:p>
        </w:tc>
      </w:tr>
      <w:tr>
        <w:trPr/>
        <w:tc>
          <w:tcPr>
            <w:tcW w:w="26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Shares</w:t>
            </w:r>
          </w:p>
        </w:tc>
        <w:tc>
          <w:tcPr>
            <w:tcW w:w="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8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70,914,767 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239.7 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153,856 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21,929 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and retirement of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(25,000)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71,065,552 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2025</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70,569,517 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269,758 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2026</w:t>
            </w:r>
          </w:p>
        </w:tc>
        <w:tc>
          <w:tcPr>
            <w:tcW w:w="8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70,839,275 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246.5 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338.6 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620.1 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0"/>
                <wp:effectExtent l="0" t="0" r="0" b="0"/>
                <wp:wrapNone/>
                <wp:docPr id="8" name="Frame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CASH FLOW (UNAUDITED)</w:t>
      </w:r>
    </w:p>
    <w:p>
      <w:pPr>
        <w:pStyle w:val="TextBody"/>
        <w:bidi w:val="0"/>
        <w:spacing w:before="0" w:after="0"/>
        <w:ind w:left="0" w:right="0" w:firstLine="720"/>
        <w:jc w:val="left"/>
        <w:rPr/>
      </w:pPr>
      <w:r>
        <w:rPr/>
      </w:r>
    </w:p>
    <w:tbl>
      <w:tblPr>
        <w:tblW w:w="8138" w:type="dxa"/>
        <w:jc w:val="left"/>
        <w:tblInd w:w="0" w:type="dxa"/>
        <w:tblLayout w:type="fixed"/>
        <w:tblCellMar>
          <w:top w:w="28" w:type="dxa"/>
          <w:left w:w="28" w:type="dxa"/>
          <w:bottom w:w="28" w:type="dxa"/>
          <w:right w:w="28" w:type="dxa"/>
        </w:tblCellMar>
      </w:tblPr>
      <w:tblGrid>
        <w:gridCol w:w="2198"/>
        <w:gridCol w:w="1929"/>
        <w:gridCol w:w="1947"/>
        <w:gridCol w:w="196"/>
        <w:gridCol w:w="541"/>
        <w:gridCol w:w="109"/>
        <w:gridCol w:w="109"/>
        <w:gridCol w:w="109"/>
        <w:gridCol w:w="109"/>
        <w:gridCol w:w="196"/>
        <w:gridCol w:w="541"/>
        <w:gridCol w:w="154"/>
      </w:tblGrid>
      <w:tr>
        <w:trPr/>
        <w:tc>
          <w:tcPr>
            <w:tcW w:w="2198"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r>
      <w:tr>
        <w:trPr/>
        <w:tc>
          <w:tcPr>
            <w:tcW w:w="6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6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Operating Activities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income to net cash used in operating activities: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losses (gains) on foreign currency transactions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derivative financial instruments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on cash of changes in operating assets and liabilities: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accounts receivable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fruit advances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payables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Investing Activities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Financing Activities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0"/>
                <wp:effectExtent l="0" t="0" r="0" b="0"/>
                <wp:wrapNone/>
                <wp:docPr id="9" name="Frame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120" w:after="240"/>
        <w:jc w:val="left"/>
        <w:rPr/>
      </w:pPr>
      <w:r>
        <w:rPr/>
      </w:r>
    </w:p>
    <w:tbl>
      <w:tblPr>
        <w:tblW w:w="10205" w:type="dxa"/>
        <w:jc w:val="left"/>
        <w:tblInd w:w="0" w:type="dxa"/>
        <w:tblLayout w:type="fixed"/>
        <w:tblCellMar>
          <w:top w:w="28" w:type="dxa"/>
          <w:left w:w="28" w:type="dxa"/>
          <w:bottom w:w="28" w:type="dxa"/>
          <w:right w:w="28" w:type="dxa"/>
        </w:tblCellMar>
      </w:tblPr>
      <w:tblGrid>
        <w:gridCol w:w="2997"/>
        <w:gridCol w:w="2625"/>
        <w:gridCol w:w="2667"/>
        <w:gridCol w:w="196"/>
        <w:gridCol w:w="466"/>
        <w:gridCol w:w="109"/>
        <w:gridCol w:w="109"/>
        <w:gridCol w:w="109"/>
        <w:gridCol w:w="109"/>
        <w:gridCol w:w="196"/>
        <w:gridCol w:w="466"/>
        <w:gridCol w:w="156"/>
      </w:tblGrid>
      <w:tr>
        <w:trPr/>
        <w:tc>
          <w:tcPr>
            <w:tcW w:w="2997"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r>
      <w:tr>
        <w:trPr/>
        <w:tc>
          <w:tcPr>
            <w:tcW w:w="8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8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Summary of cash, cash equivalents and restricted cash reported within the condensed consolidated balance sheets: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2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 shown in the condensed consolidated statements of cash flows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0"/>
                <wp:effectExtent l="0" t="0" r="0" b="0"/>
                <wp:wrapNone/>
                <wp:docPr id="10" name="Frame1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     General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Business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&amp; Distribution, International Farming and Blueberries (see Note 12).</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consolidation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2025.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2026.</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standards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2025, the Financial Accounting Standards Board (“FASB”) issued Accounting Standards Update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We are currently evaluating the impact of adoption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November 2024, and as updated in January 2025, the FASB issued ASU 2024-03, Income Statement—Reporting Comprehensive Income—Expense Disaggregation Disclosures. The ASU requires that an entity disclose additional information about specific expense categories in the notes to financial statements at interim and annual reporting periods. This information is generally not presented in the financial statements today. The amendments in this ASU are required to be adopted for fiscal years beginning after December 15, 2026, and interim periods within annual reporting periods beginning after December 15, 2027. Early adoption is permitted. The amendments should be applied either (1) prospectively to financial statements issued for reporting periods after the effective date of this update or (2) retrospectively to any or all prior periods presented in the financial statements. We are currently evaluating the impact of adoption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2023, the FASB issued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0"/>
                <wp:effectExtent l="0" t="0" r="0" b="0"/>
                <wp:wrapNone/>
                <wp:docPr id="11" name="Frame1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2.     Inventory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Major classes of inventory were as follows:</w:t>
      </w:r>
    </w:p>
    <w:p>
      <w:pPr>
        <w:pStyle w:val="TextBody"/>
        <w:bidi w:val="0"/>
        <w:spacing w:before="0" w:after="0"/>
        <w:ind w:left="0" w:right="0" w:firstLine="720"/>
        <w:jc w:val="left"/>
        <w:rPr/>
      </w:pPr>
      <w:r>
        <w:rPr/>
      </w:r>
    </w:p>
    <w:tbl>
      <w:tblPr>
        <w:tblW w:w="5050" w:type="dxa"/>
        <w:jc w:val="left"/>
        <w:tblInd w:w="0" w:type="dxa"/>
        <w:tblLayout w:type="fixed"/>
        <w:tblCellMar>
          <w:top w:w="28" w:type="dxa"/>
          <w:left w:w="28" w:type="dxa"/>
          <w:bottom w:w="28" w:type="dxa"/>
          <w:right w:w="28" w:type="dxa"/>
        </w:tblCellMar>
      </w:tblPr>
      <w:tblGrid>
        <w:gridCol w:w="668"/>
        <w:gridCol w:w="585"/>
        <w:gridCol w:w="591"/>
        <w:gridCol w:w="358"/>
        <w:gridCol w:w="852"/>
        <w:gridCol w:w="199"/>
        <w:gridCol w:w="109"/>
        <w:gridCol w:w="109"/>
        <w:gridCol w:w="109"/>
        <w:gridCol w:w="353"/>
        <w:gridCol w:w="840"/>
        <w:gridCol w:w="277"/>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Crop growing costs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Packaging and supplies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3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3.    Goodwill</w:t>
      </w:r>
    </w:p>
    <w:tbl>
      <w:tblPr>
        <w:tblW w:w="8744" w:type="dxa"/>
        <w:jc w:val="left"/>
        <w:tblInd w:w="0" w:type="dxa"/>
        <w:tblLayout w:type="fixed"/>
        <w:tblCellMar>
          <w:top w:w="28" w:type="dxa"/>
          <w:left w:w="28" w:type="dxa"/>
          <w:bottom w:w="28" w:type="dxa"/>
          <w:right w:w="28" w:type="dxa"/>
        </w:tblCellMar>
      </w:tblPr>
      <w:tblGrid>
        <w:gridCol w:w="1609"/>
        <w:gridCol w:w="1411"/>
        <w:gridCol w:w="1434"/>
        <w:gridCol w:w="460"/>
        <w:gridCol w:w="1096"/>
        <w:gridCol w:w="258"/>
        <w:gridCol w:w="109"/>
        <w:gridCol w:w="109"/>
        <w:gridCol w:w="109"/>
        <w:gridCol w:w="255"/>
        <w:gridCol w:w="608"/>
        <w:gridCol w:w="143"/>
        <w:gridCol w:w="109"/>
        <w:gridCol w:w="109"/>
        <w:gridCol w:w="109"/>
        <w:gridCol w:w="196"/>
        <w:gridCol w:w="466"/>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r>
          </w:p>
        </w:tc>
      </w:tr>
      <w:tr>
        <w:trPr/>
        <w:tc>
          <w:tcPr>
            <w:tcW w:w="44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both January 31, 2026 and October 31, 2025</w:t>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carrying amounts of goodwill as of both January 31, 2026 and October 31, 2025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4.    Details of Certain Account Balances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expenses</w:t>
      </w:r>
    </w:p>
    <w:p>
      <w:pPr>
        <w:pStyle w:val="TextBody"/>
        <w:bidi w:val="0"/>
        <w:spacing w:before="0" w:after="0"/>
        <w:ind w:left="0" w:right="0" w:firstLine="720"/>
        <w:jc w:val="left"/>
        <w:rPr/>
      </w:pPr>
      <w:r>
        <w:rPr/>
      </w:r>
    </w:p>
    <w:tbl>
      <w:tblPr>
        <w:tblW w:w="5396" w:type="dxa"/>
        <w:jc w:val="left"/>
        <w:tblInd w:w="0" w:type="dxa"/>
        <w:tblLayout w:type="fixed"/>
        <w:tblCellMar>
          <w:top w:w="28" w:type="dxa"/>
          <w:left w:w="28" w:type="dxa"/>
          <w:bottom w:w="28" w:type="dxa"/>
          <w:right w:w="28" w:type="dxa"/>
        </w:tblCellMar>
      </w:tblPr>
      <w:tblGrid>
        <w:gridCol w:w="792"/>
        <w:gridCol w:w="695"/>
        <w:gridCol w:w="703"/>
        <w:gridCol w:w="358"/>
        <w:gridCol w:w="852"/>
        <w:gridCol w:w="199"/>
        <w:gridCol w:w="109"/>
        <w:gridCol w:w="109"/>
        <w:gridCol w:w="109"/>
        <w:gridCol w:w="353"/>
        <w:gridCol w:w="840"/>
        <w:gridCol w:w="277"/>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Freight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Outside fruit purchase</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VAT and local taxes payable</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costs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long-term liabilities</w:t>
      </w:r>
    </w:p>
    <w:p>
      <w:pPr>
        <w:pStyle w:val="TextBody"/>
        <w:bidi w:val="0"/>
        <w:spacing w:before="0" w:after="0"/>
        <w:ind w:left="0" w:right="0" w:firstLine="720"/>
        <w:jc w:val="left"/>
        <w:rPr/>
      </w:pPr>
      <w:r>
        <w:rPr/>
      </w:r>
    </w:p>
    <w:tbl>
      <w:tblPr>
        <w:tblW w:w="6866" w:type="dxa"/>
        <w:jc w:val="left"/>
        <w:tblInd w:w="0" w:type="dxa"/>
        <w:tblLayout w:type="fixed"/>
        <w:tblCellMar>
          <w:top w:w="28" w:type="dxa"/>
          <w:left w:w="28" w:type="dxa"/>
          <w:bottom w:w="28" w:type="dxa"/>
          <w:right w:w="28" w:type="dxa"/>
        </w:tblCellMar>
      </w:tblPr>
      <w:tblGrid>
        <w:gridCol w:w="1324"/>
        <w:gridCol w:w="1162"/>
        <w:gridCol w:w="1174"/>
        <w:gridCol w:w="358"/>
        <w:gridCol w:w="852"/>
        <w:gridCol w:w="199"/>
        <w:gridCol w:w="109"/>
        <w:gridCol w:w="109"/>
        <w:gridCol w:w="109"/>
        <w:gridCol w:w="353"/>
        <w:gridCol w:w="840"/>
        <w:gridCol w:w="277"/>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Uncertain tax positions</w:t>
            </w:r>
            <w:r>
              <w:rPr>
                <w:rFonts w:ascii="Arial;sans-serif" w:hAnsi="Arial;sans-serif"/>
                <w:b w:val="false"/>
                <w:color w:val="000000"/>
                <w:sz w:val="10"/>
              </w:rPr>
              <w:t>(1)</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payables to noncontrolling interest holders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(1)Includes uncertain tax positions related to both income taxes and other statutory tax reserves, plus related penalties and interest.</w:t>
      </w:r>
    </w:p>
    <w:p>
      <w:pPr>
        <w:pStyle w:val="TextBody"/>
        <w:bidi w:val="0"/>
        <w:spacing w:before="60" w:after="6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0"/>
                <wp:effectExtent l="0" t="0" r="0" b="0"/>
                <wp:wrapNone/>
                <wp:docPr id="12" name="Frame1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before="0" w:after="0"/>
        <w:jc w:val="left"/>
        <w:rPr/>
      </w:pPr>
      <w:r>
        <w:rPr/>
      </w:r>
    </w:p>
    <w:tbl>
      <w:tblPr>
        <w:tblW w:w="6083" w:type="dxa"/>
        <w:jc w:val="left"/>
        <w:tblInd w:w="0" w:type="dxa"/>
        <w:tblLayout w:type="fixed"/>
        <w:tblCellMar>
          <w:top w:w="28" w:type="dxa"/>
          <w:left w:w="28" w:type="dxa"/>
          <w:bottom w:w="28" w:type="dxa"/>
          <w:right w:w="28" w:type="dxa"/>
        </w:tblCellMar>
      </w:tblPr>
      <w:tblGrid>
        <w:gridCol w:w="1107"/>
        <w:gridCol w:w="969"/>
        <w:gridCol w:w="984"/>
        <w:gridCol w:w="109"/>
        <w:gridCol w:w="109"/>
        <w:gridCol w:w="160"/>
        <w:gridCol w:w="160"/>
        <w:gridCol w:w="160"/>
        <w:gridCol w:w="160"/>
        <w:gridCol w:w="288"/>
        <w:gridCol w:w="664"/>
        <w:gridCol w:w="160"/>
        <w:gridCol w:w="109"/>
        <w:gridCol w:w="109"/>
        <w:gridCol w:w="109"/>
        <w:gridCol w:w="196"/>
        <w:gridCol w:w="37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on derivative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amounts attributable to noncontrolling interest 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Amounts included in trade accounts receivable due from noncontrolling interest holders were $10.8 million and $5.1 million as of January 31, 2026 and October 31, 2025, respectively. Amounts included in trade accounts payable due to noncontrolling interest holders were $6.0 million and $5.3 million as of January 31, 2026 and October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5.      Variable Interest Entity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Assets of our variable interest in our blueberry joint-venture may only be used to settle its own liabilities and creditors of the entity only have recourse for the entity’s liabilities. A summary of these balances, which are included in our condensed consolidated balance sheets, is as follows:</w:t>
      </w:r>
    </w:p>
    <w:p>
      <w:pPr>
        <w:pStyle w:val="TextBody"/>
        <w:bidi w:val="0"/>
        <w:spacing w:before="0" w:after="0"/>
        <w:ind w:left="0" w:right="0" w:firstLine="720"/>
        <w:jc w:val="left"/>
        <w:rPr/>
      </w:pPr>
      <w:r>
        <w:rPr/>
      </w:r>
    </w:p>
    <w:tbl>
      <w:tblPr>
        <w:tblW w:w="4706" w:type="dxa"/>
        <w:jc w:val="left"/>
        <w:tblInd w:w="0" w:type="dxa"/>
        <w:tblLayout w:type="fixed"/>
        <w:tblCellMar>
          <w:top w:w="28" w:type="dxa"/>
          <w:left w:w="28" w:type="dxa"/>
          <w:bottom w:w="28" w:type="dxa"/>
          <w:right w:w="28" w:type="dxa"/>
        </w:tblCellMar>
      </w:tblPr>
      <w:tblGrid>
        <w:gridCol w:w="543"/>
        <w:gridCol w:w="477"/>
        <w:gridCol w:w="480"/>
        <w:gridCol w:w="358"/>
        <w:gridCol w:w="852"/>
        <w:gridCol w:w="199"/>
        <w:gridCol w:w="109"/>
        <w:gridCol w:w="109"/>
        <w:gridCol w:w="109"/>
        <w:gridCol w:w="353"/>
        <w:gridCol w:w="840"/>
        <w:gridCol w:w="277"/>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2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6.     Debt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Credit facility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Long-term debt under our syndicated credit facility with Bank of America (“BoA”) Merrill Lynch consisted of the following: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746"/>
        <w:gridCol w:w="2407"/>
        <w:gridCol w:w="2433"/>
        <w:gridCol w:w="109"/>
        <w:gridCol w:w="109"/>
        <w:gridCol w:w="109"/>
        <w:gridCol w:w="243"/>
        <w:gridCol w:w="578"/>
        <w:gridCol w:w="135"/>
        <w:gridCol w:w="109"/>
        <w:gridCol w:w="109"/>
        <w:gridCol w:w="109"/>
        <w:gridCol w:w="241"/>
        <w:gridCol w:w="575"/>
        <w:gridCol w:w="193"/>
      </w:tblGrid>
      <w:tr>
        <w:trPr/>
        <w:tc>
          <w:tcPr>
            <w:tcW w:w="2746"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7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Revolving line of credit. The interest rate is variable, based on SOFR plus a spread that varies with the Company’s leverage ratio. As of January 31, 2026 and October 31, 2025, the interest rate was 5.28% and 5.63%, respectively. Interest is payable monthly and principal is due in full in October 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(A-1). The interest rate is variable, based on SOFR plus a spread that varies with the Company’s leverage ratio. As of January 31, 2026 and October 31, 2025, the interest rate was 5.27% and 5.56%, respectively. Interest is payable monthly, principal is payable quarterly and due in full in October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(A-2). The interest rate is variable, based on SOFR plus a spread that varies with the Company’s leverage ratio. As of January 31, 2026 and October 31, 2025, the interest rate was 5.52% and 5.81% respectively. Interest is payable monthly, principal is payable quarterly and due in full in October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debt issuance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January 31, 2026, the Company was in compliance with all financial covenants of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0"/>
                <wp:effectExtent l="0" t="0" r="0" b="0"/>
                <wp:wrapNone/>
                <wp:docPr id="13" name="Frame1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may issue standby letters of credit through banking institutions. As of January 31, 2026, total letters of credit outstanding were $2.0 million.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Certain of our consolidated subsidiaries may also enter into short-term bank borrowings or supplier financing programs from time to time. Short-term bank borrowings outstanding were $1.0 million as of January 31, 2026 and $4.5 million as of October 31, 2025, with weighted average interest rates of 8.7% as of both dates. Our Blueberries business also obtains loans from shareholders from time to time. Loans outstanding due to shareholders as of January 31, 2026 accrue interest at rates ranging from 5.0 to 6.5% and are expected to be repaid by the end of fiscal 2026.</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rate swaps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(expense) income, net in the condensed consolidated statements of (loss) income and changes in the assets are presented in net cash used in operating activities in the condensed consolidated statements of cash flow. As of January 31, 2026 and October 31, 2025, a notional amount of $10 million was outstanding, carrying a fixed SOFR rate of 4.47%. Refer to Note 9 for more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7.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Agreement and Plan of Merger with Calavo Growers, Inc.</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January 14, 2026, the Company entered into an Agreement and Plan of Merger (the “Merger Agreement”), by and among Parent, Calavo Growers, Inc. and affiliates (“Calavo”). Under the terms of the Merger Agreement, Calavo stockholders will receive $27.00 per share, comprised of $14.85 in cash and 0.9790 shares of Company common stock for each share of Calavo common stock, totaling approximately $490 million in consideration at the time of the announcement. Changes in Mission Produce’s share price on the date of closing as compared to on the date of the announcement could increase or decrease the total amount of consideration.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transaction is expected to be financed by a combination of Mission Produce equity, new long-term debt borrowings, and cash on-hand. The debt financing assumes Mission obtains incremental proceeds from its amended credit facility including a $50 million increase in the revolving line of credit and $250 million of principal term loans. Mission Produce has obtained lender commitment for the additional indebtedness.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Mission Produce engaged the services of an advisory firm to assist and advise the company for the period prior to the initial mergers. Under the agreement with its advisory firm, $5.0 million will be payable from Mission Produce to the firm upon successful consummation of the mergers; this fee has not been recorded in the condensed consolidated financial statements to date.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Under the terms of the Merger Agreement, termination of the merger by Mission Produce could require Mission Produce to pay Calavo $12.9 million or $15.0 million in termination fees, depending on the circumstances of the termination. Alternatively, if Calavo terminates the merger under certain circumstances, they would be required to pay Mission Produce $12.9 million in termination fees.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Plaintiff seeks class certification, payment of wages earned and owed, liquidated damages, penalties and fees, other damages as set forth in Plaintiff’s lawsuit, and injunctive relief. A related lawsuit under the Private Attorneys General Act (“PAGA”) was also filed on December 16, 2024. On July 30, 2025, the Court granted the parties’ stipulation to dismiss the class action lawsuit and to submit the PAGA matter to mediation. The parties attended mediation on February 25, 2026. No resolution was reached at mediation. At this time, it is too soon to determine the outcome of the litigation.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0"/>
                <wp:effectExtent l="0" t="0" r="0" b="0"/>
                <wp:wrapNone/>
                <wp:docPr id="14" name="Frame1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a result, the Company has not accrued for any loss contingencies related to these claims because the amount and range of loss, if any, cannot currently be reasonably estimated.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(“OCA matter”).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(“Kachuk matter”).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On the OCA matter, the Company filed a motion to dismiss on February 25, 2025. The Court denied our motion to dismiss and allowed limited discovery on the issue of personal jurisdiction, which has been completed. The Company renewed its motion to dismiss on September 22, 2025, and Plaintiffs’ opposition was filed on March 11, 2026. On the Kachuk matter, defendants jointly filed a motion to dismiss on May 2, 2025. The Court granted defendants’ joint motion to dismiss, but allowed Plaintiffs leave to amend their complaint, which they did on October 24, 2025. Defendants thereafter jointly filed a motion to dismiss the first amended complaint on November 21, 2025. Plaintiffs filed their opposition to the first amended complaint on December 19, 2025. On January 22, 2026, the Court granted Defendants’ motion to dismiss on all grounds except for one and granted Plaintiffs narrow leave to amend to address. On January 28, 2026, Plaintiffs filed their second amended complaint. Defendants filed a renewed motion to dismiss the second amended complaint on February 25, 2026. Plaintiffs’ opposition is due March 18, 2026. The 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March 27, 2025, a fatality accident occurred at our Laredo, Texas distribution center. A complaint was filed by the decedent’s estate in court alleging various causes of action relating to alleged negligence. Plaintiff seeks survival damages, wrongful death damages, punitive damages, and other fees and costs. The Company has tendered the matter to insurance and is being represented by counsel appointed by the insurance company. The Plaintiff submitted a Stowers demand to the insurance companies for a payment equal to the maximum coverage across all tiers, which has been accepted by the insurance companies and the Company. The parties are currently working through the terms of the settlement.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March 4, 2026, a former temporary worker placed at the Company’s California packinghouse by a labor contractor utilized by the Company, filed a class action lawsuit in the Superior Court of California for the County of Ventura County against us alleging violations of certain wage and hour laws. Plaintiff seeks class certification, payment of wages earned and owed, liquidated damages, penalties and fees, other damages as set forth in Plaintiff’s lawsuit, and injunctive relief. The 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 recorded for the three months ended January 31, 2026 and 2025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January 31, 2026, the Company had $18.5 million accrued in UTP on income taxes, of which $10.4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income, net in the condensed consolidated statements of (loss)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0"/>
                <wp:effectExtent l="0" t="0" r="0" b="0"/>
                <wp:wrapNone/>
                <wp:docPr id="15" name="Frame1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Financial assets or liabilities measured and recorded at fair value on a recurring basis included in the condensed consolidated balance sheets were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71"/>
        <w:gridCol w:w="407"/>
        <w:gridCol w:w="360"/>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60"/>
        <w:gridCol w:w="540"/>
        <w:gridCol w:w="146"/>
        <w:gridCol w:w="109"/>
        <w:gridCol w:w="109"/>
        <w:gridCol w:w="109"/>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56"/>
        <w:gridCol w:w="532"/>
        <w:gridCol w:w="208"/>
      </w:tblGrid>
      <w:tr>
        <w:trPr/>
        <w:tc>
          <w:tcPr>
            <w:tcW w:w="4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 2025</w:t>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 </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r>
      <w:tr>
        <w:trPr/>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Mutual 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rate swap</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mutual fund investments relate to our deferred compensation plan, which are held in a Rabbi trust which is included in other assets in our consolidated balance sheets. The funds are measured at quoted prices in active markets, which is equivalent to their fair value.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January 31, 2026 and October 31, 2025,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income, net in the condensed consolidated statements of (loss)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10.    Earnings Per Share and Shareholder’s Equity</w:t>
      </w:r>
    </w:p>
    <w:tbl>
      <w:tblPr>
        <w:tblW w:w="10205" w:type="dxa"/>
        <w:jc w:val="center"/>
        <w:tblInd w:w="0" w:type="dxa"/>
        <w:tblLayout w:type="fixed"/>
        <w:tblCellMar>
          <w:top w:w="28" w:type="dxa"/>
          <w:left w:w="28" w:type="dxa"/>
          <w:bottom w:w="28" w:type="dxa"/>
          <w:right w:w="28" w:type="dxa"/>
        </w:tblCellMar>
      </w:tblPr>
      <w:tblGrid>
        <w:gridCol w:w="2480"/>
        <w:gridCol w:w="2165"/>
        <w:gridCol w:w="2172"/>
        <w:gridCol w:w="109"/>
        <w:gridCol w:w="109"/>
        <w:gridCol w:w="144"/>
        <w:gridCol w:w="144"/>
        <w:gridCol w:w="144"/>
        <w:gridCol w:w="144"/>
        <w:gridCol w:w="268"/>
        <w:gridCol w:w="735"/>
        <w:gridCol w:w="144"/>
        <w:gridCol w:w="109"/>
        <w:gridCol w:w="109"/>
        <w:gridCol w:w="109"/>
        <w:gridCol w:w="284"/>
        <w:gridCol w:w="677"/>
        <w:gridCol w:w="159"/>
      </w:tblGrid>
      <w:tr>
        <w:trPr/>
        <w:tc>
          <w:tcPr>
            <w:tcW w:w="248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447" w:type="dxa"/>
            <w:gridSpan w:val="6"/>
            <w:tcBorders/>
          </w:tcPr>
          <w:p>
            <w:pPr>
              <w:pStyle w:val="TableContents"/>
              <w:bidi w:val="0"/>
              <w:spacing w:before="0" w:after="283"/>
              <w:jc w:val="left"/>
              <w:rPr>
                <w:sz w:val="4"/>
                <w:szCs w:val="4"/>
              </w:rPr>
            </w:pPr>
            <w:r>
              <w:rPr>
                <w:sz w:val="4"/>
                <w:szCs w:val="4"/>
              </w:rPr>
            </w:r>
          </w:p>
        </w:tc>
      </w:tr>
      <w:tr>
        <w:trPr/>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6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70,641,613 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70,962,630 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29,607 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328,645 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63,563 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70,641,613 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71,384,445 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awards representing shares of common stock outstanding that were excluded in the computation of diluted earnings per share because their effect would have been anti-dilutive as a result of applying the treasury stock method, were as follows: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0"/>
                <wp:effectExtent l="0" t="0" r="0" b="0"/>
                <wp:wrapNone/>
                <wp:docPr id="16" name="Frame1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tbl>
      <w:tblPr>
        <w:tblW w:w="5714" w:type="dxa"/>
        <w:jc w:val="left"/>
        <w:tblInd w:w="0" w:type="dxa"/>
        <w:tblLayout w:type="fixed"/>
        <w:tblCellMar>
          <w:top w:w="28" w:type="dxa"/>
          <w:left w:w="28" w:type="dxa"/>
          <w:bottom w:w="28" w:type="dxa"/>
          <w:right w:w="28" w:type="dxa"/>
        </w:tblCellMar>
      </w:tblPr>
      <w:tblGrid>
        <w:gridCol w:w="710"/>
        <w:gridCol w:w="625"/>
        <w:gridCol w:w="629"/>
        <w:gridCol w:w="109"/>
        <w:gridCol w:w="109"/>
        <w:gridCol w:w="250"/>
        <w:gridCol w:w="250"/>
        <w:gridCol w:w="250"/>
        <w:gridCol w:w="250"/>
        <w:gridCol w:w="605"/>
        <w:gridCol w:w="266"/>
        <w:gridCol w:w="250"/>
        <w:gridCol w:w="109"/>
        <w:gridCol w:w="109"/>
        <w:gridCol w:w="109"/>
        <w:gridCol w:w="435"/>
        <w:gridCol w:w="436"/>
        <w:gridCol w:w="213"/>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411"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2,046,639 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1,699,770 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584,568 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52,211 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485,827 </w:t>
            </w:r>
          </w:p>
        </w:tc>
        <w:tc>
          <w:tcPr>
            <w:tcW w:w="2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Rights Plan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January 22, 2026 our Board of Directors approved the adoption of a limited duration stockholder rights plan (the “Rights Plan”). Under the plan, one preferred stock purchase right will be distributed for each share of common stock held by stockholders of record on February 4, 2026. Under certain circumstances, each right will entitle stockholders to buy one one-hundredth of a share of newly-created Series A Junior Participating Preferred Stock of the Company at an exercise price of $63.00. The Company’s Board of Directors may redeem the rights at $0.01 per right at any time before a person or group has acquired 15% or more of the outstanding common stock. Additionally, at any time after a person or group becomes an acquiring person and before such person or group acquires 50% or more of the outstanding common stock, the Board of Directors may exchange the outstanding rights (other than those held by the acquiring person, which will be void) for shares of common stock at an exchange rate of one share of common stock per right, subject to adjustment. Subject to limited exceptions, if a person or group acquires 15% or more of the Company’s common stock (including shares that are synthetically owned pursuant to derivative transactions or ownership of derivative securities) or announces a tender offer and the consummation of that offer would result in such ownership (we refer to such a person or group as an “acquiring person”), each right will entitle its holder to purchase, at the right’s then-current exercise price, a number of shares of common stock having a market value at that time of two times the right’s exercise price. Rights held by the acquiring person will become void and will not be exercisable. If the Company is acquired in a merger or other business combination transaction that has not been approved by the Board of Directors after the rights become exercisable, each right will entitle its holder to purchase, at the right’s then-current exercise price, a number of shares of the acquiring company’s common stock having a market value at that time of two times the right’s exercise price.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Rights Plan is effective January 21, 2026 and has a one-year duration, expiring on January 21, 2027, subject to the Company’s right to extend such date, unless earlier redeemed or exchanged by the Company or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11.     Related Party Transactions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Transactions with related parties included in the condensed consolidated financial statements were as follows:</w:t>
      </w:r>
    </w:p>
    <w:tbl>
      <w:tblPr>
        <w:tblW w:w="10205" w:type="dxa"/>
        <w:jc w:val="left"/>
        <w:tblInd w:w="0" w:type="dxa"/>
        <w:tblLayout w:type="fixed"/>
        <w:tblCellMar>
          <w:top w:w="28" w:type="dxa"/>
          <w:left w:w="28" w:type="dxa"/>
          <w:bottom w:w="28" w:type="dxa"/>
          <w:right w:w="28" w:type="dxa"/>
        </w:tblCellMar>
      </w:tblPr>
      <w:tblGrid>
        <w:gridCol w:w="463"/>
        <w:gridCol w:w="208"/>
        <w:gridCol w:w="210"/>
        <w:gridCol w:w="209"/>
        <w:gridCol w:w="471"/>
        <w:gridCol w:w="127"/>
        <w:gridCol w:w="109"/>
        <w:gridCol w:w="109"/>
        <w:gridCol w:w="109"/>
        <w:gridCol w:w="247"/>
        <w:gridCol w:w="553"/>
        <w:gridCol w:w="149"/>
        <w:gridCol w:w="109"/>
        <w:gridCol w:w="109"/>
        <w:gridCol w:w="109"/>
        <w:gridCol w:w="244"/>
        <w:gridCol w:w="549"/>
        <w:gridCol w:w="148"/>
        <w:gridCol w:w="109"/>
        <w:gridCol w:w="109"/>
        <w:gridCol w:w="109"/>
        <w:gridCol w:w="206"/>
        <w:gridCol w:w="462"/>
        <w:gridCol w:w="123"/>
        <w:gridCol w:w="109"/>
        <w:gridCol w:w="109"/>
        <w:gridCol w:w="109"/>
        <w:gridCol w:w="209"/>
        <w:gridCol w:w="471"/>
        <w:gridCol w:w="127"/>
        <w:gridCol w:w="109"/>
        <w:gridCol w:w="109"/>
        <w:gridCol w:w="109"/>
        <w:gridCol w:w="247"/>
        <w:gridCol w:w="553"/>
        <w:gridCol w:w="149"/>
        <w:gridCol w:w="109"/>
        <w:gridCol w:w="109"/>
        <w:gridCol w:w="109"/>
        <w:gridCol w:w="267"/>
        <w:gridCol w:w="512"/>
        <w:gridCol w:w="162"/>
        <w:gridCol w:w="109"/>
        <w:gridCol w:w="109"/>
        <w:gridCol w:w="109"/>
        <w:gridCol w:w="204"/>
        <w:gridCol w:w="458"/>
        <w:gridCol w:w="188"/>
      </w:tblGrid>
      <w:tr>
        <w:trPr/>
        <w:tc>
          <w:tcPr>
            <w:tcW w:w="4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Condensed Consolidated Balance Sheets</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October 31, 2025</w:t>
            </w:r>
          </w:p>
        </w:tc>
      </w:tr>
      <w:tr>
        <w:trPr/>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r>
      <w:tr>
        <w:trPr/>
        <w:tc>
          <w:tcPr>
            <w:tcW w:w="168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Mr. Avocado</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6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57" w:type="dxa"/>
        <w:jc w:val="left"/>
        <w:tblInd w:w="0" w:type="dxa"/>
        <w:tblLayout w:type="fixed"/>
        <w:tblCellMar>
          <w:top w:w="28" w:type="dxa"/>
          <w:left w:w="28" w:type="dxa"/>
          <w:bottom w:w="28" w:type="dxa"/>
          <w:right w:w="28" w:type="dxa"/>
        </w:tblCellMar>
      </w:tblPr>
      <w:tblGrid>
        <w:gridCol w:w="631"/>
        <w:gridCol w:w="551"/>
        <w:gridCol w:w="557"/>
        <w:gridCol w:w="183"/>
        <w:gridCol w:w="411"/>
        <w:gridCol w:w="110"/>
        <w:gridCol w:w="109"/>
        <w:gridCol w:w="109"/>
        <w:gridCol w:w="109"/>
        <w:gridCol w:w="269"/>
        <w:gridCol w:w="514"/>
        <w:gridCol w:w="162"/>
        <w:gridCol w:w="109"/>
        <w:gridCol w:w="109"/>
        <w:gridCol w:w="109"/>
        <w:gridCol w:w="304"/>
        <w:gridCol w:w="683"/>
        <w:gridCol w:w="183"/>
        <w:gridCol w:w="109"/>
        <w:gridCol w:w="109"/>
        <w:gridCol w:w="109"/>
        <w:gridCol w:w="183"/>
        <w:gridCol w:w="411"/>
        <w:gridCol w:w="110"/>
        <w:gridCol w:w="109"/>
        <w:gridCol w:w="109"/>
        <w:gridCol w:w="109"/>
        <w:gridCol w:w="246"/>
        <w:gridCol w:w="551"/>
        <w:gridCol w:w="148"/>
        <w:gridCol w:w="109"/>
        <w:gridCol w:w="109"/>
        <w:gridCol w:w="109"/>
        <w:gridCol w:w="297"/>
        <w:gridCol w:w="666"/>
        <w:gridCol w:w="252"/>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Condensed Consolidated Statements of (Loss) Income</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7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January 31, 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5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342" w:type="dxa"/>
            <w:gridSpan w:val="24"/>
            <w:tcBorders/>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 xml:space="preserve">(1)The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0"/>
                <wp:effectExtent l="0" t="0" r="0" b="0"/>
                <wp:wrapNone/>
                <wp:docPr id="17" name="Frame1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60" w:after="60"/>
        <w:jc w:val="left"/>
        <w:rPr>
          <w:rFonts w:ascii="Arial;sans-serif" w:hAnsi="Arial;sans-serif"/>
          <w:b w:val="false"/>
          <w:color w:val="000000"/>
          <w:sz w:val="14"/>
        </w:rPr>
      </w:pPr>
      <w:r>
        <w:rPr>
          <w:rFonts w:ascii="Arial;sans-serif" w:hAnsi="Arial;sans-serif"/>
          <w:b w:val="false"/>
          <w:color w:val="000000"/>
          <w:sz w:val="14"/>
        </w:rPr>
        <w:t xml:space="preserve">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(loss) income. The portion of lease costs attributable to noncontrolling interest, net of income taxes, was $0.2 million for both the three months ended January 31, 2026 and 2025; amounts were included as part of net income attributable to noncontrolling interest in the condensed consolidated statements of (loss) income. </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12.     Segment and Revenue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three operating segments which are also reportable segments. Our reportable segments are presented based on how information is used by our CEO, who is the chief operating decision maker, to measure performance and allocate resources.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Marketing &amp; Distribution. </w:t>
      </w:r>
      <w:r>
        <w:rPr>
          <w:rFonts w:ascii="Arial;sans-serif" w:hAnsi="Arial;sans-serif"/>
          <w:b w:val="false"/>
          <w:color w:val="000000"/>
          <w:sz w:val="16"/>
        </w:rPr>
        <w:t xml:space="preserve">Our Marketing &amp; Distribution reportable segment sources fruit from growers and then distributes the fruit through our global distribution network.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International Farming. </w:t>
      </w:r>
      <w:r>
        <w:rPr>
          <w:rFonts w:ascii="Arial;sans-serif" w:hAnsi="Arial;sans-serif"/>
          <w:b w:val="false"/>
          <w:color w:val="000000"/>
          <w:sz w:val="16"/>
        </w:rPr>
        <w:t xml:space="preserve">International Farming owns and operates orchards from which the vast majority of fruit produced is sold to our Marketing &amp;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consists of farming activities that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following table provides information for each of our reportable segments and reconciliations to consolidated income before taxes.</w:t>
      </w:r>
    </w:p>
    <w:tbl>
      <w:tblPr>
        <w:tblW w:w="10205" w:type="dxa"/>
        <w:jc w:val="left"/>
        <w:tblInd w:w="0" w:type="dxa"/>
        <w:tblLayout w:type="fixed"/>
        <w:tblCellMar>
          <w:top w:w="28" w:type="dxa"/>
          <w:left w:w="28" w:type="dxa"/>
          <w:bottom w:w="28" w:type="dxa"/>
          <w:right w:w="28" w:type="dxa"/>
        </w:tblCellMar>
      </w:tblPr>
      <w:tblGrid>
        <w:gridCol w:w="1371"/>
        <w:gridCol w:w="1155"/>
        <w:gridCol w:w="1159"/>
        <w:gridCol w:w="434"/>
        <w:gridCol w:w="1237"/>
        <w:gridCol w:w="244"/>
        <w:gridCol w:w="109"/>
        <w:gridCol w:w="109"/>
        <w:gridCol w:w="109"/>
        <w:gridCol w:w="490"/>
        <w:gridCol w:w="942"/>
        <w:gridCol w:w="275"/>
        <w:gridCol w:w="109"/>
        <w:gridCol w:w="109"/>
        <w:gridCol w:w="109"/>
        <w:gridCol w:w="255"/>
        <w:gridCol w:w="608"/>
        <w:gridCol w:w="143"/>
        <w:gridCol w:w="109"/>
        <w:gridCol w:w="109"/>
        <w:gridCol w:w="109"/>
        <w:gridCol w:w="196"/>
        <w:gridCol w:w="556"/>
        <w:gridCol w:w="159"/>
      </w:tblGrid>
      <w:tr>
        <w:trPr/>
        <w:tc>
          <w:tcPr>
            <w:tcW w:w="137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1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Total</w:t>
            </w:r>
          </w:p>
        </w:tc>
      </w:tr>
      <w:tr>
        <w:trPr/>
        <w:tc>
          <w:tcPr>
            <w:tcW w:w="3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Three months ended January 31, 2026:</w:t>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Third-party sales</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234.8 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Reconciliation of revenue</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Elimination of affiliated sales</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consolidated sales</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cost of sales</w:t>
            </w:r>
            <w:r>
              <w:rPr>
                <w:rFonts w:ascii="Arial;sans-serif" w:hAnsi="Arial;sans-serif"/>
                <w:b w:val="false"/>
                <w:color w:val="000000"/>
                <w:sz w:val="10"/>
              </w:rPr>
              <w:t>(1)</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selling, general and administrative expenses</w:t>
            </w:r>
            <w:r>
              <w:rPr>
                <w:rFonts w:ascii="Arial;sans-serif" w:hAnsi="Arial;sans-serif"/>
                <w:b w:val="false"/>
                <w:color w:val="000000"/>
                <w:sz w:val="10"/>
              </w:rPr>
              <w:t>(2)</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income</w:t>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method income</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Three months ended January 31, 2025:</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Third-party sales</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Reconciliation of revenue</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Elimination of affiliated sales</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consolidated sales</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cost of sales</w:t>
            </w:r>
            <w:r>
              <w:rPr>
                <w:rFonts w:ascii="Arial;sans-serif" w:hAnsi="Arial;sans-serif"/>
                <w:b w:val="false"/>
                <w:color w:val="000000"/>
                <w:sz w:val="10"/>
              </w:rPr>
              <w:t>(1)</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selling, general and administrative expenses</w:t>
            </w:r>
            <w:r>
              <w:rPr>
                <w:rFonts w:ascii="Arial;sans-serif" w:hAnsi="Arial;sans-serif"/>
                <w:b w:val="false"/>
                <w:color w:val="000000"/>
                <w:sz w:val="10"/>
              </w:rPr>
              <w:t>(2)</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income (loss)</w:t>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0"/>
                <wp:effectExtent l="0" t="0" r="0" b="0"/>
                <wp:wrapNone/>
                <wp:docPr id="18" name="Frame1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tbl>
      <w:tblPr>
        <w:tblW w:w="8755" w:type="dxa"/>
        <w:jc w:val="left"/>
        <w:tblInd w:w="0" w:type="dxa"/>
        <w:tblLayout w:type="fixed"/>
        <w:tblCellMar>
          <w:top w:w="28" w:type="dxa"/>
          <w:left w:w="28" w:type="dxa"/>
          <w:bottom w:w="28" w:type="dxa"/>
          <w:right w:w="28" w:type="dxa"/>
        </w:tblCellMar>
      </w:tblPr>
      <w:tblGrid>
        <w:gridCol w:w="793"/>
        <w:gridCol w:w="697"/>
        <w:gridCol w:w="699"/>
        <w:gridCol w:w="679"/>
        <w:gridCol w:w="679"/>
        <w:gridCol w:w="681"/>
        <w:gridCol w:w="109"/>
        <w:gridCol w:w="109"/>
        <w:gridCol w:w="109"/>
        <w:gridCol w:w="604"/>
        <w:gridCol w:w="604"/>
        <w:gridCol w:w="606"/>
        <w:gridCol w:w="109"/>
        <w:gridCol w:w="109"/>
        <w:gridCol w:w="109"/>
        <w:gridCol w:w="335"/>
        <w:gridCol w:w="335"/>
        <w:gridCol w:w="336"/>
        <w:gridCol w:w="109"/>
        <w:gridCol w:w="109"/>
        <w:gridCol w:w="109"/>
        <w:gridCol w:w="196"/>
        <w:gridCol w:w="37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2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method income</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income, net</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20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000000"/>
          <w:sz w:val="14"/>
        </w:rPr>
      </w:pPr>
      <w:r>
        <w:rPr>
          <w:rFonts w:ascii="Arial;sans-serif" w:hAnsi="Arial;sans-serif"/>
          <w:b w:val="false"/>
          <w:color w:val="000000"/>
          <w:sz w:val="14"/>
        </w:rPr>
        <w:t>(1)Segment cost of sales for each reportable segment included:</w:t>
      </w:r>
    </w:p>
    <w:p>
      <w:pPr>
        <w:pStyle w:val="TextBody"/>
        <w:bidi w:val="0"/>
        <w:spacing w:lineRule="auto" w:line="288" w:before="60" w:after="60"/>
        <w:ind w:left="0" w:right="0" w:hanging="270"/>
        <w:jc w:val="left"/>
        <w:rPr/>
      </w:pPr>
      <w:r>
        <w:rPr>
          <w:color w:val="000000"/>
        </w:rPr>
        <w:t>•</w:t>
      </w:r>
      <w:r>
        <w:rPr>
          <w:rFonts w:ascii="Arial;sans-serif" w:hAnsi="Arial;sans-serif"/>
          <w:b w:val="false"/>
          <w:color w:val="000000"/>
          <w:sz w:val="14"/>
        </w:rPr>
        <w:t>Marketing &amp; Distribution—fruit costs, employee-related expenses, freight, packaging costs, depreciation, and other costs.</w:t>
      </w:r>
    </w:p>
    <w:p>
      <w:pPr>
        <w:pStyle w:val="TextBody"/>
        <w:bidi w:val="0"/>
        <w:spacing w:lineRule="auto" w:line="288" w:before="60" w:after="60"/>
        <w:ind w:left="0" w:right="0" w:hanging="270"/>
        <w:jc w:val="left"/>
        <w:rPr/>
      </w:pPr>
      <w:r>
        <w:rPr>
          <w:color w:val="000000"/>
        </w:rPr>
        <w:t>•</w:t>
      </w:r>
      <w:r>
        <w:rPr>
          <w:rFonts w:ascii="Arial;sans-serif" w:hAnsi="Arial;sans-serif"/>
          <w:b w:val="false"/>
          <w:color w:val="000000"/>
          <w:sz w:val="14"/>
        </w:rPr>
        <w:t>International Farming and Blueberries—employee-related expenses, farming costs, packaging costs, depreciation and other costs.</w:t>
      </w:r>
    </w:p>
    <w:p>
      <w:pPr>
        <w:pStyle w:val="TextBody"/>
        <w:bidi w:val="0"/>
        <w:spacing w:lineRule="auto" w:line="288" w:before="60" w:after="60"/>
        <w:ind w:left="0" w:right="0" w:hanging="360"/>
        <w:jc w:val="left"/>
        <w:rPr>
          <w:rFonts w:ascii="Arial;sans-serif" w:hAnsi="Arial;sans-serif"/>
          <w:b w:val="false"/>
          <w:color w:val="000000"/>
          <w:sz w:val="14"/>
        </w:rPr>
      </w:pPr>
      <w:r>
        <w:rPr>
          <w:rFonts w:ascii="Arial;sans-serif" w:hAnsi="Arial;sans-serif"/>
          <w:b w:val="false"/>
          <w:color w:val="000000"/>
          <w:sz w:val="14"/>
        </w:rPr>
        <w:t>(2)Segment selling, general and administrative expenses for each reportable segment included employee-related expenses including performance-based stock compensation expense and statutory profit-sharing expense, professional fees, and other general corporate expenses.</w:t>
      </w:r>
    </w:p>
    <w:p>
      <w:pPr>
        <w:pStyle w:val="TextBody"/>
        <w:bidi w:val="0"/>
        <w:spacing w:before="60" w:after="6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information by segment is as follows.</w:t>
      </w:r>
    </w:p>
    <w:tbl>
      <w:tblPr>
        <w:tblW w:w="7358" w:type="dxa"/>
        <w:jc w:val="left"/>
        <w:tblInd w:w="0" w:type="dxa"/>
        <w:tblLayout w:type="fixed"/>
        <w:tblCellMar>
          <w:top w:w="28" w:type="dxa"/>
          <w:left w:w="28" w:type="dxa"/>
          <w:bottom w:w="28" w:type="dxa"/>
          <w:right w:w="28" w:type="dxa"/>
        </w:tblCellMar>
      </w:tblPr>
      <w:tblGrid>
        <w:gridCol w:w="1537"/>
        <w:gridCol w:w="1344"/>
        <w:gridCol w:w="1364"/>
        <w:gridCol w:w="109"/>
        <w:gridCol w:w="109"/>
        <w:gridCol w:w="158"/>
        <w:gridCol w:w="158"/>
        <w:gridCol w:w="158"/>
        <w:gridCol w:w="158"/>
        <w:gridCol w:w="285"/>
        <w:gridCol w:w="677"/>
        <w:gridCol w:w="158"/>
        <w:gridCol w:w="109"/>
        <w:gridCol w:w="109"/>
        <w:gridCol w:w="109"/>
        <w:gridCol w:w="196"/>
        <w:gridCol w:w="46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143" w:type="dxa"/>
            <w:gridSpan w:val="6"/>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Depreciation and amortization expense by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Blueberries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 by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Blueberries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sales information is as follows.</w:t>
      </w:r>
    </w:p>
    <w:tbl>
      <w:tblPr>
        <w:tblW w:w="4852" w:type="dxa"/>
        <w:jc w:val="left"/>
        <w:tblInd w:w="0" w:type="dxa"/>
        <w:tblLayout w:type="fixed"/>
        <w:tblCellMar>
          <w:top w:w="28" w:type="dxa"/>
          <w:left w:w="28" w:type="dxa"/>
          <w:bottom w:w="28" w:type="dxa"/>
          <w:right w:w="28" w:type="dxa"/>
        </w:tblCellMar>
      </w:tblPr>
      <w:tblGrid>
        <w:gridCol w:w="597"/>
        <w:gridCol w:w="523"/>
        <w:gridCol w:w="529"/>
        <w:gridCol w:w="109"/>
        <w:gridCol w:w="109"/>
        <w:gridCol w:w="147"/>
        <w:gridCol w:w="147"/>
        <w:gridCol w:w="147"/>
        <w:gridCol w:w="147"/>
        <w:gridCol w:w="265"/>
        <w:gridCol w:w="752"/>
        <w:gridCol w:w="147"/>
        <w:gridCol w:w="109"/>
        <w:gridCol w:w="109"/>
        <w:gridCol w:w="109"/>
        <w:gridCol w:w="196"/>
        <w:gridCol w:w="55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Avocado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Mango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customer 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278.6 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12.    Subsequent Event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February 20, 2026, the Supreme Court declared that the International Emergency Economic Powers Act (“IEEPA”) does not grant the Executive Branch the power to tax, and thus recent tariffs imposed by the current administration are illegal. The decision did not address refunds, leaving significant uncertainty regarding the availability, timing, and mechanics of obtaining refunds for tariffs previously paid. As a result, we cannot reasonably estimate the potential impact, if any, to our business, therefore no amounts have been recognized in our consolidated financial statements. We continue to monitor and evaluate new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0"/>
                <wp:effectExtent l="0" t="0" r="0" b="0"/>
                <wp:wrapNone/>
                <wp:docPr id="19" name="Frame1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a world leader in sourcing, producing, growing and distributing Hass avocados, serving retail, wholesale and foodservice customers. We source, produce, pack and distribute avocados along with other fruits, including mangos,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three operating segments which are also reportable segments:</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Marketing &amp; Distribution. </w:t>
      </w:r>
      <w:r>
        <w:rPr>
          <w:rFonts w:ascii="Arial;sans-serif" w:hAnsi="Arial;sans-serif"/>
          <w:b w:val="false"/>
          <w:color w:val="000000"/>
          <w:sz w:val="16"/>
        </w:rPr>
        <w:t xml:space="preserve">Our Marketing &amp; Distribution reportable segment sources fruit from growers and then distributes the fruit through our global distribution network.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color w:val="000000"/>
        </w:rPr>
        <w:t xml:space="preserve"> </w:t>
      </w:r>
      <w:r>
        <w:rPr>
          <w:rFonts w:ascii="Arial;sans-serif" w:hAnsi="Arial;sans-serif"/>
          <w:b w:val="false"/>
          <w:color w:val="000000"/>
          <w:sz w:val="16"/>
        </w:rPr>
        <w:t xml:space="preserve">International Farming owns and operates orchards from which the vast majority of fruit produced is sold to our Marketing &amp;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Blueberries. </w:t>
      </w:r>
      <w:r>
        <w:rPr>
          <w:rFonts w:ascii="Arial;sans-serif" w:hAnsi="Arial;sans-serif"/>
          <w:b w:val="false"/>
          <w:color w:val="000000"/>
          <w:sz w:val="16"/>
        </w:rPr>
        <w:t>The Blueberries segment consists of farming activities that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Agreement and Plan of Merger with Calavo Growers, Inc.</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January 14, 2026, the Company entered into an Agreement and Plan of Merger (the “Merger Agreement”) with Calavo Growers, Inc. and its affiliates (“Calavo”). Calavo is a leading provider of fresh avocados, tomatoes, papayas, and value-added prepared foods, including a variety of ready-to-eat products such as guacamole and salsas. Its products are sold under the Calavo brand name, proprietary sub-brands, as well as private labels and store brands. Under the terms of the Merger Agreement, Calavo stockholders will receive $14.85 in cash per share and 0.9790 shares of Company common stock for each share of Calavo common stock, totalling approximately $490 million in consideration at the time of the announcement. Changes in Mission Produce’s share price on the date of closing as compared to on the date of the announcement could increase or decrease the total amount of consideration.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transaction will enhance Mission’s position in the North American avocado category with expanded supply reliability across Mexico and California. The transaction also represents entry for Mission into the high-growth and attractive prepared food sector, complementing our existing value-add avocado business. The transaction also provides a significant value opportunity for both Mission and Calavo shareholders to realize cost synergies and SG&amp;A savings. The transaction is expected to close in the third fiscal quarter of 2026, subject to the receipt of required regulatory approvals, the approvals of Mission and Calavo shareholders, and the satisfaction of other customary closing conditions.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Rights Plan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Additionally, in response to a sudden increase in ownership by an activist investor and in order to provide the Board with time to make informed decisions in the best interests of the Company and its shareholders, on January 21, 2026, the Board adopted a shareholder rights plan (the "Rights Agreement") and declared a dividend of one right in respect of each of the Company’s issued and outstanding shares of common stock (the “Rights”), which would have caused substantial dilution to any person or group acquiring 15 percent or more of the Company’s outstanding common stock without the prior approval of the Board. The Rights Agreement was designed to deter the acquisition of actual, de facto, or negative control of the Company by any person or group without appropriately compensating its Shareholders for that control.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0"/>
                <wp:effectExtent l="0" t="0" r="0" b="0"/>
                <wp:wrapNone/>
                <wp:docPr id="20" name="Frame2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tariffs;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typically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pStyle w:val="TextBody"/>
        <w:bidi w:val="0"/>
        <w:spacing w:before="0" w:after="0"/>
        <w:ind w:left="0" w:right="0" w:firstLine="720"/>
        <w:jc w:val="left"/>
        <w:rPr/>
      </w:pPr>
      <w:r>
        <w:rPr/>
      </w:r>
    </w:p>
    <w:tbl>
      <w:tblPr>
        <w:tblW w:w="8248" w:type="dxa"/>
        <w:jc w:val="center"/>
        <w:tblInd w:w="0" w:type="dxa"/>
        <w:tblLayout w:type="fixed"/>
        <w:tblCellMar>
          <w:top w:w="28" w:type="dxa"/>
          <w:left w:w="28" w:type="dxa"/>
          <w:bottom w:w="28" w:type="dxa"/>
          <w:right w:w="28" w:type="dxa"/>
        </w:tblCellMar>
      </w:tblPr>
      <w:tblGrid>
        <w:gridCol w:w="1336"/>
        <w:gridCol w:w="1175"/>
        <w:gridCol w:w="1179"/>
        <w:gridCol w:w="109"/>
        <w:gridCol w:w="109"/>
        <w:gridCol w:w="126"/>
        <w:gridCol w:w="126"/>
        <w:gridCol w:w="126"/>
        <w:gridCol w:w="126"/>
        <w:gridCol w:w="126"/>
        <w:gridCol w:w="126"/>
        <w:gridCol w:w="227"/>
        <w:gridCol w:w="644"/>
        <w:gridCol w:w="126"/>
        <w:gridCol w:w="210"/>
        <w:gridCol w:w="211"/>
        <w:gridCol w:w="256"/>
        <w:gridCol w:w="109"/>
        <w:gridCol w:w="109"/>
        <w:gridCol w:w="109"/>
        <w:gridCol w:w="196"/>
        <w:gridCol w:w="556"/>
        <w:gridCol w:w="109"/>
        <w:gridCol w:w="210"/>
        <w:gridCol w:w="211"/>
        <w:gridCol w:w="301"/>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2587" w:type="dxa"/>
            <w:gridSpan w:val="1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583"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for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6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pStyle w:val="TextBody"/>
        <w:bidi w:val="0"/>
        <w:spacing w:before="0" w:after="0"/>
        <w:ind w:left="0" w:right="0" w:firstLine="720"/>
        <w:jc w:val="left"/>
        <w:rPr/>
      </w:pPr>
      <w:r>
        <w:rPr/>
      </w:r>
    </w:p>
    <w:tbl>
      <w:tblPr>
        <w:tblW w:w="5213" w:type="dxa"/>
        <w:jc w:val="center"/>
        <w:tblInd w:w="0" w:type="dxa"/>
        <w:tblLayout w:type="fixed"/>
        <w:tblCellMar>
          <w:top w:w="28" w:type="dxa"/>
          <w:left w:w="28" w:type="dxa"/>
          <w:bottom w:w="28" w:type="dxa"/>
          <w:right w:w="28" w:type="dxa"/>
        </w:tblCellMar>
      </w:tblPr>
      <w:tblGrid>
        <w:gridCol w:w="727"/>
        <w:gridCol w:w="638"/>
        <w:gridCol w:w="645"/>
        <w:gridCol w:w="109"/>
        <w:gridCol w:w="109"/>
        <w:gridCol w:w="147"/>
        <w:gridCol w:w="147"/>
        <w:gridCol w:w="147"/>
        <w:gridCol w:w="147"/>
        <w:gridCol w:w="265"/>
        <w:gridCol w:w="752"/>
        <w:gridCol w:w="147"/>
        <w:gridCol w:w="109"/>
        <w:gridCol w:w="109"/>
        <w:gridCol w:w="109"/>
        <w:gridCol w:w="196"/>
        <w:gridCol w:w="55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 by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278.6 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decreased $55.6 million or 17% in the three months ended January 31, 2026 compared to the same period last year, primarily driven by our Marketing &amp; Distribution segment, where a decrease in per-unit avocado sales prices of 30% was partially offset by an increase in avocado volume sold of 14%. Volume and price movements were driven by increased Mexican avocado supply due to higher yields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0"/>
                <wp:effectExtent l="0" t="0" r="0" b="0"/>
                <wp:wrapNone/>
                <wp:docPr id="21" name="Frame2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Gross profit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Logistics costs include land and sea transportation and expenses related to port facilities and distribution centers as well as tariffs/import duties.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tbl>
      <w:tblPr>
        <w:tblW w:w="5852" w:type="dxa"/>
        <w:jc w:val="center"/>
        <w:tblInd w:w="0" w:type="dxa"/>
        <w:tblLayout w:type="fixed"/>
        <w:tblCellMar>
          <w:top w:w="28" w:type="dxa"/>
          <w:left w:w="28" w:type="dxa"/>
          <w:bottom w:w="28" w:type="dxa"/>
          <w:right w:w="28" w:type="dxa"/>
        </w:tblCellMar>
      </w:tblPr>
      <w:tblGrid>
        <w:gridCol w:w="1027"/>
        <w:gridCol w:w="899"/>
        <w:gridCol w:w="908"/>
        <w:gridCol w:w="109"/>
        <w:gridCol w:w="109"/>
        <w:gridCol w:w="141"/>
        <w:gridCol w:w="141"/>
        <w:gridCol w:w="141"/>
        <w:gridCol w:w="141"/>
        <w:gridCol w:w="254"/>
        <w:gridCol w:w="604"/>
        <w:gridCol w:w="332"/>
        <w:gridCol w:w="109"/>
        <w:gridCol w:w="109"/>
        <w:gridCol w:w="109"/>
        <w:gridCol w:w="231"/>
        <w:gridCol w:w="145"/>
        <w:gridCol w:w="343"/>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046" w:type="dxa"/>
            <w:gridSpan w:val="6"/>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w:t>
            </w:r>
          </w:p>
        </w:tc>
      </w:tr>
      <w:tr>
        <w:trPr/>
        <w:tc>
          <w:tcPr>
            <w:tcW w:w="28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as a percentage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3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3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was flat for the three months ended January 31, 2026, while gross profit percentage increased 190 basis points compared to the same period last year, to 11.3% of revenue. Gross profit margin improved in our Marketing and Distribution segment due to higher volumes and improved per-unit margins, while gross profit margin in our Blueberries segment was lower due to lower per-acre yield resulting in higher per-unit fruit production costs.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SG&amp;A</w:t>
      </w:r>
    </w:p>
    <w:p>
      <w:pPr>
        <w:pStyle w:val="TextBody"/>
        <w:bidi w:val="0"/>
        <w:spacing w:lineRule="auto" w:line="288" w:before="240" w:after="120"/>
        <w:ind w:left="0" w:right="0" w:firstLine="720"/>
        <w:jc w:val="left"/>
        <w:rPr>
          <w:rFonts w:ascii="Arial;sans-serif" w:hAnsi="Arial;sans-serif"/>
          <w:b w:val="false"/>
          <w:color w:val="000000"/>
          <w:sz w:val="16"/>
        </w:rPr>
      </w:pPr>
      <w:r>
        <w:rPr>
          <w:rFonts w:ascii="Arial;sans-serif" w:hAnsi="Arial;sans-serif"/>
          <w:b w:val="false"/>
          <w:color w:val="000000"/>
          <w:sz w:val="16"/>
        </w:rPr>
        <w:t>Selling, general and administrative (“SG&amp;A”) expenses primarily include the costs associated with selling, professional fees, general corporate overhead and other related administrative functions.</w:t>
      </w:r>
    </w:p>
    <w:tbl>
      <w:tblPr>
        <w:tblW w:w="6457" w:type="dxa"/>
        <w:jc w:val="center"/>
        <w:tblInd w:w="0" w:type="dxa"/>
        <w:tblLayout w:type="fixed"/>
        <w:tblCellMar>
          <w:top w:w="28" w:type="dxa"/>
          <w:left w:w="28" w:type="dxa"/>
          <w:bottom w:w="28" w:type="dxa"/>
          <w:right w:w="28" w:type="dxa"/>
        </w:tblCellMar>
      </w:tblPr>
      <w:tblGrid>
        <w:gridCol w:w="1209"/>
        <w:gridCol w:w="1060"/>
        <w:gridCol w:w="1075"/>
        <w:gridCol w:w="109"/>
        <w:gridCol w:w="109"/>
        <w:gridCol w:w="158"/>
        <w:gridCol w:w="158"/>
        <w:gridCol w:w="158"/>
        <w:gridCol w:w="158"/>
        <w:gridCol w:w="285"/>
        <w:gridCol w:w="677"/>
        <w:gridCol w:w="158"/>
        <w:gridCol w:w="109"/>
        <w:gridCol w:w="109"/>
        <w:gridCol w:w="109"/>
        <w:gridCol w:w="196"/>
        <w:gridCol w:w="46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143" w:type="dxa"/>
            <w:gridSpan w:val="6"/>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33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SG&amp;A expenses increased $6.9 million or 31% in the three months ended January 31, 2026 compared to the same period last year. The increases were primarily due to transaction advisory costs of $7.0 million associated with the Calavo acquisition, comprised of third-party legal, diligence, and other costs.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expense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0"/>
                <wp:effectExtent l="0" t="0" r="0" b="0"/>
                <wp:wrapNone/>
                <wp:docPr id="22" name="Frame2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ind w:left="0" w:right="0" w:firstLine="720"/>
        <w:jc w:val="left"/>
        <w:rPr/>
      </w:pPr>
      <w:r>
        <w:rPr/>
      </w:r>
    </w:p>
    <w:tbl>
      <w:tblPr>
        <w:tblW w:w="4374" w:type="dxa"/>
        <w:jc w:val="center"/>
        <w:tblInd w:w="0" w:type="dxa"/>
        <w:tblLayout w:type="fixed"/>
        <w:tblCellMar>
          <w:top w:w="28" w:type="dxa"/>
          <w:left w:w="28" w:type="dxa"/>
          <w:bottom w:w="28" w:type="dxa"/>
          <w:right w:w="28" w:type="dxa"/>
        </w:tblCellMar>
      </w:tblPr>
      <w:tblGrid>
        <w:gridCol w:w="488"/>
        <w:gridCol w:w="428"/>
        <w:gridCol w:w="433"/>
        <w:gridCol w:w="109"/>
        <w:gridCol w:w="109"/>
        <w:gridCol w:w="171"/>
        <w:gridCol w:w="171"/>
        <w:gridCol w:w="171"/>
        <w:gridCol w:w="171"/>
        <w:gridCol w:w="308"/>
        <w:gridCol w:w="591"/>
        <w:gridCol w:w="171"/>
        <w:gridCol w:w="109"/>
        <w:gridCol w:w="109"/>
        <w:gridCol w:w="109"/>
        <w:gridCol w:w="196"/>
        <w:gridCol w:w="37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decreased $0.5 million or 23% in the three months ended January 31, 2026 compared to the same period last year. The decrease was due to lower average balances on our revolving line of credit and lower interest rates on our borrowings under our credit facility. Interest rates applicable to our credit facility are variable, based on SOFR and a spread depending on our net leverage ratio.</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Equity method income</w:t>
      </w:r>
    </w:p>
    <w:p>
      <w:pPr>
        <w:pStyle w:val="TextBody"/>
        <w:bidi w:val="0"/>
        <w:spacing w:lineRule="auto" w:line="288" w:before="240" w:after="240"/>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material equity method investees include Henry Avocado (“HAC”), Mr. Avocado and Copaltas. </w:t>
      </w:r>
    </w:p>
    <w:tbl>
      <w:tblPr>
        <w:tblW w:w="4749" w:type="dxa"/>
        <w:jc w:val="center"/>
        <w:tblInd w:w="0" w:type="dxa"/>
        <w:tblLayout w:type="fixed"/>
        <w:tblCellMar>
          <w:top w:w="28" w:type="dxa"/>
          <w:left w:w="28" w:type="dxa"/>
          <w:bottom w:w="28" w:type="dxa"/>
          <w:right w:w="28" w:type="dxa"/>
        </w:tblCellMar>
      </w:tblPr>
      <w:tblGrid>
        <w:gridCol w:w="624"/>
        <w:gridCol w:w="547"/>
        <w:gridCol w:w="553"/>
        <w:gridCol w:w="109"/>
        <w:gridCol w:w="109"/>
        <w:gridCol w:w="171"/>
        <w:gridCol w:w="171"/>
        <w:gridCol w:w="171"/>
        <w:gridCol w:w="171"/>
        <w:gridCol w:w="308"/>
        <w:gridCol w:w="591"/>
        <w:gridCol w:w="171"/>
        <w:gridCol w:w="109"/>
        <w:gridCol w:w="109"/>
        <w:gridCol w:w="109"/>
        <w:gridCol w:w="196"/>
        <w:gridCol w:w="37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7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Equity method income increased $0.7 million or 88% in the three months ended January 31, 2026 compared to the same period last year. Equity method income is mostly comprised of earnings in our investment in Henry Avocado Corporation.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Other (expense) income, net consists of interest income, currency exchange gains or losses, interest rate derivative gains or losses and other miscellaneous income and expense items.</w:t>
      </w:r>
    </w:p>
    <w:p>
      <w:pPr>
        <w:pStyle w:val="TextBody"/>
        <w:bidi w:val="0"/>
        <w:spacing w:before="0" w:after="0"/>
        <w:jc w:val="left"/>
        <w:rPr/>
      </w:pPr>
      <w:r>
        <w:rPr/>
      </w:r>
    </w:p>
    <w:tbl>
      <w:tblPr>
        <w:tblW w:w="5243" w:type="dxa"/>
        <w:jc w:val="center"/>
        <w:tblInd w:w="0" w:type="dxa"/>
        <w:tblLayout w:type="fixed"/>
        <w:tblCellMar>
          <w:top w:w="28" w:type="dxa"/>
          <w:left w:w="28" w:type="dxa"/>
          <w:bottom w:w="28" w:type="dxa"/>
          <w:right w:w="28" w:type="dxa"/>
        </w:tblCellMar>
      </w:tblPr>
      <w:tblGrid>
        <w:gridCol w:w="803"/>
        <w:gridCol w:w="705"/>
        <w:gridCol w:w="712"/>
        <w:gridCol w:w="109"/>
        <w:gridCol w:w="109"/>
        <w:gridCol w:w="160"/>
        <w:gridCol w:w="160"/>
        <w:gridCol w:w="160"/>
        <w:gridCol w:w="160"/>
        <w:gridCol w:w="288"/>
        <w:gridCol w:w="664"/>
        <w:gridCol w:w="160"/>
        <w:gridCol w:w="109"/>
        <w:gridCol w:w="109"/>
        <w:gridCol w:w="109"/>
        <w:gridCol w:w="196"/>
        <w:gridCol w:w="37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2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Other expense was $1.3 million in the three months ended January 31, 2026 compared to other income of $1.5 million for the same period last year. Changes were primarily attributed to foreign currency transaction losses (gains) resulting from the weakening of the U.S. dollar relative to the Mexican peso in the current year as opposed to the strengthening of the U.S. dollar relative to the Mexican Peso in the prior year.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0"/>
                <wp:effectExtent l="0" t="0" r="0" b="0"/>
                <wp:wrapNone/>
                <wp:docPr id="23" name="Frame2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ind w:left="0" w:right="0" w:firstLine="720"/>
        <w:jc w:val="left"/>
        <w:rPr/>
      </w:pPr>
      <w:r>
        <w:rPr/>
      </w:r>
    </w:p>
    <w:tbl>
      <w:tblPr>
        <w:tblW w:w="6081" w:type="dxa"/>
        <w:jc w:val="center"/>
        <w:tblInd w:w="0" w:type="dxa"/>
        <w:tblLayout w:type="fixed"/>
        <w:tblCellMar>
          <w:top w:w="28" w:type="dxa"/>
          <w:left w:w="28" w:type="dxa"/>
          <w:bottom w:w="28" w:type="dxa"/>
          <w:right w:w="28" w:type="dxa"/>
        </w:tblCellMar>
      </w:tblPr>
      <w:tblGrid>
        <w:gridCol w:w="1053"/>
        <w:gridCol w:w="925"/>
        <w:gridCol w:w="932"/>
        <w:gridCol w:w="109"/>
        <w:gridCol w:w="109"/>
        <w:gridCol w:w="151"/>
        <w:gridCol w:w="151"/>
        <w:gridCol w:w="151"/>
        <w:gridCol w:w="151"/>
        <w:gridCol w:w="272"/>
        <w:gridCol w:w="522"/>
        <w:gridCol w:w="355"/>
        <w:gridCol w:w="109"/>
        <w:gridCol w:w="109"/>
        <w:gridCol w:w="109"/>
        <w:gridCol w:w="196"/>
        <w:gridCol w:w="376"/>
        <w:gridCol w:w="301"/>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200" w:type="dxa"/>
            <w:gridSpan w:val="6"/>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Provision for income taxes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3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provision for income tax decreased $2.1 million or 66% in the three months ended January 31, 2026 compared to the same period last year, primarily due to the effect of lower income before taxes in the current year. Our effective tax rate was impacted by book losses in jurisdictions where either a full valuation allowance has been recorded or where loss carryforward is disallowed in both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Non-GAAP Measure</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Adjusted EBITDA</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advisory costs, material legal settlements, amortization of inventory adjustments recognized from business combinations, and any special, non-recurring, or one-time items such as remeasurements or impairments, and any portion of these items attributable to the noncontrolling interest. We believe that adjusted EBITDA provides useful information for analyzing the underlying business results as well as allowing investors a means to evaluate the financial results of each reportable segment in relation to the Company as a whole. This measure is not in accordance with, nor is it a substitute for or superior to, the comparable GAAP financial measure. </w:t>
      </w:r>
    </w:p>
    <w:tbl>
      <w:tblPr>
        <w:tblW w:w="7718" w:type="dxa"/>
        <w:jc w:val="center"/>
        <w:tblInd w:w="0" w:type="dxa"/>
        <w:tblLayout w:type="fixed"/>
        <w:tblCellMar>
          <w:top w:w="28" w:type="dxa"/>
          <w:left w:w="28" w:type="dxa"/>
          <w:bottom w:w="28" w:type="dxa"/>
          <w:right w:w="28" w:type="dxa"/>
        </w:tblCellMar>
      </w:tblPr>
      <w:tblGrid>
        <w:gridCol w:w="1668"/>
        <w:gridCol w:w="1461"/>
        <w:gridCol w:w="1476"/>
        <w:gridCol w:w="109"/>
        <w:gridCol w:w="109"/>
        <w:gridCol w:w="158"/>
        <w:gridCol w:w="158"/>
        <w:gridCol w:w="158"/>
        <w:gridCol w:w="158"/>
        <w:gridCol w:w="285"/>
        <w:gridCol w:w="677"/>
        <w:gridCol w:w="158"/>
        <w:gridCol w:w="109"/>
        <w:gridCol w:w="109"/>
        <w:gridCol w:w="109"/>
        <w:gridCol w:w="196"/>
        <w:gridCol w:w="466"/>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Three Months Ended</w:t>
              <w:br/>
              <w:t>January 31,</w:t>
            </w:r>
          </w:p>
        </w:tc>
        <w:tc>
          <w:tcPr>
            <w:tcW w:w="1143" w:type="dxa"/>
            <w:gridSpan w:val="6"/>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Interest expense</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Canada site closures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before adjustment for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pPr>
      <w:r>
        <w:rPr>
          <w:rFonts w:ascii="Arial;sans-serif" w:hAnsi="Arial;sans-serif"/>
          <w:b w:val="false"/>
          <w:color w:val="000000"/>
          <w:sz w:val="14"/>
        </w:rPr>
        <w:t>(1)Includes interest expense from finance leases, the most significant of which is for land at our Blueberries segment of $0.5 million</w:t>
      </w:r>
      <w:r>
        <w:rPr>
          <w:color w:val="000000"/>
        </w:rPr>
        <w:t xml:space="preserve"> </w:t>
      </w:r>
      <w:r>
        <w:rPr>
          <w:rFonts w:ascii="Arial;sans-serif" w:hAnsi="Arial;sans-serif"/>
          <w:b w:val="false"/>
          <w:color w:val="000000"/>
          <w:sz w:val="16"/>
        </w:rPr>
        <w:t xml:space="preserve">for both </w:t>
      </w:r>
      <w:r>
        <w:rPr>
          <w:rFonts w:ascii="Arial;sans-serif" w:hAnsi="Arial;sans-serif"/>
          <w:b w:val="false"/>
          <w:color w:val="000000"/>
          <w:sz w:val="14"/>
        </w:rPr>
        <w:t>the three months ended January 31, 2026 and 2025.</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(2)Includes depreciation and amortization of purchase accounting assets of $0.2 million and $0.3 million for the three months ended January 31, 2026 and 2025, respectively. Includes $0.2 million of amortization of the Blueberries finance lease for both the three months ended January 31, 2026 and 2025. The three months ended January 31, 2025 also include $0.9 million of accelerated depreciation expense from fixed assets related to the closure of our Canada facilities.</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(3)Includes accelerated amortization of operating lease right-of-use assets and severance costs incurred due to the closure of our Canada facilities during the first quarter of 2025, both recognized in cost of sales.</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(4)Represents net income (loss) attributable to noncontrolling interest plus the impact of non-GAAP adjustments, allocable to the noncontrolling owner based on their percentage of ownership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0"/>
                <wp:effectExtent l="0" t="0" r="0" b="0"/>
                <wp:wrapNone/>
                <wp:docPr id="24" name="Frame2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Net sales</w:t>
      </w:r>
    </w:p>
    <w:tbl>
      <w:tblPr>
        <w:tblW w:w="10205" w:type="dxa"/>
        <w:jc w:val="center"/>
        <w:tblInd w:w="0" w:type="dxa"/>
        <w:tblLayout w:type="fixed"/>
        <w:tblCellMar>
          <w:top w:w="28" w:type="dxa"/>
          <w:left w:w="28" w:type="dxa"/>
          <w:bottom w:w="28" w:type="dxa"/>
          <w:right w:w="28" w:type="dxa"/>
        </w:tblCellMar>
      </w:tblPr>
      <w:tblGrid>
        <w:gridCol w:w="444"/>
        <w:gridCol w:w="296"/>
        <w:gridCol w:w="254"/>
        <w:gridCol w:w="259"/>
        <w:gridCol w:w="636"/>
        <w:gridCol w:w="171"/>
        <w:gridCol w:w="109"/>
        <w:gridCol w:w="109"/>
        <w:gridCol w:w="109"/>
        <w:gridCol w:w="280"/>
        <w:gridCol w:w="485"/>
        <w:gridCol w:w="186"/>
        <w:gridCol w:w="109"/>
        <w:gridCol w:w="109"/>
        <w:gridCol w:w="109"/>
        <w:gridCol w:w="196"/>
        <w:gridCol w:w="410"/>
        <w:gridCol w:w="130"/>
        <w:gridCol w:w="109"/>
        <w:gridCol w:w="109"/>
        <w:gridCol w:w="109"/>
        <w:gridCol w:w="166"/>
        <w:gridCol w:w="406"/>
        <w:gridCol w:w="109"/>
        <w:gridCol w:w="109"/>
        <w:gridCol w:w="109"/>
        <w:gridCol w:w="109"/>
        <w:gridCol w:w="259"/>
        <w:gridCol w:w="636"/>
        <w:gridCol w:w="171"/>
        <w:gridCol w:w="109"/>
        <w:gridCol w:w="109"/>
        <w:gridCol w:w="109"/>
        <w:gridCol w:w="280"/>
        <w:gridCol w:w="485"/>
        <w:gridCol w:w="186"/>
        <w:gridCol w:w="109"/>
        <w:gridCol w:w="109"/>
        <w:gridCol w:w="109"/>
        <w:gridCol w:w="196"/>
        <w:gridCol w:w="410"/>
        <w:gridCol w:w="130"/>
        <w:gridCol w:w="109"/>
        <w:gridCol w:w="109"/>
        <w:gridCol w:w="109"/>
        <w:gridCol w:w="166"/>
        <w:gridCol w:w="406"/>
        <w:gridCol w:w="163"/>
      </w:tblGrid>
      <w:tr>
        <w:trPr/>
        <w:tc>
          <w:tcPr>
            <w:tcW w:w="4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Three Months Ended</w:t>
              <w:br/>
              <w:t>January 31,</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w:t>
            </w:r>
          </w:p>
        </w:tc>
        <w:tc>
          <w:tcPr>
            <w:tcW w:w="44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2025</w:t>
            </w:r>
          </w:p>
        </w:tc>
      </w:tr>
      <w:tr>
        <w:trPr/>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234.8 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40.8 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295.8 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36.4 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334.2 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145" w:type="dxa"/>
            <w:gridSpan w:val="42"/>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867" w:type="dxa"/>
            <w:gridSpan w:val="36"/>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Segment operating income (loss)</w:t>
      </w:r>
    </w:p>
    <w:p>
      <w:pPr>
        <w:pStyle w:val="TextBody"/>
        <w:bidi w:val="0"/>
        <w:spacing w:before="0" w:after="0"/>
        <w:ind w:left="0" w:right="0" w:firstLine="720"/>
        <w:jc w:val="left"/>
        <w:rPr/>
      </w:pPr>
      <w:r>
        <w:rPr/>
      </w:r>
    </w:p>
    <w:tbl>
      <w:tblPr>
        <w:tblW w:w="5589" w:type="dxa"/>
        <w:jc w:val="center"/>
        <w:tblInd w:w="0" w:type="dxa"/>
        <w:tblLayout w:type="fixed"/>
        <w:tblCellMar>
          <w:top w:w="28" w:type="dxa"/>
          <w:left w:w="28" w:type="dxa"/>
          <w:bottom w:w="28" w:type="dxa"/>
          <w:right w:w="28" w:type="dxa"/>
        </w:tblCellMar>
      </w:tblPr>
      <w:tblGrid>
        <w:gridCol w:w="928"/>
        <w:gridCol w:w="814"/>
        <w:gridCol w:w="822"/>
        <w:gridCol w:w="109"/>
        <w:gridCol w:w="109"/>
        <w:gridCol w:w="171"/>
        <w:gridCol w:w="171"/>
        <w:gridCol w:w="171"/>
        <w:gridCol w:w="171"/>
        <w:gridCol w:w="308"/>
        <w:gridCol w:w="591"/>
        <w:gridCol w:w="171"/>
        <w:gridCol w:w="109"/>
        <w:gridCol w:w="109"/>
        <w:gridCol w:w="109"/>
        <w:gridCol w:w="196"/>
        <w:gridCol w:w="37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Marketing &amp; Distribution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Marketing &amp; Distribution segment decreased $61.0 million or 21% in the three months ended January 31, 2026 compared to the same period last year, driven by the avocado volume and price dynamics described above.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operating income decreased $0.7 million or 39% in the three months ended January 31, 2026 compared to the same period last year. Higher volume and per-unit gross margin was offset by higher SG&amp;A costs, including transaction advisory costs as described above.</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International Farming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vast majority of fruit sales from our International Farming segment are made to the Marketing &amp;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operating income for the International Farming segment is generally concentrated in the third and fourth quarters of the fiscal year in alignment with the timing of sales.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Total segment sales in our International Farming segment increased $1.4 million or 15% in the three months ended January 31, 2026 compared to the same period last year.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operating income was $0.3 million in the three months ended January 31, 2026 compared to a loss of $0.1 million in the same period last year.</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Sales in our Blueberries segment have traditionally been concentrated in the first and fourth quarters of our fiscal year in alignment with the Peruvian blueberry harvest season.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Blueberries segment increased $4.4 million or 12% in the three months ended January 31, 2026 compared to the same period last year, primarily due to increases in average per-unit sales price and volume sold of 9% and 3%, respectively.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Segment operating income decreased $6.5 million or 86% for the three months ended January 31, 2026 compared to the same period last year due to lower per-acre yield resulting in higher per-unit fruit production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0"/>
                <wp:effectExtent l="0" t="0" r="0" b="0"/>
                <wp:wrapNone/>
                <wp:docPr id="25" name="Frame2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Operating activities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 </w:t>
      </w:r>
    </w:p>
    <w:tbl>
      <w:tblPr>
        <w:tblW w:w="4629" w:type="dxa"/>
        <w:jc w:val="left"/>
        <w:tblInd w:w="0" w:type="dxa"/>
        <w:tblLayout w:type="fixed"/>
        <w:tblCellMar>
          <w:top w:w="28" w:type="dxa"/>
          <w:left w:w="28" w:type="dxa"/>
          <w:bottom w:w="28" w:type="dxa"/>
          <w:right w:w="28" w:type="dxa"/>
        </w:tblCellMar>
      </w:tblPr>
      <w:tblGrid>
        <w:gridCol w:w="994"/>
        <w:gridCol w:w="871"/>
        <w:gridCol w:w="880"/>
        <w:gridCol w:w="196"/>
        <w:gridCol w:w="451"/>
        <w:gridCol w:w="109"/>
        <w:gridCol w:w="109"/>
        <w:gridCol w:w="109"/>
        <w:gridCol w:w="109"/>
        <w:gridCol w:w="196"/>
        <w:gridCol w:w="45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r>
      <w:tr>
        <w:trPr/>
        <w:tc>
          <w:tcPr>
            <w:tcW w:w="2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cash used in operating activities was $3.0 million for the three months ended January 31, 2026 compared to $1.2 million for the same period last year. Lower income in the current year was partially offset by lower increases in working capital. Working capital growth in the current year is driven by higher trade receivables associated with higher volumes and timing of sales in the Marketing &amp; Distribution and Blueberries segments, while inventory growth is driven by higher volume in the Marketing &amp; Distribution segment and cultivation of growing crop inventory in our International Farming and Blueberries segments.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Investing activities</w:t>
      </w:r>
    </w:p>
    <w:tbl>
      <w:tblPr>
        <w:tblW w:w="5993" w:type="dxa"/>
        <w:jc w:val="left"/>
        <w:tblInd w:w="0" w:type="dxa"/>
        <w:tblLayout w:type="fixed"/>
        <w:tblCellMar>
          <w:top w:w="28" w:type="dxa"/>
          <w:left w:w="28" w:type="dxa"/>
          <w:bottom w:w="28" w:type="dxa"/>
          <w:right w:w="28" w:type="dxa"/>
        </w:tblCellMar>
      </w:tblPr>
      <w:tblGrid>
        <w:gridCol w:w="1422"/>
        <w:gridCol w:w="1247"/>
        <w:gridCol w:w="1260"/>
        <w:gridCol w:w="196"/>
        <w:gridCol w:w="541"/>
        <w:gridCol w:w="109"/>
        <w:gridCol w:w="109"/>
        <w:gridCol w:w="109"/>
        <w:gridCol w:w="109"/>
        <w:gridCol w:w="196"/>
        <w:gridCol w:w="54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r>
      <w:tr>
        <w:trPr/>
        <w:tc>
          <w:tcPr>
            <w:tcW w:w="3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Property, plant and equipment</w:t>
      </w:r>
    </w:p>
    <w:p>
      <w:pPr>
        <w:pStyle w:val="TextBody"/>
        <w:bidi w:val="0"/>
        <w:spacing w:before="0" w:after="0"/>
        <w:ind w:left="0" w:right="0" w:firstLine="720"/>
        <w:jc w:val="left"/>
        <w:rPr/>
      </w:pPr>
      <w:r>
        <w:rPr/>
      </w:r>
    </w:p>
    <w:tbl>
      <w:tblPr>
        <w:tblW w:w="6158" w:type="dxa"/>
        <w:jc w:val="left"/>
        <w:tblInd w:w="0" w:type="dxa"/>
        <w:tblLayout w:type="fixed"/>
        <w:tblCellMar>
          <w:top w:w="28" w:type="dxa"/>
          <w:left w:w="28" w:type="dxa"/>
          <w:bottom w:w="28" w:type="dxa"/>
          <w:right w:w="28" w:type="dxa"/>
        </w:tblCellMar>
      </w:tblPr>
      <w:tblGrid>
        <w:gridCol w:w="1536"/>
        <w:gridCol w:w="1347"/>
        <w:gridCol w:w="1361"/>
        <w:gridCol w:w="196"/>
        <w:gridCol w:w="466"/>
        <w:gridCol w:w="109"/>
        <w:gridCol w:w="109"/>
        <w:gridCol w:w="109"/>
        <w:gridCol w:w="109"/>
        <w:gridCol w:w="196"/>
        <w:gridCol w:w="46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 by segment:</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purchases of property, plant and equipment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the three months ended January 31, 2026 and 2025, capital expenditures were comprised primarily of avocado orchard development, pre-production orchard maintenance and land improvements, packhouse construction in Guatemala and pre-production land development and blueberry plant cultivation in Peru. The three months ended January 31, 2026 also included construction costs associated with increasing capacity in our Mexican packing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0"/>
                <wp:effectExtent l="0" t="0" r="0" b="0"/>
                <wp:wrapNone/>
                <wp:docPr id="26" name="Frame2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Financing activities</w:t>
      </w:r>
    </w:p>
    <w:tbl>
      <w:tblPr>
        <w:tblW w:w="7928" w:type="dxa"/>
        <w:jc w:val="left"/>
        <w:tblInd w:w="0" w:type="dxa"/>
        <w:tblLayout w:type="fixed"/>
        <w:tblCellMar>
          <w:top w:w="28" w:type="dxa"/>
          <w:left w:w="28" w:type="dxa"/>
          <w:bottom w:w="28" w:type="dxa"/>
          <w:right w:w="28" w:type="dxa"/>
        </w:tblCellMar>
      </w:tblPr>
      <w:tblGrid>
        <w:gridCol w:w="2175"/>
        <w:gridCol w:w="1907"/>
        <w:gridCol w:w="1932"/>
        <w:gridCol w:w="196"/>
        <w:gridCol w:w="466"/>
        <w:gridCol w:w="109"/>
        <w:gridCol w:w="109"/>
        <w:gridCol w:w="109"/>
        <w:gridCol w:w="109"/>
        <w:gridCol w:w="196"/>
        <w:gridCol w:w="466"/>
        <w:gridCol w:w="154"/>
      </w:tblGrid>
      <w:tr>
        <w:trPr/>
        <w:tc>
          <w:tcPr>
            <w:tcW w:w="217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January 31,</w:t>
            </w:r>
          </w:p>
        </w:tc>
      </w:tr>
      <w:tr>
        <w:trPr/>
        <w:tc>
          <w:tcPr>
            <w:tcW w:w="6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6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Borrowings and repayments of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utilize a revolving line of credit for short-term working capital purposes. Principal payments on our credit facility are made in accordance with debt maturity schedules.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with intermediaries and directly with vendors.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Purchase and retirement of common stock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Shares of the company’s common stock may be repurchased from time to time in the open market or privately negotiated transactions under our share repurchase program. For more information on our stock repurchase program, see “Item 2. Unregistered Sales of Equity Securities and Use of Proceeds” in this quarterly report.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Capital resources</w:t>
      </w:r>
    </w:p>
    <w:tbl>
      <w:tblPr>
        <w:tblW w:w="5306" w:type="dxa"/>
        <w:jc w:val="left"/>
        <w:tblInd w:w="0" w:type="dxa"/>
        <w:tblLayout w:type="fixed"/>
        <w:tblCellMar>
          <w:top w:w="28" w:type="dxa"/>
          <w:left w:w="28" w:type="dxa"/>
          <w:bottom w:w="28" w:type="dxa"/>
          <w:right w:w="28" w:type="dxa"/>
        </w:tblCellMar>
      </w:tblPr>
      <w:tblGrid>
        <w:gridCol w:w="759"/>
        <w:gridCol w:w="666"/>
        <w:gridCol w:w="675"/>
        <w:gridCol w:w="358"/>
        <w:gridCol w:w="852"/>
        <w:gridCol w:w="199"/>
        <w:gridCol w:w="109"/>
        <w:gridCol w:w="109"/>
        <w:gridCol w:w="109"/>
        <w:gridCol w:w="353"/>
        <w:gridCol w:w="840"/>
        <w:gridCol w:w="277"/>
      </w:tblGrid>
      <w:tr>
        <w:trPr/>
        <w:tc>
          <w:tcPr>
            <w:tcW w:w="7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Working capital</w:t>
            </w:r>
            <w:r>
              <w:rPr>
                <w:rFonts w:ascii="Arial;sans-serif" w:hAnsi="Arial;sans-serif"/>
                <w:b w:val="false"/>
                <w:color w:val="000000"/>
                <w:sz w:val="10"/>
              </w:rPr>
              <w:t>(1)</w:t>
            </w:r>
          </w:p>
        </w:tc>
        <w:tc>
          <w:tcPr>
            <w:tcW w:w="12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270"/>
        <w:jc w:val="left"/>
        <w:rPr/>
      </w:pPr>
      <w:r>
        <w:rPr>
          <w:rFonts w:ascii="Arial;sans-serif" w:hAnsi="Arial;sans-serif"/>
          <w:b w:val="false"/>
          <w:color w:val="000000"/>
          <w:sz w:val="14"/>
        </w:rPr>
        <w:t>(1)C</w:t>
      </w:r>
      <w:r>
        <w:rPr>
          <w:rFonts w:ascii="Arial;sans-serif" w:hAnsi="Arial;sans-serif"/>
          <w:b w:val="false"/>
          <w:color w:val="000000"/>
          <w:sz w:val="16"/>
        </w:rPr>
        <w:t>urrent assets minus current liabilities.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Capital resources include cash flows from operations, cash and cash equivalents, and debt financing. Our Blueberries segment may also receive capital contributions or loans from shareholders.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January 31, 2026, we were required to comply with the following financial covenants: (a) a quarterly consolidated leverage ratio of not more than 3.5 to 1.00 and (b) a quarterly consolidated fixed charge coverage ratio of not less than 1.25 to 1.00. As of January 31, 2026, we were in compliance with all such covenants of the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0"/>
                <wp:effectExtent l="0" t="0" r="0" b="0"/>
                <wp:wrapNone/>
                <wp:docPr id="27" name="Frame2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Material cash requirements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Capital expenditures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various capital projects in progress for farming expansion and facility improvements which we intend to fund through our operating cash flow as well as cash and cash equivalents on hand. For fiscal 2026, we expect total capital expenditures to be approximately $40 million. The spend will be allocated primarily to our International Farming and Blueberries segments. Within our International Farming segment, spend will be concentrated in Guatemala for pre-production avocado orchard maintenance. Within our Blueberries segment, spend will be concentrated on land development and plant cultivation in Peru.</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Leases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party to various leases, the most material of which are for facilities and land. Our undiscounted cash liabilities were approximately $170.5 million as of January 31, 2026, of which, approximately $107.6 million was for long-term land leases in our International Farming and Blueberries segments.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Long-term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 of January 31, 2026, outstanding borrowings on our syndicated debt facility totaled $100.2 million. See Note 6 to the condensed consolidated financial statements for more information.</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Agreement and Plan of Merger with Calavo Growers, Inc.</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 noted in Management’s Discussion and Analysis of Financial Condition and Results of Operations, the Company entered into a Merger Agreement to acquire Calavo Growers. The transaction is expected to be financed by a combination of Mission Produce equity, new long term debt borrowings, and cash on-hand. The debt financing assumes we obtain incremental proceeds from our amended credit facility including a $50 million increase in the revolving line of credit and $250 million of principal term loans. We have obtained lender commitment for the additional indebtedness. See Note 7 to the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For a discussion of our critical accounting estimates, see “Part II, Item 7. Management’s Discussion and Analysis of Financial Condition and Operations” in our Annual Report on Form 10-K for the year ended October 31, 2025, filed with the SEC on December 18, 2025. There have been no material changes to the critical accounting estimates disclosed in such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There have been no material changes to “Part II, Item 7A. Quantitative and Qualitative Disclosures About Market Risk” in our Annual Report on Form 10-K for the year ended October 31, 2025.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4.        Controls and Procedures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There were no changes in our internal control over financial reporting during the quarter ended January 31,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0"/>
                <wp:effectExtent l="0" t="0" r="0" b="0"/>
                <wp:wrapNone/>
                <wp:docPr id="28" name="Frame2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Limitations on Effectiveness of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PART II- OTHER INFORMATION </w:t>
      </w:r>
    </w:p>
    <w:p>
      <w:pPr>
        <w:pStyle w:val="TextBody"/>
        <w:bidi w:val="0"/>
        <w:spacing w:lineRule="auto" w:line="288" w:before="120" w:after="240"/>
        <w:jc w:val="left"/>
        <w:rPr>
          <w:rFonts w:ascii="Arial;sans-serif" w:hAnsi="Arial;sans-serif"/>
          <w:b/>
          <w:color w:val="000000"/>
          <w:sz w:val="22"/>
        </w:rPr>
      </w:pPr>
      <w:bookmarkStart w:id="0" w:name="ic83b2523305e4f2588164802f9d11929_2754"/>
      <w:bookmarkEnd w:id="0"/>
      <w:r>
        <w:rPr>
          <w:rFonts w:ascii="Arial;sans-serif" w:hAnsi="Arial;sans-serif"/>
          <w:b/>
          <w:color w:val="000000"/>
          <w:sz w:val="22"/>
        </w:rPr>
        <w:t>Item 1.        Legal Proceedings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is incorporated by reference from Note 7, “Commitments and Contingencies”, which is included in Part I, Item 2 of this Form 10-Q.</w:t>
      </w:r>
    </w:p>
    <w:p>
      <w:pPr>
        <w:pStyle w:val="TextBody"/>
        <w:bidi w:val="0"/>
        <w:spacing w:lineRule="auto" w:line="288" w:before="240" w:after="240"/>
        <w:jc w:val="left"/>
        <w:rPr>
          <w:rFonts w:ascii="Arial;sans-serif" w:hAnsi="Arial;sans-serif"/>
          <w:b/>
          <w:color w:val="000000"/>
          <w:sz w:val="22"/>
        </w:rPr>
      </w:pPr>
      <w:bookmarkStart w:id="1" w:name="ic83b2523305e4f2588164802f9d11929_2758"/>
      <w:bookmarkEnd w:id="1"/>
      <w:r>
        <w:rPr>
          <w:rFonts w:ascii="Arial;sans-serif" w:hAnsi="Arial;sans-serif"/>
          <w:b/>
          <w:color w:val="000000"/>
          <w:sz w:val="22"/>
        </w:rPr>
        <w:t xml:space="preserve">Item 1A.    Risk Factors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For a discussion of our risk factors, see “Part I, Item 1A. Risk Factors” in our Annual Report on Form 10-K for the year ended October 31, 2025, filed with the SEC on December 18, 2025. With the exception of the risk factors set forth below, which update the risk factors disclosed in such Annual Report on Form 10-K, there have been no material changes from the risk factors previously disclosed therein. The risks and uncertainties that we face are not limited to those set forth in the 2025 Form 10-K and subsequent quarterly reports. You should carefully consider the risk factors in the 2025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Changes to U.S. trade policy, tariff and import/export regulations may adversely affect our operating results.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February 20, 2026, the Supreme Court declared that the International Emergency Economic Powers Act does not grant the Executive Branch the power to tax, and thus recent tariffs imposed by the current administration are illegal. This ruling has created significant uncertainty regarding the status and enforceability of these tariffs, including whether the current administration may seek to implement alternative tariff measures or pursue legislative authorization from Congress, and we cannot predict the scope, timing or likelihood of any such actions. During this period of legal and regulatory uncertainty, we may face challenges in determining potential future compliance obligations.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uncertainty surrounding the implementation of the Supreme Court's decision, potential future legislative action, the time period for any transition away from current tariff regimes, the possibility of new trade restrictions, and the evolving nature of tariff policy generally have created, and may continue to cause, significant volatility and ambiguity in our business, including with respect to costs, pricing, and margin. These developments have the potential to adversely impact the U.S. economy or sectors thereof, our industry and the global demand for our products, and as a result, could have a material adverse impact on our business, financial condition and 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there is significant uncertainty regarding the availability, timing, and mechanics of obtaining refunds for tariffs previously paid. Our growers and customers may seek to recover tariff-related costs from us, and it may be difficult to identify and calculate amounts attributable to tariffs with precision. We may face pressure to issue refunds or credits before we receive any corresponding refunds from the government, if at all. There can be no assurance that any amounts we ultimately receive will align with the amounts we may be required to pay to our growers and customers, which could adversely affect our cash flows and liquidity and our financial condition and results of operations.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Provisions in our charter documents and under Delaware law could discourage a takeover that stockholders may consider favorable and may lead to entrenchment of management.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response to a sudden increase in ownership by an activist investor and in order to provide the Board with time to make informed decisions in the best interests of the Company and its shareholders, on January 21, 2026, the Board adopted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0"/>
                <wp:effectExtent l="0" t="0" r="0" b="0"/>
                <wp:wrapNone/>
                <wp:docPr id="29" name="Frame2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shareholder rights plan (the "Rights Agreement") and declared a dividend of one right in respect of each of the Company’s issued and outstanding shares of common stock (the “Rights”), which would have caused substantial dilution to any person or group acquiring 15 percent or more of the Company’s outstanding common stock without the prior approval of the Board. The Rights Agreement was designed to deter the acquisition of actual, de facto, or negative control of the Company by any person or group without appropriately compensating its Shareholders for that control. The existence of the Rights Agreement, however, could have the effect of making it more difficult for a third party to acquire a majority of our outstanding common stock, and thereby adversely affect the market price of our common stock.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addition, 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provide, among other things, that: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our Board of Directors is divided into three classes, Class I, Class II and Class III, with each class serving staggered three-year terms, which may delay the ability of stockholders to change the membership of a majority of our Board of Directors;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our stockholders may not act by written consent, which forces stockholder action to be taken at an annual or special meeting of our stockholders;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a special meeting of stockholders may be called only by the chairperson of our Board of Directors, our chief executive officer, president or our Board of Directors, which may delay the ability of our stockholders to force consideration of a proposal or to take action, including the removal of directors;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our amended and restated certificate of incorporation prohibits cumulative voting in the election of directors, which limits the ability of minority stockholders to elect director candidates;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our Board of Directors may alter provisions of our bylaws without obtaining stockholder approval;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6"/>
        </w:rPr>
        <w:t xml:space="preserve">our Board of Directors is authorized to issue shares of preferred stock and to determine the terms of those shares, including preferences and voting rights, without stockholder approval, which could be used to significantly dilute the ownership of a hostile acquirer.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lineRule="auto" w:line="288" w:before="160" w:after="100"/>
        <w:jc w:val="left"/>
        <w:rPr>
          <w:rFonts w:ascii="Arial;sans-serif" w:hAnsi="Arial;sans-serif"/>
          <w:b/>
          <w:color w:val="000000"/>
          <w:sz w:val="16"/>
        </w:rPr>
      </w:pPr>
      <w:r>
        <w:rPr>
          <w:rFonts w:ascii="Arial;sans-serif" w:hAnsi="Arial;sans-serif"/>
          <w:b/>
          <w:color w:val="000000"/>
          <w:sz w:val="16"/>
        </w:rPr>
        <w:t>Risks Relating to our Pending Transaction with Calavo</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Failure to complete the proposed transaction with Calavo</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If the merger with Calavo is not completed for any reason there may be various adverse consequences and the Company may experience negative reactions from the financial markets and from its customers and employees. For example, the Company’s business may have been impacted adversely by the failure to pursue other beneficial opportunities due to the focus of management on the transaction, the benefits from which may not be realized. Additionally, if the Merger Agreement is terminated, the market price of the Company’s common stock could decline to the extent that current market prices reflect a market assumption that the transaction will be beneficial and will be completed. The Company also could be subject to litigation related to any failure to complete the transaction or to proceedings commenced against the Company to perform its obligations under the Merger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0"/>
                <wp:effectExtent l="0" t="0" r="0" b="0"/>
                <wp:wrapNone/>
                <wp:docPr id="30" name="Frame3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Agreement. If the Merger Agreement is terminated under certain circumstances. The Company may be required to pay a termination fee of up to $15.02 million to Calavo.</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Combining with Calavo may be more difficult, costly or time-consuming than expected, and the Company may fail to realize the anticipated benefits of the transaction.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success of the transaction will depend, in part, on the ability to realize the anticipated cost savings from combining the businesses of the Company and Calavo. To realize the anticipated benefits and cost savings from the transaction, the Company and Calavo must successfully integrate and combine their businesses in a manner that permits those cost savings to be realized without adversely affecting current revenues and future growth. If the Company and Calavo are not able to successfully achieve these objectives, the anticipated benefits of the transaction may not be realized fully or at all or may take longer to realize than expected. In addition, the actual cost savings of the transaction could be less than anticipated, and integration may result in additional and unforeseen expenses.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An inability to realize the full extent of the anticipated benefits of the transaction and the other transactions contemplated by the Merger Agreement, as well as any delays encountered in the integration process, could have an adverse effect upon the revenues, levels of expenses and operating results of the combined company following the completion of the transaction, which may adversely affect the value of the common stock of the combined company following the completion of the transaction.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and Calavo have operated and, until the completion of the transaction,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and cost savings of the transaction. Integration efforts between the companies may also divert management attention and resources. These integration matters could have an adverse effect to the Company during this transition period and for an undetermined period after completion of the transaction on the combined company.</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The combined company may be unable to retain the Company/s and/or Calavo’s personnel successfully after the transaction is completed.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success of the transaction will depend in part on the combined company’s ability to retain the talent and dedication of key employees currently employed by the Company or Calavo. It is possible that these employees may decide not to remain with the Company or Calavo, as applicable, while the transaction is pending or with the combined company after the transaction is consummated. If the Company and Calavo are unable to retain key employees, including management, who are critical to the successful integration and future operations of the companies, the Company and Calavo could face disruptions in their operations, loss of existing customers, loss of key information, expertise or know-how and unanticipated additional recruitment costs. In addition, following the transaction, if key employees terminate their employment, the combined company’s business activities may be adversely affected, and management’s attention may be diverted from successfully hiring suitable replacements, all of which may cause the combined company’s business to suffer. The Company and Calavo also may not be able to locate or retain suitable replacements for any key employees who leave either company.</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The Company will be subject to business uncertainties and contractual restrictions while the transaction with Calavo is pending.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Uncertainty about the effect of the transaction on employees and customers may have an adverse effect to the Company. These uncertainties may impair the Company’s ability to attract, retain and motivate key personnel until the transaction is completed, and could cause customers and others that deal with the Company to seek to change existing business relationships with the Company. In addition, subject to certain exceptions, the Company has agreed to operate its business in the ordinary course in all material respects and to refrain from taking certain actions that may adversely affect its ability to consummate the transactions contemplated by the Merger Agreement on a timely basis without the consent of Calavo. These restrictions may prevent the Company from pursuing attractive business opportunities that may arise prior to the completion of the transaction.</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The Company has incurred and is expected to incur substantial costs related to the transaction and integration.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has incurred and expects to incur a number of non-recurring costs associated with the transaction. These costs include financial advisory, legal, accounting, consulting and other advisory fees, retention, severance and employee benefit-related costs, public company filing fees and other regulatory fees, financial printing and other printing costs, closing, integration and other related costs. Some of these costs are payable by the Company regardless of whether or not the transaction is completed.</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The Merger Agreement between the Company and Calavo may be terminated in accordance with its terms and the transaction may not be completed.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Merger Agreement is subject to a number of conditions which must be fulfilled in order to complete the transaction. Those conditions include, among other things, the receipt of required regulatory approvals and (ii) the absence of any order, injunction, decree or other legal restraint preventing the completion of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0"/>
                <wp:effectExtent l="0" t="0" r="0" b="0"/>
                <wp:wrapNone/>
                <wp:docPr id="31" name="Frame3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Each party’s obligation to complete the transaction is also subject to certain additional customary conditions, including (a) subject to applicable materiality standards, the accuracy of the representations and warranties of the other party set forth in the Merger Agreement and (b) the performance in all material respects by the other party of its obligations under the Merger Agreement.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These conditions to the closing may not be fulfilled in a timely manner or at all, and, accordingly, the transaction may not be completed. In addition, the parties can mutually decide to terminate the Merger Agreement, or Calavo or the Company may elect to terminate the Merger Agreement in certain other circumstances.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Regulatory approvals may not be received, may take longer than expected or may impose conditions that are not presently anticipated or that could have an adverse effect on the Company following the transaction.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Before the transaction may be completed, various approvals, consents and non-objections must be obtained from certain regulatory authorities without the imposition of any materially burdensome regulatory condition. These approvals could be delayed or not obtained at all, including due to any or all of the following: an adverse development in either party’s regulatory standing; governmental, political, community or supervisory inquiries or opposition; or changes in legislation, regulatory policy or the political environment, including changes in the leadership of regulatory agencies. Any approvals that are granted may impose terms, conditions, limitations, obligations or costs, or place restrictions on the conduct of the surviving corporation’s business or require changes to the terms of the transactions contemplated by the Merger Agreement. There can be no assurance that regulators will not impose any such conditions, limitations, obligations or restrictions, or that any such conditions, limitations, obligations or restrictions will not have the effect of delaying the completion of the transaction, imposing additional material costs on or materially limiting the revenues of the surviving corporation following the transaction, or otherwise reducing the anticipated benefits of the transaction. In addition, there can be no assurance that any such conditions, limitations, obligations or restrictions will not result in the delay or abandonment of the transaction. Completion of the transaction is also conditioned on the absence of certain orders, injunctions or decrees by any governmental entity that would prohibit or make illegal the completion of the transaction. </w:t>
      </w:r>
    </w:p>
    <w:p>
      <w:pPr>
        <w:pStyle w:val="TextBody"/>
        <w:bidi w:val="0"/>
        <w:spacing w:lineRule="auto" w:line="288" w:before="240" w:after="240"/>
        <w:jc w:val="left"/>
        <w:rPr>
          <w:rFonts w:ascii="Arial;sans-serif" w:hAnsi="Arial;sans-serif"/>
          <w:b/>
          <w:color w:val="000000"/>
          <w:sz w:val="22"/>
        </w:rPr>
      </w:pPr>
      <w:bookmarkStart w:id="2" w:name="ic83b2523305e4f2588164802f9d11929_2755"/>
      <w:bookmarkEnd w:id="2"/>
      <w:r>
        <w:rPr>
          <w:rFonts w:ascii="Arial;sans-serif" w:hAnsi="Arial;sans-serif"/>
          <w:b/>
          <w:color w:val="000000"/>
          <w:sz w:val="22"/>
        </w:rPr>
        <w:t>Item 2.        Unregistered Sales of Equity Securities and Use of Proceeds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Issuer repurchases of equity securities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September 6, 2023, the Board of Directors approved a stock repurchase program, which permits the Company to repurchase up to $20 million of shares of the Company’s common stock within 36 months from adoption. Share repurchases may be made from time to time in open market or privately negotiated transactions and/or pursuant to Rule 10b5-1 trading plans in such quantities and at such prices as may be authorized by certain designated officers of the Company and are subject to market conditions, applicable legal requirements, trading restrictions under the Company’s insider trading policy and other relevant factors.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 repurchases were made by us or our “affiliated purchasers” (as defined in Rule 10b-18(a)(3) of the Exchange Act) of registered equity securities during the first quarter of 2026. As of January 31, 2026, the approximate dollar value of shares that may yet be purchased as part of our stock repurchase program was $13.3 million.</w:t>
      </w:r>
    </w:p>
    <w:p>
      <w:pPr>
        <w:pStyle w:val="TextBody"/>
        <w:bidi w:val="0"/>
        <w:spacing w:lineRule="auto" w:line="288" w:before="240" w:after="240"/>
        <w:jc w:val="left"/>
        <w:rPr>
          <w:rFonts w:ascii="Arial;sans-serif" w:hAnsi="Arial;sans-serif"/>
          <w:b/>
          <w:color w:val="000000"/>
          <w:sz w:val="22"/>
        </w:rPr>
      </w:pPr>
      <w:bookmarkStart w:id="3" w:name="ic83b2523305e4f2588164802f9d11929_2756"/>
      <w:bookmarkEnd w:id="3"/>
      <w:r>
        <w:rPr>
          <w:rFonts w:ascii="Arial;sans-serif" w:hAnsi="Arial;sans-serif"/>
          <w:b/>
          <w:color w:val="000000"/>
          <w:sz w:val="22"/>
        </w:rPr>
        <w:t>Item 3.        Defaults Upon Senior Securities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240" w:after="240"/>
        <w:jc w:val="left"/>
        <w:rPr>
          <w:rFonts w:ascii="Arial;sans-serif" w:hAnsi="Arial;sans-serif"/>
          <w:b/>
          <w:color w:val="000000"/>
          <w:sz w:val="22"/>
        </w:rPr>
      </w:pPr>
      <w:bookmarkStart w:id="4" w:name="ic83b2523305e4f2588164802f9d11929_2757"/>
      <w:bookmarkEnd w:id="4"/>
      <w:r>
        <w:rPr>
          <w:rFonts w:ascii="Arial;sans-serif" w:hAnsi="Arial;sans-serif"/>
          <w:b/>
          <w:color w:val="000000"/>
          <w:sz w:val="22"/>
        </w:rPr>
        <w:t>Item 4.        Mine Safety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240" w:after="240"/>
        <w:jc w:val="left"/>
        <w:rPr>
          <w:rFonts w:ascii="Arial;sans-serif" w:hAnsi="Arial;sans-serif"/>
          <w:b/>
          <w:color w:val="000000"/>
          <w:sz w:val="22"/>
        </w:rPr>
      </w:pPr>
      <w:bookmarkStart w:id="5" w:name="ic83b2523305e4f2588164802f9d11929_2759"/>
      <w:bookmarkEnd w:id="5"/>
      <w:r>
        <w:rPr>
          <w:rFonts w:ascii="Arial;sans-serif" w:hAnsi="Arial;sans-serif"/>
          <w:b/>
          <w:color w:val="000000"/>
          <w:sz w:val="22"/>
        </w:rPr>
        <w:t>Item 5.        Other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During the fiscal quarter ended January 31, 2026, no director or officer of the Company adopted or terminated a “Rule 10b5-1 trading arrangement” or a “non-Rule 10b5-1 trading arrangement” (in each case, as defined in Item 408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0"/>
                <wp:effectExtent l="0" t="0" r="0" b="0"/>
                <wp:wrapNone/>
                <wp:docPr id="32" name="Frame3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40"/>
        <w:jc w:val="left"/>
        <w:rPr>
          <w:rFonts w:ascii="Arial;sans-serif" w:hAnsi="Arial;sans-serif"/>
          <w:b/>
          <w:color w:val="000000"/>
          <w:sz w:val="22"/>
        </w:rPr>
      </w:pPr>
      <w:bookmarkStart w:id="6" w:name="ic83b2523305e4f2588164802f9d11929_2753"/>
      <w:bookmarkEnd w:id="6"/>
      <w:r>
        <w:rPr>
          <w:rFonts w:ascii="Arial;sans-serif" w:hAnsi="Arial;sans-serif"/>
          <w:b/>
          <w:color w:val="000000"/>
          <w:sz w:val="22"/>
        </w:rPr>
        <w:t>Item 6.        Exhibits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documents set forth are filed herewith or incorporated herein by reference.</w:t>
      </w:r>
    </w:p>
    <w:p>
      <w:pPr>
        <w:pStyle w:val="TextBody"/>
        <w:bidi w:val="0"/>
        <w:spacing w:lineRule="auto" w:line="288" w:before="300" w:after="40"/>
        <w:jc w:val="center"/>
        <w:rPr>
          <w:rFonts w:ascii="Arial;sans-serif" w:hAnsi="Arial;sans-serif"/>
          <w:b/>
          <w:color w:val="000000"/>
          <w:sz w:val="20"/>
        </w:rPr>
      </w:pPr>
      <w:r>
        <w:rPr>
          <w:rFonts w:ascii="Arial;sans-serif" w:hAnsi="Arial;sans-serif"/>
          <w:b/>
          <w:color w:val="000000"/>
          <w:sz w:val="20"/>
        </w:rPr>
        <w:t>INDEX</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19"/>
        <w:gridCol w:w="192"/>
        <w:gridCol w:w="194"/>
        <w:gridCol w:w="109"/>
        <w:gridCol w:w="109"/>
        <w:gridCol w:w="109"/>
        <w:gridCol w:w="2039"/>
        <w:gridCol w:w="1820"/>
        <w:gridCol w:w="1828"/>
        <w:gridCol w:w="109"/>
        <w:gridCol w:w="109"/>
        <w:gridCol w:w="109"/>
        <w:gridCol w:w="145"/>
        <w:gridCol w:w="145"/>
        <w:gridCol w:w="146"/>
        <w:gridCol w:w="120"/>
        <w:gridCol w:w="120"/>
        <w:gridCol w:w="120"/>
        <w:gridCol w:w="148"/>
        <w:gridCol w:w="148"/>
        <w:gridCol w:w="153"/>
        <w:gridCol w:w="120"/>
        <w:gridCol w:w="120"/>
        <w:gridCol w:w="120"/>
        <w:gridCol w:w="199"/>
        <w:gridCol w:w="199"/>
        <w:gridCol w:w="203"/>
        <w:gridCol w:w="109"/>
        <w:gridCol w:w="109"/>
        <w:gridCol w:w="109"/>
        <w:gridCol w:w="211"/>
        <w:gridCol w:w="211"/>
        <w:gridCol w:w="304"/>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Filed</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Herewith</w:t>
            </w:r>
          </w:p>
        </w:tc>
      </w:tr>
      <w:tr>
        <w:trPr/>
        <w:tc>
          <w:tcPr>
            <w:tcW w:w="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00"/>
                  <w:sz w:val="14"/>
                  <w:u w:val="single"/>
                </w:rPr>
                <w:t>Agreement and Plan of Merger, dated as of January 14, 2026, by and among Parent, Merger Sub I, Merger Sub II and the Company</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1/14/2026</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00"/>
                  <w:sz w:val="14"/>
                  <w:u w:val="single"/>
                </w:rPr>
                <w:t>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00"/>
                  <w:sz w:val="14"/>
                  <w:u w:val="single"/>
                </w:rPr>
                <w:t>Amendment to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6/8/2024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00"/>
                  <w:sz w:val="14"/>
                  <w:u w:val="single"/>
                </w:rPr>
                <w:t>Certificate of Designations of Series A Junior Participating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00"/>
                  <w:sz w:val="14"/>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00"/>
                  <w:sz w:val="14"/>
                  <w:u w:val="single"/>
                </w:rPr>
                <w:t>Rights Agreement, dated as of January 21, 2026, between Mission Produce, Inc. and Equiniti Trust Company,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311_2026-q1.htm">
              <w:r>
                <w:rPr>
                  <w:rStyle w:val="InternetLink"/>
                  <w:rFonts w:ascii="Arial;sans-serif" w:hAnsi="Arial;sans-serif"/>
                  <w:b w:val="false"/>
                  <w:color w:val="000000"/>
                  <w:sz w:val="14"/>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2_2026-q1.htm">
              <w:r>
                <w:rPr>
                  <w:rStyle w:val="InternetLink"/>
                  <w:rFonts w:ascii="Arial;sans-serif" w:hAnsi="Arial;sans-serif"/>
                  <w:b w:val="false"/>
                  <w:color w:val="000000"/>
                  <w:sz w:val="14"/>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321_2026-q1.htm">
              <w:r>
                <w:rPr>
                  <w:rStyle w:val="InternetLink"/>
                  <w:rFonts w:ascii="Arial;sans-serif" w:hAnsi="Arial;sans-serif"/>
                  <w:b w:val="false"/>
                  <w:color w:val="000000"/>
                  <w:sz w:val="14"/>
                  <w:u w:val="single"/>
                </w:rPr>
                <w:t xml:space="preserve">Certification of Chief Executive Officer pursuant to Section 906 of the Sarbanes-Oxley Act of 2002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2_2026-q1.htm">
              <w:r>
                <w:rPr>
                  <w:rStyle w:val="InternetLink"/>
                  <w:rFonts w:ascii="Arial;sans-serif" w:hAnsi="Arial;sans-serif"/>
                  <w:b w:val="false"/>
                  <w:color w:val="000000"/>
                  <w:sz w:val="14"/>
                  <w:u w:val="single"/>
                </w:rPr>
                <w:t>Certification of Chief Financial Officer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The following financial statements from the Company's Quarterly Report on Form 10-Q for the quarter ended January 31, 2026 formatted in Inline XBRL: (i) Condensed Consolidated Balance Sheets, (ii) Condensed Consolidated Statements of (Loss) Income, (iii) Condensed Consolidated Statements of (Loss) Income (iv) Condensed Consolidated Statements of Changes in Equity, (v) Condensed Consolidated Statements of Cash Flows, and (vi) Notes to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Cover Page Interactive Data File (formatted as Inline XBRL and contained in Exhibit 101)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9863"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 xml:space="preserve">SIGNATURES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Section 13 or 15(d) of the Securities Exchange Act of 1934, the registrant has duly caused this quarterly report to be signed on its behalf by the undersigned, thereunto duly authorized, on March 12, 2026. </w:t>
      </w:r>
    </w:p>
    <w:p>
      <w:pPr>
        <w:pStyle w:val="TextBody"/>
        <w:bidi w:val="0"/>
        <w:spacing w:before="0" w:after="0"/>
        <w:ind w:left="0" w:right="0" w:firstLine="720"/>
        <w:jc w:val="left"/>
        <w:rPr/>
      </w:pPr>
      <w:r>
        <w:rPr/>
      </w:r>
    </w:p>
    <w:tbl>
      <w:tblPr>
        <w:tblW w:w="2324" w:type="dxa"/>
        <w:jc w:val="right"/>
        <w:tblInd w:w="0" w:type="dxa"/>
        <w:tblLayout w:type="fixed"/>
        <w:tblCellMar>
          <w:top w:w="28" w:type="dxa"/>
          <w:left w:w="28" w:type="dxa"/>
          <w:bottom w:w="28" w:type="dxa"/>
          <w:right w:w="28" w:type="dxa"/>
        </w:tblCellMar>
      </w:tblPr>
      <w:tblGrid>
        <w:gridCol w:w="743"/>
        <w:gridCol w:w="654"/>
        <w:gridCol w:w="927"/>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300" w:after="240"/>
              <w:jc w:val="center"/>
              <w:rPr>
                <w:rFonts w:ascii="Arial;sans-serif" w:hAnsi="Arial;sans-serif"/>
                <w:b/>
                <w:color w:val="000000"/>
                <w:sz w:val="18"/>
              </w:rPr>
            </w:pPr>
            <w:r>
              <w:rPr>
                <w:rFonts w:ascii="Arial;sans-serif" w:hAnsi="Arial;sans-serif"/>
                <w:b/>
                <w:color w:val="000000"/>
                <w:sz w:val="18"/>
              </w:rPr>
              <w:t>MISSION PRODUCE, INC.</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Executive Officer</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Financial Officer</w:t>
            </w:r>
          </w:p>
        </w:tc>
      </w:tr>
    </w:tbl>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0"/>
                <wp:effectExtent l="0" t="0" r="0" b="0"/>
                <wp:wrapNone/>
                <wp:docPr id="33" name="Frame3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Stephen J. Barnard,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13360"/>
                <wp:effectExtent l="0" t="0" r="0" b="0"/>
                <wp:wrapNone/>
                <wp:docPr id="34" name="Frame3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Bryan E. Giles,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13360"/>
                <wp:effectExtent l="0" t="0" r="0" b="0"/>
                <wp:wrapNone/>
                <wp:docPr id="35" name="Frame3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January 31,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13360"/>
                <wp:effectExtent l="0" t="0" r="0" b="0"/>
                <wp:wrapNone/>
                <wp:docPr id="36" name="Frame3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January 31,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March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13360"/>
                <wp:effectExtent l="0" t="0" r="0" b="0"/>
                <wp:wrapNone/>
                <wp:docPr id="37" name="Frame3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974/000119312526013366/d47538dex21.htm" TargetMode="External"/><Relationship Id="rId3" Type="http://schemas.openxmlformats.org/officeDocument/2006/relationships/hyperlink" Target="https://www.sec.gov/Archives/edgar/data/1802974/000119312520265099/d32849dex31.htm" TargetMode="External"/><Relationship Id="rId4" Type="http://schemas.openxmlformats.org/officeDocument/2006/relationships/hyperlink" Target="https://www.sec.gov/Archives/edgar/data/1802974/000180297424000028/ex32amendmenttoamendedandr.htm" TargetMode="External"/><Relationship Id="rId5" Type="http://schemas.openxmlformats.org/officeDocument/2006/relationships/hyperlink" Target="https://www.sec.gov/Archives/edgar/data/1802974/000119312526019420/d66727dex31.htm" TargetMode="External"/><Relationship Id="rId6" Type="http://schemas.openxmlformats.org/officeDocument/2006/relationships/hyperlink" Target="https://www.sec.gov/Archives/edgar/data/1802974/000119312520265099/d32849dex32.htm" TargetMode="External"/><Relationship Id="rId7" Type="http://schemas.openxmlformats.org/officeDocument/2006/relationships/hyperlink" Target="https://www.sec.gov/Archives/edgar/data/1802974/000119312526019420/d6672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17848</Words>
  <Characters>99418</Characters>
  <CharactersWithSpaces>116210</CharactersWithSpaces>
  <Paragraphs>2093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