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2936d8k.htm"/>
      <w:bookmarkStart w:id="1" w:name="ksd16293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September 11,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MISSION PRODUCE,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95-3847744</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2710 Camino Del Sol Oxnard, CA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93030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(805) 981-3650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145"/>
        <w:gridCol w:w="60"/>
        <w:gridCol w:w="740"/>
        <w:gridCol w:w="60"/>
        <w:gridCol w:w="326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AVO</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part of Mission Produce, Inc.’s (the “Company”) ongoing efforts to review and optimize its combined distribution network and operations following the Company’s acquisition of Calavo Growers, Inc. (“Calavo”), which was completed on May 28, 2026, the Company has decided to close three of its facilities across the Company’s distribution network and to implement workforce reductions related to the facility closures and the consolidation of certain operations in California. Specifically, on September 11, 2026, the Company determined it will: (1) consolidate its operations in Swedesboro, New Jersey into one facility; (2) combine its Dallas-area facilities into one facility in Garland, Texas; and (3) close the Calavo facility in Jacksonville, Florida.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incur costs associated with these actions which are consistent with the integration costs anticipated as part of the Company’s post- acquisition integration plans. These costs are expected to include, among other things, employee severance and related benefits costs totaling approximately $1.4 million, accelerated depreciation of approximately $8.6 million, estimated asset retirement obligations totaling approximately $5.4 million, and lease termination costs which are not determinable at this time. The severance and related benefits and the asset retirement obligations are expected to be cash charges, and the lease termination costs may also include cash charges. The Company is not able to make a good faith estimate of the total amount or range of amounts of these costs, or the total amount or range of amounts of future cash charges, at this time. The Company expects to disclose such amounts in future Securities and Exchange Commission filings after it makes a determination of such estimates or such information becomes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within the meaning of the Private Securities Litigation Reform Act of 1995. All statements contained in this Current Report that do not relate to matters of historical fact should be considered forward-looking statements, including statements regarding the expected timing and completion of the Restructuring, the estimated costs and charges associated with the Restructuring, the amount and timing of cash expenditures, and the expected benefits of the Restructuring. Forward-looking statements generally are identified by words such as “believe,” “project,” “expect,” “anticipate,” “estimate,” “intend,” “strategy,” “future,” “opportunity,” “plan,” “may,” “should,” “will,” “would,”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the risks and uncertainties set forth under the heading “Risk Factors” in the Company’s Annual Report on Form 10-K for the fiscal year ended 2025 and the Company’s other filings with the U.S.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pPr>
            <w:r>
              <w:rPr/>
              <w:t>Mission Produce,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Pawlowski</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John Pawlowski</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912</Words>
  <Characters>5269</Characters>
  <CharactersWithSpaces>6168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