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April 28,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MISSION PRODUCE,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64" w:type="dxa"/>
        <w:tblCellMar>
          <w:top w:w="0" w:type="dxa"/>
          <w:left w:w="0" w:type="dxa"/>
          <w:bottom w:w="0" w:type="dxa"/>
          <w:right w:w="0" w:type="dxa"/>
        </w:tblCellMar>
      </w:tblPr>
      <w:tr>
        <w:trPr>
          <w:trHeight w:val="214"/>
        </w:trPr>
        <w:tc>
          <w:tcPr>
            <w:tcW w:w="2820" w:type="dxa"/>
            <w:vAlign w:val="bottom"/>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001-39561</w:t>
            </w:r>
          </w:p>
        </w:tc>
        <w:tc>
          <w:tcPr>
            <w:tcW w:w="17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95-3847744</w:t>
            </w:r>
          </w:p>
        </w:tc>
      </w:tr>
      <w:tr>
        <w:trPr>
          <w:trHeight w:val="149"/>
        </w:trPr>
        <w:tc>
          <w:tcPr>
            <w:tcW w:w="282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60" w:type="dxa"/>
            <w:vAlign w:val="bottom"/>
          </w:tcPr>
          <w:p>
            <w:pPr>
              <w:ind w:left="18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0"/>
        </w:trPr>
        <w:tc>
          <w:tcPr>
            <w:tcW w:w="2820" w:type="dxa"/>
            <w:vAlign w:val="bottom"/>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2710 Camino Del Sol Oxnard, CA</w:t>
            </w:r>
          </w:p>
        </w:tc>
        <w:tc>
          <w:tcPr>
            <w:tcW w:w="4660" w:type="dxa"/>
            <w:vAlign w:val="bottom"/>
          </w:tcPr>
          <w:p>
            <w:pPr>
              <w:spacing w:after="0"/>
              <w:rPr>
                <w:sz w:val="24"/>
                <w:szCs w:val="24"/>
                <w:color w:val="auto"/>
              </w:rPr>
            </w:pPr>
          </w:p>
        </w:tc>
        <w:tc>
          <w:tcPr>
            <w:tcW w:w="17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93030</w:t>
            </w:r>
          </w:p>
        </w:tc>
      </w:tr>
      <w:tr>
        <w:trPr>
          <w:trHeight w:val="190"/>
        </w:trPr>
        <w:tc>
          <w:tcPr>
            <w:tcW w:w="28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60" w:type="dxa"/>
            <w:vAlign w:val="bottom"/>
          </w:tcPr>
          <w:p>
            <w:pPr>
              <w:spacing w:after="0"/>
              <w:rPr>
                <w:sz w:val="16"/>
                <w:szCs w:val="16"/>
                <w:color w:val="auto"/>
              </w:rPr>
            </w:pPr>
          </w:p>
        </w:tc>
        <w:tc>
          <w:tcPr>
            <w:tcW w:w="178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2820" w:type="dxa"/>
            <w:vAlign w:val="bottom"/>
          </w:tcPr>
          <w:p>
            <w:pPr>
              <w:spacing w:after="0"/>
              <w:rPr>
                <w:sz w:val="24"/>
                <w:szCs w:val="24"/>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(805) 981-3650</w:t>
            </w:r>
          </w:p>
        </w:tc>
        <w:tc>
          <w:tcPr>
            <w:tcW w:w="1780" w:type="dxa"/>
            <w:vAlign w:val="bottom"/>
          </w:tcPr>
          <w:p>
            <w:pPr>
              <w:spacing w:after="0"/>
              <w:rPr>
                <w:sz w:val="24"/>
                <w:szCs w:val="24"/>
                <w:color w:val="auto"/>
              </w:rPr>
            </w:pPr>
          </w:p>
        </w:tc>
      </w:tr>
      <w:tr>
        <w:trPr>
          <w:trHeight w:val="190"/>
        </w:trPr>
        <w:tc>
          <w:tcPr>
            <w:tcW w:w="2820" w:type="dxa"/>
            <w:vAlign w:val="bottom"/>
          </w:tcPr>
          <w:p>
            <w:pPr>
              <w:spacing w:after="0"/>
              <w:rPr>
                <w:sz w:val="16"/>
                <w:szCs w:val="16"/>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390"/>
        </w:trPr>
        <w:tc>
          <w:tcPr>
            <w:tcW w:w="2820" w:type="dxa"/>
            <w:vAlign w:val="bottom"/>
          </w:tcPr>
          <w:p>
            <w:pPr>
              <w:spacing w:after="0"/>
              <w:rPr>
                <w:sz w:val="24"/>
                <w:szCs w:val="24"/>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80" w:type="dxa"/>
            <w:vAlign w:val="bottom"/>
          </w:tcPr>
          <w:p>
            <w:pPr>
              <w:spacing w:after="0"/>
              <w:rPr>
                <w:sz w:val="24"/>
                <w:szCs w:val="24"/>
                <w:color w:val="auto"/>
              </w:rPr>
            </w:pPr>
          </w:p>
        </w:tc>
      </w:tr>
      <w:tr>
        <w:trPr>
          <w:trHeight w:val="190"/>
        </w:trPr>
        <w:tc>
          <w:tcPr>
            <w:tcW w:w="2820" w:type="dxa"/>
            <w:vAlign w:val="bottom"/>
          </w:tcPr>
          <w:p>
            <w:pPr>
              <w:spacing w:after="0"/>
              <w:rPr>
                <w:sz w:val="16"/>
                <w:szCs w:val="16"/>
                <w:color w:val="auto"/>
              </w:rPr>
            </w:pPr>
          </w:p>
        </w:tc>
        <w:tc>
          <w:tcPr>
            <w:tcW w:w="4660" w:type="dxa"/>
            <w:vAlign w:val="bottom"/>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512"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2"/>
              </w:rPr>
              <w:t>AVO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Series A Junior Participating Preferred Stock, par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value $0.001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At a special meeting (the “Special Meeting”) of stockholders held on April 28, 2026, the stockholders of Mission Produce, Inc. (“Mission Produce”) voted on the proposals set forth below. The proposals are described in detail in Mission Produce’s definitive proxy statement/prospectus filed with the Securities and Exchange Commission on March 20, 2026 (the “Proxy Statement”). As of the close of business on March 16, 2026, the record date of the Special Meeting, there were 70,846,364 shares of common stock of Mission Produce, par value $0.001 per share (“Mission Produce Common Stock”), issued and outstanding, each of which was entitled to one vote on each proposal at the Special Meeting. At the Special Meeting, a total of 49,834,743 shares of Mission Produce Common Stock, representing approximately 70% of the outstanding shares of Mission Produce Common Stock entitled to vote, were present via the Special Meeting website or represented by proxy, constituting a quorum to conduct business.</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voting results regarding each proposal submitted to a vote at the Special Meeting, as determined by Mission Produce’s Inspector of Election, are set forth below. Subject to satisfaction of customary closing conditions, the parties expect to consummate the Mergers (as defined below) in the fiscal quarter ending July 31, 2026.</w:t>
      </w:r>
    </w:p>
    <w:p>
      <w:pPr>
        <w:spacing w:after="0" w:line="1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Approval of the issuance of shares of Mission Produce Common Stock in the mergers (the “Mergers”) contemplated by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Plan of Merger, dated as of January 14, 2026, by and among Mission Produce, Calavo Growers, Inc., a California corporation (“Calavo”), Cantaloupe Merger Sub I, Inc., a Delaware corporation and a wholly owned subsidiary of Mission Produce, and Cantaloupe Merger Sub II, LLC, a Delaware limited liability company and a wholly owned subsidiary of Mission Produce (as that agreement may be amended, restated, supplemented or otherwise modified from time to time, the “Merger Agreement”), for purposes of complying with Nasdaq Listing Rule 5635(a) and, in the event such issuance constitutes a change of control, Nasdaq Listing Rule 5635(b) (the “Share Issuance Proposal”).</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Share Issuance Proposal was approved by the requisite vote of Mission Produce’s stockholders.</w:t>
      </w:r>
    </w:p>
    <w:p>
      <w:pPr>
        <w:spacing w:after="0" w:line="246"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0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1"/>
              </w:rPr>
              <w:t>49,222,202</w:t>
            </w:r>
          </w:p>
        </w:tc>
        <w:tc>
          <w:tcPr>
            <w:tcW w:w="3100" w:type="dxa"/>
            <w:vAlign w:val="bottom"/>
          </w:tcPr>
          <w:p>
            <w:pPr>
              <w:spacing w:after="0"/>
              <w:rPr>
                <w:sz w:val="19"/>
                <w:szCs w:val="19"/>
                <w:color w:val="auto"/>
              </w:rPr>
            </w:pPr>
          </w:p>
        </w:tc>
        <w:tc>
          <w:tcPr>
            <w:tcW w:w="8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605,041</w:t>
            </w:r>
          </w:p>
        </w:tc>
        <w:tc>
          <w:tcPr>
            <w:tcW w:w="2020" w:type="dxa"/>
            <w:vAlign w:val="bottom"/>
          </w:tcPr>
          <w:p>
            <w:pPr>
              <w:spacing w:after="0"/>
              <w:rPr>
                <w:sz w:val="19"/>
                <w:szCs w:val="19"/>
                <w:color w:val="auto"/>
              </w:rPr>
            </w:pPr>
          </w:p>
        </w:tc>
        <w:tc>
          <w:tcPr>
            <w:tcW w:w="7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17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Approval of the adjournment of the Special Meeting to solicit additional proxies if there are not sufficient votes at the time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 to approve the Share Issuance Proposal (the “Adjournment Proposal”).</w:t>
      </w:r>
    </w:p>
    <w:p>
      <w:pPr>
        <w:spacing w:after="0" w:line="15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Adjournment of the Special Meeting was deemed not necessary because there was a quorum present and there were sufficient proxies at the time of the Special Meeting to approve the Share Issuance Proposal.</w:t>
      </w:r>
    </w:p>
    <w:p>
      <w:pPr>
        <w:spacing w:after="0" w:line="182"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0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1"/>
              </w:rPr>
              <w:t>49,075,279</w:t>
            </w:r>
          </w:p>
        </w:tc>
        <w:tc>
          <w:tcPr>
            <w:tcW w:w="3100" w:type="dxa"/>
            <w:vAlign w:val="bottom"/>
          </w:tcPr>
          <w:p>
            <w:pPr>
              <w:spacing w:after="0"/>
              <w:rPr>
                <w:sz w:val="19"/>
                <w:szCs w:val="19"/>
                <w:color w:val="auto"/>
              </w:rPr>
            </w:pPr>
          </w:p>
        </w:tc>
        <w:tc>
          <w:tcPr>
            <w:tcW w:w="8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751,406</w:t>
            </w:r>
          </w:p>
        </w:tc>
        <w:tc>
          <w:tcPr>
            <w:tcW w:w="2020" w:type="dxa"/>
            <w:vAlign w:val="bottom"/>
          </w:tcPr>
          <w:p>
            <w:pPr>
              <w:spacing w:after="0"/>
              <w:rPr>
                <w:sz w:val="19"/>
                <w:szCs w:val="19"/>
                <w:color w:val="auto"/>
              </w:rPr>
            </w:pPr>
          </w:p>
        </w:tc>
        <w:tc>
          <w:tcPr>
            <w:tcW w:w="7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rPr>
              <w:t>8,058</w:t>
            </w:r>
          </w:p>
        </w:tc>
      </w:tr>
    </w:tbl>
    <w:p>
      <w:pPr>
        <w:sectPr>
          <w:pgSz w:w="11900" w:h="16838" w:orient="portrait"/>
          <w:cols w:equalWidth="0" w:num="1">
            <w:col w:w="10940"/>
          </w:cols>
          <w:pgMar w:left="440" w:top="266" w:right="51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Statement Regarding Forward-Looking Statements</w:t>
      </w:r>
    </w:p>
    <w:p>
      <w:pPr>
        <w:spacing w:after="0" w:line="11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statements regarding Mission Produce, Calavo, the proposed transactions, and other matters that are forward-looking statements within the meaning of Section 27A of the Securities Act and Section 21E of the Exchange Act. In some cases, forward-looking statements can be identified by words such as “anticipate,” “approximate,” “believe,” “plan,” “estimate,” “expect,” “project,” “could,” “should,” “strategy,” “will,” “intend,” “may” and other similar expressions or the negative of such words or expressions. Statements in this Current Report on Form 8-K or related exhibits concerning Mission Produce’s proposed transaction with Calavo and the closing date of the proposed transaction,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Mission Produce and Calavo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w:t>
      </w:r>
    </w:p>
    <w:p>
      <w:pPr>
        <w:spacing w:after="0" w:line="93" w:lineRule="exact"/>
        <w:rPr>
          <w:sz w:val="20"/>
          <w:szCs w:val="20"/>
          <w:color w:val="auto"/>
        </w:rPr>
      </w:pPr>
    </w:p>
    <w:p>
      <w:pPr>
        <w:ind w:left="964" w:right="140" w:hanging="532"/>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transaction described herein will not be completed or will not provide the expected benefits, or that we will not be able to achieve the cost or revenue synergies anticipated;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condition to closing of the transaction may not be satisfied on a timely basis or at all;</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occurrence of an event, change or other circumstance that would give rise to the termination of the transaction agreement;</w:t>
      </w:r>
    </w:p>
    <w:p>
      <w:pPr>
        <w:spacing w:after="0" w:line="130" w:lineRule="exact"/>
        <w:rPr>
          <w:rFonts w:ascii="Times New Roman" w:cs="Times New Roman" w:eastAsia="Times New Roman" w:hAnsi="Times New Roman"/>
          <w:sz w:val="18"/>
          <w:szCs w:val="18"/>
          <w:color w:val="auto"/>
        </w:rPr>
      </w:pPr>
    </w:p>
    <w:p>
      <w:pPr>
        <w:ind w:left="964" w:right="620" w:hanging="532"/>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shareholder litigation in connection with the proposed transaction, including resulting expense or delay in closing of the transaction;</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proposed transaction to close for any other reason;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charges or expenses resulting from the transaction;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Mission Produce’s and Calavo’s businesses.</w:t>
      </w:r>
    </w:p>
    <w:p>
      <w:pPr>
        <w:spacing w:after="0" w:line="225"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Other unknown or unpredictable factors also could have a material adverse effect on Mission Produce’s business, financial condition, results of operations and prospects. Accordingly, readers should not place undue reliance on these forward-looking statements. These forward-looking statements are inherently subject to uncertainties, risks and changes in circumstances that are difficult to predict. Except as required by applicable law or regulation, neither Mission Produce nor Calavo undertakes (and each of Mission Produce and Calavo expressly disclaim) any obligation and do not intend to publicly update or review any of these forward-looking statements, whether as a result of new information, future events or otherwise.</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1004"/>
          </w:cols>
          <w:pgMar w:left="436" w:top="268"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Mission Produce, Inc.</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April 29, 2026</w:t>
            </w:r>
          </w:p>
        </w:tc>
        <w:tc>
          <w:tcPr>
            <w:tcW w:w="4860" w:type="dxa"/>
            <w:vAlign w:val="bottom"/>
          </w:tcPr>
          <w:p>
            <w:pPr>
              <w:spacing w:after="0"/>
              <w:rPr>
                <w:sz w:val="20"/>
                <w:szCs w:val="20"/>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Pawlowski</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Pawlowski</w:t>
            </w:r>
          </w:p>
        </w:tc>
      </w:tr>
      <w:tr>
        <w:trPr>
          <w:trHeight w:val="234"/>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2026-04-29T05:30:31Z</dcterms:created>
  <dcterms:modified xsi:type="dcterms:W3CDTF">2026-04-29T05:30:31Z</dcterms:modified>
</cp:coreProperties>
</file>