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6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left="640"/>
        <w:spacing w:after="0" w:line="215" w:lineRule="auto"/>
        <w:rPr>
          <w:sz w:val="20"/>
          <w:szCs w:val="20"/>
          <w:color w:val="auto"/>
        </w:rPr>
      </w:pPr>
      <w:r>
        <w:rPr>
          <w:rFonts w:ascii="Arial" w:cs="Arial" w:eastAsia="Arial" w:hAnsi="Arial"/>
          <w:sz w:val="25"/>
          <w:szCs w:val="25"/>
          <w:b w:val="1"/>
          <w:bCs w:val="1"/>
          <w:color w:val="auto"/>
        </w:rPr>
        <w:t>SECURITIES AND EXCHANGE COMMISSION</w:t>
      </w:r>
    </w:p>
    <w:p>
      <w:pPr>
        <w:jc w:val="center"/>
        <w:ind w:left="640"/>
        <w:spacing w:after="0" w:line="222" w:lineRule="auto"/>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62" w:lineRule="exact"/>
        <w:rPr>
          <w:sz w:val="24"/>
          <w:szCs w:val="24"/>
          <w:color w:val="auto"/>
        </w:rPr>
      </w:pPr>
    </w:p>
    <w:p>
      <w:pPr>
        <w:jc w:val="center"/>
        <w:ind w:left="640"/>
        <w:spacing w:after="0"/>
        <w:rPr>
          <w:sz w:val="20"/>
          <w:szCs w:val="20"/>
          <w:color w:val="auto"/>
        </w:rPr>
      </w:pPr>
      <w:r>
        <w:rPr>
          <w:rFonts w:ascii="Arial" w:cs="Arial" w:eastAsia="Arial" w:hAnsi="Arial"/>
          <w:sz w:val="25"/>
          <w:szCs w:val="25"/>
          <w:b w:val="1"/>
          <w:bCs w:val="1"/>
          <w:color w:val="auto"/>
        </w:rPr>
        <w:t>FORM 10-Q</w:t>
      </w:r>
    </w:p>
    <w:p>
      <w:pPr>
        <w:spacing w:after="0" w:line="10"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23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9"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8"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For the quarterly period ended January 31, 2021</w:t>
      </w:r>
    </w:p>
    <w:p>
      <w:pPr>
        <w:spacing w:after="0" w:line="42"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OR</w:t>
      </w:r>
    </w:p>
    <w:p>
      <w:pPr>
        <w:spacing w:after="0" w:line="280"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18" w:lineRule="exact"/>
        <w:rPr>
          <w:sz w:val="24"/>
          <w:szCs w:val="24"/>
          <w:color w:val="auto"/>
        </w:rPr>
      </w:pPr>
    </w:p>
    <w:p>
      <w:pPr>
        <w:ind w:left="4020"/>
        <w:spacing w:after="0"/>
        <w:tabs>
          <w:tab w:leader="none" w:pos="69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3855720</wp:posOffset>
            </wp:positionH>
            <wp:positionV relativeFrom="paragraph">
              <wp:posOffset>635</wp:posOffset>
            </wp:positionV>
            <wp:extent cx="1151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22"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Commission file number: 001-39561</w:t>
      </w:r>
    </w:p>
    <w:p>
      <w:pPr>
        <w:spacing w:after="0" w:line="11"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315"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232F84"/>
        </w:rPr>
        <w:t>MISSION PRODUCE, INC.</w:t>
      </w:r>
    </w:p>
    <w:p>
      <w:pPr>
        <w:spacing w:after="0" w:line="37"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5360" w:type="dxa"/>
            <w:vAlign w:val="bottom"/>
            <w:gridSpan w:val="3"/>
          </w:tcPr>
          <w:p>
            <w:pPr>
              <w:jc w:val="center"/>
              <w:ind w:right="1471"/>
              <w:spacing w:after="0"/>
              <w:rPr>
                <w:sz w:val="20"/>
                <w:szCs w:val="20"/>
                <w:color w:val="auto"/>
              </w:rPr>
            </w:pPr>
            <w:r>
              <w:rPr>
                <w:rFonts w:ascii="Arial" w:cs="Arial" w:eastAsia="Arial" w:hAnsi="Arial"/>
                <w:sz w:val="14"/>
                <w:szCs w:val="14"/>
                <w:b w:val="1"/>
                <w:bCs w:val="1"/>
                <w:color w:val="auto"/>
              </w:rPr>
              <w:t>(Exact name of Registrant as specified in its charter)</w:t>
            </w:r>
          </w:p>
        </w:tc>
      </w:tr>
      <w:tr>
        <w:trPr>
          <w:trHeight w:val="111"/>
        </w:trPr>
        <w:tc>
          <w:tcPr>
            <w:tcW w:w="2060" w:type="dxa"/>
            <w:vAlign w:val="bottom"/>
          </w:tcPr>
          <w:p>
            <w:pPr>
              <w:spacing w:after="0"/>
              <w:rPr>
                <w:sz w:val="9"/>
                <w:szCs w:val="9"/>
                <w:color w:val="auto"/>
              </w:rPr>
            </w:pPr>
          </w:p>
        </w:tc>
        <w:tc>
          <w:tcPr>
            <w:tcW w:w="230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_____________</w:t>
            </w:r>
          </w:p>
        </w:tc>
        <w:tc>
          <w:tcPr>
            <w:tcW w:w="3060" w:type="dxa"/>
            <w:vAlign w:val="bottom"/>
          </w:tcPr>
          <w:p>
            <w:pPr>
              <w:spacing w:after="0"/>
              <w:rPr>
                <w:sz w:val="9"/>
                <w:szCs w:val="9"/>
                <w:color w:val="auto"/>
              </w:rPr>
            </w:pPr>
          </w:p>
        </w:tc>
      </w:tr>
      <w:tr>
        <w:trPr>
          <w:trHeight w:val="371"/>
        </w:trPr>
        <w:tc>
          <w:tcPr>
            <w:tcW w:w="2060" w:type="dxa"/>
            <w:vAlign w:val="bottom"/>
          </w:tcPr>
          <w:p>
            <w:pPr>
              <w:jc w:val="center"/>
              <w:ind w:right="50"/>
              <w:spacing w:after="0"/>
              <w:rPr>
                <w:sz w:val="20"/>
                <w:szCs w:val="20"/>
                <w:color w:val="auto"/>
              </w:rPr>
            </w:pPr>
            <w:r>
              <w:rPr>
                <w:rFonts w:ascii="Arial" w:cs="Arial" w:eastAsia="Arial" w:hAnsi="Arial"/>
                <w:sz w:val="14"/>
                <w:szCs w:val="14"/>
                <w:b w:val="1"/>
                <w:bCs w:val="1"/>
                <w:color w:val="auto"/>
              </w:rPr>
              <w:t>Delaware</w:t>
            </w:r>
          </w:p>
        </w:tc>
        <w:tc>
          <w:tcPr>
            <w:tcW w:w="152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060" w:type="dxa"/>
            <w:vAlign w:val="bottom"/>
          </w:tcPr>
          <w:p>
            <w:pPr>
              <w:jc w:val="right"/>
              <w:ind w:right="111"/>
              <w:spacing w:after="0"/>
              <w:rPr>
                <w:sz w:val="20"/>
                <w:szCs w:val="20"/>
                <w:color w:val="auto"/>
              </w:rPr>
            </w:pPr>
            <w:r>
              <w:rPr>
                <w:rFonts w:ascii="Arial" w:cs="Arial" w:eastAsia="Arial" w:hAnsi="Arial"/>
                <w:sz w:val="14"/>
                <w:szCs w:val="14"/>
                <w:b w:val="1"/>
                <w:bCs w:val="1"/>
                <w:color w:val="auto"/>
              </w:rPr>
              <w:t>95-3847744</w:t>
            </w:r>
          </w:p>
        </w:tc>
      </w:tr>
      <w:tr>
        <w:trPr>
          <w:trHeight w:val="159"/>
        </w:trPr>
        <w:tc>
          <w:tcPr>
            <w:tcW w:w="2060" w:type="dxa"/>
            <w:vAlign w:val="bottom"/>
          </w:tcPr>
          <w:p>
            <w:pPr>
              <w:jc w:val="center"/>
              <w:ind w:right="50"/>
              <w:spacing w:after="0"/>
              <w:rPr>
                <w:sz w:val="20"/>
                <w:szCs w:val="20"/>
                <w:color w:val="auto"/>
              </w:rPr>
            </w:pPr>
            <w:r>
              <w:rPr>
                <w:rFonts w:ascii="Arial" w:cs="Arial" w:eastAsia="Arial" w:hAnsi="Arial"/>
                <w:sz w:val="13"/>
                <w:szCs w:val="13"/>
                <w:b w:val="1"/>
                <w:bCs w:val="1"/>
                <w:color w:val="auto"/>
              </w:rPr>
              <w:t>(State or Other Jurisdiction of</w:t>
            </w:r>
          </w:p>
        </w:tc>
        <w:tc>
          <w:tcPr>
            <w:tcW w:w="1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60" w:type="dxa"/>
            <w:vAlign w:val="bottom"/>
          </w:tcPr>
          <w:p>
            <w:pPr>
              <w:jc w:val="center"/>
              <w:ind w:left="1851"/>
              <w:spacing w:after="0"/>
              <w:rPr>
                <w:sz w:val="20"/>
                <w:szCs w:val="20"/>
                <w:color w:val="auto"/>
              </w:rPr>
            </w:pPr>
            <w:r>
              <w:rPr>
                <w:rFonts w:ascii="Arial" w:cs="Arial" w:eastAsia="Arial" w:hAnsi="Arial"/>
                <w:sz w:val="13"/>
                <w:szCs w:val="13"/>
                <w:b w:val="1"/>
                <w:bCs w:val="1"/>
                <w:color w:val="auto"/>
              </w:rPr>
              <w:t>(I.R.S. Employer</w:t>
            </w:r>
          </w:p>
        </w:tc>
      </w:tr>
      <w:tr>
        <w:trPr>
          <w:trHeight w:val="192"/>
        </w:trPr>
        <w:tc>
          <w:tcPr>
            <w:tcW w:w="2060" w:type="dxa"/>
            <w:vAlign w:val="bottom"/>
          </w:tcPr>
          <w:p>
            <w:pPr>
              <w:jc w:val="center"/>
              <w:ind w:right="50"/>
              <w:spacing w:after="0"/>
              <w:rPr>
                <w:sz w:val="20"/>
                <w:szCs w:val="20"/>
                <w:color w:val="auto"/>
              </w:rPr>
            </w:pPr>
            <w:r>
              <w:rPr>
                <w:rFonts w:ascii="Arial" w:cs="Arial" w:eastAsia="Arial" w:hAnsi="Arial"/>
                <w:sz w:val="13"/>
                <w:szCs w:val="13"/>
                <w:b w:val="1"/>
                <w:bCs w:val="1"/>
                <w:color w:val="auto"/>
              </w:rPr>
              <w:t>Incorporation or Organization)</w:t>
            </w:r>
          </w:p>
        </w:tc>
        <w:tc>
          <w:tcPr>
            <w:tcW w:w="1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60" w:type="dxa"/>
            <w:vAlign w:val="bottom"/>
          </w:tcPr>
          <w:p>
            <w:pPr>
              <w:jc w:val="center"/>
              <w:ind w:left="1851"/>
              <w:spacing w:after="0"/>
              <w:rPr>
                <w:sz w:val="20"/>
                <w:szCs w:val="20"/>
                <w:color w:val="auto"/>
              </w:rPr>
            </w:pPr>
            <w:r>
              <w:rPr>
                <w:rFonts w:ascii="Arial" w:cs="Arial" w:eastAsia="Arial" w:hAnsi="Arial"/>
                <w:sz w:val="13"/>
                <w:szCs w:val="13"/>
                <w:b w:val="1"/>
                <w:bCs w:val="1"/>
                <w:color w:val="auto"/>
              </w:rPr>
              <w:t>Identification No.)</w:t>
            </w:r>
          </w:p>
        </w:tc>
      </w:tr>
      <w:tr>
        <w:trPr>
          <w:trHeight w:val="298"/>
        </w:trPr>
        <w:tc>
          <w:tcPr>
            <w:tcW w:w="2060" w:type="dxa"/>
            <w:vAlign w:val="bottom"/>
          </w:tcPr>
          <w:p>
            <w:pPr>
              <w:jc w:val="center"/>
              <w:ind w:right="50"/>
              <w:spacing w:after="0"/>
              <w:rPr>
                <w:sz w:val="20"/>
                <w:szCs w:val="20"/>
                <w:color w:val="auto"/>
              </w:rPr>
            </w:pPr>
            <w:r>
              <w:rPr>
                <w:rFonts w:ascii="Arial" w:cs="Arial" w:eastAsia="Arial" w:hAnsi="Arial"/>
                <w:sz w:val="14"/>
                <w:szCs w:val="14"/>
                <w:b w:val="1"/>
                <w:bCs w:val="1"/>
                <w:color w:val="auto"/>
              </w:rPr>
              <w:t>2710 Camino Del Sol</w:t>
            </w:r>
          </w:p>
        </w:tc>
        <w:tc>
          <w:tcPr>
            <w:tcW w:w="536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rPr>
              <w:t>93030</w:t>
            </w:r>
          </w:p>
        </w:tc>
      </w:tr>
      <w:tr>
        <w:trPr>
          <w:trHeight w:val="175"/>
        </w:trPr>
        <w:tc>
          <w:tcPr>
            <w:tcW w:w="2060" w:type="dxa"/>
            <w:vAlign w:val="bottom"/>
          </w:tcPr>
          <w:p>
            <w:pPr>
              <w:jc w:val="center"/>
              <w:ind w:right="50"/>
              <w:spacing w:after="0"/>
              <w:rPr>
                <w:sz w:val="20"/>
                <w:szCs w:val="20"/>
                <w:color w:val="auto"/>
              </w:rPr>
            </w:pPr>
            <w:r>
              <w:rPr>
                <w:rFonts w:ascii="Arial" w:cs="Arial" w:eastAsia="Arial" w:hAnsi="Arial"/>
                <w:sz w:val="14"/>
                <w:szCs w:val="14"/>
                <w:b w:val="1"/>
                <w:bCs w:val="1"/>
                <w:color w:val="auto"/>
              </w:rPr>
              <w:t>Oxnard, California</w:t>
            </w:r>
          </w:p>
        </w:tc>
        <w:tc>
          <w:tcPr>
            <w:tcW w:w="15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60" w:type="dxa"/>
            <w:vAlign w:val="bottom"/>
          </w:tcPr>
          <w:p>
            <w:pPr>
              <w:jc w:val="center"/>
              <w:ind w:left="1851"/>
              <w:spacing w:after="0"/>
              <w:rPr>
                <w:sz w:val="20"/>
                <w:szCs w:val="20"/>
                <w:color w:val="auto"/>
              </w:rPr>
            </w:pPr>
            <w:r>
              <w:rPr>
                <w:rFonts w:ascii="Arial" w:cs="Arial" w:eastAsia="Arial" w:hAnsi="Arial"/>
                <w:sz w:val="13"/>
                <w:szCs w:val="13"/>
                <w:b w:val="1"/>
                <w:bCs w:val="1"/>
                <w:color w:val="auto"/>
              </w:rPr>
              <w:t>(Zip Code)</w:t>
            </w:r>
          </w:p>
        </w:tc>
      </w:tr>
    </w:tbl>
    <w:p>
      <w:pPr>
        <w:ind w:left="166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29" w:lineRule="exact"/>
        <w:rPr>
          <w:sz w:val="24"/>
          <w:szCs w:val="24"/>
          <w:color w:val="auto"/>
        </w:rPr>
      </w:pPr>
    </w:p>
    <w:p>
      <w:pPr>
        <w:jc w:val="center"/>
        <w:ind w:left="640"/>
        <w:spacing w:after="0"/>
        <w:rPr>
          <w:sz w:val="20"/>
          <w:szCs w:val="20"/>
          <w:color w:val="auto"/>
        </w:rPr>
      </w:pPr>
      <w:r>
        <w:rPr>
          <w:rFonts w:ascii="Arial" w:cs="Arial" w:eastAsia="Arial" w:hAnsi="Arial"/>
          <w:sz w:val="14"/>
          <w:szCs w:val="14"/>
          <w:b w:val="1"/>
          <w:bCs w:val="1"/>
          <w:color w:val="auto"/>
        </w:rPr>
        <w:t>Registrant’s Telephone Number, Including Area Code: (805) 981-3650</w:t>
      </w:r>
    </w:p>
    <w:p>
      <w:pPr>
        <w:spacing w:after="0" w:line="11" w:lineRule="exact"/>
        <w:rPr>
          <w:sz w:val="24"/>
          <w:szCs w:val="24"/>
          <w:color w:val="auto"/>
        </w:rPr>
      </w:pPr>
    </w:p>
    <w:p>
      <w:pPr>
        <w:ind w:left="5560"/>
        <w:spacing w:after="0"/>
        <w:rPr>
          <w:sz w:val="20"/>
          <w:szCs w:val="20"/>
          <w:color w:val="auto"/>
        </w:rPr>
      </w:pPr>
      <w:r>
        <w:rPr>
          <w:rFonts w:ascii="Arial" w:cs="Arial" w:eastAsia="Arial" w:hAnsi="Arial"/>
          <w:sz w:val="11"/>
          <w:szCs w:val="11"/>
          <w:u w:val="single" w:color="auto"/>
          <w:color w:val="auto"/>
        </w:rPr>
        <w:t>_____________</w:t>
      </w:r>
    </w:p>
    <w:p>
      <w:pPr>
        <w:spacing w:after="0" w:line="80"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339" w:lineRule="exact"/>
        <w:rPr>
          <w:sz w:val="24"/>
          <w:szCs w:val="24"/>
          <w:color w:val="auto"/>
        </w:rPr>
      </w:pPr>
    </w:p>
    <w:tbl>
      <w:tblPr>
        <w:tblLayout w:type="fixed"/>
        <w:tblInd w:w="860" w:type="dxa"/>
        <w:tblCellMar>
          <w:top w:w="0" w:type="dxa"/>
          <w:left w:w="0" w:type="dxa"/>
          <w:bottom w:w="0" w:type="dxa"/>
          <w:right w:w="0" w:type="dxa"/>
        </w:tblCellMar>
      </w:tblPr>
      <w:tr>
        <w:trPr>
          <w:trHeight w:val="189"/>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4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Common Stock, par value $0.001 per share</w:t>
            </w:r>
          </w:p>
        </w:tc>
        <w:tc>
          <w:tcPr>
            <w:tcW w:w="2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AVO</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200" w:lineRule="exact"/>
        <w:rPr>
          <w:sz w:val="24"/>
          <w:szCs w:val="24"/>
          <w:color w:val="auto"/>
        </w:rPr>
      </w:pPr>
    </w:p>
    <w:p>
      <w:pPr>
        <w:spacing w:after="0" w:line="238" w:lineRule="exact"/>
        <w:rPr>
          <w:sz w:val="24"/>
          <w:szCs w:val="24"/>
          <w:color w:val="auto"/>
        </w:rPr>
      </w:pPr>
    </w:p>
    <w:p>
      <w:pPr>
        <w:ind w:right="160" w:firstLine="441"/>
        <w:spacing w:after="0" w:line="14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 w:lineRule="exact"/>
        <w:rPr>
          <w:sz w:val="24"/>
          <w:szCs w:val="24"/>
          <w:color w:val="auto"/>
        </w:rPr>
      </w:pPr>
    </w:p>
    <w:p>
      <w:pPr>
        <w:ind w:firstLine="441"/>
        <w:spacing w:after="0" w:line="14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0" w:lineRule="exact"/>
        <w:rPr>
          <w:sz w:val="24"/>
          <w:szCs w:val="24"/>
          <w:color w:val="auto"/>
        </w:rPr>
      </w:pPr>
    </w:p>
    <w:p>
      <w:pPr>
        <w:ind w:right="260" w:firstLine="441"/>
        <w:spacing w:after="0" w:line="21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4"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18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29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460"/>
              <w:spacing w:after="0"/>
              <w:rPr>
                <w:sz w:val="20"/>
                <w:szCs w:val="20"/>
                <w:color w:val="auto"/>
              </w:rPr>
            </w:pPr>
            <w:r>
              <w:rPr>
                <w:rFonts w:ascii="Arial" w:cs="Arial" w:eastAsia="Arial" w:hAnsi="Arial"/>
                <w:sz w:val="13"/>
                <w:szCs w:val="13"/>
                <w:color w:val="auto"/>
              </w:rPr>
              <w:t>Accelerated filer</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5"/>
        </w:trPr>
        <w:tc>
          <w:tcPr>
            <w:tcW w:w="1820" w:type="dxa"/>
            <w:vAlign w:val="bottom"/>
          </w:tcPr>
          <w:p>
            <w:pPr>
              <w:spacing w:after="0"/>
              <w:rPr>
                <w:sz w:val="20"/>
                <w:szCs w:val="20"/>
                <w:color w:val="auto"/>
              </w:rPr>
            </w:pPr>
            <w:r>
              <w:rPr>
                <w:rFonts w:ascii="Arial" w:cs="Arial" w:eastAsia="Arial" w:hAnsi="Arial"/>
                <w:sz w:val="13"/>
                <w:szCs w:val="13"/>
                <w:color w:val="auto"/>
              </w:rPr>
              <w:t>Non-accelerated filer</w:t>
            </w:r>
          </w:p>
        </w:tc>
        <w:tc>
          <w:tcPr>
            <w:tcW w:w="29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ind w:left="2460"/>
              <w:spacing w:after="0"/>
              <w:rPr>
                <w:sz w:val="20"/>
                <w:szCs w:val="20"/>
                <w:color w:val="auto"/>
              </w:rPr>
            </w:pPr>
            <w:r>
              <w:rPr>
                <w:rFonts w:ascii="Arial" w:cs="Arial" w:eastAsia="Arial" w:hAnsi="Arial"/>
                <w:sz w:val="13"/>
                <w:szCs w:val="13"/>
                <w:color w:val="auto"/>
              </w:rPr>
              <w:t>Smaller reporting company</w:t>
            </w:r>
          </w:p>
        </w:tc>
        <w:tc>
          <w:tcPr>
            <w:tcW w:w="440" w:type="dxa"/>
            <w:vAlign w:val="bottom"/>
          </w:tcPr>
          <w:p>
            <w:pPr>
              <w:ind w:left="3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18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290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4280" w:type="dxa"/>
            <w:vAlign w:val="bottom"/>
          </w:tcPr>
          <w:p>
            <w:pPr>
              <w:spacing w:after="0"/>
              <w:rPr>
                <w:sz w:val="17"/>
                <w:szCs w:val="17"/>
                <w:color w:val="auto"/>
              </w:rPr>
            </w:pPr>
          </w:p>
        </w:tc>
        <w:tc>
          <w:tcPr>
            <w:tcW w:w="440" w:type="dxa"/>
            <w:vAlign w:val="bottom"/>
          </w:tcPr>
          <w:p>
            <w:pPr>
              <w:spacing w:after="0"/>
              <w:rPr>
                <w:sz w:val="17"/>
                <w:szCs w:val="17"/>
                <w:color w:val="auto"/>
              </w:rPr>
            </w:pPr>
          </w:p>
        </w:tc>
      </w:tr>
    </w:tbl>
    <w:p>
      <w:pPr>
        <w:spacing w:after="0" w:line="334" w:lineRule="exact"/>
        <w:rPr>
          <w:sz w:val="24"/>
          <w:szCs w:val="24"/>
          <w:color w:val="auto"/>
        </w:rPr>
      </w:pPr>
    </w:p>
    <w:p>
      <w:pPr>
        <w:ind w:right="500" w:firstLine="441"/>
        <w:spacing w:after="0" w:line="14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440" w:right="4120"/>
        <w:spacing w:after="0" w:line="16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March 8, 2021, the registrant had 70,550,922 shares of common stock at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430530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1014" w:right="41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25"/>
          <w:szCs w:val="25"/>
          <w:b w:val="1"/>
          <w:bCs w:val="1"/>
          <w:color w:val="232F84"/>
        </w:rPr>
        <w:t>MISSION PRODUCE, INC.</w:t>
      </w:r>
    </w:p>
    <w:p>
      <w:pPr>
        <w:spacing w:after="0" w:line="91" w:lineRule="exact"/>
        <w:rPr>
          <w:sz w:val="20"/>
          <w:szCs w:val="20"/>
          <w:color w:val="auto"/>
        </w:rPr>
      </w:pPr>
    </w:p>
    <w:p>
      <w:pPr>
        <w:jc w:val="center"/>
        <w:ind w:right="-639"/>
        <w:spacing w:after="0"/>
        <w:rPr>
          <w:sz w:val="20"/>
          <w:szCs w:val="20"/>
          <w:color w:val="auto"/>
        </w:rPr>
      </w:pPr>
      <w:r>
        <w:rPr>
          <w:rFonts w:ascii="Arial" w:cs="Arial" w:eastAsia="Arial" w:hAnsi="Arial"/>
          <w:sz w:val="25"/>
          <w:szCs w:val="25"/>
          <w:b w:val="1"/>
          <w:bCs w:val="1"/>
          <w:color w:val="232F84"/>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39"/>
        <w:spacing w:after="0"/>
        <w:rPr>
          <w:sz w:val="20"/>
          <w:szCs w:val="20"/>
          <w:color w:val="auto"/>
        </w:rPr>
      </w:pPr>
      <w:r>
        <w:rPr>
          <w:rFonts w:ascii="Arial" w:cs="Arial" w:eastAsia="Arial" w:hAnsi="Arial"/>
          <w:sz w:val="20"/>
          <w:szCs w:val="20"/>
          <w:b w:val="1"/>
          <w:bCs w:val="1"/>
          <w:color w:val="232F84"/>
        </w:rPr>
        <w:t>FORM 10-Q</w:t>
      </w:r>
    </w:p>
    <w:p>
      <w:pPr>
        <w:spacing w:after="0" w:line="216" w:lineRule="exact"/>
        <w:rPr>
          <w:sz w:val="20"/>
          <w:szCs w:val="20"/>
          <w:color w:val="auto"/>
        </w:rPr>
      </w:pPr>
    </w:p>
    <w:p>
      <w:pPr>
        <w:jc w:val="center"/>
        <w:ind w:right="-639"/>
        <w:spacing w:after="0"/>
        <w:rPr>
          <w:sz w:val="20"/>
          <w:szCs w:val="20"/>
          <w:color w:val="auto"/>
        </w:rPr>
      </w:pPr>
      <w:r>
        <w:rPr>
          <w:rFonts w:ascii="Arial" w:cs="Arial" w:eastAsia="Arial" w:hAnsi="Arial"/>
          <w:sz w:val="20"/>
          <w:szCs w:val="20"/>
          <w:b w:val="1"/>
          <w:bCs w:val="1"/>
          <w:color w:val="232F84"/>
        </w:rPr>
        <w:t>FISCAL FIRST QUARTER 2021</w:t>
      </w:r>
    </w:p>
    <w:p>
      <w:pPr>
        <w:spacing w:after="0" w:line="216" w:lineRule="exact"/>
        <w:rPr>
          <w:sz w:val="20"/>
          <w:szCs w:val="20"/>
          <w:color w:val="auto"/>
        </w:rPr>
      </w:pPr>
    </w:p>
    <w:p>
      <w:pPr>
        <w:jc w:val="center"/>
        <w:ind w:right="-639"/>
        <w:spacing w:after="0"/>
        <w:rPr>
          <w:sz w:val="20"/>
          <w:szCs w:val="20"/>
          <w:color w:val="auto"/>
        </w:rPr>
      </w:pPr>
      <w:r>
        <w:rPr>
          <w:rFonts w:ascii="Arial" w:cs="Arial" w:eastAsia="Arial" w:hAnsi="Arial"/>
          <w:sz w:val="20"/>
          <w:szCs w:val="20"/>
          <w:b w:val="1"/>
          <w:bCs w:val="1"/>
          <w:color w:val="232F84"/>
        </w:rPr>
        <w:t>INDEX</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320" w:type="dxa"/>
            <w:vAlign w:val="bottom"/>
            <w:gridSpan w:val="6"/>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PART I- FINANCIAL INFORMATION</w:t>
              </w:r>
            </w:hyperlink>
          </w:p>
        </w:tc>
        <w:tc>
          <w:tcPr>
            <w:tcW w:w="1800" w:type="dxa"/>
            <w:vAlign w:val="bottom"/>
          </w:tcPr>
          <w:p>
            <w:pPr>
              <w:ind w:left="164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5</w:t>
              </w:r>
            </w:hyperlink>
          </w:p>
        </w:tc>
      </w:tr>
      <w:tr>
        <w:trPr>
          <w:trHeight w:val="336"/>
        </w:trPr>
        <w:tc>
          <w:tcPr>
            <w:tcW w:w="1000" w:type="dxa"/>
            <w:vAlign w:val="bottom"/>
            <w:gridSpan w:val="2"/>
          </w:tcPr>
          <w:p>
            <w:pPr>
              <w:spacing w:after="0"/>
              <w:rPr>
                <w:sz w:val="20"/>
                <w:szCs w:val="20"/>
                <w:color w:val="auto"/>
              </w:rPr>
            </w:pPr>
            <w:r>
              <w:rPr>
                <w:rFonts w:ascii="Arial" w:cs="Arial" w:eastAsia="Arial" w:hAnsi="Arial"/>
                <w:sz w:val="14"/>
                <w:szCs w:val="14"/>
                <w:color w:val="0000FF"/>
              </w:rPr>
              <w:t>Item 1.</w:t>
            </w:r>
          </w:p>
        </w:tc>
        <w:tc>
          <w:tcPr>
            <w:tcW w:w="7320" w:type="dxa"/>
            <w:vAlign w:val="bottom"/>
            <w:gridSpan w:val="4"/>
          </w:tcPr>
          <w:p>
            <w:pPr>
              <w:spacing w:after="0"/>
              <w:rPr>
                <w:sz w:val="20"/>
                <w:szCs w:val="20"/>
                <w:color w:val="auto"/>
              </w:rPr>
            </w:pPr>
            <w:r>
              <w:rPr>
                <w:rFonts w:ascii="Arial" w:cs="Arial" w:eastAsia="Arial" w:hAnsi="Arial"/>
                <w:sz w:val="14"/>
                <w:szCs w:val="14"/>
                <w:color w:val="0000FF"/>
              </w:rPr>
              <w:t>Financial Statements</w:t>
            </w:r>
          </w:p>
        </w:tc>
        <w:tc>
          <w:tcPr>
            <w:tcW w:w="1800" w:type="dxa"/>
            <w:vAlign w:val="bottom"/>
          </w:tcPr>
          <w:p>
            <w:pPr>
              <w:ind w:left="164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5</w:t>
              </w:r>
            </w:hyperlink>
          </w:p>
        </w:tc>
      </w:tr>
      <w:tr>
        <w:trPr>
          <w:trHeight w:val="20"/>
        </w:trPr>
        <w:tc>
          <w:tcPr>
            <w:tcW w:w="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224"/>
        </w:trPr>
        <w:tc>
          <w:tcPr>
            <w:tcW w:w="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320" w:type="dxa"/>
            <w:vAlign w:val="bottom"/>
            <w:gridSpan w:val="4"/>
          </w:tcPr>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Condensed Consolidated Balance Sheets (Unaudited)</w:t>
              </w:r>
            </w:hyperlink>
          </w:p>
        </w:tc>
        <w:tc>
          <w:tcPr>
            <w:tcW w:w="1800" w:type="dxa"/>
            <w:vAlign w:val="bottom"/>
          </w:tcPr>
          <w:p>
            <w:pPr>
              <w:ind w:left="164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5</w:t>
              </w:r>
            </w:hyperlink>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20" w:type="dxa"/>
            <w:vAlign w:val="bottom"/>
            <w:gridSpan w:val="4"/>
          </w:tcPr>
          <w:p>
            <w:pPr>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Condensed Consolidated Statements of Comprehensive Income (Unaudited)</w:t>
              </w:r>
            </w:hyperlink>
          </w:p>
        </w:tc>
        <w:tc>
          <w:tcPr>
            <w:tcW w:w="1800" w:type="dxa"/>
            <w:vAlign w:val="bottom"/>
          </w:tcPr>
          <w:p>
            <w:pPr>
              <w:ind w:left="1640"/>
              <w:spacing w:after="0"/>
              <w:rPr>
                <w:rFonts w:ascii="Arial" w:cs="Arial" w:eastAsia="Arial" w:hAnsi="Arial"/>
                <w:sz w:val="14"/>
                <w:szCs w:val="14"/>
                <w:u w:val="single" w:color="auto"/>
                <w:color w:val="0000FF"/>
              </w:rPr>
            </w:pPr>
            <w:hyperlink w:anchor="page5">
              <w:r>
                <w:rPr>
                  <w:rFonts w:ascii="Arial" w:cs="Arial" w:eastAsia="Arial" w:hAnsi="Arial"/>
                  <w:sz w:val="14"/>
                  <w:szCs w:val="14"/>
                  <w:u w:val="single" w:color="auto"/>
                  <w:color w:val="0000FF"/>
                </w:rPr>
                <w:t>6</w:t>
              </w:r>
            </w:hyperlink>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20" w:type="dxa"/>
            <w:vAlign w:val="bottom"/>
            <w:gridSpan w:val="4"/>
          </w:tcPr>
          <w:p>
            <w:pPr>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Condensed Consolidated Statements of Cash Flows (Unaudited)</w:t>
              </w:r>
            </w:hyperlink>
          </w:p>
        </w:tc>
        <w:tc>
          <w:tcPr>
            <w:tcW w:w="1800" w:type="dxa"/>
            <w:vAlign w:val="bottom"/>
          </w:tcPr>
          <w:p>
            <w:pPr>
              <w:ind w:left="1640"/>
              <w:spacing w:after="0"/>
              <w:rPr>
                <w:rFonts w:ascii="Arial" w:cs="Arial" w:eastAsia="Arial" w:hAnsi="Arial"/>
                <w:sz w:val="14"/>
                <w:szCs w:val="14"/>
                <w:u w:val="single" w:color="auto"/>
                <w:color w:val="0000FF"/>
              </w:rPr>
            </w:pPr>
            <w:hyperlink w:anchor="page7">
              <w:r>
                <w:rPr>
                  <w:rFonts w:ascii="Arial" w:cs="Arial" w:eastAsia="Arial" w:hAnsi="Arial"/>
                  <w:sz w:val="14"/>
                  <w:szCs w:val="14"/>
                  <w:u w:val="single" w:color="auto"/>
                  <w:color w:val="0000FF"/>
                </w:rPr>
                <w:t>8</w:t>
              </w:r>
            </w:hyperlink>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20" w:type="dxa"/>
            <w:vAlign w:val="bottom"/>
            <w:gridSpan w:val="4"/>
          </w:tcPr>
          <w:p>
            <w:pPr>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Condensed Consolidated Statements of Shareholders’ Equity (Unaudited)</w:t>
              </w:r>
            </w:hyperlink>
          </w:p>
        </w:tc>
        <w:tc>
          <w:tcPr>
            <w:tcW w:w="1800" w:type="dxa"/>
            <w:vAlign w:val="bottom"/>
          </w:tcPr>
          <w:p>
            <w:pPr>
              <w:ind w:left="1640"/>
              <w:spacing w:after="0"/>
              <w:rPr>
                <w:rFonts w:ascii="Arial" w:cs="Arial" w:eastAsia="Arial" w:hAnsi="Arial"/>
                <w:sz w:val="14"/>
                <w:szCs w:val="14"/>
                <w:u w:val="single" w:color="auto"/>
                <w:color w:val="0000FF"/>
              </w:rPr>
            </w:pPr>
            <w:hyperlink w:anchor="page6">
              <w:r>
                <w:rPr>
                  <w:rFonts w:ascii="Arial" w:cs="Arial" w:eastAsia="Arial" w:hAnsi="Arial"/>
                  <w:sz w:val="14"/>
                  <w:szCs w:val="14"/>
                  <w:u w:val="single" w:color="auto"/>
                  <w:color w:val="0000FF"/>
                </w:rPr>
                <w:t>7</w:t>
              </w:r>
            </w:hyperlink>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320" w:type="dxa"/>
            <w:vAlign w:val="bottom"/>
            <w:gridSpan w:val="4"/>
          </w:tcPr>
          <w:p>
            <w:pPr>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Notes to Unaudited Condensed Consolidated Financial Statements</w:t>
              </w:r>
            </w:hyperlink>
          </w:p>
        </w:tc>
        <w:tc>
          <w:tcPr>
            <w:tcW w:w="1800" w:type="dxa"/>
            <w:vAlign w:val="bottom"/>
          </w:tcPr>
          <w:p>
            <w:pPr>
              <w:ind w:left="1640"/>
              <w:spacing w:after="0"/>
              <w:rPr>
                <w:rFonts w:ascii="Arial" w:cs="Arial" w:eastAsia="Arial" w:hAnsi="Arial"/>
                <w:sz w:val="14"/>
                <w:szCs w:val="14"/>
                <w:u w:val="single" w:color="auto"/>
                <w:color w:val="0000FF"/>
              </w:rPr>
            </w:pPr>
            <w:hyperlink w:anchor="page8">
              <w:r>
                <w:rPr>
                  <w:rFonts w:ascii="Arial" w:cs="Arial" w:eastAsia="Arial" w:hAnsi="Arial"/>
                  <w:sz w:val="14"/>
                  <w:szCs w:val="14"/>
                  <w:u w:val="single" w:color="auto"/>
                  <w:color w:val="0000FF"/>
                </w:rPr>
                <w:t>9</w:t>
              </w:r>
            </w:hyperlink>
          </w:p>
        </w:tc>
      </w:tr>
      <w:tr>
        <w:trPr>
          <w:trHeight w:val="216"/>
        </w:trPr>
        <w:tc>
          <w:tcPr>
            <w:tcW w:w="1000" w:type="dxa"/>
            <w:vAlign w:val="bottom"/>
            <w:gridSpan w:val="2"/>
          </w:tcPr>
          <w:p>
            <w:pPr>
              <w:spacing w:after="0"/>
              <w:rPr>
                <w:rFonts w:ascii="Arial" w:cs="Arial" w:eastAsia="Arial" w:hAnsi="Arial"/>
                <w:sz w:val="14"/>
                <w:szCs w:val="14"/>
                <w:u w:val="single" w:color="auto"/>
                <w:color w:val="0000FF"/>
              </w:rPr>
            </w:pPr>
            <w:hyperlink w:anchor="page14">
              <w:r>
                <w:rPr>
                  <w:rFonts w:ascii="Arial" w:cs="Arial" w:eastAsia="Arial" w:hAnsi="Arial"/>
                  <w:sz w:val="14"/>
                  <w:szCs w:val="14"/>
                  <w:u w:val="single" w:color="auto"/>
                  <w:color w:val="0000FF"/>
                </w:rPr>
                <w:t>Item 2.</w:t>
              </w:r>
            </w:hyperlink>
          </w:p>
        </w:tc>
        <w:tc>
          <w:tcPr>
            <w:tcW w:w="7320" w:type="dxa"/>
            <w:vAlign w:val="bottom"/>
            <w:gridSpan w:val="4"/>
          </w:tcPr>
          <w:p>
            <w:pPr>
              <w:spacing w:after="0"/>
              <w:rPr>
                <w:rFonts w:ascii="Arial" w:cs="Arial" w:eastAsia="Arial" w:hAnsi="Arial"/>
                <w:sz w:val="14"/>
                <w:szCs w:val="14"/>
                <w:u w:val="single" w:color="auto"/>
                <w:color w:val="0000FF"/>
              </w:rPr>
            </w:pPr>
            <w:hyperlink w:anchor="page14">
              <w:r>
                <w:rPr>
                  <w:rFonts w:ascii="Arial" w:cs="Arial" w:eastAsia="Arial" w:hAnsi="Arial"/>
                  <w:sz w:val="14"/>
                  <w:szCs w:val="14"/>
                  <w:u w:val="single" w:color="auto"/>
                  <w:color w:val="0000FF"/>
                </w:rPr>
                <w:t>Management's Discussion and Analysis of Financial Condition and Results of Operations</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14">
              <w:r>
                <w:rPr>
                  <w:rFonts w:ascii="Arial" w:cs="Arial" w:eastAsia="Arial" w:hAnsi="Arial"/>
                  <w:sz w:val="14"/>
                  <w:szCs w:val="14"/>
                  <w:u w:val="single" w:color="auto"/>
                  <w:color w:val="0000FF"/>
                  <w:w w:val="89"/>
                </w:rPr>
                <w:t>15</w:t>
              </w:r>
            </w:hyperlink>
          </w:p>
        </w:tc>
      </w:tr>
      <w:tr>
        <w:trPr>
          <w:trHeight w:val="188"/>
        </w:trPr>
        <w:tc>
          <w:tcPr>
            <w:tcW w:w="1000" w:type="dxa"/>
            <w:vAlign w:val="bottom"/>
            <w:gridSpan w:val="2"/>
          </w:tcPr>
          <w:p>
            <w:pPr>
              <w:spacing w:after="0"/>
              <w:rPr>
                <w:sz w:val="20"/>
                <w:szCs w:val="20"/>
                <w:color w:val="auto"/>
              </w:rPr>
            </w:pPr>
            <w:r>
              <w:rPr>
                <w:rFonts w:ascii="Arial" w:cs="Arial" w:eastAsia="Arial" w:hAnsi="Arial"/>
                <w:sz w:val="14"/>
                <w:szCs w:val="14"/>
                <w:color w:val="0000FF"/>
              </w:rPr>
              <w:t>Item 3.</w:t>
            </w:r>
          </w:p>
        </w:tc>
        <w:tc>
          <w:tcPr>
            <w:tcW w:w="7320" w:type="dxa"/>
            <w:vAlign w:val="bottom"/>
            <w:gridSpan w:val="4"/>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1800" w:type="dxa"/>
            <w:vAlign w:val="bottom"/>
          </w:tcPr>
          <w:p>
            <w:pPr>
              <w:ind w:left="1640"/>
              <w:spacing w:after="0"/>
              <w:rPr>
                <w:rFonts w:ascii="Arial" w:cs="Arial" w:eastAsia="Arial" w:hAnsi="Arial"/>
                <w:sz w:val="14"/>
                <w:szCs w:val="14"/>
                <w:u w:val="single" w:color="auto"/>
                <w:color w:val="0000FF"/>
                <w:w w:val="89"/>
              </w:rPr>
            </w:pPr>
            <w:hyperlink w:anchor="page20">
              <w:r>
                <w:rPr>
                  <w:rFonts w:ascii="Arial" w:cs="Arial" w:eastAsia="Arial" w:hAnsi="Arial"/>
                  <w:sz w:val="14"/>
                  <w:szCs w:val="14"/>
                  <w:u w:val="single" w:color="auto"/>
                  <w:color w:val="0000FF"/>
                  <w:w w:val="89"/>
                </w:rPr>
                <w:t>20</w:t>
              </w:r>
            </w:hyperlink>
          </w:p>
        </w:tc>
      </w:tr>
      <w:tr>
        <w:trPr>
          <w:trHeight w:val="20"/>
        </w:trPr>
        <w:tc>
          <w:tcPr>
            <w:tcW w:w="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rPr>
                <w:sz w:val="20"/>
                <w:szCs w:val="20"/>
                <w:color w:val="auto"/>
              </w:rPr>
            </w:pPr>
            <w:r>
              <w:rPr>
                <w:rFonts w:ascii="Arial" w:cs="Arial" w:eastAsia="Arial" w:hAnsi="Arial"/>
                <w:sz w:val="14"/>
                <w:szCs w:val="14"/>
                <w:color w:val="0000FF"/>
              </w:rPr>
              <w:t>Item 4.</w:t>
            </w:r>
          </w:p>
        </w:tc>
        <w:tc>
          <w:tcPr>
            <w:tcW w:w="7320" w:type="dxa"/>
            <w:vAlign w:val="bottom"/>
            <w:gridSpan w:val="4"/>
          </w:tcPr>
          <w:p>
            <w:pPr>
              <w:spacing w:after="0"/>
              <w:rPr>
                <w:sz w:val="20"/>
                <w:szCs w:val="20"/>
                <w:color w:val="auto"/>
              </w:rPr>
            </w:pPr>
            <w:r>
              <w:rPr>
                <w:rFonts w:ascii="Arial" w:cs="Arial" w:eastAsia="Arial" w:hAnsi="Arial"/>
                <w:sz w:val="14"/>
                <w:szCs w:val="14"/>
                <w:color w:val="0000FF"/>
              </w:rPr>
              <w:t>Controls and Procedures</w:t>
            </w:r>
          </w:p>
        </w:tc>
        <w:tc>
          <w:tcPr>
            <w:tcW w:w="1800" w:type="dxa"/>
            <w:vAlign w:val="bottom"/>
          </w:tcPr>
          <w:p>
            <w:pPr>
              <w:ind w:left="1640"/>
              <w:spacing w:after="0"/>
              <w:rPr>
                <w:rFonts w:ascii="Arial" w:cs="Arial" w:eastAsia="Arial" w:hAnsi="Arial"/>
                <w:sz w:val="14"/>
                <w:szCs w:val="14"/>
                <w:u w:val="single" w:color="auto"/>
                <w:color w:val="0000FF"/>
                <w:w w:val="89"/>
              </w:rPr>
            </w:pPr>
            <w:hyperlink w:anchor="page20">
              <w:r>
                <w:rPr>
                  <w:rFonts w:ascii="Arial" w:cs="Arial" w:eastAsia="Arial" w:hAnsi="Arial"/>
                  <w:sz w:val="14"/>
                  <w:szCs w:val="14"/>
                  <w:u w:val="single" w:color="auto"/>
                  <w:color w:val="0000FF"/>
                  <w:w w:val="89"/>
                </w:rPr>
                <w:t>21</w:t>
              </w:r>
            </w:hyperlink>
          </w:p>
        </w:tc>
      </w:tr>
      <w:tr>
        <w:trPr>
          <w:trHeight w:val="20"/>
        </w:trPr>
        <w:tc>
          <w:tcPr>
            <w:tcW w:w="4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494"/>
        </w:trPr>
        <w:tc>
          <w:tcPr>
            <w:tcW w:w="8320" w:type="dxa"/>
            <w:vAlign w:val="bottom"/>
            <w:gridSpan w:val="6"/>
          </w:tcPr>
          <w:p>
            <w:pPr>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PART II- OTHER INFORMATION</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21">
              <w:r>
                <w:rPr>
                  <w:rFonts w:ascii="Arial" w:cs="Arial" w:eastAsia="Arial" w:hAnsi="Arial"/>
                  <w:sz w:val="14"/>
                  <w:szCs w:val="14"/>
                  <w:u w:val="single" w:color="auto"/>
                  <w:color w:val="0000FF"/>
                  <w:w w:val="89"/>
                </w:rPr>
                <w:t>21</w:t>
              </w:r>
            </w:hyperlink>
          </w:p>
        </w:tc>
      </w:tr>
      <w:tr>
        <w:trPr>
          <w:trHeight w:val="365"/>
        </w:trPr>
        <w:tc>
          <w:tcPr>
            <w:tcW w:w="1000" w:type="dxa"/>
            <w:vAlign w:val="bottom"/>
            <w:gridSpan w:val="2"/>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Item 1.</w:t>
              </w:r>
            </w:hyperlink>
          </w:p>
        </w:tc>
        <w:tc>
          <w:tcPr>
            <w:tcW w:w="7320" w:type="dxa"/>
            <w:vAlign w:val="bottom"/>
            <w:gridSpan w:val="4"/>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Legal Proceedings</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21">
              <w:r>
                <w:rPr>
                  <w:rFonts w:ascii="Arial" w:cs="Arial" w:eastAsia="Arial" w:hAnsi="Arial"/>
                  <w:sz w:val="14"/>
                  <w:szCs w:val="14"/>
                  <w:u w:val="single" w:color="auto"/>
                  <w:color w:val="0000FF"/>
                  <w:w w:val="89"/>
                </w:rPr>
                <w:t>21</w:t>
              </w:r>
            </w:hyperlink>
          </w:p>
        </w:tc>
      </w:tr>
      <w:tr>
        <w:trPr>
          <w:trHeight w:val="216"/>
        </w:trPr>
        <w:tc>
          <w:tcPr>
            <w:tcW w:w="1000" w:type="dxa"/>
            <w:vAlign w:val="bottom"/>
            <w:gridSpan w:val="2"/>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Item 1A.</w:t>
              </w:r>
            </w:hyperlink>
          </w:p>
        </w:tc>
        <w:tc>
          <w:tcPr>
            <w:tcW w:w="7320" w:type="dxa"/>
            <w:vAlign w:val="bottom"/>
            <w:gridSpan w:val="4"/>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Risk Factors</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21">
              <w:r>
                <w:rPr>
                  <w:rFonts w:ascii="Arial" w:cs="Arial" w:eastAsia="Arial" w:hAnsi="Arial"/>
                  <w:sz w:val="14"/>
                  <w:szCs w:val="14"/>
                  <w:u w:val="single" w:color="auto"/>
                  <w:color w:val="0000FF"/>
                  <w:w w:val="89"/>
                </w:rPr>
                <w:t>21</w:t>
              </w:r>
            </w:hyperlink>
          </w:p>
        </w:tc>
      </w:tr>
      <w:tr>
        <w:trPr>
          <w:trHeight w:val="216"/>
        </w:trPr>
        <w:tc>
          <w:tcPr>
            <w:tcW w:w="1000" w:type="dxa"/>
            <w:vAlign w:val="bottom"/>
            <w:gridSpan w:val="2"/>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Item 2.</w:t>
              </w:r>
            </w:hyperlink>
          </w:p>
        </w:tc>
        <w:tc>
          <w:tcPr>
            <w:tcW w:w="7320" w:type="dxa"/>
            <w:vAlign w:val="bottom"/>
            <w:gridSpan w:val="4"/>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Unregistered Sales of Equity Securities and Use of Proceeds</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21">
              <w:r>
                <w:rPr>
                  <w:rFonts w:ascii="Arial" w:cs="Arial" w:eastAsia="Arial" w:hAnsi="Arial"/>
                  <w:sz w:val="14"/>
                  <w:szCs w:val="14"/>
                  <w:u w:val="single" w:color="auto"/>
                  <w:color w:val="0000FF"/>
                  <w:w w:val="89"/>
                </w:rPr>
                <w:t>21</w:t>
              </w:r>
            </w:hyperlink>
          </w:p>
        </w:tc>
      </w:tr>
      <w:tr>
        <w:trPr>
          <w:trHeight w:val="216"/>
        </w:trPr>
        <w:tc>
          <w:tcPr>
            <w:tcW w:w="1000" w:type="dxa"/>
            <w:vAlign w:val="bottom"/>
            <w:gridSpan w:val="2"/>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Item 3.</w:t>
              </w:r>
            </w:hyperlink>
          </w:p>
        </w:tc>
        <w:tc>
          <w:tcPr>
            <w:tcW w:w="7320" w:type="dxa"/>
            <w:vAlign w:val="bottom"/>
            <w:gridSpan w:val="4"/>
          </w:tcPr>
          <w:p>
            <w:pPr>
              <w:spacing w:after="0"/>
              <w:rPr>
                <w:rFonts w:ascii="Arial" w:cs="Arial" w:eastAsia="Arial" w:hAnsi="Arial"/>
                <w:sz w:val="14"/>
                <w:szCs w:val="14"/>
                <w:u w:val="single" w:color="auto"/>
                <w:color w:val="0000FF"/>
              </w:rPr>
            </w:pPr>
            <w:hyperlink w:anchor="page21">
              <w:r>
                <w:rPr>
                  <w:rFonts w:ascii="Arial" w:cs="Arial" w:eastAsia="Arial" w:hAnsi="Arial"/>
                  <w:sz w:val="14"/>
                  <w:szCs w:val="14"/>
                  <w:u w:val="single" w:color="auto"/>
                  <w:color w:val="0000FF"/>
                </w:rPr>
                <w:t>Defaults Upon Senior Securities</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21">
              <w:r>
                <w:rPr>
                  <w:rFonts w:ascii="Arial" w:cs="Arial" w:eastAsia="Arial" w:hAnsi="Arial"/>
                  <w:sz w:val="14"/>
                  <w:szCs w:val="14"/>
                  <w:u w:val="single" w:color="auto"/>
                  <w:color w:val="0000FF"/>
                  <w:w w:val="89"/>
                </w:rPr>
                <w:t>22</w:t>
              </w:r>
            </w:hyperlink>
          </w:p>
        </w:tc>
      </w:tr>
      <w:tr>
        <w:trPr>
          <w:trHeight w:val="216"/>
        </w:trPr>
        <w:tc>
          <w:tcPr>
            <w:tcW w:w="1000" w:type="dxa"/>
            <w:vAlign w:val="bottom"/>
            <w:gridSpan w:val="2"/>
          </w:tcPr>
          <w:p>
            <w:pPr>
              <w:spacing w:after="0"/>
              <w:rPr>
                <w:rFonts w:ascii="Arial" w:cs="Arial" w:eastAsia="Arial" w:hAnsi="Arial"/>
                <w:sz w:val="14"/>
                <w:szCs w:val="14"/>
                <w:u w:val="single" w:color="auto"/>
                <w:color w:val="0000FF"/>
              </w:rPr>
            </w:pPr>
            <w:hyperlink w:anchor="page22">
              <w:r>
                <w:rPr>
                  <w:rFonts w:ascii="Arial" w:cs="Arial" w:eastAsia="Arial" w:hAnsi="Arial"/>
                  <w:sz w:val="14"/>
                  <w:szCs w:val="14"/>
                  <w:u w:val="single" w:color="auto"/>
                  <w:color w:val="0000FF"/>
                </w:rPr>
                <w:t>Item 4.</w:t>
              </w:r>
            </w:hyperlink>
          </w:p>
        </w:tc>
        <w:tc>
          <w:tcPr>
            <w:tcW w:w="7320" w:type="dxa"/>
            <w:vAlign w:val="bottom"/>
            <w:gridSpan w:val="4"/>
          </w:tcPr>
          <w:p>
            <w:pPr>
              <w:spacing w:after="0"/>
              <w:rPr>
                <w:rFonts w:ascii="Arial" w:cs="Arial" w:eastAsia="Arial" w:hAnsi="Arial"/>
                <w:sz w:val="14"/>
                <w:szCs w:val="14"/>
                <w:u w:val="single" w:color="auto"/>
                <w:color w:val="0000FF"/>
              </w:rPr>
            </w:pPr>
            <w:hyperlink w:anchor="page22">
              <w:r>
                <w:rPr>
                  <w:rFonts w:ascii="Arial" w:cs="Arial" w:eastAsia="Arial" w:hAnsi="Arial"/>
                  <w:sz w:val="14"/>
                  <w:szCs w:val="14"/>
                  <w:u w:val="single" w:color="auto"/>
                  <w:color w:val="0000FF"/>
                </w:rPr>
                <w:t>Mine Safety Disclosures</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22">
              <w:r>
                <w:rPr>
                  <w:rFonts w:ascii="Arial" w:cs="Arial" w:eastAsia="Arial" w:hAnsi="Arial"/>
                  <w:sz w:val="14"/>
                  <w:szCs w:val="14"/>
                  <w:u w:val="single" w:color="auto"/>
                  <w:color w:val="0000FF"/>
                  <w:w w:val="89"/>
                </w:rPr>
                <w:t>22</w:t>
              </w:r>
            </w:hyperlink>
          </w:p>
        </w:tc>
      </w:tr>
      <w:tr>
        <w:trPr>
          <w:trHeight w:val="216"/>
        </w:trPr>
        <w:tc>
          <w:tcPr>
            <w:tcW w:w="1000" w:type="dxa"/>
            <w:vAlign w:val="bottom"/>
            <w:gridSpan w:val="2"/>
          </w:tcPr>
          <w:p>
            <w:pPr>
              <w:spacing w:after="0"/>
              <w:rPr>
                <w:rFonts w:ascii="Arial" w:cs="Arial" w:eastAsia="Arial" w:hAnsi="Arial"/>
                <w:sz w:val="14"/>
                <w:szCs w:val="14"/>
                <w:u w:val="single" w:color="auto"/>
                <w:color w:val="0000FF"/>
              </w:rPr>
            </w:pPr>
            <w:hyperlink w:anchor="page22">
              <w:r>
                <w:rPr>
                  <w:rFonts w:ascii="Arial" w:cs="Arial" w:eastAsia="Arial" w:hAnsi="Arial"/>
                  <w:sz w:val="14"/>
                  <w:szCs w:val="14"/>
                  <w:u w:val="single" w:color="auto"/>
                  <w:color w:val="0000FF"/>
                </w:rPr>
                <w:t>Item 5.</w:t>
              </w:r>
            </w:hyperlink>
          </w:p>
        </w:tc>
        <w:tc>
          <w:tcPr>
            <w:tcW w:w="7320" w:type="dxa"/>
            <w:vAlign w:val="bottom"/>
            <w:gridSpan w:val="4"/>
          </w:tcPr>
          <w:p>
            <w:pPr>
              <w:spacing w:after="0"/>
              <w:rPr>
                <w:rFonts w:ascii="Arial" w:cs="Arial" w:eastAsia="Arial" w:hAnsi="Arial"/>
                <w:sz w:val="14"/>
                <w:szCs w:val="14"/>
                <w:u w:val="single" w:color="auto"/>
                <w:color w:val="0000FF"/>
              </w:rPr>
            </w:pPr>
            <w:hyperlink w:anchor="page22">
              <w:r>
                <w:rPr>
                  <w:rFonts w:ascii="Arial" w:cs="Arial" w:eastAsia="Arial" w:hAnsi="Arial"/>
                  <w:sz w:val="14"/>
                  <w:szCs w:val="14"/>
                  <w:u w:val="single" w:color="auto"/>
                  <w:color w:val="0000FF"/>
                </w:rPr>
                <w:t>Other Information</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22">
              <w:r>
                <w:rPr>
                  <w:rFonts w:ascii="Arial" w:cs="Arial" w:eastAsia="Arial" w:hAnsi="Arial"/>
                  <w:sz w:val="14"/>
                  <w:szCs w:val="14"/>
                  <w:u w:val="single" w:color="auto"/>
                  <w:color w:val="0000FF"/>
                  <w:w w:val="89"/>
                </w:rPr>
                <w:t>22</w:t>
              </w:r>
            </w:hyperlink>
          </w:p>
        </w:tc>
      </w:tr>
      <w:tr>
        <w:trPr>
          <w:trHeight w:val="216"/>
        </w:trPr>
        <w:tc>
          <w:tcPr>
            <w:tcW w:w="1000" w:type="dxa"/>
            <w:vAlign w:val="bottom"/>
            <w:gridSpan w:val="2"/>
          </w:tcPr>
          <w:p>
            <w:pPr>
              <w:spacing w:after="0"/>
              <w:rPr>
                <w:rFonts w:ascii="Arial" w:cs="Arial" w:eastAsia="Arial" w:hAnsi="Arial"/>
                <w:sz w:val="14"/>
                <w:szCs w:val="14"/>
                <w:u w:val="single" w:color="auto"/>
                <w:color w:val="0000FF"/>
              </w:rPr>
            </w:pPr>
            <w:hyperlink w:anchor="page22">
              <w:r>
                <w:rPr>
                  <w:rFonts w:ascii="Arial" w:cs="Arial" w:eastAsia="Arial" w:hAnsi="Arial"/>
                  <w:sz w:val="14"/>
                  <w:szCs w:val="14"/>
                  <w:u w:val="single" w:color="auto"/>
                  <w:color w:val="0000FF"/>
                </w:rPr>
                <w:t>Item 6.</w:t>
              </w:r>
            </w:hyperlink>
          </w:p>
        </w:tc>
        <w:tc>
          <w:tcPr>
            <w:tcW w:w="7320" w:type="dxa"/>
            <w:vAlign w:val="bottom"/>
            <w:gridSpan w:val="4"/>
          </w:tcPr>
          <w:p>
            <w:pPr>
              <w:spacing w:after="0"/>
              <w:rPr>
                <w:rFonts w:ascii="Arial" w:cs="Arial" w:eastAsia="Arial" w:hAnsi="Arial"/>
                <w:sz w:val="14"/>
                <w:szCs w:val="14"/>
                <w:u w:val="single" w:color="auto"/>
                <w:color w:val="0000FF"/>
              </w:rPr>
            </w:pPr>
            <w:hyperlink w:anchor="page22">
              <w:r>
                <w:rPr>
                  <w:rFonts w:ascii="Arial" w:cs="Arial" w:eastAsia="Arial" w:hAnsi="Arial"/>
                  <w:sz w:val="14"/>
                  <w:szCs w:val="14"/>
                  <w:u w:val="single" w:color="auto"/>
                  <w:color w:val="0000FF"/>
                </w:rPr>
                <w:t>Exhibits</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22">
              <w:r>
                <w:rPr>
                  <w:rFonts w:ascii="Arial" w:cs="Arial" w:eastAsia="Arial" w:hAnsi="Arial"/>
                  <w:sz w:val="14"/>
                  <w:szCs w:val="14"/>
                  <w:u w:val="single" w:color="auto"/>
                  <w:color w:val="0000FF"/>
                  <w:w w:val="89"/>
                </w:rPr>
                <w:t>22</w:t>
              </w:r>
            </w:hyperlink>
          </w:p>
        </w:tc>
      </w:tr>
      <w:tr>
        <w:trPr>
          <w:trHeight w:val="432"/>
        </w:trPr>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20" w:type="dxa"/>
            <w:vAlign w:val="bottom"/>
            <w:gridSpan w:val="4"/>
          </w:tcPr>
          <w:p>
            <w:pPr>
              <w:spacing w:after="0"/>
              <w:rPr>
                <w:rFonts w:ascii="Arial" w:cs="Arial" w:eastAsia="Arial" w:hAnsi="Arial"/>
                <w:sz w:val="14"/>
                <w:szCs w:val="14"/>
                <w:u w:val="single" w:color="auto"/>
                <w:color w:val="0000FF"/>
              </w:rPr>
            </w:pPr>
            <w:hyperlink w:anchor="page22">
              <w:r>
                <w:rPr>
                  <w:rFonts w:ascii="Arial" w:cs="Arial" w:eastAsia="Arial" w:hAnsi="Arial"/>
                  <w:sz w:val="14"/>
                  <w:szCs w:val="14"/>
                  <w:u w:val="single" w:color="auto"/>
                  <w:color w:val="0000FF"/>
                </w:rPr>
                <w:t>Signatures</w:t>
              </w:r>
            </w:hyperlink>
          </w:p>
        </w:tc>
        <w:tc>
          <w:tcPr>
            <w:tcW w:w="1800" w:type="dxa"/>
            <w:vAlign w:val="bottom"/>
          </w:tcPr>
          <w:p>
            <w:pPr>
              <w:ind w:left="1640"/>
              <w:spacing w:after="0"/>
              <w:rPr>
                <w:rFonts w:ascii="Arial" w:cs="Arial" w:eastAsia="Arial" w:hAnsi="Arial"/>
                <w:sz w:val="14"/>
                <w:szCs w:val="14"/>
                <w:u w:val="single" w:color="auto"/>
                <w:color w:val="0000FF"/>
                <w:w w:val="89"/>
              </w:rPr>
            </w:pPr>
            <w:hyperlink w:anchor="page22">
              <w:r>
                <w:rPr>
                  <w:rFonts w:ascii="Arial" w:cs="Arial" w:eastAsia="Arial" w:hAnsi="Arial"/>
                  <w:sz w:val="14"/>
                  <w:szCs w:val="14"/>
                  <w:u w:val="single" w:color="auto"/>
                  <w:color w:val="0000FF"/>
                  <w:w w:val="89"/>
                </w:rPr>
                <w:t>23</w:t>
              </w:r>
            </w:hyperlink>
          </w:p>
        </w:tc>
      </w:tr>
    </w:tbl>
    <w:p>
      <w:pPr>
        <w:sectPr>
          <w:pgSz w:w="11900" w:h="16838" w:orient="portrait"/>
          <w:cols w:equalWidth="0" w:num="1">
            <w:col w:w="10120"/>
          </w:cols>
          <w:pgMar w:left="560" w:top="177" w:right="12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232F84"/>
        </w:rPr>
        <w:t>FORWARD LOOKING STATEMENTS</w:t>
      </w:r>
    </w:p>
    <w:p>
      <w:pPr>
        <w:spacing w:after="0" w:line="245" w:lineRule="exact"/>
        <w:rPr>
          <w:sz w:val="20"/>
          <w:szCs w:val="20"/>
          <w:color w:val="auto"/>
        </w:rPr>
      </w:pPr>
    </w:p>
    <w:p>
      <w:pPr>
        <w:ind w:right="40" w:firstLine="648"/>
        <w:spacing w:after="0" w:line="248" w:lineRule="auto"/>
        <w:rPr>
          <w:sz w:val="20"/>
          <w:szCs w:val="20"/>
          <w:color w:val="auto"/>
        </w:rPr>
      </w:pPr>
      <w:r>
        <w:rPr>
          <w:rFonts w:ascii="Arial" w:cs="Arial" w:eastAsia="Arial" w:hAnsi="Arial"/>
          <w:sz w:val="16"/>
          <w:szCs w:val="16"/>
          <w:color w:val="auto"/>
        </w:rPr>
        <w:t>This quarterly report on Form 10-Q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208" w:lineRule="exact"/>
        <w:rPr>
          <w:sz w:val="20"/>
          <w:szCs w:val="20"/>
          <w:color w:val="auto"/>
        </w:rPr>
      </w:pPr>
    </w:p>
    <w:p>
      <w:pPr>
        <w:ind w:left="1280" w:hanging="300"/>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generate revenues is limited by the annual supply of avocados and our ability to purchase or grow additional avocados.</w:t>
      </w:r>
    </w:p>
    <w:p>
      <w:pPr>
        <w:spacing w:after="0" w:line="221" w:lineRule="exact"/>
        <w:rPr>
          <w:rFonts w:ascii="Arial" w:cs="Arial" w:eastAsia="Arial" w:hAnsi="Arial"/>
          <w:sz w:val="16"/>
          <w:szCs w:val="16"/>
          <w:color w:val="auto"/>
        </w:rPr>
      </w:pPr>
    </w:p>
    <w:p>
      <w:pPr>
        <w:ind w:left="1280" w:hanging="300"/>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significant portion of our revenues are derived from a relatively small number of customers.</w:t>
      </w:r>
    </w:p>
    <w:p>
      <w:pPr>
        <w:spacing w:after="0" w:line="221" w:lineRule="exact"/>
        <w:rPr>
          <w:rFonts w:ascii="Arial" w:cs="Arial" w:eastAsia="Arial" w:hAnsi="Arial"/>
          <w:sz w:val="16"/>
          <w:szCs w:val="16"/>
          <w:color w:val="auto"/>
        </w:rPr>
      </w:pPr>
    </w:p>
    <w:p>
      <w:pPr>
        <w:ind w:left="1280" w:hanging="300"/>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Mexican and Peruvian economic, political and societal conditions may have an adverse impact on our business.</w:t>
      </w:r>
    </w:p>
    <w:p>
      <w:pPr>
        <w:spacing w:after="0" w:line="221" w:lineRule="exact"/>
        <w:rPr>
          <w:rFonts w:ascii="Arial" w:cs="Arial" w:eastAsia="Arial" w:hAnsi="Arial"/>
          <w:sz w:val="16"/>
          <w:szCs w:val="16"/>
          <w:color w:val="auto"/>
        </w:rPr>
      </w:pPr>
    </w:p>
    <w:p>
      <w:pPr>
        <w:ind w:left="1280" w:hanging="300"/>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earnings are sensitive to seasonal factors and fluctuations in market prices of avocados.</w:t>
      </w:r>
    </w:p>
    <w:p>
      <w:pPr>
        <w:spacing w:after="0" w:line="221" w:lineRule="exact"/>
        <w:rPr>
          <w:rFonts w:ascii="Arial" w:cs="Arial" w:eastAsia="Arial" w:hAnsi="Arial"/>
          <w:sz w:val="16"/>
          <w:szCs w:val="16"/>
          <w:color w:val="auto"/>
        </w:rPr>
      </w:pPr>
    </w:p>
    <w:p>
      <w:pPr>
        <w:ind w:left="1280" w:hanging="300"/>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and our growers are subject to the risks that are inherent in farming, including weather and price fluctuations.</w:t>
      </w:r>
    </w:p>
    <w:p>
      <w:pPr>
        <w:spacing w:after="0" w:line="221" w:lineRule="exact"/>
        <w:rPr>
          <w:rFonts w:ascii="Arial" w:cs="Arial" w:eastAsia="Arial" w:hAnsi="Arial"/>
          <w:sz w:val="16"/>
          <w:szCs w:val="16"/>
          <w:color w:val="auto"/>
        </w:rPr>
      </w:pPr>
    </w:p>
    <w:p>
      <w:pPr>
        <w:ind w:left="1300" w:right="320" w:hanging="320"/>
        <w:spacing w:after="0" w:line="260"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Food safety events, including instances of food-borne illness involving avocados, could create negative publicity for our customers and adversely affect sales and operating results.</w:t>
      </w:r>
    </w:p>
    <w:p>
      <w:pPr>
        <w:spacing w:after="0" w:line="195" w:lineRule="exact"/>
        <w:rPr>
          <w:rFonts w:ascii="Arial" w:cs="Arial" w:eastAsia="Arial" w:hAnsi="Arial"/>
          <w:sz w:val="16"/>
          <w:szCs w:val="16"/>
          <w:color w:val="auto"/>
        </w:rPr>
      </w:pPr>
    </w:p>
    <w:p>
      <w:pPr>
        <w:ind w:left="1300" w:hanging="320"/>
        <w:spacing w:after="0" w:line="260"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United States Department of Agriculture (“USDA”) and Food and Drug Administration (“FDA”) regulations that govern the importation of foreign avocados into the United States.</w:t>
      </w:r>
    </w:p>
    <w:p>
      <w:pPr>
        <w:spacing w:after="0" w:line="195" w:lineRule="exact"/>
        <w:rPr>
          <w:rFonts w:ascii="Arial" w:cs="Arial" w:eastAsia="Arial" w:hAnsi="Arial"/>
          <w:sz w:val="16"/>
          <w:szCs w:val="16"/>
          <w:color w:val="auto"/>
        </w:rPr>
      </w:pPr>
    </w:p>
    <w:p>
      <w:pPr>
        <w:ind w:left="1280" w:hanging="300"/>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to U.S. trade policy, tariff and import/export regulations may adversely affect our operating results.</w:t>
      </w:r>
    </w:p>
    <w:p>
      <w:pPr>
        <w:spacing w:after="0" w:line="221" w:lineRule="exact"/>
        <w:rPr>
          <w:rFonts w:ascii="Arial" w:cs="Arial" w:eastAsia="Arial" w:hAnsi="Arial"/>
          <w:sz w:val="16"/>
          <w:szCs w:val="16"/>
          <w:color w:val="auto"/>
        </w:rPr>
      </w:pPr>
    </w:p>
    <w:p>
      <w:pPr>
        <w:ind w:left="1300" w:right="420" w:hanging="320"/>
        <w:spacing w:after="0" w:line="260"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subject to domestic and international health and safety laws, which may restrict our operations, result in operational delays or increase our operating costs and adversely affect our financial results of operations.</w:t>
      </w:r>
    </w:p>
    <w:p>
      <w:pPr>
        <w:spacing w:after="0" w:line="195" w:lineRule="exact"/>
        <w:rPr>
          <w:rFonts w:ascii="Arial" w:cs="Arial" w:eastAsia="Arial" w:hAnsi="Arial"/>
          <w:sz w:val="16"/>
          <w:szCs w:val="16"/>
          <w:color w:val="auto"/>
        </w:rPr>
      </w:pPr>
    </w:p>
    <w:p>
      <w:pPr>
        <w:ind w:left="1300" w:right="20" w:hanging="320"/>
        <w:spacing w:after="0" w:line="253"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Compliance with environmental laws and regulations, including laws pertaining to the use of herbicides, fertilizers and pesticides or climate change, or liabilities thereunder, could result in significant costs that adversely impact our business, results of operations, financial position, cash flows and reputation.</w:t>
      </w:r>
    </w:p>
    <w:p>
      <w:pPr>
        <w:spacing w:after="0" w:line="201" w:lineRule="exact"/>
        <w:rPr>
          <w:rFonts w:ascii="Arial" w:cs="Arial" w:eastAsia="Arial" w:hAnsi="Arial"/>
          <w:sz w:val="16"/>
          <w:szCs w:val="16"/>
          <w:color w:val="auto"/>
        </w:rPr>
      </w:pPr>
    </w:p>
    <w:p>
      <w:pPr>
        <w:ind w:left="1300" w:right="480" w:hanging="320"/>
        <w:spacing w:after="0" w:line="260" w:lineRule="auto"/>
        <w:tabs>
          <w:tab w:leader="none" w:pos="1276"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depend on our infrastructure to have sufficient capacity to handle our business needs, and failure to optimize our supply chain or disruption of our supply chain could have an adverse effect on our business, financial condition and results of operations.</w:t>
      </w:r>
    </w:p>
    <w:p>
      <w:pPr>
        <w:spacing w:after="0" w:line="195" w:lineRule="exact"/>
        <w:rPr>
          <w:rFonts w:ascii="Arial" w:cs="Arial" w:eastAsia="Arial" w:hAnsi="Arial"/>
          <w:sz w:val="16"/>
          <w:szCs w:val="16"/>
          <w:color w:val="auto"/>
        </w:rPr>
      </w:pPr>
    </w:p>
    <w:p>
      <w:pPr>
        <w:ind w:left="1280" w:hanging="300"/>
        <w:spacing w:after="0"/>
        <w:tabs>
          <w:tab w:leader="none" w:pos="1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risks and factors listed under “Risk Factors” and elsewhere in this report.</w:t>
      </w:r>
    </w:p>
    <w:p>
      <w:pPr>
        <w:spacing w:after="0" w:line="221"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captioned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07" w:lineRule="exact"/>
        <w:rPr>
          <w:sz w:val="20"/>
          <w:szCs w:val="20"/>
          <w:color w:val="auto"/>
        </w:rPr>
      </w:pPr>
    </w:p>
    <w:p>
      <w:pPr>
        <w:ind w:right="100" w:firstLine="648"/>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94" w:lineRule="exact"/>
        <w:rPr>
          <w:sz w:val="20"/>
          <w:szCs w:val="20"/>
          <w:color w:val="auto"/>
        </w:rPr>
      </w:pPr>
    </w:p>
    <w:p>
      <w:pPr>
        <w:ind w:right="80" w:firstLine="648"/>
        <w:spacing w:after="0" w:line="253" w:lineRule="auto"/>
        <w:rPr>
          <w:sz w:val="20"/>
          <w:szCs w:val="20"/>
          <w:color w:val="auto"/>
        </w:rPr>
      </w:pPr>
      <w:r>
        <w:rPr>
          <w:rFonts w:ascii="Arial" w:cs="Arial" w:eastAsia="Arial" w:hAnsi="Arial"/>
          <w:sz w:val="16"/>
          <w:szCs w:val="16"/>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244"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20"/>
          </w:cols>
          <w:pgMar w:left="320" w:top="976" w:right="359" w:bottom="1440" w:gutter="0" w:footer="0" w:header="0"/>
        </w:sectPr>
      </w:pPr>
    </w:p>
    <w:bookmarkStart w:id="3" w:name="page4"/>
    <w:bookmarkEnd w:id="3"/>
    <w:p>
      <w:pPr>
        <w:jc w:val="both"/>
        <w:ind w:right="400" w:firstLine="648"/>
        <w:spacing w:after="0" w:line="253" w:lineRule="auto"/>
        <w:rPr>
          <w:sz w:val="20"/>
          <w:szCs w:val="20"/>
          <w:color w:val="auto"/>
        </w:rPr>
      </w:pPr>
      <w:r>
        <w:rPr>
          <w:rFonts w:ascii="Arial" w:cs="Arial" w:eastAsia="Arial" w:hAnsi="Arial"/>
          <w:sz w:val="16"/>
          <w:szCs w:val="16"/>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201"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This quarterly report also includes trademarks, tradenames and service marks that are the property of other organizations. Solely for convenience, trademarks and tradenames referred to in this quarterly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202" w:lineRule="exact"/>
        <w:rPr>
          <w:sz w:val="20"/>
          <w:szCs w:val="20"/>
          <w:color w:val="auto"/>
        </w:rPr>
      </w:pPr>
    </w:p>
    <w:p>
      <w:pPr>
        <w:ind w:right="60" w:firstLine="648"/>
        <w:spacing w:after="0" w:line="251" w:lineRule="auto"/>
        <w:rPr>
          <w:sz w:val="20"/>
          <w:szCs w:val="20"/>
          <w:color w:val="auto"/>
        </w:rPr>
      </w:pPr>
      <w:r>
        <w:rPr>
          <w:rFonts w:ascii="Arial" w:cs="Arial" w:eastAsia="Arial" w:hAnsi="Arial"/>
          <w:sz w:val="16"/>
          <w:szCs w:val="16"/>
          <w:color w:val="auto"/>
        </w:rPr>
        <w:t>We maintain a website at www.worldsfinestavocados.com,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0" w:lineRule="exact"/>
        <w:rPr>
          <w:sz w:val="20"/>
          <w:szCs w:val="20"/>
          <w:color w:val="auto"/>
        </w:rPr>
      </w:pPr>
    </w:p>
    <w:p>
      <w:pPr>
        <w:spacing w:after="0" w:line="24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1005"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336"/>
        </w:trPr>
        <w:tc>
          <w:tcPr>
            <w:tcW w:w="860" w:type="dxa"/>
            <w:vAlign w:val="bottom"/>
          </w:tcPr>
          <w:p>
            <w:pPr>
              <w:spacing w:after="0"/>
              <w:rPr>
                <w:sz w:val="24"/>
                <w:szCs w:val="24"/>
                <w:color w:val="auto"/>
              </w:rPr>
            </w:pPr>
          </w:p>
        </w:tc>
        <w:tc>
          <w:tcPr>
            <w:tcW w:w="7100" w:type="dxa"/>
            <w:vAlign w:val="bottom"/>
          </w:tcPr>
          <w:p>
            <w:pPr>
              <w:jc w:val="center"/>
              <w:ind w:left="2352"/>
              <w:spacing w:after="0"/>
              <w:rPr>
                <w:sz w:val="20"/>
                <w:szCs w:val="20"/>
                <w:color w:val="auto"/>
              </w:rPr>
            </w:pPr>
            <w:r>
              <w:rPr>
                <w:rFonts w:ascii="Arial" w:cs="Arial" w:eastAsia="Arial" w:hAnsi="Arial"/>
                <w:sz w:val="25"/>
                <w:szCs w:val="25"/>
                <w:b w:val="1"/>
                <w:bCs w:val="1"/>
                <w:color w:val="232F84"/>
                <w:w w:val="99"/>
              </w:rPr>
              <w:t>PART I- FINANCIAL INFORMATION</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13"/>
        </w:trPr>
        <w:tc>
          <w:tcPr>
            <w:tcW w:w="860" w:type="dxa"/>
            <w:vAlign w:val="bottom"/>
          </w:tcPr>
          <w:p>
            <w:pPr>
              <w:spacing w:after="0"/>
              <w:rPr>
                <w:sz w:val="20"/>
                <w:szCs w:val="20"/>
                <w:color w:val="auto"/>
              </w:rPr>
            </w:pPr>
            <w:r>
              <w:rPr>
                <w:rFonts w:ascii="Arial" w:cs="Arial" w:eastAsia="Arial" w:hAnsi="Arial"/>
                <w:sz w:val="25"/>
                <w:szCs w:val="25"/>
                <w:b w:val="1"/>
                <w:bCs w:val="1"/>
                <w:color w:val="232F84"/>
              </w:rPr>
              <w:t>Item 1.</w:t>
            </w:r>
          </w:p>
        </w:tc>
        <w:tc>
          <w:tcPr>
            <w:tcW w:w="7100" w:type="dxa"/>
            <w:vAlign w:val="bottom"/>
          </w:tcPr>
          <w:p>
            <w:pPr>
              <w:ind w:left="580"/>
              <w:spacing w:after="0"/>
              <w:rPr>
                <w:sz w:val="20"/>
                <w:szCs w:val="20"/>
                <w:color w:val="auto"/>
              </w:rPr>
            </w:pPr>
            <w:r>
              <w:rPr>
                <w:rFonts w:ascii="Arial" w:cs="Arial" w:eastAsia="Arial" w:hAnsi="Arial"/>
                <w:sz w:val="25"/>
                <w:szCs w:val="25"/>
                <w:b w:val="1"/>
                <w:bCs w:val="1"/>
                <w:color w:val="232F84"/>
              </w:rPr>
              <w:t>Financial Statements</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41"/>
        </w:trPr>
        <w:tc>
          <w:tcPr>
            <w:tcW w:w="860" w:type="dxa"/>
            <w:vAlign w:val="bottom"/>
          </w:tcPr>
          <w:p>
            <w:pPr>
              <w:spacing w:after="0"/>
              <w:rPr>
                <w:sz w:val="24"/>
                <w:szCs w:val="24"/>
                <w:color w:val="auto"/>
              </w:rPr>
            </w:pPr>
          </w:p>
        </w:tc>
        <w:tc>
          <w:tcPr>
            <w:tcW w:w="7100" w:type="dxa"/>
            <w:vAlign w:val="bottom"/>
          </w:tcPr>
          <w:p>
            <w:pPr>
              <w:jc w:val="center"/>
              <w:ind w:left="2352"/>
              <w:spacing w:after="0"/>
              <w:rPr>
                <w:sz w:val="20"/>
                <w:szCs w:val="20"/>
                <w:color w:val="auto"/>
              </w:rPr>
            </w:pPr>
            <w:r>
              <w:rPr>
                <w:rFonts w:ascii="Arial" w:cs="Arial" w:eastAsia="Arial" w:hAnsi="Arial"/>
                <w:sz w:val="20"/>
                <w:szCs w:val="20"/>
                <w:b w:val="1"/>
                <w:bCs w:val="1"/>
                <w:color w:val="232F84"/>
                <w:w w:val="98"/>
              </w:rPr>
              <w:t>MISSION PRODUCE, INC.</w:t>
            </w: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83"/>
        </w:trPr>
        <w:tc>
          <w:tcPr>
            <w:tcW w:w="860" w:type="dxa"/>
            <w:vAlign w:val="bottom"/>
          </w:tcPr>
          <w:p>
            <w:pPr>
              <w:spacing w:after="0"/>
              <w:rPr>
                <w:sz w:val="24"/>
                <w:szCs w:val="24"/>
                <w:color w:val="auto"/>
              </w:rPr>
            </w:pPr>
          </w:p>
        </w:tc>
        <w:tc>
          <w:tcPr>
            <w:tcW w:w="8760" w:type="dxa"/>
            <w:vAlign w:val="bottom"/>
            <w:gridSpan w:val="3"/>
          </w:tcPr>
          <w:p>
            <w:pPr>
              <w:jc w:val="center"/>
              <w:ind w:left="672"/>
              <w:spacing w:after="0"/>
              <w:rPr>
                <w:sz w:val="20"/>
                <w:szCs w:val="20"/>
                <w:color w:val="auto"/>
              </w:rPr>
            </w:pPr>
            <w:r>
              <w:rPr>
                <w:rFonts w:ascii="Arial" w:cs="Arial" w:eastAsia="Arial" w:hAnsi="Arial"/>
                <w:sz w:val="20"/>
                <w:szCs w:val="20"/>
                <w:b w:val="1"/>
                <w:bCs w:val="1"/>
                <w:color w:val="232F84"/>
                <w:w w:val="98"/>
              </w:rPr>
              <w:t>CONDENSED CONSOLIDATED BALANCE SHEETS (UNAUDITED)</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9"/>
        </w:trPr>
        <w:tc>
          <w:tcPr>
            <w:tcW w:w="7960" w:type="dxa"/>
            <w:vAlign w:val="bottom"/>
            <w:gridSpan w:val="2"/>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796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 except for shares)</w:t>
            </w:r>
          </w:p>
        </w:tc>
        <w:tc>
          <w:tcPr>
            <w:tcW w:w="300" w:type="dxa"/>
            <w:vAlign w:val="bottom"/>
            <w:shd w:val="clear" w:color="auto" w:fill="232F84"/>
          </w:tcPr>
          <w:p>
            <w:pPr>
              <w:spacing w:after="0"/>
              <w:rPr>
                <w:sz w:val="18"/>
                <w:szCs w:val="18"/>
                <w:color w:val="auto"/>
              </w:rPr>
            </w:pPr>
          </w:p>
        </w:tc>
        <w:tc>
          <w:tcPr>
            <w:tcW w:w="13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January 31, 2021</w:t>
            </w:r>
          </w:p>
        </w:tc>
        <w:tc>
          <w:tcPr>
            <w:tcW w:w="300" w:type="dxa"/>
            <w:vAlign w:val="bottom"/>
            <w:shd w:val="clear" w:color="auto" w:fill="232F84"/>
          </w:tcPr>
          <w:p>
            <w:pPr>
              <w:spacing w:after="0"/>
              <w:rPr>
                <w:sz w:val="18"/>
                <w:szCs w:val="18"/>
                <w:color w:val="auto"/>
              </w:rPr>
            </w:pPr>
          </w:p>
        </w:tc>
        <w:tc>
          <w:tcPr>
            <w:tcW w:w="13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r>
      <w:tr>
        <w:trPr>
          <w:trHeight w:val="216"/>
        </w:trPr>
        <w:tc>
          <w:tcPr>
            <w:tcW w:w="86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232F84"/>
              </w:rPr>
              <w:t>Assets</w:t>
            </w:r>
          </w:p>
        </w:tc>
        <w:tc>
          <w:tcPr>
            <w:tcW w:w="7100" w:type="dxa"/>
            <w:vAlign w:val="bottom"/>
            <w:shd w:val="clear" w:color="auto" w:fill="43C0B9"/>
          </w:tcPr>
          <w:p>
            <w:pPr>
              <w:spacing w:after="0"/>
              <w:rPr>
                <w:sz w:val="18"/>
                <w:szCs w:val="18"/>
                <w:color w:val="auto"/>
              </w:rPr>
            </w:pPr>
          </w:p>
        </w:tc>
        <w:tc>
          <w:tcPr>
            <w:tcW w:w="300" w:type="dxa"/>
            <w:vAlign w:val="bottom"/>
            <w:shd w:val="clear" w:color="auto" w:fill="43C0B9"/>
          </w:tcPr>
          <w:p>
            <w:pPr>
              <w:spacing w:after="0"/>
              <w:rPr>
                <w:sz w:val="18"/>
                <w:szCs w:val="18"/>
                <w:color w:val="auto"/>
              </w:rPr>
            </w:pPr>
          </w:p>
        </w:tc>
        <w:tc>
          <w:tcPr>
            <w:tcW w:w="1360" w:type="dxa"/>
            <w:vAlign w:val="bottom"/>
            <w:shd w:val="clear" w:color="auto" w:fill="43C0B9"/>
          </w:tcPr>
          <w:p>
            <w:pPr>
              <w:spacing w:after="0"/>
              <w:rPr>
                <w:sz w:val="18"/>
                <w:szCs w:val="18"/>
                <w:color w:val="auto"/>
              </w:rPr>
            </w:pP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spacing w:after="0"/>
              <w:rPr>
                <w:sz w:val="18"/>
                <w:szCs w:val="18"/>
                <w:color w:val="auto"/>
              </w:rPr>
            </w:pP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796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91.1</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124.0</w:t>
            </w:r>
          </w:p>
        </w:tc>
      </w:tr>
      <w:tr>
        <w:trPr>
          <w:trHeight w:val="210"/>
        </w:trPr>
        <w:tc>
          <w:tcPr>
            <w:tcW w:w="7960" w:type="dxa"/>
            <w:vAlign w:val="bottom"/>
            <w:gridSpan w:val="2"/>
          </w:tcPr>
          <w:p>
            <w:pPr>
              <w:ind w:left="46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2"/>
        </w:trPr>
        <w:tc>
          <w:tcPr>
            <w:tcW w:w="796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Accounts receivable</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spacing w:after="0"/>
              <w:rPr>
                <w:sz w:val="19"/>
                <w:szCs w:val="19"/>
                <w:color w:val="auto"/>
              </w:rPr>
            </w:pP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spacing w:after="0"/>
              <w:rPr>
                <w:sz w:val="19"/>
                <w:szCs w:val="19"/>
                <w:color w:val="auto"/>
              </w:rPr>
            </w:pPr>
          </w:p>
        </w:tc>
      </w:tr>
      <w:tr>
        <w:trPr>
          <w:trHeight w:val="210"/>
        </w:trPr>
        <w:tc>
          <w:tcPr>
            <w:tcW w:w="860" w:type="dxa"/>
            <w:vAlign w:val="bottom"/>
          </w:tcPr>
          <w:p>
            <w:pPr>
              <w:spacing w:after="0"/>
              <w:rPr>
                <w:sz w:val="18"/>
                <w:szCs w:val="18"/>
                <w:color w:val="auto"/>
              </w:rPr>
            </w:pPr>
          </w:p>
        </w:tc>
        <w:tc>
          <w:tcPr>
            <w:tcW w:w="7100" w:type="dxa"/>
            <w:vAlign w:val="bottom"/>
          </w:tcPr>
          <w:p>
            <w:pPr>
              <w:ind w:left="40"/>
              <w:spacing w:after="0"/>
              <w:rPr>
                <w:sz w:val="20"/>
                <w:szCs w:val="20"/>
                <w:color w:val="auto"/>
              </w:rPr>
            </w:pPr>
            <w:r>
              <w:rPr>
                <w:rFonts w:ascii="Arial" w:cs="Arial" w:eastAsia="Arial" w:hAnsi="Arial"/>
                <w:sz w:val="14"/>
                <w:szCs w:val="14"/>
                <w:color w:val="auto"/>
              </w:rPr>
              <w:t>Trade, net of allowances of $0.3 and $0.3 respectively</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70.2</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57.5</w:t>
            </w:r>
          </w:p>
        </w:tc>
      </w:tr>
      <w:tr>
        <w:trPr>
          <w:trHeight w:val="222"/>
        </w:trPr>
        <w:tc>
          <w:tcPr>
            <w:tcW w:w="860" w:type="dxa"/>
            <w:vAlign w:val="bottom"/>
            <w:shd w:val="clear" w:color="auto" w:fill="43C0B9"/>
          </w:tcPr>
          <w:p>
            <w:pPr>
              <w:spacing w:after="0"/>
              <w:rPr>
                <w:sz w:val="19"/>
                <w:szCs w:val="19"/>
                <w:color w:val="auto"/>
              </w:rPr>
            </w:pPr>
          </w:p>
        </w:tc>
        <w:tc>
          <w:tcPr>
            <w:tcW w:w="7100" w:type="dxa"/>
            <w:vAlign w:val="bottom"/>
            <w:shd w:val="clear" w:color="auto" w:fill="43C0B9"/>
          </w:tcPr>
          <w:p>
            <w:pPr>
              <w:ind w:left="40"/>
              <w:spacing w:after="0"/>
              <w:rPr>
                <w:sz w:val="20"/>
                <w:szCs w:val="20"/>
                <w:color w:val="auto"/>
              </w:rPr>
            </w:pPr>
            <w:r>
              <w:rPr>
                <w:rFonts w:ascii="Arial" w:cs="Arial" w:eastAsia="Arial" w:hAnsi="Arial"/>
                <w:sz w:val="14"/>
                <w:szCs w:val="14"/>
                <w:color w:val="auto"/>
              </w:rPr>
              <w:t>Grower and fruit advances</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1.3</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1.5</w:t>
            </w:r>
          </w:p>
        </w:tc>
      </w:tr>
      <w:tr>
        <w:trPr>
          <w:trHeight w:val="210"/>
        </w:trPr>
        <w:tc>
          <w:tcPr>
            <w:tcW w:w="860" w:type="dxa"/>
            <w:vAlign w:val="bottom"/>
          </w:tcPr>
          <w:p>
            <w:pPr>
              <w:spacing w:after="0"/>
              <w:rPr>
                <w:sz w:val="18"/>
                <w:szCs w:val="18"/>
                <w:color w:val="auto"/>
              </w:rPr>
            </w:pPr>
          </w:p>
        </w:tc>
        <w:tc>
          <w:tcPr>
            <w:tcW w:w="7100" w:type="dxa"/>
            <w:vAlign w:val="bottom"/>
          </w:tcPr>
          <w:p>
            <w:pPr>
              <w:ind w:left="40"/>
              <w:spacing w:after="0"/>
              <w:rPr>
                <w:sz w:val="20"/>
                <w:szCs w:val="20"/>
                <w:color w:val="auto"/>
              </w:rPr>
            </w:pPr>
            <w:r>
              <w:rPr>
                <w:rFonts w:ascii="Arial" w:cs="Arial" w:eastAsia="Arial" w:hAnsi="Arial"/>
                <w:sz w:val="14"/>
                <w:szCs w:val="14"/>
                <w:color w:val="auto"/>
              </w:rPr>
              <w:t>Miscellaneous receivables</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11.5</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13.4</w:t>
            </w:r>
          </w:p>
        </w:tc>
      </w:tr>
      <w:tr>
        <w:trPr>
          <w:trHeight w:val="222"/>
        </w:trPr>
        <w:tc>
          <w:tcPr>
            <w:tcW w:w="796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Inventory</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48.0</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38.6</w:t>
            </w:r>
          </w:p>
        </w:tc>
      </w:tr>
      <w:tr>
        <w:trPr>
          <w:trHeight w:val="210"/>
        </w:trPr>
        <w:tc>
          <w:tcPr>
            <w:tcW w:w="7960" w:type="dxa"/>
            <w:vAlign w:val="bottom"/>
            <w:gridSpan w:val="2"/>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16"/>
        </w:trPr>
        <w:tc>
          <w:tcPr>
            <w:tcW w:w="7960" w:type="dxa"/>
            <w:vAlign w:val="bottom"/>
            <w:tcBorders>
              <w:bottom w:val="single" w:sz="8" w:color="auto"/>
            </w:tcBorders>
            <w:gridSpan w:val="2"/>
            <w:shd w:val="clear" w:color="auto" w:fill="43C0B9"/>
          </w:tcPr>
          <w:p>
            <w:pPr>
              <w:ind w:left="460"/>
              <w:spacing w:after="0"/>
              <w:rPr>
                <w:sz w:val="20"/>
                <w:szCs w:val="20"/>
                <w:color w:val="auto"/>
              </w:rPr>
            </w:pPr>
            <w:r>
              <w:rPr>
                <w:rFonts w:ascii="Arial" w:cs="Arial" w:eastAsia="Arial" w:hAnsi="Arial"/>
                <w:sz w:val="14"/>
                <w:szCs w:val="14"/>
                <w:color w:val="auto"/>
              </w:rPr>
              <w:t>Income taxes receivable</w:t>
            </w:r>
          </w:p>
        </w:tc>
        <w:tc>
          <w:tcPr>
            <w:tcW w:w="300" w:type="dxa"/>
            <w:vAlign w:val="bottom"/>
            <w:tcBorders>
              <w:bottom w:val="single" w:sz="8" w:color="auto"/>
            </w:tcBorders>
            <w:shd w:val="clear" w:color="auto" w:fill="43C0B9"/>
          </w:tcPr>
          <w:p>
            <w:pPr>
              <w:spacing w:after="0"/>
              <w:rPr>
                <w:sz w:val="18"/>
                <w:szCs w:val="18"/>
                <w:color w:val="auto"/>
              </w:rPr>
            </w:pPr>
          </w:p>
        </w:tc>
        <w:tc>
          <w:tcPr>
            <w:tcW w:w="13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1.7</w:t>
            </w:r>
          </w:p>
        </w:tc>
        <w:tc>
          <w:tcPr>
            <w:tcW w:w="300" w:type="dxa"/>
            <w:vAlign w:val="bottom"/>
            <w:tcBorders>
              <w:bottom w:val="single" w:sz="8" w:color="auto"/>
            </w:tcBorders>
            <w:shd w:val="clear" w:color="auto" w:fill="43C0B9"/>
          </w:tcPr>
          <w:p>
            <w:pPr>
              <w:spacing w:after="0"/>
              <w:rPr>
                <w:sz w:val="18"/>
                <w:szCs w:val="18"/>
                <w:color w:val="auto"/>
              </w:rPr>
            </w:pP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2.9</w:t>
            </w:r>
          </w:p>
        </w:tc>
      </w:tr>
      <w:tr>
        <w:trPr>
          <w:trHeight w:val="210"/>
        </w:trPr>
        <w:tc>
          <w:tcPr>
            <w:tcW w:w="860" w:type="dxa"/>
            <w:vAlign w:val="bottom"/>
          </w:tcPr>
          <w:p>
            <w:pPr>
              <w:spacing w:after="0"/>
              <w:rPr>
                <w:sz w:val="18"/>
                <w:szCs w:val="18"/>
                <w:color w:val="auto"/>
              </w:rPr>
            </w:pPr>
          </w:p>
        </w:tc>
        <w:tc>
          <w:tcPr>
            <w:tcW w:w="710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232.9</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248.1</w:t>
            </w:r>
          </w:p>
        </w:tc>
      </w:tr>
      <w:tr>
        <w:trPr>
          <w:trHeight w:val="222"/>
        </w:trPr>
        <w:tc>
          <w:tcPr>
            <w:tcW w:w="79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402.9</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379.1</w:t>
            </w: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4"/>
                <w:szCs w:val="14"/>
                <w:color w:val="auto"/>
              </w:rPr>
              <w:t>Equity method investees</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49.6</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46.7</w:t>
            </w:r>
          </w:p>
        </w:tc>
      </w:tr>
      <w:tr>
        <w:trPr>
          <w:trHeight w:val="222"/>
        </w:trPr>
        <w:tc>
          <w:tcPr>
            <w:tcW w:w="79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Loans to equity method investees</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4.5</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4.5</w:t>
            </w: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22"/>
        </w:trPr>
        <w:tc>
          <w:tcPr>
            <w:tcW w:w="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Goodwill</w:t>
            </w:r>
          </w:p>
        </w:tc>
        <w:tc>
          <w:tcPr>
            <w:tcW w:w="7100" w:type="dxa"/>
            <w:vAlign w:val="bottom"/>
            <w:shd w:val="clear" w:color="auto" w:fill="43C0B9"/>
          </w:tcPr>
          <w:p>
            <w:pPr>
              <w:spacing w:after="0"/>
              <w:rPr>
                <w:sz w:val="19"/>
                <w:szCs w:val="19"/>
                <w:color w:val="auto"/>
              </w:rPr>
            </w:pP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76.4</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76.4</w:t>
            </w:r>
          </w:p>
        </w:tc>
      </w:tr>
      <w:tr>
        <w:trPr>
          <w:trHeight w:val="210"/>
        </w:trPr>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assets</w:t>
            </w:r>
          </w:p>
        </w:tc>
        <w:tc>
          <w:tcPr>
            <w:tcW w:w="7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w:t>
            </w:r>
          </w:p>
        </w:tc>
      </w:tr>
      <w:tr>
        <w:trPr>
          <w:trHeight w:val="210"/>
        </w:trPr>
        <w:tc>
          <w:tcPr>
            <w:tcW w:w="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assets</w:t>
            </w:r>
          </w:p>
        </w:tc>
        <w:tc>
          <w:tcPr>
            <w:tcW w:w="7100" w:type="dxa"/>
            <w:vAlign w:val="bottom"/>
            <w:tcBorders>
              <w:bottom w:val="single" w:sz="8" w:color="auto"/>
            </w:tcBorders>
            <w:shd w:val="clear" w:color="auto" w:fill="43C0B9"/>
          </w:tcPr>
          <w:p>
            <w:pPr>
              <w:spacing w:after="0"/>
              <w:rPr>
                <w:sz w:val="18"/>
                <w:szCs w:val="18"/>
                <w:color w:val="auto"/>
              </w:rPr>
            </w:pPr>
          </w:p>
        </w:tc>
        <w:tc>
          <w:tcPr>
            <w:tcW w:w="30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792.0</w:t>
            </w:r>
          </w:p>
        </w:tc>
        <w:tc>
          <w:tcPr>
            <w:tcW w:w="30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777.3</w:t>
            </w:r>
          </w:p>
        </w:tc>
      </w:tr>
      <w:tr>
        <w:trPr>
          <w:trHeight w:val="215"/>
        </w:trPr>
        <w:tc>
          <w:tcPr>
            <w:tcW w:w="860" w:type="dxa"/>
            <w:vAlign w:val="bottom"/>
          </w:tcPr>
          <w:p>
            <w:pPr>
              <w:spacing w:after="0"/>
              <w:rPr>
                <w:sz w:val="18"/>
                <w:szCs w:val="18"/>
                <w:color w:val="auto"/>
              </w:rPr>
            </w:pPr>
          </w:p>
        </w:tc>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7960" w:type="dxa"/>
            <w:vAlign w:val="bottom"/>
            <w:gridSpan w:val="2"/>
            <w:shd w:val="clear" w:color="auto" w:fill="43C0B9"/>
          </w:tcPr>
          <w:p>
            <w:pPr>
              <w:ind w:left="20"/>
              <w:spacing w:after="0"/>
              <w:rPr>
                <w:sz w:val="20"/>
                <w:szCs w:val="20"/>
                <w:color w:val="auto"/>
              </w:rPr>
            </w:pPr>
            <w:r>
              <w:rPr>
                <w:rFonts w:ascii="Arial" w:cs="Arial" w:eastAsia="Arial" w:hAnsi="Arial"/>
                <w:sz w:val="14"/>
                <w:szCs w:val="14"/>
                <w:b w:val="1"/>
                <w:bCs w:val="1"/>
                <w:color w:val="232F84"/>
              </w:rPr>
              <w:t>Liabilities and Shareholders' Equity</w:t>
            </w:r>
          </w:p>
        </w:tc>
        <w:tc>
          <w:tcPr>
            <w:tcW w:w="300" w:type="dxa"/>
            <w:vAlign w:val="bottom"/>
            <w:shd w:val="clear" w:color="auto" w:fill="43C0B9"/>
          </w:tcPr>
          <w:p>
            <w:pPr>
              <w:spacing w:after="0"/>
              <w:rPr>
                <w:sz w:val="18"/>
                <w:szCs w:val="18"/>
                <w:color w:val="auto"/>
              </w:rPr>
            </w:pPr>
          </w:p>
        </w:tc>
        <w:tc>
          <w:tcPr>
            <w:tcW w:w="1360" w:type="dxa"/>
            <w:vAlign w:val="bottom"/>
            <w:shd w:val="clear" w:color="auto" w:fill="43C0B9"/>
          </w:tcPr>
          <w:p>
            <w:pPr>
              <w:spacing w:after="0"/>
              <w:rPr>
                <w:sz w:val="18"/>
                <w:szCs w:val="18"/>
                <w:color w:val="auto"/>
              </w:rPr>
            </w:pP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spacing w:after="0"/>
              <w:rPr>
                <w:sz w:val="18"/>
                <w:szCs w:val="18"/>
                <w:color w:val="auto"/>
              </w:rPr>
            </w:pPr>
          </w:p>
        </w:tc>
      </w:tr>
      <w:tr>
        <w:trPr>
          <w:trHeight w:val="210"/>
        </w:trPr>
        <w:tc>
          <w:tcPr>
            <w:tcW w:w="86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796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Accounts payable</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24.0</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20.5</w:t>
            </w:r>
          </w:p>
        </w:tc>
      </w:tr>
      <w:tr>
        <w:trPr>
          <w:trHeight w:val="210"/>
        </w:trPr>
        <w:tc>
          <w:tcPr>
            <w:tcW w:w="7960" w:type="dxa"/>
            <w:vAlign w:val="bottom"/>
            <w:gridSpan w:val="2"/>
          </w:tcPr>
          <w:p>
            <w:pPr>
              <w:ind w:left="46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28.3</w:t>
            </w:r>
          </w:p>
        </w:tc>
      </w:tr>
      <w:tr>
        <w:trPr>
          <w:trHeight w:val="222"/>
        </w:trPr>
        <w:tc>
          <w:tcPr>
            <w:tcW w:w="796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Income taxes payable</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1.4</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w:t>
            </w:r>
          </w:p>
        </w:tc>
      </w:tr>
      <w:tr>
        <w:trPr>
          <w:trHeight w:val="210"/>
        </w:trPr>
        <w:tc>
          <w:tcPr>
            <w:tcW w:w="7960" w:type="dxa"/>
            <w:vAlign w:val="bottom"/>
            <w:gridSpan w:val="2"/>
          </w:tcPr>
          <w:p>
            <w:pPr>
              <w:ind w:left="460"/>
              <w:spacing w:after="0"/>
              <w:rPr>
                <w:sz w:val="20"/>
                <w:szCs w:val="20"/>
                <w:color w:val="auto"/>
              </w:rPr>
            </w:pPr>
            <w:r>
              <w:rPr>
                <w:rFonts w:ascii="Arial" w:cs="Arial" w:eastAsia="Arial" w:hAnsi="Arial"/>
                <w:sz w:val="14"/>
                <w:szCs w:val="14"/>
                <w:color w:val="auto"/>
              </w:rPr>
              <w:t>Grower payables</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22"/>
        </w:trPr>
        <w:tc>
          <w:tcPr>
            <w:tcW w:w="796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Long-term debt—current portion</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7.6</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7.4</w:t>
            </w:r>
          </w:p>
        </w:tc>
      </w:tr>
      <w:tr>
        <w:trPr>
          <w:trHeight w:val="210"/>
        </w:trPr>
        <w:tc>
          <w:tcPr>
            <w:tcW w:w="79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Capital leases—current portion</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15"/>
        </w:trPr>
        <w:tc>
          <w:tcPr>
            <w:tcW w:w="860" w:type="dxa"/>
            <w:vAlign w:val="bottom"/>
            <w:shd w:val="clear" w:color="auto" w:fill="43C0B9"/>
          </w:tcPr>
          <w:p>
            <w:pPr>
              <w:spacing w:after="0"/>
              <w:rPr>
                <w:sz w:val="18"/>
                <w:szCs w:val="18"/>
                <w:color w:val="auto"/>
              </w:rPr>
            </w:pPr>
          </w:p>
        </w:tc>
        <w:tc>
          <w:tcPr>
            <w:tcW w:w="7100" w:type="dxa"/>
            <w:vAlign w:val="bottom"/>
            <w:shd w:val="clear" w:color="auto" w:fill="43C0B9"/>
          </w:tcPr>
          <w:p>
            <w:pPr>
              <w:ind w:left="46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84.9</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77.9</w:t>
            </w: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4"/>
                <w:szCs w:val="14"/>
                <w:color w:val="auto"/>
              </w:rPr>
              <w:t>Long-term debt, net of current portion</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164.4</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166.7</w:t>
            </w:r>
          </w:p>
        </w:tc>
      </w:tr>
      <w:tr>
        <w:trPr>
          <w:trHeight w:val="222"/>
        </w:trPr>
        <w:tc>
          <w:tcPr>
            <w:tcW w:w="79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Capital leases, net of current portion</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3.0</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3.3</w:t>
            </w: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4"/>
                <w:szCs w:val="14"/>
                <w:color w:val="auto"/>
              </w:rPr>
              <w:t>Income taxes payable</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w:t>
            </w:r>
          </w:p>
        </w:tc>
      </w:tr>
      <w:tr>
        <w:trPr>
          <w:trHeight w:val="222"/>
        </w:trPr>
        <w:tc>
          <w:tcPr>
            <w:tcW w:w="79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35.3</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27.8</w:t>
            </w:r>
          </w:p>
        </w:tc>
      </w:tr>
      <w:tr>
        <w:trPr>
          <w:trHeight w:val="210"/>
        </w:trPr>
        <w:tc>
          <w:tcPr>
            <w:tcW w:w="7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Other long-term liabilities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r>
      <w:tr>
        <w:trPr>
          <w:trHeight w:val="215"/>
        </w:trPr>
        <w:tc>
          <w:tcPr>
            <w:tcW w:w="79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Total liabilities</w:t>
            </w:r>
          </w:p>
        </w:tc>
        <w:tc>
          <w:tcPr>
            <w:tcW w:w="30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314.9</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303.8</w:t>
            </w: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4"/>
                <w:szCs w:val="14"/>
                <w:color w:val="auto"/>
              </w:rPr>
              <w:t>Commitments and contingencies (Note 5)</w:t>
            </w: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796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Shareholders' Equity</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spacing w:after="0"/>
              <w:rPr>
                <w:sz w:val="19"/>
                <w:szCs w:val="19"/>
                <w:color w:val="auto"/>
              </w:rPr>
            </w:pP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spacing w:after="0"/>
              <w:rPr>
                <w:sz w:val="19"/>
                <w:szCs w:val="19"/>
                <w:color w:val="auto"/>
              </w:rPr>
            </w:pPr>
          </w:p>
        </w:tc>
      </w:tr>
      <w:tr>
        <w:trPr>
          <w:trHeight w:val="194"/>
        </w:trPr>
        <w:tc>
          <w:tcPr>
            <w:tcW w:w="7960" w:type="dxa"/>
            <w:vAlign w:val="bottom"/>
            <w:gridSpan w:val="2"/>
          </w:tcPr>
          <w:p>
            <w:pPr>
              <w:ind w:left="460"/>
              <w:spacing w:after="0"/>
              <w:rPr>
                <w:sz w:val="20"/>
                <w:szCs w:val="20"/>
                <w:color w:val="auto"/>
              </w:rPr>
            </w:pPr>
            <w:r>
              <w:rPr>
                <w:rFonts w:ascii="Arial" w:cs="Arial" w:eastAsia="Arial" w:hAnsi="Arial"/>
                <w:sz w:val="14"/>
                <w:szCs w:val="14"/>
                <w:color w:val="auto"/>
              </w:rPr>
              <w:t>Common stock ($0.001 par value, 1,000,000,000 shares authorized; 70,550,922 shares issued and outstanding as of</w:t>
            </w:r>
          </w:p>
        </w:tc>
        <w:tc>
          <w:tcPr>
            <w:tcW w:w="30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178"/>
        </w:trPr>
        <w:tc>
          <w:tcPr>
            <w:tcW w:w="7960" w:type="dxa"/>
            <w:vAlign w:val="bottom"/>
            <w:gridSpan w:val="2"/>
          </w:tcPr>
          <w:p>
            <w:pPr>
              <w:ind w:left="460"/>
              <w:spacing w:after="0"/>
              <w:rPr>
                <w:sz w:val="20"/>
                <w:szCs w:val="20"/>
                <w:color w:val="auto"/>
              </w:rPr>
            </w:pPr>
            <w:r>
              <w:rPr>
                <w:rFonts w:ascii="Arial" w:cs="Arial" w:eastAsia="Arial" w:hAnsi="Arial"/>
                <w:sz w:val="14"/>
                <w:szCs w:val="14"/>
                <w:color w:val="auto"/>
              </w:rPr>
              <w:t>January 31, 2021 and October 31, 2020)</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22"/>
        </w:trPr>
        <w:tc>
          <w:tcPr>
            <w:tcW w:w="796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Additional paid-in capital</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223.6</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222.8</w:t>
            </w:r>
          </w:p>
        </w:tc>
      </w:tr>
      <w:tr>
        <w:trPr>
          <w:trHeight w:val="210"/>
        </w:trPr>
        <w:tc>
          <w:tcPr>
            <w:tcW w:w="7960" w:type="dxa"/>
            <w:vAlign w:val="bottom"/>
            <w:gridSpan w:val="2"/>
          </w:tcPr>
          <w:p>
            <w:pPr>
              <w:ind w:left="460"/>
              <w:spacing w:after="0"/>
              <w:rPr>
                <w:sz w:val="20"/>
                <w:szCs w:val="20"/>
                <w:color w:val="auto"/>
              </w:rPr>
            </w:pPr>
            <w:r>
              <w:rPr>
                <w:rFonts w:ascii="Arial" w:cs="Arial" w:eastAsia="Arial" w:hAnsi="Arial"/>
                <w:sz w:val="14"/>
                <w:szCs w:val="14"/>
                <w:color w:val="auto"/>
              </w:rPr>
              <w:t>Notes receivable from shareholders</w:t>
            </w:r>
          </w:p>
        </w:tc>
        <w:tc>
          <w:tcPr>
            <w:tcW w:w="3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22"/>
        </w:trPr>
        <w:tc>
          <w:tcPr>
            <w:tcW w:w="7960" w:type="dxa"/>
            <w:vAlign w:val="bottom"/>
            <w:gridSpan w:val="2"/>
            <w:shd w:val="clear" w:color="auto" w:fill="43C0B9"/>
          </w:tcPr>
          <w:p>
            <w:pPr>
              <w:ind w:left="460"/>
              <w:spacing w:after="0"/>
              <w:rPr>
                <w:sz w:val="20"/>
                <w:szCs w:val="20"/>
                <w:color w:val="auto"/>
              </w:rPr>
            </w:pPr>
            <w:r>
              <w:rPr>
                <w:rFonts w:ascii="Arial" w:cs="Arial" w:eastAsia="Arial" w:hAnsi="Arial"/>
                <w:sz w:val="14"/>
                <w:szCs w:val="14"/>
                <w:color w:val="auto"/>
              </w:rPr>
              <w:t>Accumulated other comprehensive income (loss)</w:t>
            </w:r>
          </w:p>
        </w:tc>
        <w:tc>
          <w:tcPr>
            <w:tcW w:w="30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43C0B9"/>
          </w:tcPr>
          <w:p>
            <w:pPr>
              <w:spacing w:after="0"/>
              <w:rPr>
                <w:sz w:val="19"/>
                <w:szCs w:val="19"/>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(0.5)</w:t>
            </w:r>
          </w:p>
        </w:tc>
      </w:tr>
      <w:tr>
        <w:trPr>
          <w:trHeight w:val="210"/>
        </w:trPr>
        <w:tc>
          <w:tcPr>
            <w:tcW w:w="79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color w:val="auto"/>
              </w:rPr>
              <w:t>Retained earnings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253.4</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251.2</w:t>
            </w:r>
          </w:p>
        </w:tc>
      </w:tr>
      <w:tr>
        <w:trPr>
          <w:trHeight w:val="209"/>
        </w:trPr>
        <w:tc>
          <w:tcPr>
            <w:tcW w:w="860" w:type="dxa"/>
            <w:vAlign w:val="bottom"/>
            <w:tcBorders>
              <w:bottom w:val="single" w:sz="8" w:color="auto"/>
            </w:tcBorders>
            <w:shd w:val="clear" w:color="auto" w:fill="43C0B9"/>
          </w:tcPr>
          <w:p>
            <w:pPr>
              <w:spacing w:after="0"/>
              <w:rPr>
                <w:sz w:val="18"/>
                <w:szCs w:val="18"/>
                <w:color w:val="auto"/>
              </w:rPr>
            </w:pPr>
          </w:p>
        </w:tc>
        <w:tc>
          <w:tcPr>
            <w:tcW w:w="7100" w:type="dxa"/>
            <w:vAlign w:val="bottom"/>
            <w:tcBorders>
              <w:bottom w:val="single" w:sz="8" w:color="auto"/>
            </w:tcBorders>
            <w:shd w:val="clear" w:color="auto" w:fill="43C0B9"/>
          </w:tcPr>
          <w:p>
            <w:pPr>
              <w:ind w:left="460"/>
              <w:spacing w:after="0"/>
              <w:rPr>
                <w:sz w:val="20"/>
                <w:szCs w:val="20"/>
                <w:color w:val="auto"/>
              </w:rPr>
            </w:pPr>
            <w:r>
              <w:rPr>
                <w:rFonts w:ascii="Arial" w:cs="Arial" w:eastAsia="Arial" w:hAnsi="Arial"/>
                <w:sz w:val="14"/>
                <w:szCs w:val="14"/>
                <w:color w:val="auto"/>
              </w:rPr>
              <w:t>Total shareholders' equity</w:t>
            </w:r>
          </w:p>
        </w:tc>
        <w:tc>
          <w:tcPr>
            <w:tcW w:w="300" w:type="dxa"/>
            <w:vAlign w:val="bottom"/>
            <w:tcBorders>
              <w:bottom w:val="single" w:sz="8" w:color="auto"/>
            </w:tcBorders>
            <w:shd w:val="clear" w:color="auto" w:fill="43C0B9"/>
          </w:tcPr>
          <w:p>
            <w:pPr>
              <w:spacing w:after="0"/>
              <w:rPr>
                <w:sz w:val="18"/>
                <w:szCs w:val="18"/>
                <w:color w:val="auto"/>
              </w:rPr>
            </w:pPr>
          </w:p>
        </w:tc>
        <w:tc>
          <w:tcPr>
            <w:tcW w:w="13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477.1</w:t>
            </w:r>
          </w:p>
        </w:tc>
        <w:tc>
          <w:tcPr>
            <w:tcW w:w="300" w:type="dxa"/>
            <w:vAlign w:val="bottom"/>
            <w:tcBorders>
              <w:bottom w:val="single" w:sz="8" w:color="auto"/>
            </w:tcBorders>
            <w:shd w:val="clear" w:color="auto" w:fill="43C0B9"/>
          </w:tcPr>
          <w:p>
            <w:pPr>
              <w:spacing w:after="0"/>
              <w:rPr>
                <w:sz w:val="18"/>
                <w:szCs w:val="18"/>
                <w:color w:val="auto"/>
              </w:rPr>
            </w:pP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473.5</w:t>
            </w:r>
          </w:p>
        </w:tc>
      </w:tr>
      <w:tr>
        <w:trPr>
          <w:trHeight w:val="210"/>
        </w:trPr>
        <w:tc>
          <w:tcPr>
            <w:tcW w:w="7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792.0</w:t>
            </w:r>
          </w:p>
        </w:tc>
        <w:tc>
          <w:tcPr>
            <w:tcW w:w="3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777.3</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ectPr>
          <w:pgSz w:w="11900" w:h="16838" w:orient="portrait"/>
          <w:cols w:equalWidth="0" w:num="1">
            <w:col w:w="11240"/>
          </w:cols>
          <w:pgMar w:left="320" w:top="86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865"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CONDENSED CONSOLIDATED STATEMENTS OF COMPREHENSIVE INCOME (UNAUDITED)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5"/>
                <w:szCs w:val="15"/>
                <w:color w:val="auto"/>
              </w:rPr>
            </w:pPr>
          </w:p>
        </w:tc>
      </w:tr>
      <w:tr>
        <w:trPr>
          <w:trHeight w:val="206"/>
        </w:trPr>
        <w:tc>
          <w:tcPr>
            <w:tcW w:w="7920" w:type="dxa"/>
            <w:vAlign w:val="bottom"/>
            <w:shd w:val="clear" w:color="auto" w:fill="232F84"/>
          </w:tcPr>
          <w:p>
            <w:pPr>
              <w:spacing w:after="0"/>
              <w:rPr>
                <w:sz w:val="17"/>
                <w:szCs w:val="17"/>
                <w:color w:val="auto"/>
              </w:rPr>
            </w:pPr>
          </w:p>
        </w:tc>
        <w:tc>
          <w:tcPr>
            <w:tcW w:w="58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232F84"/>
          </w:tcPr>
          <w:p>
            <w:pPr>
              <w:spacing w:after="0"/>
              <w:rPr>
                <w:sz w:val="17"/>
                <w:szCs w:val="17"/>
                <w:color w:val="auto"/>
              </w:rPr>
            </w:pPr>
          </w:p>
        </w:tc>
      </w:tr>
      <w:tr>
        <w:trPr>
          <w:trHeight w:val="226"/>
        </w:trPr>
        <w:tc>
          <w:tcPr>
            <w:tcW w:w="792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 except for per share amounts)</w:t>
            </w:r>
          </w:p>
        </w:tc>
        <w:tc>
          <w:tcPr>
            <w:tcW w:w="580" w:type="dxa"/>
            <w:vAlign w:val="bottom"/>
            <w:shd w:val="clear" w:color="auto" w:fill="232F84"/>
          </w:tcPr>
          <w:p>
            <w:pPr>
              <w:spacing w:after="0"/>
              <w:rPr>
                <w:sz w:val="19"/>
                <w:szCs w:val="19"/>
                <w:color w:val="auto"/>
              </w:rPr>
            </w:pPr>
          </w:p>
        </w:tc>
        <w:tc>
          <w:tcPr>
            <w:tcW w:w="112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6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sales</w:t>
            </w:r>
          </w:p>
        </w:tc>
        <w:tc>
          <w:tcPr>
            <w:tcW w:w="58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173.2</w:t>
            </w:r>
          </w:p>
        </w:tc>
        <w:tc>
          <w:tcPr>
            <w:tcW w:w="94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197.5</w:t>
            </w:r>
          </w:p>
        </w:tc>
      </w:tr>
      <w:tr>
        <w:trPr>
          <w:trHeight w:val="2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150.5</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178.1</w:t>
            </w:r>
          </w:p>
        </w:tc>
      </w:tr>
      <w:tr>
        <w:trPr>
          <w:trHeight w:val="216"/>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Gross profit</w:t>
            </w:r>
          </w:p>
        </w:tc>
        <w:tc>
          <w:tcPr>
            <w:tcW w:w="580" w:type="dxa"/>
            <w:vAlign w:val="bottom"/>
            <w:shd w:val="clear" w:color="auto" w:fill="43C0B9"/>
          </w:tcPr>
          <w:p>
            <w:pPr>
              <w:spacing w:after="0"/>
              <w:rPr>
                <w:sz w:val="18"/>
                <w:szCs w:val="18"/>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22.7</w:t>
            </w: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19.4</w:t>
            </w:r>
          </w:p>
        </w:tc>
      </w:tr>
      <w:tr>
        <w:trPr>
          <w:trHeight w:val="2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w:t>
            </w:r>
          </w:p>
        </w:tc>
      </w:tr>
      <w:tr>
        <w:trPr>
          <w:trHeight w:val="216"/>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Operating income</w:t>
            </w:r>
          </w:p>
        </w:tc>
        <w:tc>
          <w:tcPr>
            <w:tcW w:w="580" w:type="dxa"/>
            <w:vAlign w:val="bottom"/>
            <w:shd w:val="clear" w:color="auto" w:fill="43C0B9"/>
          </w:tcPr>
          <w:p>
            <w:pPr>
              <w:spacing w:after="0"/>
              <w:rPr>
                <w:sz w:val="18"/>
                <w:szCs w:val="18"/>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8.1</w:t>
            </w: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4.6</w:t>
            </w:r>
          </w:p>
        </w:tc>
      </w:tr>
      <w:tr>
        <w:trPr>
          <w:trHeight w:val="210"/>
        </w:trPr>
        <w:tc>
          <w:tcPr>
            <w:tcW w:w="79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5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(0.9)</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2"/>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income</w:t>
            </w:r>
          </w:p>
        </w:tc>
        <w:tc>
          <w:tcPr>
            <w:tcW w:w="580" w:type="dxa"/>
            <w:vAlign w:val="bottom"/>
            <w:shd w:val="clear" w:color="auto" w:fill="43C0B9"/>
          </w:tcPr>
          <w:p>
            <w:pPr>
              <w:spacing w:after="0"/>
              <w:rPr>
                <w:sz w:val="19"/>
                <w:szCs w:val="19"/>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2.3</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expense</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15"/>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Income before income taxes</w:t>
            </w:r>
          </w:p>
        </w:tc>
        <w:tc>
          <w:tcPr>
            <w:tcW w:w="580" w:type="dxa"/>
            <w:vAlign w:val="bottom"/>
            <w:shd w:val="clear" w:color="auto" w:fill="43C0B9"/>
          </w:tcPr>
          <w:p>
            <w:pPr>
              <w:spacing w:after="0"/>
              <w:rPr>
                <w:sz w:val="18"/>
                <w:szCs w:val="18"/>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9.5</w:t>
            </w: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w:t>
            </w:r>
          </w:p>
        </w:tc>
      </w:tr>
      <w:tr>
        <w:trPr>
          <w:trHeight w:val="2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income taxes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09"/>
        </w:trPr>
        <w:tc>
          <w:tcPr>
            <w:tcW w:w="79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Borders>
              <w:bottom w:val="single" w:sz="8" w:color="auto"/>
            </w:tcBorders>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2.2</w:t>
            </w:r>
          </w:p>
        </w:tc>
        <w:tc>
          <w:tcPr>
            <w:tcW w:w="94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1.4</w:t>
            </w:r>
          </w:p>
        </w:tc>
      </w:tr>
      <w:tr>
        <w:trPr>
          <w:trHeight w:val="202"/>
        </w:trPr>
        <w:tc>
          <w:tcPr>
            <w:tcW w:w="7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income per share:</w:t>
            </w:r>
          </w:p>
        </w:tc>
        <w:tc>
          <w:tcPr>
            <w:tcW w:w="580" w:type="dxa"/>
            <w:vAlign w:val="bottom"/>
            <w:shd w:val="clear" w:color="auto" w:fill="43C0B9"/>
          </w:tcPr>
          <w:p>
            <w:pPr>
              <w:spacing w:after="0"/>
              <w:rPr>
                <w:sz w:val="18"/>
                <w:szCs w:val="18"/>
                <w:color w:val="auto"/>
              </w:rPr>
            </w:pPr>
          </w:p>
        </w:tc>
        <w:tc>
          <w:tcPr>
            <w:tcW w:w="112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spacing w:after="0"/>
              <w:rPr>
                <w:sz w:val="18"/>
                <w:szCs w:val="18"/>
                <w:color w:val="auto"/>
              </w:rPr>
            </w:pPr>
          </w:p>
        </w:tc>
      </w:tr>
      <w:tr>
        <w:trPr>
          <w:trHeight w:val="210"/>
        </w:trPr>
        <w:tc>
          <w:tcPr>
            <w:tcW w:w="7920" w:type="dxa"/>
            <w:vAlign w:val="bottom"/>
          </w:tcPr>
          <w:p>
            <w:pPr>
              <w:ind w:left="360"/>
              <w:spacing w:after="0"/>
              <w:rPr>
                <w:sz w:val="20"/>
                <w:szCs w:val="20"/>
                <w:color w:val="auto"/>
              </w:rPr>
            </w:pPr>
            <w:r>
              <w:rPr>
                <w:rFonts w:ascii="Arial" w:cs="Arial" w:eastAsia="Arial" w:hAnsi="Arial"/>
                <w:sz w:val="14"/>
                <w:szCs w:val="14"/>
                <w:color w:val="auto"/>
              </w:rPr>
              <w:t>Basic</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0.03</w:t>
            </w:r>
          </w:p>
        </w:tc>
        <w:tc>
          <w:tcPr>
            <w:tcW w:w="94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0.02</w:t>
            </w:r>
          </w:p>
        </w:tc>
      </w:tr>
      <w:tr>
        <w:trPr>
          <w:trHeight w:val="222"/>
        </w:trPr>
        <w:tc>
          <w:tcPr>
            <w:tcW w:w="7920" w:type="dxa"/>
            <w:vAlign w:val="bottom"/>
            <w:shd w:val="clear" w:color="auto" w:fill="43C0B9"/>
          </w:tcPr>
          <w:p>
            <w:pPr>
              <w:ind w:left="360"/>
              <w:spacing w:after="0"/>
              <w:rPr>
                <w:sz w:val="20"/>
                <w:szCs w:val="20"/>
                <w:color w:val="auto"/>
              </w:rPr>
            </w:pPr>
            <w:r>
              <w:rPr>
                <w:rFonts w:ascii="Arial" w:cs="Arial" w:eastAsia="Arial" w:hAnsi="Arial"/>
                <w:sz w:val="14"/>
                <w:szCs w:val="14"/>
                <w:color w:val="auto"/>
              </w:rPr>
              <w:t>Diluted</w:t>
            </w:r>
          </w:p>
        </w:tc>
        <w:tc>
          <w:tcPr>
            <w:tcW w:w="58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0.03</w:t>
            </w:r>
          </w:p>
        </w:tc>
        <w:tc>
          <w:tcPr>
            <w:tcW w:w="94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0.02</w:t>
            </w:r>
          </w:p>
        </w:tc>
      </w:tr>
      <w:tr>
        <w:trPr>
          <w:trHeight w:val="216"/>
        </w:trPr>
        <w:tc>
          <w:tcPr>
            <w:tcW w:w="7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Other comprehensive income, net of tax</w:t>
            </w:r>
          </w:p>
        </w:tc>
        <w:tc>
          <w:tcPr>
            <w:tcW w:w="580" w:type="dxa"/>
            <w:vAlign w:val="bottom"/>
            <w:shd w:val="clear" w:color="auto" w:fill="43C0B9"/>
          </w:tcPr>
          <w:p>
            <w:pPr>
              <w:spacing w:after="0"/>
              <w:rPr>
                <w:sz w:val="18"/>
                <w:szCs w:val="18"/>
                <w:color w:val="auto"/>
              </w:rPr>
            </w:pPr>
          </w:p>
        </w:tc>
        <w:tc>
          <w:tcPr>
            <w:tcW w:w="112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spacing w:after="0"/>
              <w:rPr>
                <w:sz w:val="18"/>
                <w:szCs w:val="18"/>
                <w:color w:val="auto"/>
              </w:rPr>
            </w:pPr>
          </w:p>
        </w:tc>
      </w:tr>
      <w:tr>
        <w:trPr>
          <w:trHeight w:val="210"/>
        </w:trPr>
        <w:tc>
          <w:tcPr>
            <w:tcW w:w="79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Foreign currency translation adjustments</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79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Comprehensive income</w:t>
            </w:r>
          </w:p>
        </w:tc>
        <w:tc>
          <w:tcPr>
            <w:tcW w:w="580" w:type="dxa"/>
            <w:vAlign w:val="bottom"/>
            <w:tcBorders>
              <w:bottom w:val="single" w:sz="8" w:color="auto"/>
            </w:tcBorders>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2.7</w:t>
            </w:r>
          </w:p>
        </w:tc>
        <w:tc>
          <w:tcPr>
            <w:tcW w:w="94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1.4</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90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CONDENSED CONSOLIDATED STATEMENTS OF SHAREHOLDERS’ EQUITY (UNAUDITED)</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397"/>
        </w:trPr>
        <w:tc>
          <w:tcPr>
            <w:tcW w:w="2940" w:type="dxa"/>
            <w:vAlign w:val="bottom"/>
            <w:vMerge w:val="restart"/>
            <w:shd w:val="clear" w:color="auto" w:fill="232F84"/>
          </w:tcPr>
          <w:p>
            <w:pPr>
              <w:ind w:left="20"/>
              <w:spacing w:after="0"/>
              <w:rPr>
                <w:sz w:val="20"/>
                <w:szCs w:val="20"/>
                <w:color w:val="auto"/>
              </w:rPr>
            </w:pPr>
            <w:r>
              <w:rPr>
                <w:rFonts w:ascii="Arial" w:cs="Arial" w:eastAsia="Arial" w:hAnsi="Arial"/>
                <w:sz w:val="13"/>
                <w:szCs w:val="13"/>
                <w:b w:val="1"/>
                <w:bCs w:val="1"/>
                <w:color w:val="FFFFFF"/>
              </w:rPr>
              <w:t>(In millions, except for</w:t>
            </w:r>
          </w:p>
        </w:tc>
        <w:tc>
          <w:tcPr>
            <w:tcW w:w="1640" w:type="dxa"/>
            <w:vAlign w:val="bottom"/>
            <w:gridSpan w:val="2"/>
            <w:vMerge w:val="restart"/>
            <w:shd w:val="clear" w:color="auto" w:fill="232F84"/>
          </w:tcPr>
          <w:p>
            <w:pPr>
              <w:jc w:val="right"/>
              <w:ind w:right="17"/>
              <w:spacing w:after="0"/>
              <w:rPr>
                <w:sz w:val="20"/>
                <w:szCs w:val="20"/>
                <w:color w:val="auto"/>
              </w:rPr>
            </w:pPr>
            <w:r>
              <w:rPr>
                <w:rFonts w:ascii="Arial" w:cs="Arial" w:eastAsia="Arial" w:hAnsi="Arial"/>
                <w:sz w:val="13"/>
                <w:szCs w:val="13"/>
                <w:b w:val="1"/>
                <w:bCs w:val="1"/>
                <w:color w:val="FFFFFF"/>
              </w:rPr>
              <w:t>Common stock</w:t>
            </w:r>
          </w:p>
        </w:tc>
        <w:tc>
          <w:tcPr>
            <w:tcW w:w="580" w:type="dxa"/>
            <w:vAlign w:val="bottom"/>
            <w:shd w:val="clear" w:color="auto" w:fill="232F84"/>
          </w:tcPr>
          <w:p>
            <w:pPr>
              <w:spacing w:after="0"/>
              <w:rPr>
                <w:sz w:val="24"/>
                <w:szCs w:val="24"/>
                <w:color w:val="auto"/>
              </w:rPr>
            </w:pPr>
          </w:p>
        </w:tc>
        <w:tc>
          <w:tcPr>
            <w:tcW w:w="80" w:type="dxa"/>
            <w:vAlign w:val="bottom"/>
            <w:shd w:val="clear" w:color="auto" w:fill="232F84"/>
          </w:tcPr>
          <w:p>
            <w:pPr>
              <w:spacing w:after="0"/>
              <w:rPr>
                <w:sz w:val="24"/>
                <w:szCs w:val="24"/>
                <w:color w:val="auto"/>
              </w:rPr>
            </w:pPr>
          </w:p>
        </w:tc>
        <w:tc>
          <w:tcPr>
            <w:tcW w:w="100" w:type="dxa"/>
            <w:vAlign w:val="bottom"/>
            <w:shd w:val="clear" w:color="auto" w:fill="232F84"/>
          </w:tcPr>
          <w:p>
            <w:pPr>
              <w:spacing w:after="0"/>
              <w:rPr>
                <w:sz w:val="24"/>
                <w:szCs w:val="24"/>
                <w:color w:val="auto"/>
              </w:rPr>
            </w:pPr>
          </w:p>
        </w:tc>
        <w:tc>
          <w:tcPr>
            <w:tcW w:w="1100" w:type="dxa"/>
            <w:vAlign w:val="bottom"/>
            <w:shd w:val="clear" w:color="auto" w:fill="232F84"/>
          </w:tcPr>
          <w:p>
            <w:pPr>
              <w:spacing w:after="0"/>
              <w:rPr>
                <w:sz w:val="24"/>
                <w:szCs w:val="24"/>
                <w:color w:val="auto"/>
              </w:rPr>
            </w:pPr>
          </w:p>
        </w:tc>
        <w:tc>
          <w:tcPr>
            <w:tcW w:w="120" w:type="dxa"/>
            <w:vAlign w:val="bottom"/>
            <w:shd w:val="clear" w:color="auto" w:fill="232F84"/>
          </w:tcPr>
          <w:p>
            <w:pPr>
              <w:spacing w:after="0"/>
              <w:rPr>
                <w:sz w:val="24"/>
                <w:szCs w:val="24"/>
                <w:color w:val="auto"/>
              </w:rPr>
            </w:pPr>
          </w:p>
        </w:tc>
        <w:tc>
          <w:tcPr>
            <w:tcW w:w="1080" w:type="dxa"/>
            <w:vAlign w:val="bottom"/>
            <w:shd w:val="clear" w:color="auto" w:fill="232F84"/>
          </w:tcPr>
          <w:p>
            <w:pPr>
              <w:spacing w:after="0"/>
              <w:rPr>
                <w:sz w:val="24"/>
                <w:szCs w:val="24"/>
                <w:color w:val="auto"/>
              </w:rPr>
            </w:pPr>
          </w:p>
        </w:tc>
        <w:tc>
          <w:tcPr>
            <w:tcW w:w="1200" w:type="dxa"/>
            <w:vAlign w:val="bottom"/>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w w:val="98"/>
              </w:rPr>
              <w:t>Accumulated other</w:t>
            </w:r>
          </w:p>
        </w:tc>
        <w:tc>
          <w:tcPr>
            <w:tcW w:w="80" w:type="dxa"/>
            <w:vAlign w:val="bottom"/>
            <w:shd w:val="clear" w:color="auto" w:fill="232F84"/>
          </w:tcPr>
          <w:p>
            <w:pPr>
              <w:spacing w:after="0"/>
              <w:rPr>
                <w:sz w:val="24"/>
                <w:szCs w:val="24"/>
                <w:color w:val="auto"/>
              </w:rPr>
            </w:pPr>
          </w:p>
        </w:tc>
        <w:tc>
          <w:tcPr>
            <w:tcW w:w="1120" w:type="dxa"/>
            <w:vAlign w:val="bottom"/>
            <w:shd w:val="clear" w:color="auto" w:fill="232F84"/>
          </w:tcPr>
          <w:p>
            <w:pPr>
              <w:spacing w:after="0"/>
              <w:rPr>
                <w:sz w:val="24"/>
                <w:szCs w:val="24"/>
                <w:color w:val="auto"/>
              </w:rPr>
            </w:pPr>
          </w:p>
        </w:tc>
        <w:tc>
          <w:tcPr>
            <w:tcW w:w="440" w:type="dxa"/>
            <w:vAlign w:val="bottom"/>
            <w:shd w:val="clear" w:color="auto" w:fill="232F84"/>
          </w:tcPr>
          <w:p>
            <w:pPr>
              <w:spacing w:after="0"/>
              <w:rPr>
                <w:sz w:val="24"/>
                <w:szCs w:val="24"/>
                <w:color w:val="auto"/>
              </w:rPr>
            </w:pPr>
          </w:p>
        </w:tc>
        <w:tc>
          <w:tcPr>
            <w:tcW w:w="760" w:type="dxa"/>
            <w:vAlign w:val="bottom"/>
            <w:shd w:val="clear" w:color="auto" w:fill="232F84"/>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940" w:type="dxa"/>
            <w:vAlign w:val="bottom"/>
            <w:tcBorders>
              <w:bottom w:val="single" w:sz="8" w:color="232F84"/>
            </w:tcBorders>
            <w:vMerge w:val="continue"/>
            <w:shd w:val="clear" w:color="auto" w:fill="232F84"/>
          </w:tcPr>
          <w:p>
            <w:pPr>
              <w:spacing w:after="0"/>
              <w:rPr>
                <w:sz w:val="10"/>
                <w:szCs w:val="10"/>
                <w:color w:val="auto"/>
              </w:rPr>
            </w:pPr>
          </w:p>
        </w:tc>
        <w:tc>
          <w:tcPr>
            <w:tcW w:w="1640" w:type="dxa"/>
            <w:vAlign w:val="bottom"/>
            <w:tcBorders>
              <w:bottom w:val="single" w:sz="8" w:color="43C0B9"/>
            </w:tcBorders>
            <w:gridSpan w:val="2"/>
            <w:vMerge w:val="continue"/>
            <w:shd w:val="clear" w:color="auto" w:fill="232F84"/>
          </w:tcPr>
          <w:p>
            <w:pPr>
              <w:spacing w:after="0"/>
              <w:rPr>
                <w:sz w:val="10"/>
                <w:szCs w:val="10"/>
                <w:color w:val="auto"/>
              </w:rPr>
            </w:pPr>
          </w:p>
        </w:tc>
        <w:tc>
          <w:tcPr>
            <w:tcW w:w="580" w:type="dxa"/>
            <w:vAlign w:val="bottom"/>
            <w:tcBorders>
              <w:bottom w:val="single" w:sz="8" w:color="43C0B9"/>
            </w:tcBorders>
            <w:shd w:val="clear" w:color="auto" w:fill="232F84"/>
          </w:tcPr>
          <w:p>
            <w:pPr>
              <w:spacing w:after="0"/>
              <w:rPr>
                <w:sz w:val="10"/>
                <w:szCs w:val="10"/>
                <w:color w:val="auto"/>
              </w:rPr>
            </w:pPr>
          </w:p>
        </w:tc>
        <w:tc>
          <w:tcPr>
            <w:tcW w:w="80" w:type="dxa"/>
            <w:vAlign w:val="bottom"/>
            <w:tcBorders>
              <w:bottom w:val="single" w:sz="8" w:color="232F84"/>
            </w:tcBorders>
            <w:shd w:val="clear" w:color="auto" w:fill="232F84"/>
          </w:tcPr>
          <w:p>
            <w:pPr>
              <w:spacing w:after="0"/>
              <w:rPr>
                <w:sz w:val="10"/>
                <w:szCs w:val="10"/>
                <w:color w:val="auto"/>
              </w:rPr>
            </w:pPr>
          </w:p>
        </w:tc>
        <w:tc>
          <w:tcPr>
            <w:tcW w:w="100" w:type="dxa"/>
            <w:vAlign w:val="bottom"/>
            <w:tcBorders>
              <w:bottom w:val="single" w:sz="8" w:color="232F84"/>
            </w:tcBorders>
            <w:shd w:val="clear" w:color="auto" w:fill="232F84"/>
          </w:tcPr>
          <w:p>
            <w:pPr>
              <w:spacing w:after="0"/>
              <w:rPr>
                <w:sz w:val="10"/>
                <w:szCs w:val="10"/>
                <w:color w:val="auto"/>
              </w:rPr>
            </w:pPr>
          </w:p>
        </w:tc>
        <w:tc>
          <w:tcPr>
            <w:tcW w:w="1100" w:type="dxa"/>
            <w:vAlign w:val="bottom"/>
            <w:tcBorders>
              <w:bottom w:val="single" w:sz="8" w:color="232F84"/>
            </w:tcBorders>
            <w:shd w:val="clear" w:color="auto" w:fill="232F84"/>
          </w:tcPr>
          <w:p>
            <w:pPr>
              <w:jc w:val="right"/>
              <w:spacing w:after="0" w:line="110" w:lineRule="exact"/>
              <w:rPr>
                <w:sz w:val="20"/>
                <w:szCs w:val="20"/>
                <w:color w:val="auto"/>
              </w:rPr>
            </w:pPr>
            <w:r>
              <w:rPr>
                <w:rFonts w:ascii="Arial" w:cs="Arial" w:eastAsia="Arial" w:hAnsi="Arial"/>
                <w:sz w:val="12"/>
                <w:szCs w:val="12"/>
                <w:b w:val="1"/>
                <w:bCs w:val="1"/>
                <w:color w:val="FFFFFF"/>
              </w:rPr>
              <w:t>Additional paid-in</w:t>
            </w:r>
          </w:p>
        </w:tc>
        <w:tc>
          <w:tcPr>
            <w:tcW w:w="120" w:type="dxa"/>
            <w:vAlign w:val="bottom"/>
            <w:tcBorders>
              <w:bottom w:val="single" w:sz="8" w:color="232F84"/>
            </w:tcBorders>
            <w:shd w:val="clear" w:color="auto" w:fill="232F84"/>
          </w:tcPr>
          <w:p>
            <w:pPr>
              <w:spacing w:after="0"/>
              <w:rPr>
                <w:sz w:val="10"/>
                <w:szCs w:val="10"/>
                <w:color w:val="auto"/>
              </w:rPr>
            </w:pPr>
          </w:p>
        </w:tc>
        <w:tc>
          <w:tcPr>
            <w:tcW w:w="1080" w:type="dxa"/>
            <w:vAlign w:val="bottom"/>
            <w:tcBorders>
              <w:bottom w:val="single" w:sz="8" w:color="232F84"/>
            </w:tcBorders>
            <w:shd w:val="clear" w:color="auto" w:fill="232F84"/>
          </w:tcPr>
          <w:p>
            <w:pPr>
              <w:jc w:val="right"/>
              <w:spacing w:after="0" w:line="110" w:lineRule="exact"/>
              <w:rPr>
                <w:sz w:val="20"/>
                <w:szCs w:val="20"/>
                <w:color w:val="auto"/>
              </w:rPr>
            </w:pPr>
            <w:r>
              <w:rPr>
                <w:rFonts w:ascii="Arial" w:cs="Arial" w:eastAsia="Arial" w:hAnsi="Arial"/>
                <w:sz w:val="12"/>
                <w:szCs w:val="12"/>
                <w:b w:val="1"/>
                <w:bCs w:val="1"/>
                <w:color w:val="FFFFFF"/>
              </w:rPr>
              <w:t>Notes receivable</w:t>
            </w:r>
          </w:p>
        </w:tc>
        <w:tc>
          <w:tcPr>
            <w:tcW w:w="160" w:type="dxa"/>
            <w:vAlign w:val="bottom"/>
            <w:tcBorders>
              <w:bottom w:val="single" w:sz="8" w:color="232F84"/>
            </w:tcBorders>
            <w:shd w:val="clear" w:color="auto" w:fill="232F84"/>
          </w:tcPr>
          <w:p>
            <w:pPr>
              <w:spacing w:after="0"/>
              <w:rPr>
                <w:sz w:val="10"/>
                <w:szCs w:val="10"/>
                <w:color w:val="auto"/>
              </w:rPr>
            </w:pPr>
          </w:p>
        </w:tc>
        <w:tc>
          <w:tcPr>
            <w:tcW w:w="1040" w:type="dxa"/>
            <w:vAlign w:val="bottom"/>
            <w:tcBorders>
              <w:bottom w:val="single" w:sz="8" w:color="232F84"/>
            </w:tcBorders>
            <w:shd w:val="clear" w:color="auto" w:fill="232F84"/>
          </w:tcPr>
          <w:p>
            <w:pPr>
              <w:jc w:val="right"/>
              <w:spacing w:after="0" w:line="110" w:lineRule="exact"/>
              <w:rPr>
                <w:sz w:val="20"/>
                <w:szCs w:val="20"/>
                <w:color w:val="auto"/>
              </w:rPr>
            </w:pPr>
            <w:r>
              <w:rPr>
                <w:rFonts w:ascii="Arial" w:cs="Arial" w:eastAsia="Arial" w:hAnsi="Arial"/>
                <w:sz w:val="12"/>
                <w:szCs w:val="12"/>
                <w:b w:val="1"/>
                <w:bCs w:val="1"/>
                <w:color w:val="FFFFFF"/>
              </w:rPr>
              <w:t>comprehensive</w:t>
            </w:r>
          </w:p>
        </w:tc>
        <w:tc>
          <w:tcPr>
            <w:tcW w:w="80" w:type="dxa"/>
            <w:vAlign w:val="bottom"/>
            <w:tcBorders>
              <w:bottom w:val="single" w:sz="8" w:color="232F84"/>
            </w:tcBorders>
            <w:shd w:val="clear" w:color="auto" w:fill="232F84"/>
          </w:tcPr>
          <w:p>
            <w:pPr>
              <w:spacing w:after="0"/>
              <w:rPr>
                <w:sz w:val="10"/>
                <w:szCs w:val="10"/>
                <w:color w:val="auto"/>
              </w:rPr>
            </w:pPr>
          </w:p>
        </w:tc>
        <w:tc>
          <w:tcPr>
            <w:tcW w:w="1120" w:type="dxa"/>
            <w:vAlign w:val="bottom"/>
            <w:tcBorders>
              <w:bottom w:val="single" w:sz="8" w:color="232F84"/>
            </w:tcBorders>
            <w:shd w:val="clear" w:color="auto" w:fill="232F84"/>
          </w:tcPr>
          <w:p>
            <w:pPr>
              <w:spacing w:after="0"/>
              <w:rPr>
                <w:sz w:val="10"/>
                <w:szCs w:val="10"/>
                <w:color w:val="auto"/>
              </w:rPr>
            </w:pPr>
          </w:p>
        </w:tc>
        <w:tc>
          <w:tcPr>
            <w:tcW w:w="1200" w:type="dxa"/>
            <w:vAlign w:val="bottom"/>
            <w:tcBorders>
              <w:bottom w:val="single" w:sz="8" w:color="232F84"/>
            </w:tcBorders>
            <w:gridSpan w:val="2"/>
            <w:shd w:val="clear" w:color="auto" w:fill="232F84"/>
          </w:tcPr>
          <w:p>
            <w:pPr>
              <w:jc w:val="right"/>
              <w:spacing w:after="0" w:line="110" w:lineRule="exact"/>
              <w:rPr>
                <w:sz w:val="20"/>
                <w:szCs w:val="20"/>
                <w:color w:val="auto"/>
              </w:rPr>
            </w:pPr>
            <w:r>
              <w:rPr>
                <w:rFonts w:ascii="Arial" w:cs="Arial" w:eastAsia="Arial" w:hAnsi="Arial"/>
                <w:sz w:val="12"/>
                <w:szCs w:val="12"/>
                <w:b w:val="1"/>
                <w:bCs w:val="1"/>
                <w:color w:val="FFFFFF"/>
              </w:rPr>
              <w:t>Total shareholders'</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232F84"/>
            </w:tcBorders>
            <w:shd w:val="clear" w:color="auto" w:fill="232F84"/>
          </w:tcPr>
          <w:p>
            <w:pPr>
              <w:ind w:left="20"/>
              <w:spacing w:after="0"/>
              <w:rPr>
                <w:sz w:val="20"/>
                <w:szCs w:val="20"/>
                <w:color w:val="auto"/>
              </w:rPr>
            </w:pPr>
            <w:r>
              <w:rPr>
                <w:rFonts w:ascii="Arial" w:cs="Arial" w:eastAsia="Arial" w:hAnsi="Arial"/>
                <w:sz w:val="13"/>
                <w:szCs w:val="13"/>
                <w:b w:val="1"/>
                <w:bCs w:val="1"/>
                <w:color w:val="FFFFFF"/>
              </w:rPr>
              <w:t>shares and per share data)</w:t>
            </w:r>
          </w:p>
        </w:tc>
        <w:tc>
          <w:tcPr>
            <w:tcW w:w="110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rPr>
              <w:t>Shares</w:t>
            </w:r>
          </w:p>
        </w:tc>
        <w:tc>
          <w:tcPr>
            <w:tcW w:w="540" w:type="dxa"/>
            <w:vAlign w:val="bottom"/>
            <w:tcBorders>
              <w:bottom w:val="single" w:sz="8" w:color="232F84"/>
            </w:tcBorders>
            <w:shd w:val="clear" w:color="auto" w:fill="232F84"/>
          </w:tcPr>
          <w:p>
            <w:pPr>
              <w:spacing w:after="0"/>
              <w:rPr>
                <w:sz w:val="15"/>
                <w:szCs w:val="15"/>
                <w:color w:val="auto"/>
              </w:rPr>
            </w:pPr>
          </w:p>
        </w:tc>
        <w:tc>
          <w:tcPr>
            <w:tcW w:w="660" w:type="dxa"/>
            <w:vAlign w:val="bottom"/>
            <w:tcBorders>
              <w:bottom w:val="single" w:sz="8" w:color="232F84"/>
            </w:tcBorders>
            <w:gridSpan w:val="2"/>
            <w:shd w:val="clear" w:color="auto" w:fill="232F84"/>
          </w:tcPr>
          <w:p>
            <w:pPr>
              <w:ind w:left="80"/>
              <w:spacing w:after="0"/>
              <w:rPr>
                <w:sz w:val="20"/>
                <w:szCs w:val="20"/>
                <w:color w:val="auto"/>
              </w:rPr>
            </w:pPr>
            <w:r>
              <w:rPr>
                <w:rFonts w:ascii="Arial" w:cs="Arial" w:eastAsia="Arial" w:hAnsi="Arial"/>
                <w:sz w:val="13"/>
                <w:szCs w:val="13"/>
                <w:b w:val="1"/>
                <w:bCs w:val="1"/>
                <w:color w:val="FFFFFF"/>
              </w:rPr>
              <w:t>Amount</w:t>
            </w:r>
          </w:p>
        </w:tc>
        <w:tc>
          <w:tcPr>
            <w:tcW w:w="100" w:type="dxa"/>
            <w:vAlign w:val="bottom"/>
            <w:tcBorders>
              <w:bottom w:val="single" w:sz="8" w:color="232F84"/>
            </w:tcBorders>
            <w:shd w:val="clear" w:color="auto" w:fill="232F84"/>
          </w:tcPr>
          <w:p>
            <w:pPr>
              <w:spacing w:after="0"/>
              <w:rPr>
                <w:sz w:val="15"/>
                <w:szCs w:val="15"/>
                <w:color w:val="auto"/>
              </w:rPr>
            </w:pPr>
          </w:p>
        </w:tc>
        <w:tc>
          <w:tcPr>
            <w:tcW w:w="110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rPr>
              <w:t>capital</w:t>
            </w:r>
          </w:p>
        </w:tc>
        <w:tc>
          <w:tcPr>
            <w:tcW w:w="1200" w:type="dxa"/>
            <w:vAlign w:val="bottom"/>
            <w:tcBorders>
              <w:bottom w:val="single" w:sz="8" w:color="232F84"/>
            </w:tcBorders>
            <w:gridSpan w:val="2"/>
            <w:shd w:val="clear" w:color="auto" w:fill="232F84"/>
          </w:tcPr>
          <w:p>
            <w:pPr>
              <w:jc w:val="right"/>
              <w:spacing w:after="0"/>
              <w:rPr>
                <w:sz w:val="20"/>
                <w:szCs w:val="20"/>
                <w:color w:val="auto"/>
              </w:rPr>
            </w:pPr>
            <w:r>
              <w:rPr>
                <w:rFonts w:ascii="Arial" w:cs="Arial" w:eastAsia="Arial" w:hAnsi="Arial"/>
                <w:sz w:val="13"/>
                <w:szCs w:val="13"/>
                <w:b w:val="1"/>
                <w:bCs w:val="1"/>
                <w:color w:val="FFFFFF"/>
              </w:rPr>
              <w:t>from shareholders</w:t>
            </w:r>
          </w:p>
        </w:tc>
        <w:tc>
          <w:tcPr>
            <w:tcW w:w="160" w:type="dxa"/>
            <w:vAlign w:val="bottom"/>
            <w:tcBorders>
              <w:bottom w:val="single" w:sz="8" w:color="232F84"/>
            </w:tcBorders>
            <w:shd w:val="clear" w:color="auto" w:fill="232F84"/>
          </w:tcPr>
          <w:p>
            <w:pPr>
              <w:spacing w:after="0"/>
              <w:rPr>
                <w:sz w:val="15"/>
                <w:szCs w:val="15"/>
                <w:color w:val="auto"/>
              </w:rPr>
            </w:pPr>
          </w:p>
        </w:tc>
        <w:tc>
          <w:tcPr>
            <w:tcW w:w="104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rPr>
              <w:t>income (loss)</w:t>
            </w:r>
          </w:p>
        </w:tc>
        <w:tc>
          <w:tcPr>
            <w:tcW w:w="80" w:type="dxa"/>
            <w:vAlign w:val="bottom"/>
            <w:tcBorders>
              <w:bottom w:val="single" w:sz="8" w:color="232F84"/>
            </w:tcBorders>
            <w:shd w:val="clear" w:color="auto" w:fill="232F84"/>
          </w:tcPr>
          <w:p>
            <w:pPr>
              <w:spacing w:after="0"/>
              <w:rPr>
                <w:sz w:val="15"/>
                <w:szCs w:val="15"/>
                <w:color w:val="auto"/>
              </w:rPr>
            </w:pPr>
          </w:p>
        </w:tc>
        <w:tc>
          <w:tcPr>
            <w:tcW w:w="112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w w:val="95"/>
              </w:rPr>
              <w:t>Retained earnings</w:t>
            </w:r>
          </w:p>
        </w:tc>
        <w:tc>
          <w:tcPr>
            <w:tcW w:w="440" w:type="dxa"/>
            <w:vAlign w:val="bottom"/>
            <w:tcBorders>
              <w:bottom w:val="single" w:sz="8" w:color="232F84"/>
            </w:tcBorders>
            <w:shd w:val="clear" w:color="auto" w:fill="232F84"/>
          </w:tcPr>
          <w:p>
            <w:pPr>
              <w:spacing w:after="0"/>
              <w:rPr>
                <w:sz w:val="15"/>
                <w:szCs w:val="15"/>
                <w:color w:val="auto"/>
              </w:rPr>
            </w:pPr>
          </w:p>
        </w:tc>
        <w:tc>
          <w:tcPr>
            <w:tcW w:w="760" w:type="dxa"/>
            <w:vAlign w:val="bottom"/>
            <w:tcBorders>
              <w:bottom w:val="single" w:sz="8" w:color="232F84"/>
            </w:tcBorders>
            <w:shd w:val="clear" w:color="auto" w:fill="232F84"/>
          </w:tcPr>
          <w:p>
            <w:pPr>
              <w:jc w:val="right"/>
              <w:spacing w:after="0"/>
              <w:rPr>
                <w:sz w:val="20"/>
                <w:szCs w:val="20"/>
                <w:color w:val="auto"/>
              </w:rPr>
            </w:pPr>
            <w:r>
              <w:rPr>
                <w:rFonts w:ascii="Arial" w:cs="Arial" w:eastAsia="Arial" w:hAnsi="Arial"/>
                <w:sz w:val="13"/>
                <w:szCs w:val="13"/>
                <w:b w:val="1"/>
                <w:bCs w:val="1"/>
                <w:color w:val="FFFFFF"/>
              </w:rPr>
              <w:t>equity</w:t>
            </w:r>
          </w:p>
        </w:tc>
        <w:tc>
          <w:tcPr>
            <w:tcW w:w="0" w:type="dxa"/>
            <w:vAlign w:val="bottom"/>
          </w:tcPr>
          <w:p>
            <w:pPr>
              <w:spacing w:after="0"/>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Balance at October 31, 2019</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63,386,251</w:t>
            </w:r>
          </w:p>
        </w:tc>
        <w:tc>
          <w:tcPr>
            <w:tcW w:w="540" w:type="dxa"/>
            <w:vAlign w:val="bottom"/>
            <w:tcBorders>
              <w:bottom w:val="single" w:sz="8" w:color="43C0B9"/>
            </w:tcBorders>
            <w:shd w:val="clear" w:color="auto" w:fill="43C0B9"/>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43C0B9"/>
            </w:tcBorders>
            <w:shd w:val="clear" w:color="auto" w:fill="43C0B9"/>
          </w:tcPr>
          <w:p>
            <w:pPr>
              <w:spacing w:after="0"/>
              <w:rPr>
                <w:sz w:val="15"/>
                <w:szCs w:val="15"/>
                <w:color w:val="auto"/>
              </w:rPr>
            </w:pPr>
          </w:p>
        </w:tc>
        <w:tc>
          <w:tcPr>
            <w:tcW w:w="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139.7</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(0.1)</w:t>
            </w:r>
          </w:p>
        </w:tc>
        <w:tc>
          <w:tcPr>
            <w:tcW w:w="16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239.3</w:t>
            </w:r>
          </w:p>
        </w:tc>
        <w:tc>
          <w:tcPr>
            <w:tcW w:w="440" w:type="dxa"/>
            <w:vAlign w:val="bottom"/>
            <w:tcBorders>
              <w:bottom w:val="single" w:sz="8" w:color="43C0B9"/>
            </w:tcBorders>
            <w:shd w:val="clear" w:color="auto" w:fill="43C0B9"/>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379.0</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Dividends declared ($0.12 per share)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(7.5)</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5"/>
                <w:szCs w:val="15"/>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43C0B9"/>
            </w:tcBorders>
            <w:shd w:val="clear" w:color="auto" w:fill="43C0B9"/>
          </w:tcPr>
          <w:p>
            <w:pPr>
              <w:spacing w:after="0"/>
              <w:rPr>
                <w:sz w:val="15"/>
                <w:szCs w:val="15"/>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00" w:type="dxa"/>
            <w:vAlign w:val="bottom"/>
          </w:tcPr>
          <w:p>
            <w:pPr>
              <w:jc w:val="right"/>
              <w:spacing w:after="0"/>
              <w:rPr>
                <w:sz w:val="20"/>
                <w:szCs w:val="20"/>
                <w:color w:val="auto"/>
              </w:rPr>
            </w:pPr>
            <w:r>
              <w:rPr>
                <w:rFonts w:ascii="Arial" w:cs="Arial" w:eastAsia="Arial" w:hAnsi="Arial"/>
                <w:sz w:val="13"/>
                <w:szCs w:val="13"/>
                <w:color w:val="auto"/>
              </w:rPr>
              <w:t>17,000</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Net income</w:t>
            </w:r>
          </w:p>
        </w:tc>
        <w:tc>
          <w:tcPr>
            <w:tcW w:w="1100" w:type="dxa"/>
            <w:vAlign w:val="bottom"/>
            <w:tcBorders>
              <w:bottom w:val="single" w:sz="8" w:color="43C0B9"/>
            </w:tcBorders>
            <w:shd w:val="clear" w:color="auto" w:fill="43C0B9"/>
          </w:tcPr>
          <w:p>
            <w:pPr>
              <w:spacing w:after="0"/>
              <w:rPr>
                <w:sz w:val="17"/>
                <w:szCs w:val="17"/>
                <w:color w:val="auto"/>
              </w:rPr>
            </w:pPr>
          </w:p>
        </w:tc>
        <w:tc>
          <w:tcPr>
            <w:tcW w:w="540" w:type="dxa"/>
            <w:vAlign w:val="bottom"/>
            <w:tcBorders>
              <w:bottom w:val="single" w:sz="8" w:color="43C0B9"/>
            </w:tcBorders>
            <w:shd w:val="clear" w:color="auto" w:fill="43C0B9"/>
          </w:tcPr>
          <w:p>
            <w:pPr>
              <w:spacing w:after="0"/>
              <w:rPr>
                <w:sz w:val="17"/>
                <w:szCs w:val="17"/>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7"/>
                <w:szCs w:val="17"/>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43C0B9"/>
            </w:tcBorders>
            <w:shd w:val="clear" w:color="auto" w:fill="43C0B9"/>
          </w:tcPr>
          <w:p>
            <w:pPr>
              <w:spacing w:after="0"/>
              <w:rPr>
                <w:sz w:val="17"/>
                <w:szCs w:val="17"/>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7"/>
                <w:szCs w:val="17"/>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7"/>
                <w:szCs w:val="17"/>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1.4</w:t>
            </w:r>
          </w:p>
        </w:tc>
        <w:tc>
          <w:tcPr>
            <w:tcW w:w="440" w:type="dxa"/>
            <w:vAlign w:val="bottom"/>
            <w:tcBorders>
              <w:bottom w:val="single" w:sz="8" w:color="43C0B9"/>
            </w:tcBorders>
            <w:shd w:val="clear" w:color="auto" w:fill="43C0B9"/>
          </w:tcPr>
          <w:p>
            <w:pPr>
              <w:spacing w:after="0"/>
              <w:rPr>
                <w:sz w:val="17"/>
                <w:szCs w:val="17"/>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7"/>
        </w:trPr>
        <w:tc>
          <w:tcPr>
            <w:tcW w:w="294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Balance at January 31, 2020</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63,403,251</w:t>
            </w:r>
          </w:p>
        </w:tc>
        <w:tc>
          <w:tcPr>
            <w:tcW w:w="540" w:type="dxa"/>
            <w:vAlign w:val="bottom"/>
            <w:tcBorders>
              <w:top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(0.1)</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233.2</w:t>
            </w:r>
          </w:p>
        </w:tc>
        <w:tc>
          <w:tcPr>
            <w:tcW w:w="440" w:type="dxa"/>
            <w:vAlign w:val="bottom"/>
            <w:tcBorders>
              <w:top w:val="single" w:sz="8" w:color="auto"/>
            </w:tcBorders>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373.0</w:t>
            </w:r>
          </w:p>
        </w:tc>
        <w:tc>
          <w:tcPr>
            <w:tcW w:w="0" w:type="dxa"/>
            <w:vAlign w:val="bottom"/>
          </w:tcPr>
          <w:p>
            <w:pPr>
              <w:spacing w:after="0"/>
              <w:rPr>
                <w:sz w:val="1"/>
                <w:szCs w:val="1"/>
                <w:color w:val="auto"/>
              </w:rPr>
            </w:pPr>
          </w:p>
        </w:tc>
      </w:tr>
      <w:tr>
        <w:trPr>
          <w:trHeight w:val="29"/>
        </w:trPr>
        <w:tc>
          <w:tcPr>
            <w:tcW w:w="2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43C0B9"/>
          </w:tcPr>
          <w:p>
            <w:pPr>
              <w:spacing w:after="0"/>
              <w:rPr>
                <w:sz w:val="15"/>
                <w:szCs w:val="15"/>
                <w:color w:val="auto"/>
              </w:rPr>
            </w:pPr>
          </w:p>
        </w:tc>
        <w:tc>
          <w:tcPr>
            <w:tcW w:w="1100" w:type="dxa"/>
            <w:vAlign w:val="bottom"/>
            <w:shd w:val="clear" w:color="auto" w:fill="43C0B9"/>
          </w:tcPr>
          <w:p>
            <w:pPr>
              <w:spacing w:after="0"/>
              <w:rPr>
                <w:sz w:val="15"/>
                <w:szCs w:val="15"/>
                <w:color w:val="auto"/>
              </w:rPr>
            </w:pPr>
          </w:p>
        </w:tc>
        <w:tc>
          <w:tcPr>
            <w:tcW w:w="540" w:type="dxa"/>
            <w:vAlign w:val="bottom"/>
            <w:shd w:val="clear" w:color="auto" w:fill="43C0B9"/>
          </w:tcPr>
          <w:p>
            <w:pPr>
              <w:spacing w:after="0"/>
              <w:rPr>
                <w:sz w:val="15"/>
                <w:szCs w:val="15"/>
                <w:color w:val="auto"/>
              </w:rPr>
            </w:pPr>
          </w:p>
        </w:tc>
        <w:tc>
          <w:tcPr>
            <w:tcW w:w="580" w:type="dxa"/>
            <w:vAlign w:val="bottom"/>
            <w:shd w:val="clear" w:color="auto" w:fill="43C0B9"/>
          </w:tcPr>
          <w:p>
            <w:pPr>
              <w:spacing w:after="0"/>
              <w:rPr>
                <w:sz w:val="15"/>
                <w:szCs w:val="15"/>
                <w:color w:val="auto"/>
              </w:rPr>
            </w:pPr>
          </w:p>
        </w:tc>
        <w:tc>
          <w:tcPr>
            <w:tcW w:w="80" w:type="dxa"/>
            <w:vAlign w:val="bottom"/>
            <w:shd w:val="clear" w:color="auto" w:fill="43C0B9"/>
          </w:tcPr>
          <w:p>
            <w:pPr>
              <w:spacing w:after="0"/>
              <w:rPr>
                <w:sz w:val="15"/>
                <w:szCs w:val="15"/>
                <w:color w:val="auto"/>
              </w:rPr>
            </w:pPr>
          </w:p>
        </w:tc>
        <w:tc>
          <w:tcPr>
            <w:tcW w:w="100" w:type="dxa"/>
            <w:vAlign w:val="bottom"/>
            <w:shd w:val="clear" w:color="auto" w:fill="43C0B9"/>
          </w:tcPr>
          <w:p>
            <w:pPr>
              <w:spacing w:after="0"/>
              <w:rPr>
                <w:sz w:val="15"/>
                <w:szCs w:val="15"/>
                <w:color w:val="auto"/>
              </w:rPr>
            </w:pPr>
          </w:p>
        </w:tc>
        <w:tc>
          <w:tcPr>
            <w:tcW w:w="1100" w:type="dxa"/>
            <w:vAlign w:val="bottom"/>
            <w:shd w:val="clear" w:color="auto" w:fill="43C0B9"/>
          </w:tcPr>
          <w:p>
            <w:pPr>
              <w:spacing w:after="0"/>
              <w:rPr>
                <w:sz w:val="15"/>
                <w:szCs w:val="15"/>
                <w:color w:val="auto"/>
              </w:rPr>
            </w:pPr>
          </w:p>
        </w:tc>
        <w:tc>
          <w:tcPr>
            <w:tcW w:w="120" w:type="dxa"/>
            <w:vAlign w:val="bottom"/>
            <w:shd w:val="clear" w:color="auto" w:fill="43C0B9"/>
          </w:tcPr>
          <w:p>
            <w:pPr>
              <w:spacing w:after="0"/>
              <w:rPr>
                <w:sz w:val="15"/>
                <w:szCs w:val="15"/>
                <w:color w:val="auto"/>
              </w:rPr>
            </w:pPr>
          </w:p>
        </w:tc>
        <w:tc>
          <w:tcPr>
            <w:tcW w:w="1080" w:type="dxa"/>
            <w:vAlign w:val="bottom"/>
            <w:shd w:val="clear" w:color="auto" w:fill="43C0B9"/>
          </w:tcPr>
          <w:p>
            <w:pPr>
              <w:spacing w:after="0"/>
              <w:rPr>
                <w:sz w:val="15"/>
                <w:szCs w:val="15"/>
                <w:color w:val="auto"/>
              </w:rPr>
            </w:pPr>
          </w:p>
        </w:tc>
        <w:tc>
          <w:tcPr>
            <w:tcW w:w="160" w:type="dxa"/>
            <w:vAlign w:val="bottom"/>
            <w:shd w:val="clear" w:color="auto" w:fill="43C0B9"/>
          </w:tcPr>
          <w:p>
            <w:pPr>
              <w:spacing w:after="0"/>
              <w:rPr>
                <w:sz w:val="15"/>
                <w:szCs w:val="15"/>
                <w:color w:val="auto"/>
              </w:rPr>
            </w:pPr>
          </w:p>
        </w:tc>
        <w:tc>
          <w:tcPr>
            <w:tcW w:w="1040" w:type="dxa"/>
            <w:vAlign w:val="bottom"/>
            <w:shd w:val="clear" w:color="auto" w:fill="43C0B9"/>
          </w:tcPr>
          <w:p>
            <w:pPr>
              <w:spacing w:after="0"/>
              <w:rPr>
                <w:sz w:val="15"/>
                <w:szCs w:val="15"/>
                <w:color w:val="auto"/>
              </w:rPr>
            </w:pPr>
          </w:p>
        </w:tc>
        <w:tc>
          <w:tcPr>
            <w:tcW w:w="80" w:type="dxa"/>
            <w:vAlign w:val="bottom"/>
            <w:shd w:val="clear" w:color="auto" w:fill="43C0B9"/>
          </w:tcPr>
          <w:p>
            <w:pPr>
              <w:spacing w:after="0"/>
              <w:rPr>
                <w:sz w:val="15"/>
                <w:szCs w:val="15"/>
                <w:color w:val="auto"/>
              </w:rPr>
            </w:pPr>
          </w:p>
        </w:tc>
        <w:tc>
          <w:tcPr>
            <w:tcW w:w="1120" w:type="dxa"/>
            <w:vAlign w:val="bottom"/>
            <w:shd w:val="clear" w:color="auto" w:fill="43C0B9"/>
          </w:tcPr>
          <w:p>
            <w:pPr>
              <w:spacing w:after="0"/>
              <w:rPr>
                <w:sz w:val="15"/>
                <w:szCs w:val="15"/>
                <w:color w:val="auto"/>
              </w:rPr>
            </w:pPr>
          </w:p>
        </w:tc>
        <w:tc>
          <w:tcPr>
            <w:tcW w:w="440" w:type="dxa"/>
            <w:vAlign w:val="bottom"/>
            <w:shd w:val="clear" w:color="auto" w:fill="43C0B9"/>
          </w:tcPr>
          <w:p>
            <w:pPr>
              <w:spacing w:after="0"/>
              <w:rPr>
                <w:sz w:val="15"/>
                <w:szCs w:val="15"/>
                <w:color w:val="auto"/>
              </w:rPr>
            </w:pPr>
          </w:p>
        </w:tc>
        <w:tc>
          <w:tcPr>
            <w:tcW w:w="760" w:type="dxa"/>
            <w:vAlign w:val="bottom"/>
            <w:shd w:val="clear" w:color="auto" w:fill="43C0B9"/>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Balance at October 31, 2020</w:t>
            </w:r>
          </w:p>
        </w:tc>
        <w:tc>
          <w:tcPr>
            <w:tcW w:w="1100" w:type="dxa"/>
            <w:vAlign w:val="bottom"/>
          </w:tcPr>
          <w:p>
            <w:pPr>
              <w:jc w:val="right"/>
              <w:spacing w:after="0"/>
              <w:rPr>
                <w:sz w:val="20"/>
                <w:szCs w:val="20"/>
                <w:color w:val="auto"/>
              </w:rPr>
            </w:pPr>
            <w:r>
              <w:rPr>
                <w:rFonts w:ascii="Arial" w:cs="Arial" w:eastAsia="Arial" w:hAnsi="Arial"/>
                <w:sz w:val="13"/>
                <w:szCs w:val="13"/>
                <w:color w:val="auto"/>
              </w:rPr>
              <w:t>70,550,922</w:t>
            </w:r>
          </w:p>
        </w:tc>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222.8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(0.1)</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251.2</w:t>
            </w:r>
          </w:p>
        </w:tc>
        <w:tc>
          <w:tcPr>
            <w:tcW w:w="440" w:type="dxa"/>
            <w:vAlign w:val="bottom"/>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473.5</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Stock-based compensation</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0.8</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5"/>
                <w:szCs w:val="15"/>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440" w:type="dxa"/>
            <w:vAlign w:val="bottom"/>
            <w:tcBorders>
              <w:bottom w:val="single" w:sz="8" w:color="43C0B9"/>
            </w:tcBorders>
            <w:shd w:val="clear" w:color="auto" w:fill="43C0B9"/>
          </w:tcPr>
          <w:p>
            <w:pPr>
              <w:spacing w:after="0"/>
              <w:rPr>
                <w:sz w:val="15"/>
                <w:szCs w:val="15"/>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0.8</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Repayment of stock option notes receivable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0.1</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Net income</w:t>
            </w:r>
          </w:p>
        </w:tc>
        <w:tc>
          <w:tcPr>
            <w:tcW w:w="1100" w:type="dxa"/>
            <w:vAlign w:val="bottom"/>
            <w:tcBorders>
              <w:bottom w:val="single" w:sz="8" w:color="43C0B9"/>
            </w:tcBorders>
            <w:shd w:val="clear" w:color="auto" w:fill="43C0B9"/>
          </w:tcPr>
          <w:p>
            <w:pPr>
              <w:spacing w:after="0"/>
              <w:rPr>
                <w:sz w:val="15"/>
                <w:szCs w:val="15"/>
                <w:color w:val="auto"/>
              </w:rPr>
            </w:pPr>
          </w:p>
        </w:tc>
        <w:tc>
          <w:tcPr>
            <w:tcW w:w="540" w:type="dxa"/>
            <w:vAlign w:val="bottom"/>
            <w:tcBorders>
              <w:bottom w:val="single" w:sz="8" w:color="43C0B9"/>
            </w:tcBorders>
            <w:shd w:val="clear" w:color="auto" w:fill="43C0B9"/>
          </w:tcPr>
          <w:p>
            <w:pPr>
              <w:spacing w:after="0"/>
              <w:rPr>
                <w:sz w:val="15"/>
                <w:szCs w:val="15"/>
                <w:color w:val="auto"/>
              </w:rPr>
            </w:pPr>
          </w:p>
        </w:tc>
        <w:tc>
          <w:tcPr>
            <w:tcW w:w="660" w:type="dxa"/>
            <w:vAlign w:val="bottom"/>
            <w:tcBorders>
              <w:bottom w:val="single" w:sz="8" w:color="43C0B9"/>
            </w:tcBorders>
            <w:gridSpan w:val="2"/>
            <w:shd w:val="clear" w:color="auto" w:fill="43C0B9"/>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43C0B9"/>
            </w:tcBorders>
            <w:shd w:val="clear" w:color="auto" w:fill="43C0B9"/>
          </w:tcPr>
          <w:p>
            <w:pPr>
              <w:spacing w:after="0"/>
              <w:rPr>
                <w:sz w:val="15"/>
                <w:szCs w:val="15"/>
                <w:color w:val="auto"/>
              </w:rPr>
            </w:pP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43C0B9"/>
            </w:tcBorders>
            <w:shd w:val="clear" w:color="auto" w:fill="43C0B9"/>
          </w:tcPr>
          <w:p>
            <w:pPr>
              <w:spacing w:after="0"/>
              <w:rPr>
                <w:sz w:val="15"/>
                <w:szCs w:val="15"/>
                <w:color w:val="auto"/>
              </w:rPr>
            </w:pP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spacing w:after="0"/>
              <w:rPr>
                <w:sz w:val="15"/>
                <w:szCs w:val="15"/>
                <w:color w:val="auto"/>
              </w:rPr>
            </w:pP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spacing w:after="0"/>
              <w:rPr>
                <w:sz w:val="15"/>
                <w:szCs w:val="15"/>
                <w:color w:val="auto"/>
              </w:rPr>
            </w:pP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2.2</w:t>
            </w:r>
          </w:p>
        </w:tc>
        <w:tc>
          <w:tcPr>
            <w:tcW w:w="440" w:type="dxa"/>
            <w:vAlign w:val="bottom"/>
            <w:tcBorders>
              <w:bottom w:val="single" w:sz="8" w:color="43C0B9"/>
            </w:tcBorders>
            <w:shd w:val="clear" w:color="auto" w:fill="43C0B9"/>
          </w:tcPr>
          <w:p>
            <w:pPr>
              <w:spacing w:after="0"/>
              <w:rPr>
                <w:sz w:val="15"/>
                <w:szCs w:val="15"/>
                <w:color w:val="auto"/>
              </w:rPr>
            </w:pP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73"/>
        </w:trPr>
        <w:tc>
          <w:tcPr>
            <w:tcW w:w="2940" w:type="dxa"/>
            <w:vAlign w:val="bottom"/>
          </w:tcPr>
          <w:p>
            <w:pPr>
              <w:ind w:left="20"/>
              <w:spacing w:after="0"/>
              <w:rPr>
                <w:sz w:val="20"/>
                <w:szCs w:val="20"/>
                <w:color w:val="auto"/>
              </w:rPr>
            </w:pPr>
            <w:r>
              <w:rPr>
                <w:rFonts w:ascii="Arial" w:cs="Arial" w:eastAsia="Arial" w:hAnsi="Arial"/>
                <w:sz w:val="13"/>
                <w:szCs w:val="13"/>
                <w:color w:val="auto"/>
              </w:rPr>
              <w:t>Other comprehensive income</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540" w:type="dxa"/>
            <w:vAlign w:val="bottom"/>
          </w:tcPr>
          <w:p>
            <w:pPr>
              <w:spacing w:after="0"/>
              <w:rPr>
                <w:sz w:val="15"/>
                <w:szCs w:val="15"/>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29"/>
        </w:trPr>
        <w:tc>
          <w:tcPr>
            <w:tcW w:w="29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2940" w:type="dxa"/>
            <w:vAlign w:val="bottom"/>
            <w:tcBorders>
              <w:bottom w:val="single" w:sz="8" w:color="43C0B9"/>
            </w:tcBorders>
            <w:shd w:val="clear" w:color="auto" w:fill="43C0B9"/>
          </w:tcPr>
          <w:p>
            <w:pPr>
              <w:ind w:left="20"/>
              <w:spacing w:after="0"/>
              <w:rPr>
                <w:sz w:val="20"/>
                <w:szCs w:val="20"/>
                <w:color w:val="auto"/>
              </w:rPr>
            </w:pPr>
            <w:r>
              <w:rPr>
                <w:rFonts w:ascii="Arial" w:cs="Arial" w:eastAsia="Arial" w:hAnsi="Arial"/>
                <w:sz w:val="13"/>
                <w:szCs w:val="13"/>
                <w:color w:val="auto"/>
              </w:rPr>
              <w:t>Balance at January 31, 2021</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70,550,922</w:t>
            </w:r>
          </w:p>
        </w:tc>
        <w:tc>
          <w:tcPr>
            <w:tcW w:w="540" w:type="dxa"/>
            <w:vAlign w:val="bottom"/>
            <w:tcBorders>
              <w:bottom w:val="single" w:sz="8" w:color="43C0B9"/>
            </w:tcBorders>
            <w:shd w:val="clear" w:color="auto" w:fill="43C0B9"/>
          </w:tcPr>
          <w:p>
            <w:pPr>
              <w:jc w:val="right"/>
              <w:ind w:right="3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rPr>
              <w:t>0.1</w:t>
            </w:r>
          </w:p>
        </w:tc>
        <w:tc>
          <w:tcPr>
            <w:tcW w:w="80" w:type="dxa"/>
            <w:vAlign w:val="bottom"/>
            <w:tcBorders>
              <w:bottom w:val="single" w:sz="8" w:color="43C0B9"/>
            </w:tcBorders>
            <w:shd w:val="clear" w:color="auto" w:fill="43C0B9"/>
          </w:tcPr>
          <w:p>
            <w:pPr>
              <w:spacing w:after="0"/>
              <w:rPr>
                <w:sz w:val="15"/>
                <w:szCs w:val="15"/>
                <w:color w:val="auto"/>
              </w:rPr>
            </w:pPr>
          </w:p>
        </w:tc>
        <w:tc>
          <w:tcPr>
            <w:tcW w:w="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223.6</w:t>
            </w:r>
          </w:p>
        </w:tc>
        <w:tc>
          <w:tcPr>
            <w:tcW w:w="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43C0B9"/>
            </w:tcBorders>
            <w:shd w:val="clear" w:color="auto" w:fill="43C0B9"/>
          </w:tcPr>
          <w:p>
            <w:pPr>
              <w:jc w:val="right"/>
              <w:ind w:right="17"/>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253.4</w:t>
            </w:r>
          </w:p>
        </w:tc>
        <w:tc>
          <w:tcPr>
            <w:tcW w:w="440" w:type="dxa"/>
            <w:vAlign w:val="bottom"/>
            <w:tcBorders>
              <w:bottom w:val="single" w:sz="8" w:color="43C0B9"/>
            </w:tcBorders>
            <w:shd w:val="clear" w:color="auto" w:fill="43C0B9"/>
          </w:tcPr>
          <w:p>
            <w:pPr>
              <w:jc w:val="right"/>
              <w:ind w:right="298"/>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43C0B9"/>
            </w:tcBorders>
            <w:shd w:val="clear" w:color="auto" w:fill="43C0B9"/>
          </w:tcPr>
          <w:p>
            <w:pPr>
              <w:jc w:val="right"/>
              <w:spacing w:after="0"/>
              <w:rPr>
                <w:sz w:val="20"/>
                <w:szCs w:val="20"/>
                <w:color w:val="auto"/>
              </w:rPr>
            </w:pPr>
            <w:r>
              <w:rPr>
                <w:rFonts w:ascii="Arial" w:cs="Arial" w:eastAsia="Arial" w:hAnsi="Arial"/>
                <w:sz w:val="13"/>
                <w:szCs w:val="13"/>
                <w:color w:val="auto"/>
              </w:rPr>
              <w:t>477.1</w:t>
            </w:r>
          </w:p>
        </w:tc>
        <w:tc>
          <w:tcPr>
            <w:tcW w:w="0" w:type="dxa"/>
            <w:vAlign w:val="bottom"/>
          </w:tcPr>
          <w:p>
            <w:pPr>
              <w:spacing w:after="0"/>
              <w:rPr>
                <w:sz w:val="1"/>
                <w:szCs w:val="1"/>
                <w:color w:val="auto"/>
              </w:rPr>
            </w:pPr>
          </w:p>
        </w:tc>
      </w:tr>
      <w:tr>
        <w:trPr>
          <w:trHeight w:val="20"/>
        </w:trPr>
        <w:tc>
          <w:tcPr>
            <w:tcW w:w="29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08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232F84"/>
        </w:rPr>
        <w:t>MISSION PRODUCE, INC.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232F84"/>
        </w:rPr>
        <w:t>CONDENSED CONSOLIDATED STATEMENTS OF CASH FLOW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8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c>
          <w:tcPr>
            <w:tcW w:w="204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5"/>
                <w:szCs w:val="15"/>
                <w:color w:val="auto"/>
              </w:rPr>
            </w:pPr>
          </w:p>
        </w:tc>
      </w:tr>
      <w:tr>
        <w:trPr>
          <w:trHeight w:val="206"/>
        </w:trPr>
        <w:tc>
          <w:tcPr>
            <w:tcW w:w="7880" w:type="dxa"/>
            <w:vAlign w:val="bottom"/>
            <w:shd w:val="clear" w:color="auto" w:fill="232F84"/>
          </w:tcPr>
          <w:p>
            <w:pPr>
              <w:spacing w:after="0"/>
              <w:rPr>
                <w:sz w:val="17"/>
                <w:szCs w:val="17"/>
                <w:color w:val="auto"/>
              </w:rPr>
            </w:pPr>
          </w:p>
        </w:tc>
        <w:tc>
          <w:tcPr>
            <w:tcW w:w="640" w:type="dxa"/>
            <w:vAlign w:val="bottom"/>
            <w:shd w:val="clear" w:color="auto" w:fill="232F84"/>
          </w:tcPr>
          <w:p>
            <w:pPr>
              <w:spacing w:after="0"/>
              <w:rPr>
                <w:sz w:val="17"/>
                <w:szCs w:val="17"/>
                <w:color w:val="auto"/>
              </w:rPr>
            </w:pPr>
          </w:p>
        </w:tc>
        <w:tc>
          <w:tcPr>
            <w:tcW w:w="204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232F84"/>
          </w:tcPr>
          <w:p>
            <w:pPr>
              <w:spacing w:after="0"/>
              <w:rPr>
                <w:sz w:val="17"/>
                <w:szCs w:val="17"/>
                <w:color w:val="auto"/>
              </w:rPr>
            </w:pPr>
          </w:p>
        </w:tc>
      </w:tr>
      <w:tr>
        <w:trPr>
          <w:trHeight w:val="226"/>
        </w:trPr>
        <w:tc>
          <w:tcPr>
            <w:tcW w:w="788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640" w:type="dxa"/>
            <w:vAlign w:val="bottom"/>
            <w:shd w:val="clear" w:color="auto" w:fill="232F84"/>
          </w:tcPr>
          <w:p>
            <w:pPr>
              <w:spacing w:after="0"/>
              <w:rPr>
                <w:sz w:val="19"/>
                <w:szCs w:val="19"/>
                <w:color w:val="auto"/>
              </w:rPr>
            </w:pPr>
          </w:p>
        </w:tc>
        <w:tc>
          <w:tcPr>
            <w:tcW w:w="110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6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232F84"/>
              </w:rPr>
              <w:t>Operating Activities</w:t>
            </w:r>
          </w:p>
        </w:tc>
        <w:tc>
          <w:tcPr>
            <w:tcW w:w="640" w:type="dxa"/>
            <w:vAlign w:val="bottom"/>
            <w:shd w:val="clear" w:color="auto" w:fill="43C0B9"/>
          </w:tcPr>
          <w:p>
            <w:pPr>
              <w:spacing w:after="0"/>
              <w:rPr>
                <w:sz w:val="18"/>
                <w:szCs w:val="18"/>
                <w:color w:val="auto"/>
              </w:rPr>
            </w:pPr>
          </w:p>
        </w:tc>
        <w:tc>
          <w:tcPr>
            <w:tcW w:w="110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spacing w:after="0"/>
              <w:rPr>
                <w:sz w:val="18"/>
                <w:szCs w:val="18"/>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9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2"/>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Adjustments to reconcile net income to net cash used in operating activities</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spacing w:after="0"/>
              <w:rPr>
                <w:sz w:val="19"/>
                <w:szCs w:val="19"/>
                <w:color w:val="auto"/>
              </w:rPr>
            </w:pP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spacing w:after="0"/>
              <w:rPr>
                <w:sz w:val="19"/>
                <w:szCs w:val="19"/>
                <w:color w:val="auto"/>
              </w:rPr>
            </w:pPr>
          </w:p>
        </w:tc>
      </w:tr>
      <w:tr>
        <w:trPr>
          <w:trHeight w:val="210"/>
        </w:trPr>
        <w:tc>
          <w:tcPr>
            <w:tcW w:w="788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6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22"/>
        </w:trPr>
        <w:tc>
          <w:tcPr>
            <w:tcW w:w="7880" w:type="dxa"/>
            <w:vAlign w:val="bottom"/>
            <w:shd w:val="clear" w:color="auto" w:fill="43C0B9"/>
          </w:tcPr>
          <w:p>
            <w:pPr>
              <w:ind w:left="460"/>
              <w:spacing w:after="0"/>
              <w:rPr>
                <w:sz w:val="20"/>
                <w:szCs w:val="20"/>
                <w:color w:val="auto"/>
              </w:rPr>
            </w:pPr>
            <w:r>
              <w:rPr>
                <w:rFonts w:ascii="Arial" w:cs="Arial" w:eastAsia="Arial" w:hAnsi="Arial"/>
                <w:sz w:val="14"/>
                <w:szCs w:val="14"/>
                <w:color w:val="auto"/>
              </w:rPr>
              <w:t>Amortization of debt issuance costs</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0.1</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w:t>
            </w:r>
          </w:p>
        </w:tc>
      </w:tr>
      <w:tr>
        <w:trPr>
          <w:trHeight w:val="210"/>
        </w:trPr>
        <w:tc>
          <w:tcPr>
            <w:tcW w:w="7880" w:type="dxa"/>
            <w:vAlign w:val="bottom"/>
          </w:tcPr>
          <w:p>
            <w:pPr>
              <w:ind w:left="460"/>
              <w:spacing w:after="0"/>
              <w:rPr>
                <w:sz w:val="20"/>
                <w:szCs w:val="20"/>
                <w:color w:val="auto"/>
              </w:rPr>
            </w:pPr>
            <w:r>
              <w:rPr>
                <w:rFonts w:ascii="Arial" w:cs="Arial" w:eastAsia="Arial" w:hAnsi="Arial"/>
                <w:sz w:val="14"/>
                <w:szCs w:val="14"/>
                <w:color w:val="auto"/>
              </w:rPr>
              <w:t>Equity method income</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880" w:type="dxa"/>
            <w:vAlign w:val="bottom"/>
            <w:shd w:val="clear" w:color="auto" w:fill="43C0B9"/>
          </w:tcPr>
          <w:p>
            <w:pPr>
              <w:ind w:left="460"/>
              <w:spacing w:after="0"/>
              <w:rPr>
                <w:sz w:val="20"/>
                <w:szCs w:val="20"/>
                <w:color w:val="auto"/>
              </w:rPr>
            </w:pPr>
            <w:r>
              <w:rPr>
                <w:rFonts w:ascii="Arial" w:cs="Arial" w:eastAsia="Arial" w:hAnsi="Arial"/>
                <w:sz w:val="14"/>
                <w:szCs w:val="14"/>
                <w:color w:val="auto"/>
              </w:rPr>
              <w:t>Stock-based compensation</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0.8</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7880" w:type="dxa"/>
            <w:vAlign w:val="bottom"/>
          </w:tcPr>
          <w:p>
            <w:pPr>
              <w:ind w:left="460"/>
              <w:spacing w:after="0"/>
              <w:rPr>
                <w:sz w:val="20"/>
                <w:szCs w:val="20"/>
                <w:color w:val="auto"/>
              </w:rPr>
            </w:pPr>
            <w:r>
              <w:rPr>
                <w:rFonts w:ascii="Arial" w:cs="Arial" w:eastAsia="Arial" w:hAnsi="Arial"/>
                <w:sz w:val="14"/>
                <w:szCs w:val="14"/>
                <w:color w:val="auto"/>
              </w:rPr>
              <w:t>Dividends received from equity method investees</w:t>
            </w:r>
          </w:p>
        </w:tc>
        <w:tc>
          <w:tcPr>
            <w:tcW w:w="6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2"/>
        </w:trPr>
        <w:tc>
          <w:tcPr>
            <w:tcW w:w="7880" w:type="dxa"/>
            <w:vAlign w:val="bottom"/>
            <w:shd w:val="clear" w:color="auto" w:fill="43C0B9"/>
          </w:tcPr>
          <w:p>
            <w:pPr>
              <w:ind w:left="460"/>
              <w:spacing w:after="0"/>
              <w:rPr>
                <w:sz w:val="20"/>
                <w:szCs w:val="20"/>
                <w:color w:val="auto"/>
              </w:rPr>
            </w:pPr>
            <w:r>
              <w:rPr>
                <w:rFonts w:ascii="Arial" w:cs="Arial" w:eastAsia="Arial" w:hAnsi="Arial"/>
                <w:sz w:val="14"/>
                <w:szCs w:val="14"/>
                <w:color w:val="auto"/>
              </w:rPr>
              <w:t>Gain on sale of equipment</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880" w:type="dxa"/>
            <w:vAlign w:val="bottom"/>
          </w:tcPr>
          <w:p>
            <w:pPr>
              <w:ind w:left="460"/>
              <w:spacing w:after="0"/>
              <w:rPr>
                <w:sz w:val="20"/>
                <w:szCs w:val="20"/>
                <w:color w:val="auto"/>
              </w:rPr>
            </w:pPr>
            <w:r>
              <w:rPr>
                <w:rFonts w:ascii="Arial" w:cs="Arial" w:eastAsia="Arial" w:hAnsi="Arial"/>
                <w:sz w:val="14"/>
                <w:szCs w:val="14"/>
                <w:color w:val="auto"/>
              </w:rPr>
              <w:t>Deferred income taxes</w:t>
            </w:r>
          </w:p>
        </w:tc>
        <w:tc>
          <w:tcPr>
            <w:tcW w:w="6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(0.3)</w:t>
            </w:r>
          </w:p>
        </w:tc>
      </w:tr>
      <w:tr>
        <w:trPr>
          <w:trHeight w:val="222"/>
        </w:trPr>
        <w:tc>
          <w:tcPr>
            <w:tcW w:w="7880" w:type="dxa"/>
            <w:vAlign w:val="bottom"/>
            <w:shd w:val="clear" w:color="auto" w:fill="43C0B9"/>
          </w:tcPr>
          <w:p>
            <w:pPr>
              <w:ind w:left="460"/>
              <w:spacing w:after="0"/>
              <w:rPr>
                <w:sz w:val="20"/>
                <w:szCs w:val="20"/>
                <w:color w:val="auto"/>
              </w:rPr>
            </w:pPr>
            <w:r>
              <w:rPr>
                <w:rFonts w:ascii="Arial" w:cs="Arial" w:eastAsia="Arial" w:hAnsi="Arial"/>
                <w:sz w:val="14"/>
                <w:szCs w:val="14"/>
                <w:color w:val="auto"/>
              </w:rPr>
              <w:t>Unrealized losses on derivative financial instruments</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0.3</w:t>
            </w: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Effect on cash of changes in operating assets and liabilities:</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22"/>
        </w:trPr>
        <w:tc>
          <w:tcPr>
            <w:tcW w:w="7880" w:type="dxa"/>
            <w:vAlign w:val="bottom"/>
            <w:shd w:val="clear" w:color="auto" w:fill="43C0B9"/>
          </w:tcPr>
          <w:p>
            <w:pPr>
              <w:ind w:left="460"/>
              <w:spacing w:after="0"/>
              <w:rPr>
                <w:sz w:val="20"/>
                <w:szCs w:val="20"/>
                <w:color w:val="auto"/>
              </w:rPr>
            </w:pPr>
            <w:r>
              <w:rPr>
                <w:rFonts w:ascii="Arial" w:cs="Arial" w:eastAsia="Arial" w:hAnsi="Arial"/>
                <w:sz w:val="14"/>
                <w:szCs w:val="14"/>
                <w:color w:val="auto"/>
              </w:rPr>
              <w:t>Trade accounts receivable</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(12.6)</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(9.3)</w:t>
            </w:r>
          </w:p>
        </w:tc>
      </w:tr>
      <w:tr>
        <w:trPr>
          <w:trHeight w:val="210"/>
        </w:trPr>
        <w:tc>
          <w:tcPr>
            <w:tcW w:w="7880" w:type="dxa"/>
            <w:vAlign w:val="bottom"/>
          </w:tcPr>
          <w:p>
            <w:pPr>
              <w:ind w:left="460"/>
              <w:spacing w:after="0"/>
              <w:rPr>
                <w:sz w:val="20"/>
                <w:szCs w:val="20"/>
                <w:color w:val="auto"/>
              </w:rPr>
            </w:pPr>
            <w:r>
              <w:rPr>
                <w:rFonts w:ascii="Arial" w:cs="Arial" w:eastAsia="Arial" w:hAnsi="Arial"/>
                <w:sz w:val="14"/>
                <w:szCs w:val="14"/>
                <w:color w:val="auto"/>
              </w:rPr>
              <w:t>Grower fruit advances</w:t>
            </w:r>
          </w:p>
        </w:tc>
        <w:tc>
          <w:tcPr>
            <w:tcW w:w="6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22"/>
        </w:trPr>
        <w:tc>
          <w:tcPr>
            <w:tcW w:w="7880" w:type="dxa"/>
            <w:vAlign w:val="bottom"/>
            <w:shd w:val="clear" w:color="auto" w:fill="43C0B9"/>
          </w:tcPr>
          <w:p>
            <w:pPr>
              <w:ind w:left="460"/>
              <w:spacing w:after="0"/>
              <w:rPr>
                <w:sz w:val="20"/>
                <w:szCs w:val="20"/>
                <w:color w:val="auto"/>
              </w:rPr>
            </w:pPr>
            <w:r>
              <w:rPr>
                <w:rFonts w:ascii="Arial" w:cs="Arial" w:eastAsia="Arial" w:hAnsi="Arial"/>
                <w:sz w:val="14"/>
                <w:szCs w:val="14"/>
                <w:color w:val="auto"/>
              </w:rPr>
              <w:t>Miscellaneous receivables</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3.5</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w:t>
            </w:r>
          </w:p>
        </w:tc>
      </w:tr>
      <w:tr>
        <w:trPr>
          <w:trHeight w:val="210"/>
        </w:trPr>
        <w:tc>
          <w:tcPr>
            <w:tcW w:w="7880" w:type="dxa"/>
            <w:vAlign w:val="bottom"/>
          </w:tcPr>
          <w:p>
            <w:pPr>
              <w:ind w:left="460"/>
              <w:spacing w:after="0"/>
              <w:rPr>
                <w:sz w:val="20"/>
                <w:szCs w:val="20"/>
                <w:color w:val="auto"/>
              </w:rPr>
            </w:pPr>
            <w:r>
              <w:rPr>
                <w:rFonts w:ascii="Arial" w:cs="Arial" w:eastAsia="Arial" w:hAnsi="Arial"/>
                <w:sz w:val="14"/>
                <w:szCs w:val="14"/>
                <w:color w:val="auto"/>
              </w:rPr>
              <w:t>Inventory</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22"/>
        </w:trPr>
        <w:tc>
          <w:tcPr>
            <w:tcW w:w="7880" w:type="dxa"/>
            <w:vAlign w:val="bottom"/>
            <w:shd w:val="clear" w:color="auto" w:fill="43C0B9"/>
          </w:tcPr>
          <w:p>
            <w:pPr>
              <w:ind w:left="460"/>
              <w:spacing w:after="0"/>
              <w:rPr>
                <w:sz w:val="20"/>
                <w:szCs w:val="20"/>
                <w:color w:val="auto"/>
              </w:rPr>
            </w:pPr>
            <w:r>
              <w:rPr>
                <w:rFonts w:ascii="Arial" w:cs="Arial" w:eastAsia="Arial" w:hAnsi="Arial"/>
                <w:sz w:val="14"/>
                <w:szCs w:val="14"/>
                <w:color w:val="auto"/>
              </w:rPr>
              <w:t>Prepaid expenses and other current assets</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(0.9)</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w:t>
            </w:r>
          </w:p>
        </w:tc>
      </w:tr>
      <w:tr>
        <w:trPr>
          <w:trHeight w:val="210"/>
        </w:trPr>
        <w:tc>
          <w:tcPr>
            <w:tcW w:w="7880" w:type="dxa"/>
            <w:vAlign w:val="bottom"/>
          </w:tcPr>
          <w:p>
            <w:pPr>
              <w:ind w:left="460"/>
              <w:spacing w:after="0"/>
              <w:rPr>
                <w:sz w:val="20"/>
                <w:szCs w:val="20"/>
                <w:color w:val="auto"/>
              </w:rPr>
            </w:pPr>
            <w:r>
              <w:rPr>
                <w:rFonts w:ascii="Arial" w:cs="Arial" w:eastAsia="Arial" w:hAnsi="Arial"/>
                <w:sz w:val="14"/>
                <w:szCs w:val="14"/>
                <w:color w:val="auto"/>
              </w:rPr>
              <w:t>Income taxes receivable</w:t>
            </w:r>
          </w:p>
        </w:tc>
        <w:tc>
          <w:tcPr>
            <w:tcW w:w="6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(0.9)</w:t>
            </w:r>
          </w:p>
        </w:tc>
      </w:tr>
      <w:tr>
        <w:trPr>
          <w:trHeight w:val="222"/>
        </w:trPr>
        <w:tc>
          <w:tcPr>
            <w:tcW w:w="7880" w:type="dxa"/>
            <w:vAlign w:val="bottom"/>
            <w:shd w:val="clear" w:color="auto" w:fill="43C0B9"/>
          </w:tcPr>
          <w:p>
            <w:pPr>
              <w:ind w:left="460"/>
              <w:spacing w:after="0"/>
              <w:rPr>
                <w:sz w:val="20"/>
                <w:szCs w:val="20"/>
                <w:color w:val="auto"/>
              </w:rPr>
            </w:pPr>
            <w:r>
              <w:rPr>
                <w:rFonts w:ascii="Arial" w:cs="Arial" w:eastAsia="Arial" w:hAnsi="Arial"/>
                <w:sz w:val="14"/>
                <w:szCs w:val="14"/>
                <w:color w:val="auto"/>
              </w:rPr>
              <w:t>Other assets</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(3.7)</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880" w:type="dxa"/>
            <w:vAlign w:val="bottom"/>
          </w:tcPr>
          <w:p>
            <w:pPr>
              <w:ind w:left="460"/>
              <w:spacing w:after="0"/>
              <w:rPr>
                <w:sz w:val="20"/>
                <w:szCs w:val="20"/>
                <w:color w:val="auto"/>
              </w:rPr>
            </w:pPr>
            <w:r>
              <w:rPr>
                <w:rFonts w:ascii="Arial" w:cs="Arial" w:eastAsia="Arial" w:hAnsi="Arial"/>
                <w:sz w:val="14"/>
                <w:szCs w:val="14"/>
                <w:color w:val="auto"/>
              </w:rPr>
              <w:t>Accounts payable and accrued expenses</w:t>
            </w:r>
          </w:p>
        </w:tc>
        <w:tc>
          <w:tcPr>
            <w:tcW w:w="6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22"/>
        </w:trPr>
        <w:tc>
          <w:tcPr>
            <w:tcW w:w="7880" w:type="dxa"/>
            <w:vAlign w:val="bottom"/>
            <w:shd w:val="clear" w:color="auto" w:fill="43C0B9"/>
          </w:tcPr>
          <w:p>
            <w:pPr>
              <w:ind w:left="460"/>
              <w:spacing w:after="0"/>
              <w:rPr>
                <w:sz w:val="20"/>
                <w:szCs w:val="20"/>
                <w:color w:val="auto"/>
              </w:rPr>
            </w:pPr>
            <w:r>
              <w:rPr>
                <w:rFonts w:ascii="Arial" w:cs="Arial" w:eastAsia="Arial" w:hAnsi="Arial"/>
                <w:sz w:val="14"/>
                <w:szCs w:val="14"/>
                <w:color w:val="auto"/>
              </w:rPr>
              <w:t>Income taxes payable</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(0.4)</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(0.8)</w:t>
            </w:r>
          </w:p>
        </w:tc>
      </w:tr>
      <w:tr>
        <w:trPr>
          <w:trHeight w:val="210"/>
        </w:trPr>
        <w:tc>
          <w:tcPr>
            <w:tcW w:w="7880" w:type="dxa"/>
            <w:vAlign w:val="bottom"/>
          </w:tcPr>
          <w:p>
            <w:pPr>
              <w:ind w:left="460"/>
              <w:spacing w:after="0"/>
              <w:rPr>
                <w:sz w:val="20"/>
                <w:szCs w:val="20"/>
                <w:color w:val="auto"/>
              </w:rPr>
            </w:pPr>
            <w:r>
              <w:rPr>
                <w:rFonts w:ascii="Arial" w:cs="Arial" w:eastAsia="Arial" w:hAnsi="Arial"/>
                <w:sz w:val="14"/>
                <w:szCs w:val="14"/>
                <w:color w:val="auto"/>
              </w:rPr>
              <w:t>Grower payables</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16"/>
        </w:trPr>
        <w:tc>
          <w:tcPr>
            <w:tcW w:w="7880" w:type="dxa"/>
            <w:vAlign w:val="bottom"/>
            <w:tcBorders>
              <w:bottom w:val="single" w:sz="8" w:color="auto"/>
            </w:tcBorders>
            <w:shd w:val="clear" w:color="auto" w:fill="43C0B9"/>
          </w:tcPr>
          <w:p>
            <w:pPr>
              <w:ind w:left="460"/>
              <w:spacing w:after="0"/>
              <w:rPr>
                <w:sz w:val="20"/>
                <w:szCs w:val="20"/>
                <w:color w:val="auto"/>
              </w:rPr>
            </w:pPr>
            <w:r>
              <w:rPr>
                <w:rFonts w:ascii="Arial" w:cs="Arial" w:eastAsia="Arial" w:hAnsi="Arial"/>
                <w:sz w:val="14"/>
                <w:szCs w:val="14"/>
                <w:color w:val="auto"/>
              </w:rPr>
              <w:t>Other long-term liabilities</w:t>
            </w:r>
          </w:p>
        </w:tc>
        <w:tc>
          <w:tcPr>
            <w:tcW w:w="640" w:type="dxa"/>
            <w:vAlign w:val="bottom"/>
            <w:tcBorders>
              <w:bottom w:val="single" w:sz="8" w:color="auto"/>
            </w:tcBorders>
            <w:shd w:val="clear" w:color="auto" w:fill="43C0B9"/>
          </w:tcPr>
          <w:p>
            <w:pPr>
              <w:spacing w:after="0"/>
              <w:rPr>
                <w:sz w:val="18"/>
                <w:szCs w:val="18"/>
                <w:color w:val="auto"/>
              </w:rPr>
            </w:pPr>
          </w:p>
        </w:tc>
        <w:tc>
          <w:tcPr>
            <w:tcW w:w="11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(0.5)</w:t>
            </w:r>
          </w:p>
        </w:tc>
        <w:tc>
          <w:tcPr>
            <w:tcW w:w="940" w:type="dxa"/>
            <w:vAlign w:val="bottom"/>
            <w:tcBorders>
              <w:bottom w:val="single" w:sz="8" w:color="auto"/>
            </w:tcBorders>
            <w:shd w:val="clear" w:color="auto" w:fill="43C0B9"/>
          </w:tcPr>
          <w:p>
            <w:pPr>
              <w:spacing w:after="0"/>
              <w:rPr>
                <w:sz w:val="18"/>
                <w:szCs w:val="18"/>
                <w:color w:val="auto"/>
              </w:rPr>
            </w:pP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0.6</w:t>
            </w:r>
          </w:p>
        </w:tc>
      </w:tr>
      <w:tr>
        <w:trPr>
          <w:trHeight w:val="209"/>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used in operating activities</w:t>
            </w: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9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r>
      <w:tr>
        <w:trPr>
          <w:trHeight w:val="216"/>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232F84"/>
              </w:rPr>
              <w:t>Investing Activities</w:t>
            </w:r>
          </w:p>
        </w:tc>
        <w:tc>
          <w:tcPr>
            <w:tcW w:w="640" w:type="dxa"/>
            <w:vAlign w:val="bottom"/>
            <w:shd w:val="clear" w:color="auto" w:fill="43C0B9"/>
          </w:tcPr>
          <w:p>
            <w:pPr>
              <w:spacing w:after="0"/>
              <w:rPr>
                <w:sz w:val="18"/>
                <w:szCs w:val="18"/>
                <w:color w:val="auto"/>
              </w:rPr>
            </w:pPr>
          </w:p>
        </w:tc>
        <w:tc>
          <w:tcPr>
            <w:tcW w:w="110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spacing w:after="0"/>
              <w:rPr>
                <w:sz w:val="18"/>
                <w:szCs w:val="18"/>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(8.9)</w:t>
            </w:r>
          </w:p>
        </w:tc>
      </w:tr>
      <w:tr>
        <w:trPr>
          <w:trHeight w:val="222"/>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2.2</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Investment in equity method investees</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(0.2)</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222"/>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Proceeds from notes receivable</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Supplier deposits, net</w:t>
            </w:r>
          </w:p>
        </w:tc>
        <w:tc>
          <w:tcPr>
            <w:tcW w:w="6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16"/>
        </w:trPr>
        <w:tc>
          <w:tcPr>
            <w:tcW w:w="78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Investments, net</w:t>
            </w:r>
          </w:p>
        </w:tc>
        <w:tc>
          <w:tcPr>
            <w:tcW w:w="640" w:type="dxa"/>
            <w:vAlign w:val="bottom"/>
            <w:tcBorders>
              <w:bottom w:val="single" w:sz="8" w:color="auto"/>
            </w:tcBorders>
            <w:shd w:val="clear" w:color="auto" w:fill="43C0B9"/>
          </w:tcPr>
          <w:p>
            <w:pPr>
              <w:spacing w:after="0"/>
              <w:rPr>
                <w:sz w:val="18"/>
                <w:szCs w:val="18"/>
                <w:color w:val="auto"/>
              </w:rPr>
            </w:pPr>
          </w:p>
        </w:tc>
        <w:tc>
          <w:tcPr>
            <w:tcW w:w="110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940" w:type="dxa"/>
            <w:vAlign w:val="bottom"/>
            <w:tcBorders>
              <w:bottom w:val="single" w:sz="8" w:color="auto"/>
            </w:tcBorders>
            <w:shd w:val="clear" w:color="auto" w:fill="43C0B9"/>
          </w:tcPr>
          <w:p>
            <w:pPr>
              <w:spacing w:after="0"/>
              <w:rPr>
                <w:sz w:val="18"/>
                <w:szCs w:val="18"/>
                <w:color w:val="auto"/>
              </w:rPr>
            </w:pP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(0.2)</w:t>
            </w:r>
          </w:p>
        </w:tc>
      </w:tr>
      <w:tr>
        <w:trPr>
          <w:trHeight w:val="209"/>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6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94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r>
      <w:tr>
        <w:trPr>
          <w:trHeight w:val="215"/>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232F84"/>
              </w:rPr>
              <w:t>Financing Activities</w:t>
            </w:r>
          </w:p>
        </w:tc>
        <w:tc>
          <w:tcPr>
            <w:tcW w:w="640" w:type="dxa"/>
            <w:vAlign w:val="bottom"/>
            <w:shd w:val="clear" w:color="auto" w:fill="43C0B9"/>
          </w:tcPr>
          <w:p>
            <w:pPr>
              <w:spacing w:after="0"/>
              <w:rPr>
                <w:sz w:val="18"/>
                <w:szCs w:val="18"/>
                <w:color w:val="auto"/>
              </w:rPr>
            </w:pPr>
          </w:p>
        </w:tc>
        <w:tc>
          <w:tcPr>
            <w:tcW w:w="1100" w:type="dxa"/>
            <w:vAlign w:val="bottom"/>
            <w:shd w:val="clear" w:color="auto" w:fill="43C0B9"/>
          </w:tcPr>
          <w:p>
            <w:pPr>
              <w:spacing w:after="0"/>
              <w:rPr>
                <w:sz w:val="18"/>
                <w:szCs w:val="18"/>
                <w:color w:val="auto"/>
              </w:rPr>
            </w:pP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spacing w:after="0"/>
              <w:rPr>
                <w:sz w:val="18"/>
                <w:szCs w:val="18"/>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Principal payments on long-term debt obligations</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22"/>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Principal payments on capital lease obligations</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(0.3)</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w:t>
            </w: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6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22"/>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Repayment of stock option notes receivable</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w:t>
            </w:r>
          </w:p>
        </w:tc>
      </w:tr>
      <w:tr>
        <w:trPr>
          <w:trHeight w:val="21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Debt issuance costs</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15"/>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cash used in financing activities</w:t>
            </w:r>
          </w:p>
        </w:tc>
        <w:tc>
          <w:tcPr>
            <w:tcW w:w="64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(2.5)</w:t>
            </w:r>
          </w:p>
        </w:tc>
        <w:tc>
          <w:tcPr>
            <w:tcW w:w="940" w:type="dxa"/>
            <w:vAlign w:val="bottom"/>
            <w:shd w:val="clear" w:color="auto" w:fill="43C0B9"/>
          </w:tcPr>
          <w:p>
            <w:pPr>
              <w:jc w:val="right"/>
              <w:ind w:right="708"/>
              <w:spacing w:after="0"/>
              <w:rPr>
                <w:sz w:val="20"/>
                <w:szCs w:val="20"/>
                <w:color w:val="auto"/>
              </w:rPr>
            </w:pPr>
            <w:r>
              <w:rPr>
                <w:rFonts w:ascii="Arial" w:cs="Arial" w:eastAsia="Arial" w:hAnsi="Arial"/>
                <w:sz w:val="14"/>
                <w:szCs w:val="14"/>
                <w:color w:val="auto"/>
              </w:rPr>
              <w:t>$</w:t>
            </w: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(9.3)</w:t>
            </w:r>
          </w:p>
        </w:tc>
      </w:tr>
      <w:tr>
        <w:trPr>
          <w:trHeight w:val="21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r>
      <w:tr>
        <w:trPr>
          <w:trHeight w:val="215"/>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decrease in cash, cash equivalents and restricted cash</w:t>
            </w:r>
          </w:p>
        </w:tc>
        <w:tc>
          <w:tcPr>
            <w:tcW w:w="640" w:type="dxa"/>
            <w:vAlign w:val="bottom"/>
            <w:shd w:val="clear" w:color="auto" w:fill="43C0B9"/>
          </w:tcPr>
          <w:p>
            <w:pPr>
              <w:spacing w:after="0"/>
              <w:rPr>
                <w:sz w:val="18"/>
                <w:szCs w:val="18"/>
                <w:color w:val="auto"/>
              </w:rPr>
            </w:pPr>
          </w:p>
        </w:tc>
        <w:tc>
          <w:tcPr>
            <w:tcW w:w="110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(32.7)</w:t>
            </w:r>
          </w:p>
        </w:tc>
        <w:tc>
          <w:tcPr>
            <w:tcW w:w="940" w:type="dxa"/>
            <w:vAlign w:val="bottom"/>
            <w:shd w:val="clear" w:color="auto" w:fill="43C0B9"/>
          </w:tcPr>
          <w:p>
            <w:pPr>
              <w:spacing w:after="0"/>
              <w:rPr>
                <w:sz w:val="18"/>
                <w:szCs w:val="18"/>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(32.6)</w:t>
            </w:r>
          </w:p>
        </w:tc>
      </w:tr>
      <w:tr>
        <w:trPr>
          <w:trHeight w:val="21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127.0</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w:t>
            </w:r>
          </w:p>
        </w:tc>
      </w:tr>
      <w:tr>
        <w:trPr>
          <w:trHeight w:val="210"/>
        </w:trPr>
        <w:tc>
          <w:tcPr>
            <w:tcW w:w="78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Cash, cash equivalents and restricted cash, end of period</w:t>
            </w:r>
          </w:p>
        </w:tc>
        <w:tc>
          <w:tcPr>
            <w:tcW w:w="640" w:type="dxa"/>
            <w:vAlign w:val="bottom"/>
            <w:tcBorders>
              <w:bottom w:val="single" w:sz="8" w:color="auto"/>
            </w:tcBorders>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94.3</w:t>
            </w:r>
          </w:p>
        </w:tc>
        <w:tc>
          <w:tcPr>
            <w:tcW w:w="940" w:type="dxa"/>
            <w:vAlign w:val="bottom"/>
            <w:tcBorders>
              <w:bottom w:val="single" w:sz="8" w:color="auto"/>
            </w:tcBorders>
            <w:shd w:val="clear" w:color="auto" w:fill="43C0B9"/>
          </w:tcPr>
          <w:p>
            <w:pPr>
              <w:jc w:val="right"/>
              <w:ind w:right="7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33.0</w:t>
            </w:r>
          </w:p>
        </w:tc>
      </w:tr>
      <w:tr>
        <w:trPr>
          <w:trHeight w:val="94"/>
        </w:trPr>
        <w:tc>
          <w:tcPr>
            <w:tcW w:w="7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176"/>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Summary of cash, cash equivalents and restricted cash reported within the condensed consolidated balance</w:t>
            </w:r>
          </w:p>
        </w:tc>
        <w:tc>
          <w:tcPr>
            <w:tcW w:w="640" w:type="dxa"/>
            <w:vAlign w:val="bottom"/>
            <w:shd w:val="clear" w:color="auto" w:fill="43C0B9"/>
          </w:tcPr>
          <w:p>
            <w:pPr>
              <w:spacing w:after="0"/>
              <w:rPr>
                <w:sz w:val="15"/>
                <w:szCs w:val="15"/>
                <w:color w:val="auto"/>
              </w:rPr>
            </w:pPr>
          </w:p>
        </w:tc>
        <w:tc>
          <w:tcPr>
            <w:tcW w:w="1100" w:type="dxa"/>
            <w:vAlign w:val="bottom"/>
            <w:shd w:val="clear" w:color="auto" w:fill="43C0B9"/>
          </w:tcPr>
          <w:p>
            <w:pPr>
              <w:spacing w:after="0"/>
              <w:rPr>
                <w:sz w:val="15"/>
                <w:szCs w:val="15"/>
                <w:color w:val="auto"/>
              </w:rPr>
            </w:pPr>
          </w:p>
        </w:tc>
        <w:tc>
          <w:tcPr>
            <w:tcW w:w="940" w:type="dxa"/>
            <w:vAlign w:val="bottom"/>
            <w:shd w:val="clear" w:color="auto" w:fill="43C0B9"/>
          </w:tcPr>
          <w:p>
            <w:pPr>
              <w:spacing w:after="0"/>
              <w:rPr>
                <w:sz w:val="15"/>
                <w:szCs w:val="15"/>
                <w:color w:val="auto"/>
              </w:rPr>
            </w:pPr>
          </w:p>
        </w:tc>
        <w:tc>
          <w:tcPr>
            <w:tcW w:w="680" w:type="dxa"/>
            <w:vAlign w:val="bottom"/>
            <w:shd w:val="clear" w:color="auto" w:fill="43C0B9"/>
          </w:tcPr>
          <w:p>
            <w:pPr>
              <w:spacing w:after="0"/>
              <w:rPr>
                <w:sz w:val="15"/>
                <w:szCs w:val="15"/>
                <w:color w:val="auto"/>
              </w:rPr>
            </w:pPr>
          </w:p>
        </w:tc>
      </w:tr>
      <w:tr>
        <w:trPr>
          <w:trHeight w:val="202"/>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sheets:</w:t>
            </w:r>
          </w:p>
        </w:tc>
        <w:tc>
          <w:tcPr>
            <w:tcW w:w="640" w:type="dxa"/>
            <w:vAlign w:val="bottom"/>
            <w:shd w:val="clear" w:color="auto" w:fill="43C0B9"/>
          </w:tcPr>
          <w:p>
            <w:pPr>
              <w:spacing w:after="0"/>
              <w:rPr>
                <w:sz w:val="17"/>
                <w:szCs w:val="17"/>
                <w:color w:val="auto"/>
              </w:rPr>
            </w:pPr>
          </w:p>
        </w:tc>
        <w:tc>
          <w:tcPr>
            <w:tcW w:w="1100" w:type="dxa"/>
            <w:vAlign w:val="bottom"/>
            <w:shd w:val="clear" w:color="auto" w:fill="43C0B9"/>
          </w:tcPr>
          <w:p>
            <w:pPr>
              <w:spacing w:after="0"/>
              <w:rPr>
                <w:sz w:val="17"/>
                <w:szCs w:val="17"/>
                <w:color w:val="auto"/>
              </w:rPr>
            </w:pPr>
          </w:p>
        </w:tc>
        <w:tc>
          <w:tcPr>
            <w:tcW w:w="940" w:type="dxa"/>
            <w:vAlign w:val="bottom"/>
            <w:shd w:val="clear" w:color="auto" w:fill="43C0B9"/>
          </w:tcPr>
          <w:p>
            <w:pPr>
              <w:spacing w:after="0"/>
              <w:rPr>
                <w:sz w:val="17"/>
                <w:szCs w:val="17"/>
                <w:color w:val="auto"/>
              </w:rPr>
            </w:pPr>
          </w:p>
        </w:tc>
        <w:tc>
          <w:tcPr>
            <w:tcW w:w="680" w:type="dxa"/>
            <w:vAlign w:val="bottom"/>
            <w:shd w:val="clear" w:color="auto" w:fill="43C0B9"/>
          </w:tcPr>
          <w:p>
            <w:pPr>
              <w:spacing w:after="0"/>
              <w:rPr>
                <w:sz w:val="17"/>
                <w:szCs w:val="17"/>
                <w:color w:val="auto"/>
              </w:rPr>
            </w:pPr>
          </w:p>
        </w:tc>
      </w:tr>
      <w:tr>
        <w:trPr>
          <w:trHeight w:val="210"/>
        </w:trPr>
        <w:tc>
          <w:tcPr>
            <w:tcW w:w="78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91.1</w:t>
            </w:r>
          </w:p>
        </w:tc>
        <w:tc>
          <w:tcPr>
            <w:tcW w:w="94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30.7</w:t>
            </w:r>
          </w:p>
        </w:tc>
      </w:tr>
      <w:tr>
        <w:trPr>
          <w:trHeight w:val="222"/>
        </w:trPr>
        <w:tc>
          <w:tcPr>
            <w:tcW w:w="7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Restricted cash</w:t>
            </w:r>
          </w:p>
        </w:tc>
        <w:tc>
          <w:tcPr>
            <w:tcW w:w="640" w:type="dxa"/>
            <w:vAlign w:val="bottom"/>
            <w:shd w:val="clear" w:color="auto" w:fill="43C0B9"/>
          </w:tcPr>
          <w:p>
            <w:pPr>
              <w:spacing w:after="0"/>
              <w:rPr>
                <w:sz w:val="19"/>
                <w:szCs w:val="19"/>
                <w:color w:val="auto"/>
              </w:rPr>
            </w:pPr>
          </w:p>
        </w:tc>
        <w:tc>
          <w:tcPr>
            <w:tcW w:w="110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1.6</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w:t>
            </w:r>
          </w:p>
        </w:tc>
      </w:tr>
      <w:tr>
        <w:trPr>
          <w:trHeight w:val="210"/>
        </w:trPr>
        <w:tc>
          <w:tcPr>
            <w:tcW w:w="7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Restricted cash included in other assets</w:t>
            </w:r>
          </w:p>
        </w:tc>
        <w:tc>
          <w:tcPr>
            <w:tcW w:w="6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88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cash, cash equivalents, and restricted cash shown in the condensed consolidated statements of cash flows</w:t>
            </w:r>
          </w:p>
        </w:tc>
        <w:tc>
          <w:tcPr>
            <w:tcW w:w="640" w:type="dxa"/>
            <w:vAlign w:val="bottom"/>
            <w:tcBorders>
              <w:bottom w:val="single" w:sz="8" w:color="auto"/>
            </w:tcBorders>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94.3</w:t>
            </w:r>
          </w:p>
        </w:tc>
        <w:tc>
          <w:tcPr>
            <w:tcW w:w="940" w:type="dxa"/>
            <w:vAlign w:val="bottom"/>
            <w:tcBorders>
              <w:bottom w:val="single" w:sz="8" w:color="auto"/>
            </w:tcBorders>
            <w:shd w:val="clear" w:color="auto" w:fill="43C0B9"/>
          </w:tcPr>
          <w:p>
            <w:pPr>
              <w:jc w:val="right"/>
              <w:ind w:right="7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33.0</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accompanying notes to unaudited condensed consolidated financial statements.</w:t>
      </w:r>
    </w:p>
    <w:p>
      <w:pPr>
        <w:sectPr>
          <w:pgSz w:w="11900" w:h="16838" w:orient="portrait"/>
          <w:cols w:equalWidth="0" w:num="1">
            <w:col w:w="11240"/>
          </w:cols>
          <w:pgMar w:left="320" w:top="1084" w:right="33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084" w:right="33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ind w:left="440" w:hanging="432"/>
        <w:spacing w:after="0"/>
        <w:tabs>
          <w:tab w:leader="none" w:pos="440" w:val="left"/>
        </w:tabs>
        <w:numPr>
          <w:ilvl w:val="0"/>
          <w:numId w:val="4"/>
        </w:numPr>
        <w:rPr>
          <w:rFonts w:ascii="Arial" w:cs="Arial" w:eastAsia="Arial" w:hAnsi="Arial"/>
          <w:sz w:val="20"/>
          <w:szCs w:val="20"/>
          <w:b w:val="1"/>
          <w:bCs w:val="1"/>
          <w:color w:val="232F84"/>
        </w:rPr>
      </w:pPr>
      <w:r>
        <w:rPr>
          <w:rFonts w:ascii="Arial" w:cs="Arial" w:eastAsia="Arial" w:hAnsi="Arial"/>
          <w:sz w:val="20"/>
          <w:szCs w:val="20"/>
          <w:b w:val="1"/>
          <w:bCs w:val="1"/>
          <w:color w:val="232F84"/>
        </w:rPr>
        <w:t>General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Business</w:t>
      </w:r>
    </w:p>
    <w:p>
      <w:pPr>
        <w:spacing w:after="0" w:line="241" w:lineRule="exact"/>
        <w:rPr>
          <w:sz w:val="20"/>
          <w:szCs w:val="20"/>
          <w:color w:val="auto"/>
        </w:rPr>
      </w:pPr>
    </w:p>
    <w:p>
      <w:pPr>
        <w:ind w:right="260" w:firstLine="648"/>
        <w:spacing w:after="0" w:line="250" w:lineRule="auto"/>
        <w:rPr>
          <w:sz w:val="20"/>
          <w:szCs w:val="20"/>
          <w:color w:val="auto"/>
        </w:rPr>
      </w:pPr>
      <w:r>
        <w:rPr>
          <w:rFonts w:ascii="Arial" w:cs="Arial" w:eastAsia="Arial" w:hAnsi="Arial"/>
          <w:sz w:val="16"/>
          <w:szCs w:val="16"/>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for distribution to domestic and international markets. We distribute our products both domestically and internationally and report our results of operations in two operating segments: Marketing &amp; Distribution and International Farming (see Note 10).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Basis of presentation and consolidation</w:t>
      </w:r>
    </w:p>
    <w:p>
      <w:pPr>
        <w:spacing w:after="0" w:line="241"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The unaudited interim condensed consolidated financial statements are presented in accordance with accounting principles generally accepted in the United States of America (“U.S. GAAP”) for interim financial information and include the Company’s consolidated domestic and international subsidiaries. Certain information and disclosures normally included in annual consolidated financial statements prepared in accordance with U.S. GAAP have been condensed or omitted. Accordingly, these unaudited interim condensed consolidated financial statements and accompanying footnotes should be read in conjunction with the Company’s Annual Report for the year ended October 31, 2020. In the opinion of management, all adjustments, of a normal recurring nature, considered necessary for a fair statement have been included in the unaudited condensed consolidated financial statements. Interim results of operations are not necessarily indicative of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Recently issued accounting standards</w:t>
      </w:r>
    </w:p>
    <w:p>
      <w:pPr>
        <w:spacing w:after="0" w:line="241"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As a company with less than $1.07 billion of revenue during our last fiscal year, we qualify as an “emerging growth company,”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w:t>
      </w:r>
    </w:p>
    <w:p>
      <w:pPr>
        <w:spacing w:after="0" w:line="203"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In August 2020, the Financial Accounting Standards Board (“FASB”) issued Accounting Standards Update (“ASU”) 2020-06, Debt with Conversion and Other Options (Subtopic 470-20) and Derivatives and Hedging- Contracts in Entity’s Own Equity (Subtopic 815-40), to reduce the complexity associated with applying GAAP principles for certain financial instruments with characteristics of liabilities and equity. The amendments in this ASU reduce the number of accounting models for convertible instruments and expand the existing disclosure requirements over earnings per share (“EPS”) as it relates to convertible instruments. This ASU will be effective for our fiscal year beginning November 1, 2024 and interim periods therein. Early adoption is permitted, but no earlier than fiscal years beginning after December 15, 2020. The amendments may be adopted through either a modified retrospective method, or a fully retrospective method. The Company is evaluating the impact of the adoption of this ASU on our financial condition, results of operations and cash flows.</w:t>
      </w:r>
    </w:p>
    <w:p>
      <w:pPr>
        <w:spacing w:after="0" w:line="208"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In March 2020, the FASB issued ASU 2020-04, Reference Rate Reform, and a subsequent update following, which provides optional expedients and exceptions for applying GAAP principles to contracts, hedging relationships, and other transactions affected by reference rate reform if certain criteria are met. The amendments in this ASU apply only to contracts, hedging relationships, and other transactions that reference LIBOR or another reference rate expected to be discontinued as a result of reference rate reform. The optional expedients in this ASU are available for adoption as of March 12, 2020 through December 31, 2022. The Company is evaluating the impact of the adoption of this ASU on our financial condition, results of operations and cash flows.</w:t>
      </w:r>
    </w:p>
    <w:p>
      <w:pPr>
        <w:spacing w:after="0" w:line="396"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In December 2019, the FASB issued ASU 2019-12, Simplifying the Accounting for Income Taxes, as part of its Simplification Initiative to reduce the cost and complexity in accounting for income taxes. ASU 2019-12 removes certain exceptions related to the approach for intraperiod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This ASU will be effective for us beginning November 1, 2022. The Company is continuing to assess the impact of the adoption of this ASU on our financial condition, results of operations and cash flows.</w:t>
      </w:r>
    </w:p>
    <w:p>
      <w:pPr>
        <w:spacing w:after="0" w:line="203"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In June 2016, the FASB issued ASU No. 2016-13, Financial Instruments—Credit Losses (Topic 326), Measurement of Credit Losses on Financial Instruments. This guidance requires financial assets measured at amortized cost basis to be presented at the net amount expected to be collected. It also requires credit losses on available-for-sale debt securities to be presented as an allowance, rather than reducing the carrying amount. The amendments should be applied on either a prospective transition or modified-retrospective approach depending on the subtopic. This ASU will be effective for us beginning November 1, 2023. Early adoption is permitted. The Company is evaluating the impact of the adoption of this ASU on our financial condition, results of operations and cash flows.</w:t>
      </w:r>
    </w:p>
    <w:p>
      <w:pPr>
        <w:spacing w:after="0" w:line="205"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In February 2016, the FASB issued ASU 2016-02, Leases (Topic 842), and subsequent updates following, which requires a dual approach for lessee accounting under which a lessee would account for leases as finance leases or operating leases. Both finance leases and operating leases will result in the lessee recognizing a right-of use asset (“ROU”) and a corresponding lease liability. For finance leases, the lessee would recognize interest expense and amortization of the right-of-use asset, and for operating leases, the lessee would recognize a straight-line total lease expense.</w:t>
      </w:r>
    </w:p>
    <w:p>
      <w:pPr>
        <w:sectPr>
          <w:pgSz w:w="11900" w:h="16838" w:orient="portrait"/>
          <w:cols w:equalWidth="0" w:num="1">
            <w:col w:w="11220"/>
          </w:cols>
          <w:pgMar w:left="320" w:top="177" w:right="3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220"/>
          </w:cols>
          <w:pgMar w:left="320" w:top="177"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guidance also requires qualitative and specific quantitative disclosures to supplement the amounts recorded in the financial statements so that users can understand more about the nature of an entity’s leasing activities, including significant judgments and changes in judgments. Topic 842 is effective for our fiscal year beginning November 1, 2022 and interim periods within our fiscal year beginning November 1, 2023. Though we are still evaluating the impact of the adoption of this ASU on our financial condition, results of operations and cash flows, we expect to report increased assets and liabilities as a result of recording right-of-use assets and lease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420" w:type="dxa"/>
            <w:vAlign w:val="bottom"/>
          </w:tcPr>
          <w:p>
            <w:pPr>
              <w:spacing w:after="0"/>
              <w:rPr>
                <w:sz w:val="20"/>
                <w:szCs w:val="20"/>
                <w:color w:val="auto"/>
              </w:rPr>
            </w:pPr>
            <w:r>
              <w:rPr>
                <w:rFonts w:ascii="Arial" w:cs="Arial" w:eastAsia="Arial" w:hAnsi="Arial"/>
                <w:sz w:val="20"/>
                <w:szCs w:val="20"/>
                <w:b w:val="1"/>
                <w:bCs w:val="1"/>
                <w:color w:val="232F84"/>
              </w:rPr>
              <w:t>2.</w:t>
            </w:r>
          </w:p>
        </w:tc>
        <w:tc>
          <w:tcPr>
            <w:tcW w:w="4460" w:type="dxa"/>
            <w:vAlign w:val="bottom"/>
          </w:tcPr>
          <w:p>
            <w:pPr>
              <w:ind w:left="20"/>
              <w:spacing w:after="0"/>
              <w:rPr>
                <w:sz w:val="20"/>
                <w:szCs w:val="20"/>
                <w:color w:val="auto"/>
              </w:rPr>
            </w:pPr>
            <w:r>
              <w:rPr>
                <w:rFonts w:ascii="Arial" w:cs="Arial" w:eastAsia="Arial" w:hAnsi="Arial"/>
                <w:sz w:val="20"/>
                <w:szCs w:val="20"/>
                <w:b w:val="1"/>
                <w:bCs w:val="1"/>
                <w:color w:val="232F84"/>
              </w:rPr>
              <w:t>Inventory</w:t>
            </w:r>
          </w:p>
        </w:tc>
        <w:tc>
          <w:tcPr>
            <w:tcW w:w="3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408"/>
        </w:trPr>
        <w:tc>
          <w:tcPr>
            <w:tcW w:w="420" w:type="dxa"/>
            <w:vAlign w:val="bottom"/>
          </w:tcPr>
          <w:p>
            <w:pPr>
              <w:spacing w:after="0"/>
              <w:rPr>
                <w:sz w:val="24"/>
                <w:szCs w:val="24"/>
                <w:color w:val="auto"/>
              </w:rPr>
            </w:pPr>
          </w:p>
        </w:tc>
        <w:tc>
          <w:tcPr>
            <w:tcW w:w="4460" w:type="dxa"/>
            <w:vAlign w:val="bottom"/>
          </w:tcPr>
          <w:p>
            <w:pPr>
              <w:ind w:left="240"/>
              <w:spacing w:after="0"/>
              <w:rPr>
                <w:sz w:val="20"/>
                <w:szCs w:val="20"/>
                <w:color w:val="auto"/>
              </w:rPr>
            </w:pPr>
            <w:r>
              <w:rPr>
                <w:rFonts w:ascii="Arial" w:cs="Arial" w:eastAsia="Arial" w:hAnsi="Arial"/>
                <w:sz w:val="16"/>
                <w:szCs w:val="16"/>
                <w:color w:val="auto"/>
              </w:rPr>
              <w:t>Major classes of inventory were as follows:</w:t>
            </w:r>
          </w:p>
        </w:tc>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2"/>
        </w:trPr>
        <w:tc>
          <w:tcPr>
            <w:tcW w:w="4880" w:type="dxa"/>
            <w:vAlign w:val="bottom"/>
            <w:gridSpan w:val="2"/>
          </w:tcPr>
          <w:p>
            <w:pPr>
              <w:spacing w:after="0"/>
              <w:rPr>
                <w:sz w:val="22"/>
                <w:szCs w:val="22"/>
                <w:color w:val="auto"/>
              </w:rPr>
            </w:pPr>
          </w:p>
        </w:tc>
        <w:tc>
          <w:tcPr>
            <w:tcW w:w="3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r>
      <w:tr>
        <w:trPr>
          <w:trHeight w:val="216"/>
        </w:trPr>
        <w:tc>
          <w:tcPr>
            <w:tcW w:w="488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3360" w:type="dxa"/>
            <w:vAlign w:val="bottom"/>
            <w:shd w:val="clear" w:color="auto" w:fill="232F84"/>
          </w:tcPr>
          <w:p>
            <w:pPr>
              <w:spacing w:after="0"/>
              <w:rPr>
                <w:sz w:val="18"/>
                <w:szCs w:val="18"/>
                <w:color w:val="auto"/>
              </w:rPr>
            </w:pPr>
          </w:p>
        </w:tc>
        <w:tc>
          <w:tcPr>
            <w:tcW w:w="13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January 31, 2021</w:t>
            </w:r>
          </w:p>
        </w:tc>
        <w:tc>
          <w:tcPr>
            <w:tcW w:w="420" w:type="dxa"/>
            <w:vAlign w:val="bottom"/>
            <w:shd w:val="clear" w:color="auto" w:fill="232F84"/>
          </w:tcPr>
          <w:p>
            <w:pPr>
              <w:spacing w:after="0"/>
              <w:rPr>
                <w:sz w:val="18"/>
                <w:szCs w:val="18"/>
                <w:color w:val="auto"/>
              </w:rPr>
            </w:pPr>
          </w:p>
        </w:tc>
        <w:tc>
          <w:tcPr>
            <w:tcW w:w="12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c>
          <w:tcPr>
            <w:tcW w:w="20" w:type="dxa"/>
            <w:vAlign w:val="bottom"/>
          </w:tcPr>
          <w:p>
            <w:pPr>
              <w:spacing w:after="0"/>
              <w:rPr>
                <w:sz w:val="18"/>
                <w:szCs w:val="18"/>
                <w:color w:val="auto"/>
              </w:rPr>
            </w:pPr>
          </w:p>
        </w:tc>
      </w:tr>
      <w:tr>
        <w:trPr>
          <w:trHeight w:val="216"/>
        </w:trPr>
        <w:tc>
          <w:tcPr>
            <w:tcW w:w="488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Finished goods</w:t>
            </w:r>
          </w:p>
        </w:tc>
        <w:tc>
          <w:tcPr>
            <w:tcW w:w="3360" w:type="dxa"/>
            <w:vAlign w:val="bottom"/>
            <w:shd w:val="clear" w:color="auto" w:fill="43C0B9"/>
          </w:tcPr>
          <w:p>
            <w:pPr>
              <w:jc w:val="right"/>
              <w:ind w:right="87"/>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19.3</w:t>
            </w:r>
          </w:p>
        </w:tc>
        <w:tc>
          <w:tcPr>
            <w:tcW w:w="420" w:type="dxa"/>
            <w:vAlign w:val="bottom"/>
            <w:shd w:val="clear" w:color="auto" w:fill="43C0B9"/>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16.3</w:t>
            </w:r>
          </w:p>
        </w:tc>
        <w:tc>
          <w:tcPr>
            <w:tcW w:w="20" w:type="dxa"/>
            <w:vAlign w:val="bottom"/>
          </w:tcPr>
          <w:p>
            <w:pPr>
              <w:spacing w:after="0"/>
              <w:rPr>
                <w:sz w:val="18"/>
                <w:szCs w:val="18"/>
                <w:color w:val="auto"/>
              </w:rPr>
            </w:pPr>
          </w:p>
        </w:tc>
      </w:tr>
      <w:tr>
        <w:trPr>
          <w:trHeight w:val="210"/>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Crop growing costs</w:t>
            </w:r>
          </w:p>
        </w:tc>
        <w:tc>
          <w:tcPr>
            <w:tcW w:w="3360" w:type="dxa"/>
            <w:vAlign w:val="bottom"/>
          </w:tcPr>
          <w:p>
            <w:pPr>
              <w:spacing w:after="0"/>
              <w:rPr>
                <w:sz w:val="18"/>
                <w:szCs w:val="18"/>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17.9</w:t>
            </w:r>
          </w:p>
        </w:tc>
        <w:tc>
          <w:tcPr>
            <w:tcW w:w="42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11.9</w:t>
            </w:r>
          </w:p>
        </w:tc>
        <w:tc>
          <w:tcPr>
            <w:tcW w:w="20" w:type="dxa"/>
            <w:vAlign w:val="bottom"/>
          </w:tcPr>
          <w:p>
            <w:pPr>
              <w:spacing w:after="0"/>
              <w:rPr>
                <w:sz w:val="18"/>
                <w:szCs w:val="18"/>
                <w:color w:val="auto"/>
              </w:rPr>
            </w:pPr>
          </w:p>
        </w:tc>
      </w:tr>
      <w:tr>
        <w:trPr>
          <w:trHeight w:val="216"/>
        </w:trPr>
        <w:tc>
          <w:tcPr>
            <w:tcW w:w="488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4"/>
                <w:szCs w:val="14"/>
                <w:color w:val="auto"/>
              </w:rPr>
              <w:t>Packaging and supplies</w:t>
            </w:r>
          </w:p>
        </w:tc>
        <w:tc>
          <w:tcPr>
            <w:tcW w:w="3360" w:type="dxa"/>
            <w:vAlign w:val="bottom"/>
            <w:tcBorders>
              <w:bottom w:val="single" w:sz="8" w:color="auto"/>
            </w:tcBorders>
            <w:shd w:val="clear" w:color="auto" w:fill="43C0B9"/>
          </w:tcPr>
          <w:p>
            <w:pPr>
              <w:spacing w:after="0"/>
              <w:rPr>
                <w:sz w:val="18"/>
                <w:szCs w:val="18"/>
                <w:color w:val="auto"/>
              </w:rPr>
            </w:pPr>
          </w:p>
        </w:tc>
        <w:tc>
          <w:tcPr>
            <w:tcW w:w="136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10.8</w:t>
            </w:r>
          </w:p>
        </w:tc>
        <w:tc>
          <w:tcPr>
            <w:tcW w:w="420" w:type="dxa"/>
            <w:vAlign w:val="bottom"/>
            <w:tcBorders>
              <w:bottom w:val="single" w:sz="8" w:color="auto"/>
            </w:tcBorders>
            <w:shd w:val="clear" w:color="auto" w:fill="43C0B9"/>
          </w:tcPr>
          <w:p>
            <w:pPr>
              <w:spacing w:after="0"/>
              <w:rPr>
                <w:sz w:val="18"/>
                <w:szCs w:val="18"/>
                <w:color w:val="auto"/>
              </w:rPr>
            </w:pPr>
          </w:p>
        </w:tc>
        <w:tc>
          <w:tcPr>
            <w:tcW w:w="120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8"/>
                <w:szCs w:val="18"/>
                <w:color w:val="auto"/>
              </w:rPr>
            </w:pPr>
          </w:p>
        </w:tc>
      </w:tr>
      <w:tr>
        <w:trPr>
          <w:trHeight w:val="209"/>
        </w:trPr>
        <w:tc>
          <w:tcPr>
            <w:tcW w:w="4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Inventory</w:t>
            </w:r>
          </w:p>
        </w:tc>
        <w:tc>
          <w:tcPr>
            <w:tcW w:w="336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w:t>
            </w:r>
          </w:p>
        </w:tc>
        <w:tc>
          <w:tcPr>
            <w:tcW w:w="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38.6</w:t>
            </w:r>
          </w:p>
        </w:tc>
        <w:tc>
          <w:tcPr>
            <w:tcW w:w="20" w:type="dxa"/>
            <w:vAlign w:val="bottom"/>
          </w:tcPr>
          <w:p>
            <w:pPr>
              <w:spacing w:after="0"/>
              <w:rPr>
                <w:sz w:val="18"/>
                <w:szCs w:val="18"/>
                <w:color w:val="auto"/>
              </w:rPr>
            </w:pPr>
          </w:p>
        </w:tc>
      </w:tr>
      <w:tr>
        <w:trPr>
          <w:trHeight w:val="692"/>
        </w:trPr>
        <w:tc>
          <w:tcPr>
            <w:tcW w:w="4880" w:type="dxa"/>
            <w:vAlign w:val="bottom"/>
            <w:gridSpan w:val="2"/>
          </w:tcPr>
          <w:p>
            <w:pPr>
              <w:spacing w:after="0"/>
              <w:rPr>
                <w:sz w:val="20"/>
                <w:szCs w:val="20"/>
                <w:color w:val="auto"/>
              </w:rPr>
            </w:pPr>
            <w:r>
              <w:rPr>
                <w:rFonts w:ascii="Arial" w:cs="Arial" w:eastAsia="Arial" w:hAnsi="Arial"/>
                <w:sz w:val="20"/>
                <w:szCs w:val="20"/>
                <w:b w:val="1"/>
                <w:bCs w:val="1"/>
                <w:color w:val="232F84"/>
              </w:rPr>
              <w:t>3.  Details of Certain Account Balances</w:t>
            </w:r>
          </w:p>
        </w:tc>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8"/>
        </w:trPr>
        <w:tc>
          <w:tcPr>
            <w:tcW w:w="4880" w:type="dxa"/>
            <w:vAlign w:val="bottom"/>
            <w:gridSpan w:val="2"/>
          </w:tcPr>
          <w:p>
            <w:pPr>
              <w:spacing w:after="0"/>
              <w:rPr>
                <w:sz w:val="20"/>
                <w:szCs w:val="20"/>
                <w:color w:val="auto"/>
              </w:rPr>
            </w:pPr>
            <w:r>
              <w:rPr>
                <w:rFonts w:ascii="Arial" w:cs="Arial" w:eastAsia="Arial" w:hAnsi="Arial"/>
                <w:sz w:val="16"/>
                <w:szCs w:val="16"/>
                <w:b w:val="1"/>
                <w:bCs w:val="1"/>
                <w:i w:val="1"/>
                <w:iCs w:val="1"/>
                <w:color w:val="232F84"/>
              </w:rPr>
              <w:t>Accrued expenses</w:t>
            </w:r>
          </w:p>
        </w:tc>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420" w:type="dxa"/>
            <w:vAlign w:val="bottom"/>
          </w:tcPr>
          <w:p>
            <w:pPr>
              <w:spacing w:after="0"/>
              <w:rPr>
                <w:sz w:val="24"/>
                <w:szCs w:val="24"/>
                <w:color w:val="auto"/>
              </w:rPr>
            </w:pPr>
          </w:p>
        </w:tc>
        <w:tc>
          <w:tcPr>
            <w:tcW w:w="4460" w:type="dxa"/>
            <w:vAlign w:val="bottom"/>
          </w:tcPr>
          <w:p>
            <w:pPr>
              <w:ind w:left="240"/>
              <w:spacing w:after="0"/>
              <w:rPr>
                <w:sz w:val="20"/>
                <w:szCs w:val="20"/>
                <w:color w:val="auto"/>
              </w:rPr>
            </w:pPr>
            <w:r>
              <w:rPr>
                <w:rFonts w:ascii="Arial" w:cs="Arial" w:eastAsia="Arial" w:hAnsi="Arial"/>
                <w:sz w:val="16"/>
                <w:szCs w:val="16"/>
                <w:color w:val="auto"/>
              </w:rPr>
              <w:t>Accrued expenses consisted of the following:</w:t>
            </w:r>
          </w:p>
        </w:tc>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880" w:type="dxa"/>
            <w:vAlign w:val="bottom"/>
            <w:gridSpan w:val="2"/>
          </w:tcPr>
          <w:p>
            <w:pPr>
              <w:spacing w:after="0"/>
              <w:rPr>
                <w:sz w:val="22"/>
                <w:szCs w:val="22"/>
                <w:color w:val="auto"/>
              </w:rPr>
            </w:pPr>
          </w:p>
        </w:tc>
        <w:tc>
          <w:tcPr>
            <w:tcW w:w="3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gridSpan w:val="2"/>
          </w:tcPr>
          <w:p>
            <w:pPr>
              <w:spacing w:after="0"/>
              <w:rPr>
                <w:sz w:val="22"/>
                <w:szCs w:val="22"/>
                <w:color w:val="auto"/>
              </w:rPr>
            </w:pPr>
          </w:p>
        </w:tc>
      </w:tr>
      <w:tr>
        <w:trPr>
          <w:trHeight w:val="216"/>
        </w:trPr>
        <w:tc>
          <w:tcPr>
            <w:tcW w:w="488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3360" w:type="dxa"/>
            <w:vAlign w:val="bottom"/>
            <w:shd w:val="clear" w:color="auto" w:fill="232F84"/>
          </w:tcPr>
          <w:p>
            <w:pPr>
              <w:spacing w:after="0"/>
              <w:rPr>
                <w:sz w:val="18"/>
                <w:szCs w:val="18"/>
                <w:color w:val="auto"/>
              </w:rPr>
            </w:pPr>
          </w:p>
        </w:tc>
        <w:tc>
          <w:tcPr>
            <w:tcW w:w="13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January 31, 2021</w:t>
            </w:r>
          </w:p>
        </w:tc>
        <w:tc>
          <w:tcPr>
            <w:tcW w:w="420" w:type="dxa"/>
            <w:vAlign w:val="bottom"/>
            <w:shd w:val="clear" w:color="auto" w:fill="232F84"/>
          </w:tcPr>
          <w:p>
            <w:pPr>
              <w:spacing w:after="0"/>
              <w:rPr>
                <w:sz w:val="18"/>
                <w:szCs w:val="18"/>
                <w:color w:val="auto"/>
              </w:rPr>
            </w:pPr>
          </w:p>
        </w:tc>
        <w:tc>
          <w:tcPr>
            <w:tcW w:w="120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c>
          <w:tcPr>
            <w:tcW w:w="20" w:type="dxa"/>
            <w:vAlign w:val="bottom"/>
          </w:tcPr>
          <w:p>
            <w:pPr>
              <w:spacing w:after="0"/>
              <w:rPr>
                <w:sz w:val="18"/>
                <w:szCs w:val="18"/>
                <w:color w:val="auto"/>
              </w:rPr>
            </w:pPr>
          </w:p>
        </w:tc>
      </w:tr>
      <w:tr>
        <w:trPr>
          <w:trHeight w:val="216"/>
        </w:trPr>
        <w:tc>
          <w:tcPr>
            <w:tcW w:w="488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Employee-related</w:t>
            </w:r>
          </w:p>
        </w:tc>
        <w:tc>
          <w:tcPr>
            <w:tcW w:w="3360" w:type="dxa"/>
            <w:vAlign w:val="bottom"/>
            <w:shd w:val="clear" w:color="auto" w:fill="43C0B9"/>
          </w:tcPr>
          <w:p>
            <w:pPr>
              <w:jc w:val="right"/>
              <w:ind w:right="87"/>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10.7</w:t>
            </w:r>
          </w:p>
        </w:tc>
        <w:tc>
          <w:tcPr>
            <w:tcW w:w="420" w:type="dxa"/>
            <w:vAlign w:val="bottom"/>
            <w:shd w:val="clear" w:color="auto" w:fill="43C0B9"/>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15.3</w:t>
            </w:r>
          </w:p>
        </w:tc>
        <w:tc>
          <w:tcPr>
            <w:tcW w:w="20" w:type="dxa"/>
            <w:vAlign w:val="bottom"/>
          </w:tcPr>
          <w:p>
            <w:pPr>
              <w:spacing w:after="0"/>
              <w:rPr>
                <w:sz w:val="18"/>
                <w:szCs w:val="18"/>
                <w:color w:val="auto"/>
              </w:rPr>
            </w:pPr>
          </w:p>
        </w:tc>
      </w:tr>
      <w:tr>
        <w:trPr>
          <w:trHeight w:val="210"/>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Freight</w:t>
            </w:r>
          </w:p>
        </w:tc>
        <w:tc>
          <w:tcPr>
            <w:tcW w:w="3360" w:type="dxa"/>
            <w:vAlign w:val="bottom"/>
          </w:tcPr>
          <w:p>
            <w:pPr>
              <w:spacing w:after="0"/>
              <w:rPr>
                <w:sz w:val="18"/>
                <w:szCs w:val="18"/>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7.4</w:t>
            </w:r>
          </w:p>
        </w:tc>
        <w:tc>
          <w:tcPr>
            <w:tcW w:w="42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20" w:type="dxa"/>
            <w:vAlign w:val="bottom"/>
          </w:tcPr>
          <w:p>
            <w:pPr>
              <w:spacing w:after="0"/>
              <w:rPr>
                <w:sz w:val="18"/>
                <w:szCs w:val="18"/>
                <w:color w:val="auto"/>
              </w:rPr>
            </w:pPr>
          </w:p>
        </w:tc>
      </w:tr>
      <w:tr>
        <w:trPr>
          <w:trHeight w:val="222"/>
        </w:trPr>
        <w:tc>
          <w:tcPr>
            <w:tcW w:w="488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Construction-in-progress</w:t>
            </w:r>
          </w:p>
        </w:tc>
        <w:tc>
          <w:tcPr>
            <w:tcW w:w="3360" w:type="dxa"/>
            <w:vAlign w:val="bottom"/>
            <w:shd w:val="clear" w:color="auto" w:fill="43C0B9"/>
          </w:tcPr>
          <w:p>
            <w:pPr>
              <w:spacing w:after="0"/>
              <w:rPr>
                <w:sz w:val="19"/>
                <w:szCs w:val="19"/>
                <w:color w:val="auto"/>
              </w:rPr>
            </w:pPr>
          </w:p>
        </w:tc>
        <w:tc>
          <w:tcPr>
            <w:tcW w:w="136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5.5</w:t>
            </w:r>
          </w:p>
        </w:tc>
        <w:tc>
          <w:tcPr>
            <w:tcW w:w="420" w:type="dxa"/>
            <w:vAlign w:val="bottom"/>
            <w:shd w:val="clear" w:color="auto" w:fill="43C0B9"/>
          </w:tcPr>
          <w:p>
            <w:pPr>
              <w:spacing w:after="0"/>
              <w:rPr>
                <w:sz w:val="19"/>
                <w:szCs w:val="19"/>
                <w:color w:val="auto"/>
              </w:rPr>
            </w:pPr>
          </w:p>
        </w:tc>
        <w:tc>
          <w:tcPr>
            <w:tcW w:w="120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1.8</w:t>
            </w:r>
          </w:p>
        </w:tc>
        <w:tc>
          <w:tcPr>
            <w:tcW w:w="20" w:type="dxa"/>
            <w:vAlign w:val="bottom"/>
          </w:tcPr>
          <w:p>
            <w:pPr>
              <w:spacing w:after="0"/>
              <w:rPr>
                <w:sz w:val="19"/>
                <w:szCs w:val="19"/>
                <w:color w:val="auto"/>
              </w:rPr>
            </w:pPr>
          </w:p>
        </w:tc>
      </w:tr>
      <w:tr>
        <w:trPr>
          <w:trHeight w:val="210"/>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Interest rate swaps</w:t>
            </w:r>
          </w:p>
        </w:tc>
        <w:tc>
          <w:tcPr>
            <w:tcW w:w="3360" w:type="dxa"/>
            <w:vAlign w:val="bottom"/>
          </w:tcPr>
          <w:p>
            <w:pPr>
              <w:spacing w:after="0"/>
              <w:rPr>
                <w:sz w:val="18"/>
                <w:szCs w:val="18"/>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420" w:type="dxa"/>
            <w:vAlign w:val="bottom"/>
          </w:tcPr>
          <w:p>
            <w:pPr>
              <w:spacing w:after="0"/>
              <w:rPr>
                <w:sz w:val="18"/>
                <w:szCs w:val="18"/>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8"/>
                <w:szCs w:val="18"/>
                <w:color w:val="auto"/>
              </w:rPr>
            </w:pPr>
          </w:p>
        </w:tc>
      </w:tr>
      <w:tr>
        <w:trPr>
          <w:trHeight w:val="216"/>
        </w:trPr>
        <w:tc>
          <w:tcPr>
            <w:tcW w:w="4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w:t>
            </w:r>
          </w:p>
        </w:tc>
        <w:tc>
          <w:tcPr>
            <w:tcW w:w="4460" w:type="dxa"/>
            <w:vAlign w:val="bottom"/>
            <w:tcBorders>
              <w:bottom w:val="single" w:sz="8" w:color="auto"/>
            </w:tcBorders>
            <w:shd w:val="clear" w:color="auto" w:fill="43C0B9"/>
          </w:tcPr>
          <w:p>
            <w:pPr>
              <w:spacing w:after="0"/>
              <w:rPr>
                <w:sz w:val="18"/>
                <w:szCs w:val="18"/>
                <w:color w:val="auto"/>
              </w:rPr>
            </w:pPr>
          </w:p>
        </w:tc>
        <w:tc>
          <w:tcPr>
            <w:tcW w:w="3360" w:type="dxa"/>
            <w:vAlign w:val="bottom"/>
            <w:tcBorders>
              <w:bottom w:val="single" w:sz="8" w:color="auto"/>
            </w:tcBorders>
            <w:shd w:val="clear" w:color="auto" w:fill="43C0B9"/>
          </w:tcPr>
          <w:p>
            <w:pPr>
              <w:spacing w:after="0"/>
              <w:rPr>
                <w:sz w:val="18"/>
                <w:szCs w:val="18"/>
                <w:color w:val="auto"/>
              </w:rPr>
            </w:pPr>
          </w:p>
        </w:tc>
        <w:tc>
          <w:tcPr>
            <w:tcW w:w="136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6.3</w:t>
            </w:r>
          </w:p>
        </w:tc>
        <w:tc>
          <w:tcPr>
            <w:tcW w:w="420" w:type="dxa"/>
            <w:vAlign w:val="bottom"/>
            <w:tcBorders>
              <w:bottom w:val="single" w:sz="8" w:color="auto"/>
            </w:tcBorders>
            <w:shd w:val="clear" w:color="auto" w:fill="43C0B9"/>
          </w:tcPr>
          <w:p>
            <w:pPr>
              <w:spacing w:after="0"/>
              <w:rPr>
                <w:sz w:val="18"/>
                <w:szCs w:val="18"/>
                <w:color w:val="auto"/>
              </w:rPr>
            </w:pPr>
          </w:p>
        </w:tc>
        <w:tc>
          <w:tcPr>
            <w:tcW w:w="120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8"/>
                <w:szCs w:val="18"/>
                <w:color w:val="auto"/>
              </w:rPr>
            </w:pPr>
          </w:p>
        </w:tc>
      </w:tr>
      <w:tr>
        <w:trPr>
          <w:trHeight w:val="209"/>
        </w:trPr>
        <w:tc>
          <w:tcPr>
            <w:tcW w:w="4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Accrued expenses</w:t>
            </w:r>
          </w:p>
        </w:tc>
        <w:tc>
          <w:tcPr>
            <w:tcW w:w="3360" w:type="dxa"/>
            <w:vAlign w:val="bottom"/>
            <w:tcBorders>
              <w:bottom w:val="single" w:sz="8" w:color="auto"/>
            </w:tcBorders>
          </w:tcPr>
          <w:p>
            <w:pPr>
              <w:jc w:val="right"/>
              <w:ind w:right="87"/>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32.1</w:t>
            </w:r>
          </w:p>
        </w:tc>
        <w:tc>
          <w:tcPr>
            <w:tcW w:w="4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w:t>
            </w:r>
          </w:p>
        </w:tc>
        <w:tc>
          <w:tcPr>
            <w:tcW w:w="20" w:type="dxa"/>
            <w:vAlign w:val="bottom"/>
          </w:tcPr>
          <w:p>
            <w:pPr>
              <w:spacing w:after="0"/>
              <w:rPr>
                <w:sz w:val="18"/>
                <w:szCs w:val="18"/>
                <w:color w:val="auto"/>
              </w:rPr>
            </w:pPr>
          </w:p>
        </w:tc>
      </w:tr>
      <w:tr>
        <w:trPr>
          <w:trHeight w:val="412"/>
        </w:trPr>
        <w:tc>
          <w:tcPr>
            <w:tcW w:w="4880" w:type="dxa"/>
            <w:vAlign w:val="bottom"/>
            <w:gridSpan w:val="2"/>
          </w:tcPr>
          <w:p>
            <w:pPr>
              <w:spacing w:after="0"/>
              <w:rPr>
                <w:sz w:val="20"/>
                <w:szCs w:val="20"/>
                <w:color w:val="auto"/>
              </w:rPr>
            </w:pPr>
            <w:r>
              <w:rPr>
                <w:rFonts w:ascii="Arial" w:cs="Arial" w:eastAsia="Arial" w:hAnsi="Arial"/>
                <w:sz w:val="16"/>
                <w:szCs w:val="16"/>
                <w:b w:val="1"/>
                <w:bCs w:val="1"/>
                <w:i w:val="1"/>
                <w:iCs w:val="1"/>
                <w:color w:val="232F84"/>
              </w:rPr>
              <w:t>Other expense</w:t>
            </w:r>
          </w:p>
        </w:tc>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420" w:type="dxa"/>
            <w:vAlign w:val="bottom"/>
          </w:tcPr>
          <w:p>
            <w:pPr>
              <w:spacing w:after="0"/>
              <w:rPr>
                <w:sz w:val="24"/>
                <w:szCs w:val="24"/>
                <w:color w:val="auto"/>
              </w:rPr>
            </w:pPr>
          </w:p>
        </w:tc>
        <w:tc>
          <w:tcPr>
            <w:tcW w:w="4460" w:type="dxa"/>
            <w:vAlign w:val="bottom"/>
          </w:tcPr>
          <w:p>
            <w:pPr>
              <w:ind w:left="240"/>
              <w:spacing w:after="0"/>
              <w:rPr>
                <w:sz w:val="20"/>
                <w:szCs w:val="20"/>
                <w:color w:val="auto"/>
              </w:rPr>
            </w:pPr>
            <w:r>
              <w:rPr>
                <w:rFonts w:ascii="Arial" w:cs="Arial" w:eastAsia="Arial" w:hAnsi="Arial"/>
                <w:sz w:val="16"/>
                <w:szCs w:val="16"/>
                <w:color w:val="auto"/>
              </w:rPr>
              <w:t>Other expense consisted of the following:</w:t>
            </w:r>
          </w:p>
        </w:tc>
        <w:tc>
          <w:tcPr>
            <w:tcW w:w="3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3"/>
        </w:trPr>
        <w:tc>
          <w:tcPr>
            <w:tcW w:w="4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3000" w:type="dxa"/>
            <w:vAlign w:val="bottom"/>
            <w:gridSpan w:val="4"/>
          </w:tcPr>
          <w:p>
            <w:pPr>
              <w:spacing w:after="0"/>
              <w:rPr>
                <w:sz w:val="22"/>
                <w:szCs w:val="22"/>
                <w:color w:val="auto"/>
              </w:rPr>
            </w:pPr>
          </w:p>
        </w:tc>
      </w:tr>
      <w:tr>
        <w:trPr>
          <w:trHeight w:val="176"/>
        </w:trPr>
        <w:tc>
          <w:tcPr>
            <w:tcW w:w="420" w:type="dxa"/>
            <w:vAlign w:val="bottom"/>
            <w:shd w:val="clear" w:color="auto" w:fill="232F84"/>
          </w:tcPr>
          <w:p>
            <w:pPr>
              <w:spacing w:after="0"/>
              <w:rPr>
                <w:sz w:val="15"/>
                <w:szCs w:val="15"/>
                <w:color w:val="auto"/>
              </w:rPr>
            </w:pPr>
          </w:p>
        </w:tc>
        <w:tc>
          <w:tcPr>
            <w:tcW w:w="4460" w:type="dxa"/>
            <w:vAlign w:val="bottom"/>
            <w:shd w:val="clear" w:color="auto" w:fill="232F84"/>
          </w:tcPr>
          <w:p>
            <w:pPr>
              <w:spacing w:after="0"/>
              <w:rPr>
                <w:sz w:val="15"/>
                <w:szCs w:val="15"/>
                <w:color w:val="auto"/>
              </w:rPr>
            </w:pPr>
          </w:p>
        </w:tc>
        <w:tc>
          <w:tcPr>
            <w:tcW w:w="3360" w:type="dxa"/>
            <w:vAlign w:val="bottom"/>
            <w:shd w:val="clear" w:color="auto" w:fill="232F84"/>
          </w:tcPr>
          <w:p>
            <w:pPr>
              <w:spacing w:after="0"/>
              <w:rPr>
                <w:sz w:val="15"/>
                <w:szCs w:val="15"/>
                <w:color w:val="auto"/>
              </w:rPr>
            </w:pPr>
          </w:p>
        </w:tc>
        <w:tc>
          <w:tcPr>
            <w:tcW w:w="3000" w:type="dxa"/>
            <w:vAlign w:val="bottom"/>
            <w:gridSpan w:val="4"/>
            <w:shd w:val="clear" w:color="auto" w:fill="232F84"/>
          </w:tcPr>
          <w:p>
            <w:pPr>
              <w:ind w:left="660"/>
              <w:spacing w:after="0"/>
              <w:rPr>
                <w:sz w:val="20"/>
                <w:szCs w:val="20"/>
                <w:color w:val="auto"/>
              </w:rPr>
            </w:pPr>
            <w:r>
              <w:rPr>
                <w:rFonts w:ascii="Arial" w:cs="Arial" w:eastAsia="Arial" w:hAnsi="Arial"/>
                <w:sz w:val="14"/>
                <w:szCs w:val="14"/>
                <w:b w:val="1"/>
                <w:bCs w:val="1"/>
                <w:color w:val="FFFFFF"/>
              </w:rPr>
              <w:t>Three Months Ended</w:t>
            </w:r>
          </w:p>
        </w:tc>
      </w:tr>
      <w:tr>
        <w:trPr>
          <w:trHeight w:val="206"/>
        </w:trPr>
        <w:tc>
          <w:tcPr>
            <w:tcW w:w="420" w:type="dxa"/>
            <w:vAlign w:val="bottom"/>
            <w:shd w:val="clear" w:color="auto" w:fill="232F84"/>
          </w:tcPr>
          <w:p>
            <w:pPr>
              <w:spacing w:after="0"/>
              <w:rPr>
                <w:sz w:val="17"/>
                <w:szCs w:val="17"/>
                <w:color w:val="auto"/>
              </w:rPr>
            </w:pPr>
          </w:p>
        </w:tc>
        <w:tc>
          <w:tcPr>
            <w:tcW w:w="4460" w:type="dxa"/>
            <w:vAlign w:val="bottom"/>
            <w:shd w:val="clear" w:color="auto" w:fill="232F84"/>
          </w:tcPr>
          <w:p>
            <w:pPr>
              <w:spacing w:after="0"/>
              <w:rPr>
                <w:sz w:val="17"/>
                <w:szCs w:val="17"/>
                <w:color w:val="auto"/>
              </w:rPr>
            </w:pPr>
          </w:p>
        </w:tc>
        <w:tc>
          <w:tcPr>
            <w:tcW w:w="3360" w:type="dxa"/>
            <w:vAlign w:val="bottom"/>
            <w:shd w:val="clear" w:color="auto" w:fill="232F84"/>
          </w:tcPr>
          <w:p>
            <w:pPr>
              <w:spacing w:after="0"/>
              <w:rPr>
                <w:sz w:val="17"/>
                <w:szCs w:val="17"/>
                <w:color w:val="auto"/>
              </w:rPr>
            </w:pPr>
          </w:p>
        </w:tc>
        <w:tc>
          <w:tcPr>
            <w:tcW w:w="1780" w:type="dxa"/>
            <w:vAlign w:val="bottom"/>
            <w:gridSpan w:val="2"/>
            <w:shd w:val="clear" w:color="auto" w:fill="232F84"/>
          </w:tcPr>
          <w:p>
            <w:pPr>
              <w:jc w:val="right"/>
              <w:spacing w:after="0"/>
              <w:rPr>
                <w:sz w:val="20"/>
                <w:szCs w:val="20"/>
                <w:color w:val="auto"/>
              </w:rPr>
            </w:pPr>
            <w:r>
              <w:rPr>
                <w:rFonts w:ascii="Arial" w:cs="Arial" w:eastAsia="Arial" w:hAnsi="Arial"/>
                <w:sz w:val="14"/>
                <w:szCs w:val="14"/>
                <w:b w:val="1"/>
                <w:bCs w:val="1"/>
                <w:color w:val="FFFFFF"/>
              </w:rPr>
              <w:t>January 31,</w:t>
            </w:r>
          </w:p>
        </w:tc>
        <w:tc>
          <w:tcPr>
            <w:tcW w:w="1200" w:type="dxa"/>
            <w:vAlign w:val="bottom"/>
            <w:shd w:val="clear" w:color="auto" w:fill="232F84"/>
          </w:tcPr>
          <w:p>
            <w:pPr>
              <w:spacing w:after="0"/>
              <w:rPr>
                <w:sz w:val="17"/>
                <w:szCs w:val="17"/>
                <w:color w:val="auto"/>
              </w:rPr>
            </w:pPr>
          </w:p>
        </w:tc>
        <w:tc>
          <w:tcPr>
            <w:tcW w:w="20" w:type="dxa"/>
            <w:vAlign w:val="bottom"/>
            <w:shd w:val="clear" w:color="auto" w:fill="232F84"/>
          </w:tcPr>
          <w:p>
            <w:pPr>
              <w:spacing w:after="0"/>
              <w:rPr>
                <w:sz w:val="17"/>
                <w:szCs w:val="17"/>
                <w:color w:val="auto"/>
              </w:rPr>
            </w:pPr>
          </w:p>
        </w:tc>
      </w:tr>
      <w:tr>
        <w:trPr>
          <w:trHeight w:val="226"/>
        </w:trPr>
        <w:tc>
          <w:tcPr>
            <w:tcW w:w="4880" w:type="dxa"/>
            <w:vAlign w:val="bottom"/>
            <w:gridSpan w:val="2"/>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3360" w:type="dxa"/>
            <w:vAlign w:val="bottom"/>
            <w:shd w:val="clear" w:color="auto" w:fill="232F84"/>
          </w:tcPr>
          <w:p>
            <w:pPr>
              <w:spacing w:after="0"/>
              <w:rPr>
                <w:sz w:val="19"/>
                <w:szCs w:val="19"/>
                <w:color w:val="auto"/>
              </w:rPr>
            </w:pPr>
          </w:p>
        </w:tc>
        <w:tc>
          <w:tcPr>
            <w:tcW w:w="136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420" w:type="dxa"/>
            <w:vAlign w:val="bottom"/>
            <w:shd w:val="clear" w:color="auto" w:fill="232F84"/>
          </w:tcPr>
          <w:p>
            <w:pPr>
              <w:spacing w:after="0"/>
              <w:rPr>
                <w:sz w:val="19"/>
                <w:szCs w:val="19"/>
                <w:color w:val="auto"/>
              </w:rPr>
            </w:pPr>
          </w:p>
        </w:tc>
        <w:tc>
          <w:tcPr>
            <w:tcW w:w="1200" w:type="dxa"/>
            <w:vAlign w:val="bottom"/>
            <w:shd w:val="clear" w:color="auto" w:fill="232F84"/>
          </w:tcPr>
          <w:p>
            <w:pPr>
              <w:jc w:val="right"/>
              <w:ind w:right="28"/>
              <w:spacing w:after="0"/>
              <w:rPr>
                <w:sz w:val="20"/>
                <w:szCs w:val="20"/>
                <w:color w:val="auto"/>
              </w:rPr>
            </w:pPr>
            <w:r>
              <w:rPr>
                <w:rFonts w:ascii="Arial" w:cs="Arial" w:eastAsia="Arial" w:hAnsi="Arial"/>
                <w:sz w:val="14"/>
                <w:szCs w:val="14"/>
                <w:b w:val="1"/>
                <w:bCs w:val="1"/>
                <w:color w:val="FFFFFF"/>
              </w:rPr>
              <w:t>2020</w:t>
            </w:r>
          </w:p>
        </w:tc>
        <w:tc>
          <w:tcPr>
            <w:tcW w:w="20" w:type="dxa"/>
            <w:vAlign w:val="bottom"/>
            <w:shd w:val="clear" w:color="auto" w:fill="232F84"/>
          </w:tcPr>
          <w:p>
            <w:pPr>
              <w:spacing w:after="0"/>
              <w:rPr>
                <w:sz w:val="19"/>
                <w:szCs w:val="19"/>
                <w:color w:val="auto"/>
              </w:rPr>
            </w:pPr>
          </w:p>
        </w:tc>
      </w:tr>
      <w:tr>
        <w:trPr>
          <w:trHeight w:val="216"/>
        </w:trPr>
        <w:tc>
          <w:tcPr>
            <w:tcW w:w="488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Losses on derivative financial instruments</w:t>
            </w:r>
          </w:p>
        </w:tc>
        <w:tc>
          <w:tcPr>
            <w:tcW w:w="3360" w:type="dxa"/>
            <w:vAlign w:val="bottom"/>
            <w:shd w:val="clear" w:color="auto" w:fill="43C0B9"/>
          </w:tcPr>
          <w:p>
            <w:pPr>
              <w:jc w:val="right"/>
              <w:ind w:right="67"/>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43C0B9"/>
          </w:tcPr>
          <w:p>
            <w:pPr>
              <w:jc w:val="center"/>
              <w:ind w:left="848"/>
              <w:spacing w:after="0"/>
              <w:rPr>
                <w:sz w:val="20"/>
                <w:szCs w:val="20"/>
                <w:color w:val="auto"/>
              </w:rPr>
            </w:pPr>
            <w:r>
              <w:rPr>
                <w:rFonts w:ascii="Arial" w:cs="Arial" w:eastAsia="Arial" w:hAnsi="Arial"/>
                <w:sz w:val="14"/>
                <w:szCs w:val="14"/>
                <w:color w:val="auto"/>
              </w:rPr>
              <w:t>0.3</w:t>
            </w:r>
          </w:p>
        </w:tc>
        <w:tc>
          <w:tcPr>
            <w:tcW w:w="20" w:type="dxa"/>
            <w:vAlign w:val="bottom"/>
            <w:shd w:val="clear" w:color="auto" w:fill="43C0B9"/>
          </w:tcPr>
          <w:p>
            <w:pPr>
              <w:spacing w:after="0"/>
              <w:rPr>
                <w:sz w:val="18"/>
                <w:szCs w:val="18"/>
                <w:color w:val="auto"/>
              </w:rPr>
            </w:pPr>
          </w:p>
        </w:tc>
      </w:tr>
      <w:tr>
        <w:trPr>
          <w:trHeight w:val="210"/>
        </w:trPr>
        <w:tc>
          <w:tcPr>
            <w:tcW w:w="4880" w:type="dxa"/>
            <w:vAlign w:val="bottom"/>
            <w:gridSpan w:val="2"/>
          </w:tcPr>
          <w:p>
            <w:pPr>
              <w:ind w:left="20"/>
              <w:spacing w:after="0"/>
              <w:rPr>
                <w:sz w:val="20"/>
                <w:szCs w:val="20"/>
                <w:color w:val="auto"/>
              </w:rPr>
            </w:pPr>
            <w:r>
              <w:rPr>
                <w:rFonts w:ascii="Arial" w:cs="Arial" w:eastAsia="Arial" w:hAnsi="Arial"/>
                <w:sz w:val="14"/>
                <w:szCs w:val="14"/>
                <w:color w:val="auto"/>
              </w:rPr>
              <w:t>Foreign currency loss</w:t>
            </w:r>
          </w:p>
        </w:tc>
        <w:tc>
          <w:tcPr>
            <w:tcW w:w="3360" w:type="dxa"/>
            <w:vAlign w:val="bottom"/>
          </w:tcPr>
          <w:p>
            <w:pPr>
              <w:spacing w:after="0"/>
              <w:rPr>
                <w:sz w:val="18"/>
                <w:szCs w:val="18"/>
                <w:color w:val="auto"/>
              </w:rPr>
            </w:pPr>
          </w:p>
        </w:tc>
        <w:tc>
          <w:tcPr>
            <w:tcW w:w="1360" w:type="dxa"/>
            <w:vAlign w:val="bottom"/>
          </w:tcPr>
          <w:p>
            <w:pPr>
              <w:jc w:val="right"/>
              <w:ind w:right="8"/>
              <w:spacing w:after="0"/>
              <w:rPr>
                <w:sz w:val="20"/>
                <w:szCs w:val="20"/>
                <w:color w:val="auto"/>
              </w:rPr>
            </w:pPr>
            <w:r>
              <w:rPr>
                <w:rFonts w:ascii="Arial" w:cs="Arial" w:eastAsia="Arial" w:hAnsi="Arial"/>
                <w:sz w:val="14"/>
                <w:szCs w:val="14"/>
                <w:color w:val="auto"/>
              </w:rPr>
              <w:t>0.6</w:t>
            </w:r>
          </w:p>
        </w:tc>
        <w:tc>
          <w:tcPr>
            <w:tcW w:w="420" w:type="dxa"/>
            <w:vAlign w:val="bottom"/>
          </w:tcPr>
          <w:p>
            <w:pPr>
              <w:spacing w:after="0"/>
              <w:rPr>
                <w:sz w:val="18"/>
                <w:szCs w:val="18"/>
                <w:color w:val="auto"/>
              </w:rPr>
            </w:pPr>
          </w:p>
        </w:tc>
        <w:tc>
          <w:tcPr>
            <w:tcW w:w="1200" w:type="dxa"/>
            <w:vAlign w:val="bottom"/>
          </w:tcPr>
          <w:p>
            <w:pPr>
              <w:jc w:val="center"/>
              <w:ind w:left="848"/>
              <w:spacing w:after="0"/>
              <w:rPr>
                <w:sz w:val="20"/>
                <w:szCs w:val="20"/>
                <w:color w:val="auto"/>
              </w:rPr>
            </w:pPr>
            <w:r>
              <w:rPr>
                <w:rFonts w:ascii="Arial" w:cs="Arial" w:eastAsia="Arial" w:hAnsi="Arial"/>
                <w:sz w:val="14"/>
                <w:szCs w:val="14"/>
                <w:color w:val="auto"/>
              </w:rPr>
              <w:t>0.8</w:t>
            </w:r>
          </w:p>
        </w:tc>
        <w:tc>
          <w:tcPr>
            <w:tcW w:w="20" w:type="dxa"/>
            <w:vAlign w:val="bottom"/>
          </w:tcPr>
          <w:p>
            <w:pPr>
              <w:spacing w:after="0"/>
              <w:rPr>
                <w:sz w:val="18"/>
                <w:szCs w:val="18"/>
                <w:color w:val="auto"/>
              </w:rPr>
            </w:pPr>
          </w:p>
        </w:tc>
      </w:tr>
      <w:tr>
        <w:trPr>
          <w:trHeight w:val="222"/>
        </w:trPr>
        <w:tc>
          <w:tcPr>
            <w:tcW w:w="4880" w:type="dxa"/>
            <w:vAlign w:val="bottom"/>
            <w:gridSpan w:val="2"/>
            <w:shd w:val="clear" w:color="auto" w:fill="43C0B9"/>
          </w:tcPr>
          <w:p>
            <w:pPr>
              <w:ind w:left="20"/>
              <w:spacing w:after="0"/>
              <w:rPr>
                <w:sz w:val="20"/>
                <w:szCs w:val="20"/>
                <w:color w:val="auto"/>
              </w:rPr>
            </w:pPr>
            <w:r>
              <w:rPr>
                <w:rFonts w:ascii="Arial" w:cs="Arial" w:eastAsia="Arial" w:hAnsi="Arial"/>
                <w:sz w:val="14"/>
                <w:szCs w:val="14"/>
                <w:color w:val="auto"/>
              </w:rPr>
              <w:t>Interest income</w:t>
            </w:r>
          </w:p>
        </w:tc>
        <w:tc>
          <w:tcPr>
            <w:tcW w:w="3360" w:type="dxa"/>
            <w:vAlign w:val="bottom"/>
            <w:shd w:val="clear" w:color="auto" w:fill="43C0B9"/>
          </w:tcPr>
          <w:p>
            <w:pPr>
              <w:spacing w:after="0"/>
              <w:rPr>
                <w:sz w:val="19"/>
                <w:szCs w:val="19"/>
                <w:color w:val="auto"/>
              </w:rPr>
            </w:pPr>
          </w:p>
        </w:tc>
        <w:tc>
          <w:tcPr>
            <w:tcW w:w="13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w:t>
            </w:r>
          </w:p>
        </w:tc>
        <w:tc>
          <w:tcPr>
            <w:tcW w:w="420" w:type="dxa"/>
            <w:vAlign w:val="bottom"/>
            <w:shd w:val="clear" w:color="auto" w:fill="43C0B9"/>
          </w:tcPr>
          <w:p>
            <w:pPr>
              <w:spacing w:after="0"/>
              <w:rPr>
                <w:sz w:val="19"/>
                <w:szCs w:val="19"/>
                <w:color w:val="auto"/>
              </w:rPr>
            </w:pPr>
          </w:p>
        </w:tc>
        <w:tc>
          <w:tcPr>
            <w:tcW w:w="1220" w:type="dxa"/>
            <w:vAlign w:val="bottom"/>
            <w:gridSpan w:val="2"/>
            <w:shd w:val="clear" w:color="auto" w:fill="43C0B9"/>
          </w:tcPr>
          <w:p>
            <w:pPr>
              <w:jc w:val="center"/>
              <w:ind w:left="808"/>
              <w:spacing w:after="0"/>
              <w:rPr>
                <w:sz w:val="20"/>
                <w:szCs w:val="20"/>
                <w:color w:val="auto"/>
              </w:rPr>
            </w:pPr>
            <w:r>
              <w:rPr>
                <w:rFonts w:ascii="Arial" w:cs="Arial" w:eastAsia="Arial" w:hAnsi="Arial"/>
                <w:sz w:val="14"/>
                <w:szCs w:val="14"/>
                <w:color w:val="auto"/>
              </w:rPr>
              <w:t>(0.4)</w:t>
            </w:r>
          </w:p>
        </w:tc>
      </w:tr>
      <w:tr>
        <w:trPr>
          <w:trHeight w:val="210"/>
        </w:trPr>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44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4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left="808"/>
              <w:spacing w:after="0"/>
              <w:rPr>
                <w:sz w:val="20"/>
                <w:szCs w:val="20"/>
                <w:color w:val="auto"/>
              </w:rPr>
            </w:pPr>
            <w:r>
              <w:rPr>
                <w:rFonts w:ascii="Arial" w:cs="Arial" w:eastAsia="Arial" w:hAnsi="Arial"/>
                <w:sz w:val="14"/>
                <w:szCs w:val="14"/>
                <w:color w:val="auto"/>
              </w:rPr>
              <w:t>(0.3)</w:t>
            </w:r>
          </w:p>
        </w:tc>
      </w:tr>
      <w:tr>
        <w:trPr>
          <w:trHeight w:val="209"/>
        </w:trPr>
        <w:tc>
          <w:tcPr>
            <w:tcW w:w="4880" w:type="dxa"/>
            <w:vAlign w:val="bottom"/>
            <w:tcBorders>
              <w:bottom w:val="single" w:sz="8" w:color="auto"/>
            </w:tcBorders>
            <w:gridSpan w:val="2"/>
            <w:shd w:val="clear" w:color="auto" w:fill="43C0B9"/>
          </w:tcPr>
          <w:p>
            <w:pPr>
              <w:ind w:left="20"/>
              <w:spacing w:after="0"/>
              <w:rPr>
                <w:sz w:val="20"/>
                <w:szCs w:val="20"/>
                <w:color w:val="auto"/>
              </w:rPr>
            </w:pPr>
            <w:r>
              <w:rPr>
                <w:rFonts w:ascii="Arial" w:cs="Arial" w:eastAsia="Arial" w:hAnsi="Arial"/>
                <w:sz w:val="14"/>
                <w:szCs w:val="14"/>
                <w:color w:val="auto"/>
              </w:rPr>
              <w:t>Other expense</w:t>
            </w:r>
          </w:p>
        </w:tc>
        <w:tc>
          <w:tcPr>
            <w:tcW w:w="3360" w:type="dxa"/>
            <w:vAlign w:val="bottom"/>
            <w:tcBorders>
              <w:bottom w:val="single" w:sz="8" w:color="auto"/>
            </w:tcBorders>
            <w:shd w:val="clear" w:color="auto" w:fill="43C0B9"/>
          </w:tcPr>
          <w:p>
            <w:pPr>
              <w:jc w:val="right"/>
              <w:ind w:right="67"/>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43C0B9"/>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43C0B9"/>
          </w:tcPr>
          <w:p>
            <w:pPr>
              <w:jc w:val="center"/>
              <w:ind w:left="848"/>
              <w:spacing w:after="0"/>
              <w:rPr>
                <w:sz w:val="20"/>
                <w:szCs w:val="20"/>
                <w:color w:val="auto"/>
              </w:rPr>
            </w:pPr>
            <w:r>
              <w:rPr>
                <w:rFonts w:ascii="Arial" w:cs="Arial" w:eastAsia="Arial" w:hAnsi="Arial"/>
                <w:sz w:val="14"/>
                <w:szCs w:val="14"/>
                <w:color w:val="auto"/>
              </w:rPr>
              <w:t>0.4</w:t>
            </w:r>
          </w:p>
        </w:tc>
        <w:tc>
          <w:tcPr>
            <w:tcW w:w="20" w:type="dxa"/>
            <w:vAlign w:val="bottom"/>
            <w:tcBorders>
              <w:bottom w:val="single" w:sz="8" w:color="auto"/>
            </w:tcBorders>
            <w:shd w:val="clear" w:color="auto" w:fill="43C0B9"/>
          </w:tcPr>
          <w:p>
            <w:pPr>
              <w:spacing w:after="0"/>
              <w:rPr>
                <w:sz w:val="18"/>
                <w:szCs w:val="18"/>
                <w:color w:val="auto"/>
              </w:rPr>
            </w:pPr>
          </w:p>
        </w:tc>
      </w:tr>
      <w:tr>
        <w:trPr>
          <w:trHeight w:val="763"/>
        </w:trPr>
        <w:tc>
          <w:tcPr>
            <w:tcW w:w="4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360" w:type="dxa"/>
            <w:vAlign w:val="bottom"/>
          </w:tcPr>
          <w:p>
            <w:pPr>
              <w:jc w:val="right"/>
              <w:ind w:right="2127"/>
              <w:spacing w:after="0"/>
              <w:rPr>
                <w:sz w:val="20"/>
                <w:szCs w:val="20"/>
                <w:color w:val="auto"/>
              </w:rPr>
            </w:pPr>
            <w:r>
              <w:rPr>
                <w:rFonts w:ascii="Arial" w:cs="Arial" w:eastAsia="Arial" w:hAnsi="Arial"/>
                <w:sz w:val="16"/>
                <w:szCs w:val="16"/>
                <w:color w:val="auto"/>
              </w:rPr>
              <w:t>10</w:t>
            </w: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17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ind w:left="440" w:hanging="432"/>
        <w:spacing w:after="0"/>
        <w:tabs>
          <w:tab w:leader="none" w:pos="440" w:val="left"/>
        </w:tabs>
        <w:numPr>
          <w:ilvl w:val="0"/>
          <w:numId w:val="5"/>
        </w:numPr>
        <w:rPr>
          <w:rFonts w:ascii="Arial" w:cs="Arial" w:eastAsia="Arial" w:hAnsi="Arial"/>
          <w:sz w:val="20"/>
          <w:szCs w:val="20"/>
          <w:b w:val="1"/>
          <w:bCs w:val="1"/>
          <w:color w:val="232F84"/>
        </w:rPr>
      </w:pPr>
      <w:r>
        <w:rPr>
          <w:rFonts w:ascii="Arial" w:cs="Arial" w:eastAsia="Arial" w:hAnsi="Arial"/>
          <w:sz w:val="20"/>
          <w:szCs w:val="20"/>
          <w:b w:val="1"/>
          <w:bCs w:val="1"/>
          <w:color w:val="232F84"/>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Credit facility</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Long-term debt under our credit facility with Bank of America (“BoA”) Merrill Lynch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300" w:type="dxa"/>
            <w:vAlign w:val="bottom"/>
            <w:shd w:val="clear" w:color="auto" w:fill="232F84"/>
          </w:tcPr>
          <w:p>
            <w:pPr>
              <w:spacing w:after="0"/>
              <w:rPr>
                <w:sz w:val="18"/>
                <w:szCs w:val="18"/>
                <w:color w:val="auto"/>
              </w:rPr>
            </w:pPr>
          </w:p>
        </w:tc>
        <w:tc>
          <w:tcPr>
            <w:tcW w:w="13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January 31, 2021</w:t>
            </w:r>
          </w:p>
        </w:tc>
        <w:tc>
          <w:tcPr>
            <w:tcW w:w="300" w:type="dxa"/>
            <w:vAlign w:val="bottom"/>
            <w:shd w:val="clear" w:color="auto" w:fill="232F84"/>
          </w:tcPr>
          <w:p>
            <w:pPr>
              <w:spacing w:after="0"/>
              <w:rPr>
                <w:sz w:val="18"/>
                <w:szCs w:val="18"/>
                <w:color w:val="auto"/>
              </w:rPr>
            </w:pPr>
          </w:p>
        </w:tc>
        <w:tc>
          <w:tcPr>
            <w:tcW w:w="13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r>
      <w:tr>
        <w:trPr>
          <w:trHeight w:val="194"/>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Revolving line of credit. The interest rate is variable, based on LIBOR plus a spread that varies with the Company’s</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leverage ratio. As of January 31, 2021 and October 31, 2020, the interest rate was 1.87% and 1.90%, respectively. Interest</w:t>
            </w:r>
          </w:p>
        </w:tc>
        <w:tc>
          <w:tcPr>
            <w:tcW w:w="300" w:type="dxa"/>
            <w:vAlign w:val="bottom"/>
            <w:shd w:val="clear" w:color="auto" w:fill="43C0B9"/>
          </w:tcPr>
          <w:p>
            <w:pPr>
              <w:spacing w:after="0"/>
              <w:rPr>
                <w:sz w:val="14"/>
                <w:szCs w:val="14"/>
                <w:color w:val="auto"/>
              </w:rPr>
            </w:pPr>
          </w:p>
        </w:tc>
        <w:tc>
          <w:tcPr>
            <w:tcW w:w="1360" w:type="dxa"/>
            <w:vAlign w:val="bottom"/>
            <w:shd w:val="clear" w:color="auto" w:fill="43C0B9"/>
          </w:tcPr>
          <w:p>
            <w:pPr>
              <w:spacing w:after="0"/>
              <w:rPr>
                <w:sz w:val="14"/>
                <w:szCs w:val="14"/>
                <w:color w:val="auto"/>
              </w:rPr>
            </w:pPr>
          </w:p>
        </w:tc>
        <w:tc>
          <w:tcPr>
            <w:tcW w:w="300" w:type="dxa"/>
            <w:vAlign w:val="bottom"/>
            <w:shd w:val="clear" w:color="auto" w:fill="43C0B9"/>
          </w:tcPr>
          <w:p>
            <w:pPr>
              <w:spacing w:after="0"/>
              <w:rPr>
                <w:sz w:val="14"/>
                <w:szCs w:val="14"/>
                <w:color w:val="auto"/>
              </w:rPr>
            </w:pPr>
          </w:p>
        </w:tc>
        <w:tc>
          <w:tcPr>
            <w:tcW w:w="1320" w:type="dxa"/>
            <w:vAlign w:val="bottom"/>
            <w:shd w:val="clear" w:color="auto" w:fill="43C0B9"/>
          </w:tcPr>
          <w:p>
            <w:pPr>
              <w:spacing w:after="0"/>
              <w:rPr>
                <w:sz w:val="14"/>
                <w:szCs w:val="14"/>
                <w:color w:val="auto"/>
              </w:rPr>
            </w:pPr>
          </w:p>
        </w:tc>
      </w:tr>
      <w:tr>
        <w:trPr>
          <w:trHeight w:val="184"/>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is payable monthly and principal is due in full in October 2023.</w:t>
            </w:r>
          </w:p>
        </w:tc>
        <w:tc>
          <w:tcPr>
            <w:tcW w:w="300" w:type="dxa"/>
            <w:vAlign w:val="bottom"/>
            <w:shd w:val="clear" w:color="auto" w:fill="43C0B9"/>
          </w:tcPr>
          <w:p>
            <w:pPr>
              <w:spacing w:after="0"/>
              <w:rPr>
                <w:sz w:val="16"/>
                <w:szCs w:val="16"/>
                <w:color w:val="auto"/>
              </w:rPr>
            </w:pPr>
          </w:p>
        </w:tc>
        <w:tc>
          <w:tcPr>
            <w:tcW w:w="1360" w:type="dxa"/>
            <w:vAlign w:val="bottom"/>
            <w:shd w:val="clear" w:color="auto" w:fill="43C0B9"/>
          </w:tcPr>
          <w:p>
            <w:pPr>
              <w:spacing w:after="0"/>
              <w:rPr>
                <w:sz w:val="16"/>
                <w:szCs w:val="16"/>
                <w:color w:val="auto"/>
              </w:rPr>
            </w:pPr>
          </w:p>
        </w:tc>
        <w:tc>
          <w:tcPr>
            <w:tcW w:w="300" w:type="dxa"/>
            <w:vAlign w:val="bottom"/>
            <w:shd w:val="clear" w:color="auto" w:fill="43C0B9"/>
          </w:tcPr>
          <w:p>
            <w:pPr>
              <w:spacing w:after="0"/>
              <w:rPr>
                <w:sz w:val="16"/>
                <w:szCs w:val="16"/>
                <w:color w:val="auto"/>
              </w:rPr>
            </w:pPr>
          </w:p>
        </w:tc>
        <w:tc>
          <w:tcPr>
            <w:tcW w:w="1320" w:type="dxa"/>
            <w:vAlign w:val="bottom"/>
            <w:shd w:val="clear" w:color="auto" w:fill="43C0B9"/>
          </w:tcPr>
          <w:p>
            <w:pPr>
              <w:spacing w:after="0"/>
              <w:rPr>
                <w:sz w:val="16"/>
                <w:szCs w:val="16"/>
                <w:color w:val="auto"/>
              </w:rPr>
            </w:pP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color w:val="auto"/>
              </w:rPr>
              <w:t>Senior term loan (A-1). The interest rate is variable, based on LIBOR plus a spread that varies with the Company’s leverage</w:t>
            </w:r>
          </w:p>
        </w:tc>
        <w:tc>
          <w:tcPr>
            <w:tcW w:w="30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93.8</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95.0</w:t>
            </w:r>
          </w:p>
        </w:tc>
      </w:tr>
      <w:tr>
        <w:trPr>
          <w:trHeight w:val="162"/>
        </w:trPr>
        <w:tc>
          <w:tcPr>
            <w:tcW w:w="7960" w:type="dxa"/>
            <w:vAlign w:val="bottom"/>
          </w:tcPr>
          <w:p>
            <w:pPr>
              <w:ind w:left="20"/>
              <w:spacing w:after="0"/>
              <w:rPr>
                <w:sz w:val="20"/>
                <w:szCs w:val="20"/>
                <w:color w:val="auto"/>
              </w:rPr>
            </w:pPr>
            <w:r>
              <w:rPr>
                <w:rFonts w:ascii="Arial" w:cs="Arial" w:eastAsia="Arial" w:hAnsi="Arial"/>
                <w:sz w:val="14"/>
                <w:szCs w:val="14"/>
                <w:color w:val="auto"/>
              </w:rPr>
              <w:t>ratio. As of January 31, 2021 and October 31, 2020, the interest rate was 1.87% and 1.90%, respectively. Interest is</w:t>
            </w: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8"/>
        </w:trPr>
        <w:tc>
          <w:tcPr>
            <w:tcW w:w="7960" w:type="dxa"/>
            <w:vAlign w:val="bottom"/>
          </w:tcPr>
          <w:p>
            <w:pPr>
              <w:ind w:left="20"/>
              <w:spacing w:after="0"/>
              <w:rPr>
                <w:sz w:val="20"/>
                <w:szCs w:val="20"/>
                <w:color w:val="auto"/>
              </w:rPr>
            </w:pPr>
            <w:r>
              <w:rPr>
                <w:rFonts w:ascii="Arial" w:cs="Arial" w:eastAsia="Arial" w:hAnsi="Arial"/>
                <w:sz w:val="14"/>
                <w:szCs w:val="14"/>
                <w:color w:val="auto"/>
              </w:rPr>
              <w:t>payable monthly, principal is payable quarterly and due in full in October 2023.</w:t>
            </w:r>
          </w:p>
        </w:tc>
        <w:tc>
          <w:tcPr>
            <w:tcW w:w="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0"/>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Senior term loan (A-2). The interest rate is variable, based on LIBOR plus a spread that varies with the Company’s leverage</w:t>
            </w:r>
          </w:p>
        </w:tc>
        <w:tc>
          <w:tcPr>
            <w:tcW w:w="300" w:type="dxa"/>
            <w:vAlign w:val="bottom"/>
            <w:shd w:val="clear" w:color="auto" w:fill="43C0B9"/>
          </w:tcPr>
          <w:p>
            <w:pPr>
              <w:spacing w:after="0"/>
              <w:rPr>
                <w:sz w:val="17"/>
                <w:szCs w:val="17"/>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73.3</w:t>
            </w:r>
          </w:p>
        </w:tc>
        <w:tc>
          <w:tcPr>
            <w:tcW w:w="300" w:type="dxa"/>
            <w:vAlign w:val="bottom"/>
            <w:shd w:val="clear" w:color="auto" w:fill="43C0B9"/>
          </w:tcPr>
          <w:p>
            <w:pPr>
              <w:spacing w:after="0"/>
              <w:rPr>
                <w:sz w:val="17"/>
                <w:szCs w:val="17"/>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73.5</w:t>
            </w:r>
          </w:p>
        </w:tc>
      </w:tr>
      <w:tr>
        <w:trPr>
          <w:trHeight w:val="162"/>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ratio. As of January 31, 2021 and October 31, 2020, the interest rate was 2.37% and 2.40% respectively. Interest is payable</w:t>
            </w:r>
          </w:p>
        </w:tc>
        <w:tc>
          <w:tcPr>
            <w:tcW w:w="300" w:type="dxa"/>
            <w:vAlign w:val="bottom"/>
            <w:shd w:val="clear" w:color="auto" w:fill="43C0B9"/>
          </w:tcPr>
          <w:p>
            <w:pPr>
              <w:spacing w:after="0"/>
              <w:rPr>
                <w:sz w:val="14"/>
                <w:szCs w:val="14"/>
                <w:color w:val="auto"/>
              </w:rPr>
            </w:pPr>
          </w:p>
        </w:tc>
        <w:tc>
          <w:tcPr>
            <w:tcW w:w="1360" w:type="dxa"/>
            <w:vAlign w:val="bottom"/>
            <w:shd w:val="clear" w:color="auto" w:fill="43C0B9"/>
          </w:tcPr>
          <w:p>
            <w:pPr>
              <w:spacing w:after="0"/>
              <w:rPr>
                <w:sz w:val="14"/>
                <w:szCs w:val="14"/>
                <w:color w:val="auto"/>
              </w:rPr>
            </w:pPr>
          </w:p>
        </w:tc>
        <w:tc>
          <w:tcPr>
            <w:tcW w:w="300" w:type="dxa"/>
            <w:vAlign w:val="bottom"/>
            <w:shd w:val="clear" w:color="auto" w:fill="43C0B9"/>
          </w:tcPr>
          <w:p>
            <w:pPr>
              <w:spacing w:after="0"/>
              <w:rPr>
                <w:sz w:val="14"/>
                <w:szCs w:val="14"/>
                <w:color w:val="auto"/>
              </w:rPr>
            </w:pPr>
          </w:p>
        </w:tc>
        <w:tc>
          <w:tcPr>
            <w:tcW w:w="1320" w:type="dxa"/>
            <w:vAlign w:val="bottom"/>
            <w:shd w:val="clear" w:color="auto" w:fill="43C0B9"/>
          </w:tcPr>
          <w:p>
            <w:pPr>
              <w:spacing w:after="0"/>
              <w:rPr>
                <w:sz w:val="14"/>
                <w:szCs w:val="14"/>
                <w:color w:val="auto"/>
              </w:rPr>
            </w:pPr>
          </w:p>
        </w:tc>
      </w:tr>
      <w:tr>
        <w:trPr>
          <w:trHeight w:val="184"/>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monthly, principal is payable quarterly and due in full in October 2025.</w:t>
            </w:r>
          </w:p>
        </w:tc>
        <w:tc>
          <w:tcPr>
            <w:tcW w:w="300" w:type="dxa"/>
            <w:vAlign w:val="bottom"/>
            <w:shd w:val="clear" w:color="auto" w:fill="43C0B9"/>
          </w:tcPr>
          <w:p>
            <w:pPr>
              <w:spacing w:after="0"/>
              <w:rPr>
                <w:sz w:val="16"/>
                <w:szCs w:val="16"/>
                <w:color w:val="auto"/>
              </w:rPr>
            </w:pPr>
          </w:p>
        </w:tc>
        <w:tc>
          <w:tcPr>
            <w:tcW w:w="1360" w:type="dxa"/>
            <w:vAlign w:val="bottom"/>
            <w:shd w:val="clear" w:color="auto" w:fill="43C0B9"/>
          </w:tcPr>
          <w:p>
            <w:pPr>
              <w:spacing w:after="0"/>
              <w:rPr>
                <w:sz w:val="16"/>
                <w:szCs w:val="16"/>
                <w:color w:val="auto"/>
              </w:rPr>
            </w:pPr>
          </w:p>
        </w:tc>
        <w:tc>
          <w:tcPr>
            <w:tcW w:w="300" w:type="dxa"/>
            <w:vAlign w:val="bottom"/>
            <w:shd w:val="clear" w:color="auto" w:fill="43C0B9"/>
          </w:tcPr>
          <w:p>
            <w:pPr>
              <w:spacing w:after="0"/>
              <w:rPr>
                <w:sz w:val="16"/>
                <w:szCs w:val="16"/>
                <w:color w:val="auto"/>
              </w:rPr>
            </w:pPr>
          </w:p>
        </w:tc>
        <w:tc>
          <w:tcPr>
            <w:tcW w:w="1320" w:type="dxa"/>
            <w:vAlign w:val="bottom"/>
            <w:shd w:val="clear" w:color="auto" w:fill="43C0B9"/>
          </w:tcPr>
          <w:p>
            <w:pPr>
              <w:spacing w:after="0"/>
              <w:rPr>
                <w:sz w:val="16"/>
                <w:szCs w:val="16"/>
                <w:color w:val="auto"/>
              </w:rPr>
            </w:pPr>
          </w:p>
        </w:tc>
      </w:tr>
      <w:tr>
        <w:trPr>
          <w:trHeight w:val="194"/>
        </w:trPr>
        <w:tc>
          <w:tcPr>
            <w:tcW w:w="7960" w:type="dxa"/>
            <w:vAlign w:val="bottom"/>
          </w:tcPr>
          <w:p>
            <w:pPr>
              <w:ind w:left="20"/>
              <w:spacing w:after="0"/>
              <w:rPr>
                <w:sz w:val="20"/>
                <w:szCs w:val="20"/>
                <w:color w:val="auto"/>
              </w:rPr>
            </w:pPr>
            <w:r>
              <w:rPr>
                <w:rFonts w:ascii="Arial" w:cs="Arial" w:eastAsia="Arial" w:hAnsi="Arial"/>
                <w:sz w:val="14"/>
                <w:szCs w:val="14"/>
                <w:color w:val="auto"/>
              </w:rPr>
              <w:t>Notes payable to BoA. Payable in monthly installments including interest at a weight average rate of 4.60% and 4.52% as</w:t>
            </w:r>
          </w:p>
        </w:tc>
        <w:tc>
          <w:tcPr>
            <w:tcW w:w="30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3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6.2</w:t>
            </w:r>
          </w:p>
        </w:tc>
      </w:tr>
      <w:tr>
        <w:trPr>
          <w:trHeight w:val="178"/>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of January 31, 2021 and October 31, 2020, respectively. Principal is due September 2025.</w:t>
            </w:r>
          </w:p>
        </w:tc>
        <w:tc>
          <w:tcPr>
            <w:tcW w:w="3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215"/>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long-term debt</w:t>
            </w:r>
          </w:p>
        </w:tc>
        <w:tc>
          <w:tcPr>
            <w:tcW w:w="30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172.5</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174.7</w:t>
            </w:r>
          </w:p>
        </w:tc>
      </w:tr>
      <w:tr>
        <w:trPr>
          <w:trHeight w:val="21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debt issuance costs</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16"/>
        </w:trPr>
        <w:tc>
          <w:tcPr>
            <w:tcW w:w="7960" w:type="dxa"/>
            <w:vAlign w:val="bottom"/>
            <w:shd w:val="clear" w:color="auto" w:fill="43C0B9"/>
          </w:tcPr>
          <w:p>
            <w:pPr>
              <w:ind w:left="20"/>
              <w:spacing w:after="0"/>
              <w:rPr>
                <w:sz w:val="20"/>
                <w:szCs w:val="20"/>
                <w:color w:val="auto"/>
              </w:rPr>
            </w:pPr>
            <w:r>
              <w:rPr>
                <w:rFonts w:ascii="Arial" w:cs="Arial" w:eastAsia="Arial" w:hAnsi="Arial"/>
                <w:sz w:val="14"/>
                <w:szCs w:val="14"/>
                <w:color w:val="auto"/>
              </w:rPr>
              <w:t>Long-term debt, net of debt issuance costs</w:t>
            </w:r>
          </w:p>
        </w:tc>
        <w:tc>
          <w:tcPr>
            <w:tcW w:w="300" w:type="dxa"/>
            <w:vAlign w:val="bottom"/>
            <w:shd w:val="clear" w:color="auto" w:fill="43C0B9"/>
          </w:tcPr>
          <w:p>
            <w:pPr>
              <w:spacing w:after="0"/>
              <w:rPr>
                <w:sz w:val="18"/>
                <w:szCs w:val="18"/>
                <w:color w:val="auto"/>
              </w:rPr>
            </w:pP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172.0</w:t>
            </w:r>
          </w:p>
        </w:tc>
        <w:tc>
          <w:tcPr>
            <w:tcW w:w="300" w:type="dxa"/>
            <w:vAlign w:val="bottom"/>
            <w:shd w:val="clear" w:color="auto" w:fill="43C0B9"/>
          </w:tcPr>
          <w:p>
            <w:pPr>
              <w:spacing w:after="0"/>
              <w:rPr>
                <w:sz w:val="18"/>
                <w:szCs w:val="18"/>
                <w:color w:val="auto"/>
              </w:rPr>
            </w:pP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174.1</w:t>
            </w:r>
          </w:p>
        </w:tc>
      </w:tr>
      <w:tr>
        <w:trPr>
          <w:trHeight w:val="21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Less current portion of long-term debt</w:t>
            </w:r>
          </w:p>
        </w:tc>
        <w:tc>
          <w:tcPr>
            <w:tcW w:w="3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r>
      <w:tr>
        <w:trPr>
          <w:trHeight w:val="209"/>
        </w:trPr>
        <w:tc>
          <w:tcPr>
            <w:tcW w:w="79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Long-term debt, net of current portion</w:t>
            </w:r>
          </w:p>
        </w:tc>
        <w:tc>
          <w:tcPr>
            <w:tcW w:w="30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164.4</w:t>
            </w:r>
          </w:p>
        </w:tc>
        <w:tc>
          <w:tcPr>
            <w:tcW w:w="30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166.7</w:t>
            </w:r>
          </w:p>
        </w:tc>
      </w:tr>
    </w:tbl>
    <w:p>
      <w:pPr>
        <w:spacing w:after="0" w:line="218" w:lineRule="exact"/>
        <w:rPr>
          <w:sz w:val="20"/>
          <w:szCs w:val="20"/>
          <w:color w:val="auto"/>
        </w:rPr>
      </w:pPr>
    </w:p>
    <w:p>
      <w:pPr>
        <w:ind w:right="100" w:firstLine="648"/>
        <w:spacing w:after="0" w:line="253" w:lineRule="auto"/>
        <w:rPr>
          <w:sz w:val="20"/>
          <w:szCs w:val="20"/>
          <w:color w:val="auto"/>
        </w:rPr>
      </w:pPr>
      <w:r>
        <w:rPr>
          <w:rFonts w:ascii="Arial" w:cs="Arial" w:eastAsia="Arial" w:hAnsi="Arial"/>
          <w:sz w:val="16"/>
          <w:szCs w:val="16"/>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January 31, 2021, the Company was in compliance with all covenants of the credit facility.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Interest rate swaps</w:t>
      </w:r>
    </w:p>
    <w:p>
      <w:pPr>
        <w:spacing w:after="0" w:line="241" w:lineRule="exact"/>
        <w:rPr>
          <w:sz w:val="20"/>
          <w:szCs w:val="20"/>
          <w:color w:val="auto"/>
        </w:rPr>
      </w:pPr>
    </w:p>
    <w:p>
      <w:pPr>
        <w:ind w:right="100" w:firstLine="648"/>
        <w:spacing w:after="0" w:line="250" w:lineRule="auto"/>
        <w:rPr>
          <w:sz w:val="20"/>
          <w:szCs w:val="20"/>
          <w:color w:val="auto"/>
        </w:rPr>
      </w:pPr>
      <w:r>
        <w:rPr>
          <w:rFonts w:ascii="Arial" w:cs="Arial" w:eastAsia="Arial" w:hAnsi="Arial"/>
          <w:sz w:val="16"/>
          <w:szCs w:val="16"/>
          <w:color w:val="auto"/>
        </w:rPr>
        <w:t>The Company has four separate interest rate swaps with a total notional amount of $100 million to hedge changes in the variable interest rate on $100 million of principal value of the Company’s term loans. The Company has not designated the interest rate swaps as cash flow hedges, and as a result, changes in the fair value of the interest rate swaps have been recorded in other expense in the condensed consolidated statements of comprehensive income and changes in the liability are presented in net cash used in operating activities in the condensed consolidated statements of cash flow. Refer to Note 7 for more details.</w:t>
      </w:r>
    </w:p>
    <w:p>
      <w:pPr>
        <w:spacing w:after="0" w:line="200" w:lineRule="exact"/>
        <w:rPr>
          <w:sz w:val="20"/>
          <w:szCs w:val="20"/>
          <w:color w:val="auto"/>
        </w:rPr>
      </w:pPr>
    </w:p>
    <w:p>
      <w:pPr>
        <w:spacing w:after="0" w:line="216" w:lineRule="exact"/>
        <w:rPr>
          <w:sz w:val="20"/>
          <w:szCs w:val="20"/>
          <w:color w:val="auto"/>
        </w:rPr>
      </w:pPr>
    </w:p>
    <w:p>
      <w:pPr>
        <w:ind w:left="500" w:hanging="492"/>
        <w:spacing w:after="0"/>
        <w:tabs>
          <w:tab w:leader="none" w:pos="500" w:val="left"/>
        </w:tabs>
        <w:numPr>
          <w:ilvl w:val="0"/>
          <w:numId w:val="6"/>
        </w:numPr>
        <w:rPr>
          <w:rFonts w:ascii="Arial" w:cs="Arial" w:eastAsia="Arial" w:hAnsi="Arial"/>
          <w:sz w:val="20"/>
          <w:szCs w:val="20"/>
          <w:b w:val="1"/>
          <w:bCs w:val="1"/>
          <w:color w:val="232F84"/>
        </w:rPr>
      </w:pPr>
      <w:r>
        <w:rPr>
          <w:rFonts w:ascii="Arial" w:cs="Arial" w:eastAsia="Arial" w:hAnsi="Arial"/>
          <w:sz w:val="20"/>
          <w:szCs w:val="20"/>
          <w:b w:val="1"/>
          <w:bCs w:val="1"/>
          <w:color w:val="232F84"/>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Other commitments</w:t>
      </w:r>
    </w:p>
    <w:p>
      <w:pPr>
        <w:spacing w:after="0" w:line="241" w:lineRule="exact"/>
        <w:rPr>
          <w:sz w:val="20"/>
          <w:szCs w:val="20"/>
          <w:color w:val="auto"/>
        </w:rPr>
      </w:pPr>
    </w:p>
    <w:p>
      <w:pPr>
        <w:ind w:right="100" w:firstLine="648"/>
        <w:spacing w:after="0" w:line="250" w:lineRule="auto"/>
        <w:rPr>
          <w:sz w:val="20"/>
          <w:szCs w:val="20"/>
          <w:color w:val="auto"/>
        </w:rPr>
      </w:pPr>
      <w:r>
        <w:rPr>
          <w:rFonts w:ascii="Arial" w:cs="Arial" w:eastAsia="Arial" w:hAnsi="Arial"/>
          <w:sz w:val="16"/>
          <w:szCs w:val="16"/>
          <w:color w:val="auto"/>
        </w:rPr>
        <w:t>In April 2020, we entered into an agreement with a general contractor to construct a new distribution facility in Laredo, Texas. This facility will support our distribution of Mexican sourced fruit into North American markets and will include border crossing, cold storage and value-added processing capabilities. The total estimated cost of the contract is $43.2 million, of which $38.9 million has been incurred as of January 31, 2021. As of January 31, 2021, $0.2 million of interest expense has been capitalized into property, plant and equipment in the condensed consolidated balance sheets. The project is scheduled for completion in the third quarter of fiscal year 2021.</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Litigation</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is involved from time to time in claims, proceedings, and litigation, including the following:</w:t>
      </w:r>
    </w:p>
    <w:p>
      <w:pPr>
        <w:spacing w:after="0" w:line="221" w:lineRule="exact"/>
        <w:rPr>
          <w:sz w:val="20"/>
          <w:szCs w:val="20"/>
          <w:color w:val="auto"/>
        </w:rPr>
      </w:pPr>
    </w:p>
    <w:p>
      <w:pPr>
        <w:ind w:right="40" w:firstLine="648"/>
        <w:spacing w:after="0" w:line="248" w:lineRule="auto"/>
        <w:rPr>
          <w:sz w:val="20"/>
          <w:szCs w:val="20"/>
          <w:color w:val="auto"/>
        </w:rPr>
      </w:pPr>
      <w:r>
        <w:rPr>
          <w:rFonts w:ascii="Arial" w:cs="Arial" w:eastAsia="Arial" w:hAnsi="Arial"/>
          <w:sz w:val="16"/>
          <w:szCs w:val="16"/>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seek damages primarily consisting of class certification and payment of wages earned and owed, plus other consequential and special damages. We are currently seeking to consolidate the two cases and narrow the potential classes. We believe that we have not violated any wage or labor laws and are vigorously defending against the claims. At this time, it is too soon to determine the outcome of the litigation. As a result, the Company has not accrued for any loss contingencies related to these claims because the amount and range of loss, if any, cannot currently be reasonably estimated.</w:t>
      </w:r>
    </w:p>
    <w:p>
      <w:pPr>
        <w:sectPr>
          <w:pgSz w:w="11900" w:h="16838" w:orient="portrait"/>
          <w:cols w:equalWidth="0" w:num="1">
            <w:col w:w="11240"/>
          </w:cols>
          <w:pgMar w:left="320" w:top="177"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77"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172" w:lineRule="exact"/>
        <w:rPr>
          <w:sz w:val="20"/>
          <w:szCs w:val="20"/>
          <w:color w:val="auto"/>
        </w:rPr>
      </w:pPr>
    </w:p>
    <w:p>
      <w:pPr>
        <w:ind w:left="440" w:hanging="432"/>
        <w:spacing w:after="0"/>
        <w:tabs>
          <w:tab w:leader="none" w:pos="440" w:val="left"/>
        </w:tabs>
        <w:numPr>
          <w:ilvl w:val="0"/>
          <w:numId w:val="7"/>
        </w:numPr>
        <w:rPr>
          <w:rFonts w:ascii="Arial" w:cs="Arial" w:eastAsia="Arial" w:hAnsi="Arial"/>
          <w:sz w:val="20"/>
          <w:szCs w:val="20"/>
          <w:b w:val="1"/>
          <w:bCs w:val="1"/>
          <w:color w:val="232F84"/>
        </w:rPr>
      </w:pPr>
      <w:r>
        <w:rPr>
          <w:rFonts w:ascii="Arial" w:cs="Arial" w:eastAsia="Arial" w:hAnsi="Arial"/>
          <w:sz w:val="20"/>
          <w:szCs w:val="20"/>
          <w:b w:val="1"/>
          <w:bCs w:val="1"/>
          <w:color w:val="232F84"/>
        </w:rPr>
        <w:t>Income Taxes</w:t>
      </w:r>
    </w:p>
    <w:p>
      <w:pPr>
        <w:spacing w:after="0" w:line="245" w:lineRule="exact"/>
        <w:rPr>
          <w:sz w:val="20"/>
          <w:szCs w:val="20"/>
          <w:color w:val="auto"/>
        </w:rPr>
      </w:pPr>
    </w:p>
    <w:p>
      <w:pPr>
        <w:ind w:right="100" w:firstLine="648"/>
        <w:spacing w:after="0" w:line="250" w:lineRule="auto"/>
        <w:rPr>
          <w:sz w:val="20"/>
          <w:szCs w:val="20"/>
          <w:color w:val="auto"/>
        </w:rPr>
      </w:pPr>
      <w:r>
        <w:rPr>
          <w:rFonts w:ascii="Arial" w:cs="Arial" w:eastAsia="Arial" w:hAnsi="Arial"/>
          <w:sz w:val="16"/>
          <w:szCs w:val="16"/>
          <w:color w:val="auto"/>
        </w:rPr>
        <w:t>The income tax expense recorded for the three months ended January 31, 2021 and 2020 differs from the income taxes expected at the U.S. federal statutory tax rate of 21.0%, primarily due to income attributable to foreign jurisdictions which is taxed at different rates, changes in foreign exchange rates taxable in foreign jurisdictions, state taxes, nondeductible tax items, and changes in uncertain tax positions (“UTP”). In addition, during the three months ended January 31, 2021, the Company recorded a discrete tax expense of $5.1 million related to the remeasurement of our deferred tax liabilities in Peru due to the enactment of tax rate changes for future years.</w:t>
      </w:r>
    </w:p>
    <w:p>
      <w:pPr>
        <w:spacing w:after="0" w:line="203" w:lineRule="exact"/>
        <w:rPr>
          <w:sz w:val="20"/>
          <w:szCs w:val="20"/>
          <w:color w:val="auto"/>
        </w:rPr>
      </w:pPr>
    </w:p>
    <w:p>
      <w:pPr>
        <w:ind w:right="320" w:firstLine="648"/>
        <w:spacing w:after="0" w:line="250" w:lineRule="auto"/>
        <w:rPr>
          <w:sz w:val="20"/>
          <w:szCs w:val="20"/>
          <w:color w:val="auto"/>
        </w:rPr>
      </w:pPr>
      <w:r>
        <w:rPr>
          <w:rFonts w:ascii="Arial" w:cs="Arial" w:eastAsia="Arial" w:hAnsi="Arial"/>
          <w:sz w:val="16"/>
          <w:szCs w:val="16"/>
          <w:color w:val="auto"/>
        </w:rPr>
        <w:t>As of January 31, 2021, the Company had $14.9 million in UTP accrued, of which $7.4 million relates to interest and penalties, inclusive of inflationary adjustments. The period for assessing interest and penalties has expired. However, the Company continues to record certain statutory adjustments related to inflation. In the three months ended January 31, 2021, the Company recognized $0.3 million as income tax expense related to inflationary and other adjustments. The remaining increase of $0.7 million in the UTP was related to changes in foreign exchange rates during the period which has been included in other expense in the condensed consolidated statements of comprehensive income.</w:t>
      </w:r>
    </w:p>
    <w:p>
      <w:pPr>
        <w:spacing w:after="0" w:line="230"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On December 30, 2020, Peru enacted tax law effective January 1, 2021 repealing tax law which provided benefits to agribusiness entities. The new law will subject the Company to higher Peruvian tax rates than current rate of 15% as follows: 20% for calendar years 2023 to 2024, 25% for calendar years 2025 to 2027, and 29.5% thereafter. The Company recorded a $5.1 million deferred tax expense during the period ended January 31, 2021 to remeasure the deferred taxes at the tax rate the balances are expected to reverse.</w:t>
      </w:r>
    </w:p>
    <w:p>
      <w:pPr>
        <w:spacing w:after="0" w:line="173" w:lineRule="exact"/>
        <w:rPr>
          <w:sz w:val="20"/>
          <w:szCs w:val="20"/>
          <w:color w:val="auto"/>
        </w:rPr>
      </w:pPr>
    </w:p>
    <w:p>
      <w:pPr>
        <w:ind w:left="440" w:hanging="432"/>
        <w:spacing w:after="0"/>
        <w:tabs>
          <w:tab w:leader="none" w:pos="440" w:val="left"/>
        </w:tabs>
        <w:numPr>
          <w:ilvl w:val="0"/>
          <w:numId w:val="8"/>
        </w:numPr>
        <w:rPr>
          <w:rFonts w:ascii="Arial" w:cs="Arial" w:eastAsia="Arial" w:hAnsi="Arial"/>
          <w:sz w:val="20"/>
          <w:szCs w:val="20"/>
          <w:b w:val="1"/>
          <w:bCs w:val="1"/>
          <w:color w:val="232F84"/>
        </w:rPr>
      </w:pPr>
      <w:r>
        <w:rPr>
          <w:rFonts w:ascii="Arial" w:cs="Arial" w:eastAsia="Arial" w:hAnsi="Arial"/>
          <w:sz w:val="20"/>
          <w:szCs w:val="20"/>
          <w:b w:val="1"/>
          <w:bCs w:val="1"/>
          <w:color w:val="232F84"/>
        </w:rPr>
        <w:t>Fair Value Measurements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Financial liabilities measured and recorded at fair value on a recurring basis included in the condensed consolidated balance sheets were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520" w:type="dxa"/>
            <w:vAlign w:val="bottom"/>
            <w:shd w:val="clear" w:color="auto" w:fill="232F84"/>
          </w:tcPr>
          <w:p>
            <w:pPr>
              <w:spacing w:after="0"/>
              <w:rPr>
                <w:sz w:val="19"/>
                <w:szCs w:val="19"/>
                <w:color w:val="auto"/>
              </w:rPr>
            </w:pPr>
          </w:p>
        </w:tc>
        <w:tc>
          <w:tcPr>
            <w:tcW w:w="400" w:type="dxa"/>
            <w:vAlign w:val="bottom"/>
            <w:shd w:val="clear" w:color="auto" w:fill="232F84"/>
          </w:tcPr>
          <w:p>
            <w:pPr>
              <w:spacing w:after="0"/>
              <w:rPr>
                <w:sz w:val="19"/>
                <w:szCs w:val="19"/>
                <w:color w:val="auto"/>
              </w:rPr>
            </w:pPr>
          </w:p>
        </w:tc>
        <w:tc>
          <w:tcPr>
            <w:tcW w:w="700" w:type="dxa"/>
            <w:vAlign w:val="bottom"/>
            <w:shd w:val="clear" w:color="auto" w:fill="232F84"/>
          </w:tcPr>
          <w:p>
            <w:pPr>
              <w:spacing w:after="0"/>
              <w:rPr>
                <w:sz w:val="19"/>
                <w:szCs w:val="19"/>
                <w:color w:val="auto"/>
              </w:rPr>
            </w:pPr>
          </w:p>
        </w:tc>
        <w:tc>
          <w:tcPr>
            <w:tcW w:w="140" w:type="dxa"/>
            <w:vAlign w:val="bottom"/>
            <w:shd w:val="clear" w:color="auto" w:fill="232F84"/>
          </w:tcPr>
          <w:p>
            <w:pPr>
              <w:spacing w:after="0"/>
              <w:rPr>
                <w:sz w:val="19"/>
                <w:szCs w:val="19"/>
                <w:color w:val="auto"/>
              </w:rPr>
            </w:pPr>
          </w:p>
        </w:tc>
        <w:tc>
          <w:tcPr>
            <w:tcW w:w="2260" w:type="dxa"/>
            <w:vAlign w:val="bottom"/>
            <w:gridSpan w:val="2"/>
            <w:shd w:val="clear" w:color="auto" w:fill="232F84"/>
          </w:tcPr>
          <w:p>
            <w:pPr>
              <w:jc w:val="right"/>
              <w:ind w:right="448"/>
              <w:spacing w:after="0"/>
              <w:rPr>
                <w:sz w:val="20"/>
                <w:szCs w:val="20"/>
                <w:color w:val="auto"/>
              </w:rPr>
            </w:pPr>
            <w:r>
              <w:rPr>
                <w:rFonts w:ascii="Arial" w:cs="Arial" w:eastAsia="Arial" w:hAnsi="Arial"/>
                <w:sz w:val="14"/>
                <w:szCs w:val="14"/>
                <w:b w:val="1"/>
                <w:bCs w:val="1"/>
                <w:color w:val="FFFFFF"/>
              </w:rPr>
              <w:t>January 31, 2021</w:t>
            </w:r>
          </w:p>
        </w:tc>
        <w:tc>
          <w:tcPr>
            <w:tcW w:w="240" w:type="dxa"/>
            <w:vAlign w:val="bottom"/>
            <w:shd w:val="clear" w:color="auto" w:fill="232F84"/>
          </w:tcPr>
          <w:p>
            <w:pPr>
              <w:spacing w:after="0"/>
              <w:rPr>
                <w:sz w:val="19"/>
                <w:szCs w:val="19"/>
                <w:color w:val="auto"/>
              </w:rPr>
            </w:pPr>
          </w:p>
        </w:tc>
        <w:tc>
          <w:tcPr>
            <w:tcW w:w="1560" w:type="dxa"/>
            <w:vAlign w:val="bottom"/>
            <w:shd w:val="clear" w:color="auto" w:fill="232F84"/>
          </w:tcPr>
          <w:p>
            <w:pPr>
              <w:spacing w:after="0"/>
              <w:rPr>
                <w:sz w:val="19"/>
                <w:szCs w:val="19"/>
                <w:color w:val="auto"/>
              </w:rPr>
            </w:pPr>
          </w:p>
        </w:tc>
        <w:tc>
          <w:tcPr>
            <w:tcW w:w="700" w:type="dxa"/>
            <w:vAlign w:val="bottom"/>
            <w:shd w:val="clear" w:color="auto" w:fill="232F84"/>
          </w:tcPr>
          <w:p>
            <w:pPr>
              <w:spacing w:after="0"/>
              <w:rPr>
                <w:sz w:val="19"/>
                <w:szCs w:val="19"/>
                <w:color w:val="auto"/>
              </w:rPr>
            </w:pPr>
          </w:p>
        </w:tc>
        <w:tc>
          <w:tcPr>
            <w:tcW w:w="140" w:type="dxa"/>
            <w:vAlign w:val="bottom"/>
            <w:shd w:val="clear" w:color="auto" w:fill="232F84"/>
          </w:tcPr>
          <w:p>
            <w:pPr>
              <w:spacing w:after="0"/>
              <w:rPr>
                <w:sz w:val="19"/>
                <w:szCs w:val="19"/>
                <w:color w:val="auto"/>
              </w:rPr>
            </w:pPr>
          </w:p>
        </w:tc>
        <w:tc>
          <w:tcPr>
            <w:tcW w:w="228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October 31, 2020</w:t>
            </w:r>
          </w:p>
        </w:tc>
        <w:tc>
          <w:tcPr>
            <w:tcW w:w="220" w:type="dxa"/>
            <w:vAlign w:val="bottom"/>
            <w:shd w:val="clear" w:color="auto" w:fill="232F84"/>
          </w:tcPr>
          <w:p>
            <w:pPr>
              <w:spacing w:after="0"/>
              <w:rPr>
                <w:sz w:val="19"/>
                <w:szCs w:val="19"/>
                <w:color w:val="auto"/>
              </w:rPr>
            </w:pPr>
          </w:p>
        </w:tc>
        <w:tc>
          <w:tcPr>
            <w:tcW w:w="1080" w:type="dxa"/>
            <w:vAlign w:val="bottom"/>
            <w:shd w:val="clear" w:color="auto" w:fill="232F84"/>
          </w:tcPr>
          <w:p>
            <w:pPr>
              <w:spacing w:after="0"/>
              <w:rPr>
                <w:sz w:val="19"/>
                <w:szCs w:val="19"/>
                <w:color w:val="auto"/>
              </w:rPr>
            </w:pPr>
          </w:p>
        </w:tc>
      </w:tr>
      <w:tr>
        <w:trPr>
          <w:trHeight w:val="184"/>
        </w:trPr>
        <w:tc>
          <w:tcPr>
            <w:tcW w:w="1520" w:type="dxa"/>
            <w:vAlign w:val="bottom"/>
            <w:shd w:val="clear" w:color="auto" w:fill="232F84"/>
          </w:tcPr>
          <w:p>
            <w:pPr>
              <w:spacing w:after="0"/>
              <w:rPr>
                <w:sz w:val="15"/>
                <w:szCs w:val="15"/>
                <w:color w:val="auto"/>
              </w:rPr>
            </w:pPr>
          </w:p>
        </w:tc>
        <w:tc>
          <w:tcPr>
            <w:tcW w:w="40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140" w:type="dxa"/>
            <w:vAlign w:val="bottom"/>
            <w:shd w:val="clear" w:color="auto" w:fill="232F84"/>
          </w:tcPr>
          <w:p>
            <w:pPr>
              <w:spacing w:after="0"/>
              <w:rPr>
                <w:sz w:val="15"/>
                <w:szCs w:val="15"/>
                <w:color w:val="auto"/>
              </w:rPr>
            </w:pPr>
          </w:p>
        </w:tc>
        <w:tc>
          <w:tcPr>
            <w:tcW w:w="1300" w:type="dxa"/>
            <w:vAlign w:val="bottom"/>
            <w:shd w:val="clear" w:color="auto" w:fill="232F84"/>
          </w:tcPr>
          <w:p>
            <w:pPr>
              <w:spacing w:after="0"/>
              <w:rPr>
                <w:sz w:val="15"/>
                <w:szCs w:val="15"/>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Significant</w:t>
            </w:r>
          </w:p>
        </w:tc>
        <w:tc>
          <w:tcPr>
            <w:tcW w:w="240" w:type="dxa"/>
            <w:vAlign w:val="bottom"/>
            <w:shd w:val="clear" w:color="auto" w:fill="232F84"/>
          </w:tcPr>
          <w:p>
            <w:pPr>
              <w:spacing w:after="0"/>
              <w:rPr>
                <w:sz w:val="15"/>
                <w:szCs w:val="15"/>
                <w:color w:val="auto"/>
              </w:rPr>
            </w:pPr>
          </w:p>
        </w:tc>
        <w:tc>
          <w:tcPr>
            <w:tcW w:w="156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140" w:type="dxa"/>
            <w:vAlign w:val="bottom"/>
            <w:shd w:val="clear" w:color="auto" w:fill="232F84"/>
          </w:tcPr>
          <w:p>
            <w:pPr>
              <w:spacing w:after="0"/>
              <w:rPr>
                <w:sz w:val="15"/>
                <w:szCs w:val="15"/>
                <w:color w:val="auto"/>
              </w:rPr>
            </w:pPr>
          </w:p>
        </w:tc>
        <w:tc>
          <w:tcPr>
            <w:tcW w:w="1300" w:type="dxa"/>
            <w:vAlign w:val="bottom"/>
            <w:shd w:val="clear" w:color="auto" w:fill="232F84"/>
          </w:tcPr>
          <w:p>
            <w:pPr>
              <w:spacing w:after="0"/>
              <w:rPr>
                <w:sz w:val="15"/>
                <w:szCs w:val="15"/>
                <w:color w:val="auto"/>
              </w:rPr>
            </w:pP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Significant</w:t>
            </w:r>
          </w:p>
        </w:tc>
        <w:tc>
          <w:tcPr>
            <w:tcW w:w="220" w:type="dxa"/>
            <w:vAlign w:val="bottom"/>
            <w:shd w:val="clear" w:color="auto" w:fill="232F84"/>
          </w:tcPr>
          <w:p>
            <w:pPr>
              <w:spacing w:after="0"/>
              <w:rPr>
                <w:sz w:val="15"/>
                <w:szCs w:val="15"/>
                <w:color w:val="auto"/>
              </w:rPr>
            </w:pPr>
          </w:p>
        </w:tc>
        <w:tc>
          <w:tcPr>
            <w:tcW w:w="1080" w:type="dxa"/>
            <w:vAlign w:val="bottom"/>
            <w:shd w:val="clear" w:color="auto" w:fill="232F84"/>
          </w:tcPr>
          <w:p>
            <w:pPr>
              <w:spacing w:after="0"/>
              <w:rPr>
                <w:sz w:val="15"/>
                <w:szCs w:val="15"/>
                <w:color w:val="auto"/>
              </w:rPr>
            </w:pPr>
          </w:p>
        </w:tc>
      </w:tr>
      <w:tr>
        <w:trPr>
          <w:trHeight w:val="162"/>
        </w:trPr>
        <w:tc>
          <w:tcPr>
            <w:tcW w:w="1520" w:type="dxa"/>
            <w:vAlign w:val="bottom"/>
            <w:shd w:val="clear" w:color="auto" w:fill="232F84"/>
          </w:tcPr>
          <w:p>
            <w:pPr>
              <w:spacing w:after="0"/>
              <w:rPr>
                <w:sz w:val="14"/>
                <w:szCs w:val="14"/>
                <w:color w:val="auto"/>
              </w:rPr>
            </w:pPr>
          </w:p>
        </w:tc>
        <w:tc>
          <w:tcPr>
            <w:tcW w:w="400" w:type="dxa"/>
            <w:vAlign w:val="bottom"/>
            <w:shd w:val="clear" w:color="auto" w:fill="232F84"/>
          </w:tcPr>
          <w:p>
            <w:pPr>
              <w:spacing w:after="0"/>
              <w:rPr>
                <w:sz w:val="14"/>
                <w:szCs w:val="14"/>
                <w:color w:val="auto"/>
              </w:rPr>
            </w:pP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Quoted Prices</w:t>
            </w: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Other</w:t>
            </w:r>
          </w:p>
        </w:tc>
        <w:tc>
          <w:tcPr>
            <w:tcW w:w="240" w:type="dxa"/>
            <w:vAlign w:val="bottom"/>
            <w:shd w:val="clear" w:color="auto" w:fill="232F84"/>
          </w:tcPr>
          <w:p>
            <w:pPr>
              <w:spacing w:after="0"/>
              <w:rPr>
                <w:sz w:val="14"/>
                <w:szCs w:val="14"/>
                <w:color w:val="auto"/>
              </w:rPr>
            </w:pPr>
          </w:p>
        </w:tc>
        <w:tc>
          <w:tcPr>
            <w:tcW w:w="1560" w:type="dxa"/>
            <w:vAlign w:val="bottom"/>
            <w:shd w:val="clear" w:color="auto" w:fill="232F84"/>
          </w:tcPr>
          <w:p>
            <w:pPr>
              <w:jc w:val="right"/>
              <w:ind w:right="448"/>
              <w:spacing w:after="0"/>
              <w:rPr>
                <w:sz w:val="20"/>
                <w:szCs w:val="20"/>
                <w:color w:val="auto"/>
              </w:rPr>
            </w:pPr>
            <w:r>
              <w:rPr>
                <w:rFonts w:ascii="Arial" w:cs="Arial" w:eastAsia="Arial" w:hAnsi="Arial"/>
                <w:sz w:val="14"/>
                <w:szCs w:val="14"/>
                <w:b w:val="1"/>
                <w:bCs w:val="1"/>
                <w:color w:val="FFFFFF"/>
              </w:rPr>
              <w:t>Significant</w:t>
            </w: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Quoted Prices</w:t>
            </w: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Other</w:t>
            </w:r>
          </w:p>
        </w:tc>
        <w:tc>
          <w:tcPr>
            <w:tcW w:w="220" w:type="dxa"/>
            <w:vAlign w:val="bottom"/>
            <w:shd w:val="clear" w:color="auto" w:fill="232F84"/>
          </w:tcPr>
          <w:p>
            <w:pPr>
              <w:spacing w:after="0"/>
              <w:rPr>
                <w:sz w:val="14"/>
                <w:szCs w:val="14"/>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Significant</w:t>
            </w:r>
          </w:p>
        </w:tc>
      </w:tr>
      <w:tr>
        <w:trPr>
          <w:trHeight w:val="162"/>
        </w:trPr>
        <w:tc>
          <w:tcPr>
            <w:tcW w:w="1520" w:type="dxa"/>
            <w:vAlign w:val="bottom"/>
            <w:shd w:val="clear" w:color="auto" w:fill="232F84"/>
          </w:tcPr>
          <w:p>
            <w:pPr>
              <w:spacing w:after="0"/>
              <w:rPr>
                <w:sz w:val="14"/>
                <w:szCs w:val="14"/>
                <w:color w:val="auto"/>
              </w:rPr>
            </w:pPr>
          </w:p>
        </w:tc>
        <w:tc>
          <w:tcPr>
            <w:tcW w:w="400" w:type="dxa"/>
            <w:vAlign w:val="bottom"/>
            <w:shd w:val="clear" w:color="auto" w:fill="232F84"/>
          </w:tcPr>
          <w:p>
            <w:pPr>
              <w:spacing w:after="0"/>
              <w:rPr>
                <w:sz w:val="14"/>
                <w:szCs w:val="14"/>
                <w:color w:val="auto"/>
              </w:rPr>
            </w:pP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in Active</w:t>
            </w: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Observable</w:t>
            </w:r>
          </w:p>
        </w:tc>
        <w:tc>
          <w:tcPr>
            <w:tcW w:w="240" w:type="dxa"/>
            <w:vAlign w:val="bottom"/>
            <w:shd w:val="clear" w:color="auto" w:fill="232F84"/>
          </w:tcPr>
          <w:p>
            <w:pPr>
              <w:spacing w:after="0"/>
              <w:rPr>
                <w:sz w:val="14"/>
                <w:szCs w:val="14"/>
                <w:color w:val="auto"/>
              </w:rPr>
            </w:pPr>
          </w:p>
        </w:tc>
        <w:tc>
          <w:tcPr>
            <w:tcW w:w="1560" w:type="dxa"/>
            <w:vAlign w:val="bottom"/>
            <w:shd w:val="clear" w:color="auto" w:fill="232F84"/>
          </w:tcPr>
          <w:p>
            <w:pPr>
              <w:jc w:val="right"/>
              <w:ind w:right="448"/>
              <w:spacing w:after="0"/>
              <w:rPr>
                <w:sz w:val="20"/>
                <w:szCs w:val="20"/>
                <w:color w:val="auto"/>
              </w:rPr>
            </w:pPr>
            <w:r>
              <w:rPr>
                <w:rFonts w:ascii="Arial" w:cs="Arial" w:eastAsia="Arial" w:hAnsi="Arial"/>
                <w:sz w:val="14"/>
                <w:szCs w:val="14"/>
                <w:b w:val="1"/>
                <w:bCs w:val="1"/>
                <w:color w:val="FFFFFF"/>
              </w:rPr>
              <w:t>Unobservable</w:t>
            </w: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in Active</w:t>
            </w: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Observable</w:t>
            </w:r>
          </w:p>
        </w:tc>
        <w:tc>
          <w:tcPr>
            <w:tcW w:w="220" w:type="dxa"/>
            <w:vAlign w:val="bottom"/>
            <w:shd w:val="clear" w:color="auto" w:fill="232F84"/>
          </w:tcPr>
          <w:p>
            <w:pPr>
              <w:spacing w:after="0"/>
              <w:rPr>
                <w:sz w:val="14"/>
                <w:szCs w:val="14"/>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Unobservable</w:t>
            </w:r>
          </w:p>
        </w:tc>
      </w:tr>
      <w:tr>
        <w:trPr>
          <w:trHeight w:val="162"/>
        </w:trPr>
        <w:tc>
          <w:tcPr>
            <w:tcW w:w="1520" w:type="dxa"/>
            <w:vAlign w:val="bottom"/>
            <w:shd w:val="clear" w:color="auto" w:fill="232F84"/>
          </w:tcPr>
          <w:p>
            <w:pPr>
              <w:spacing w:after="0"/>
              <w:rPr>
                <w:sz w:val="14"/>
                <w:szCs w:val="14"/>
                <w:color w:val="auto"/>
              </w:rPr>
            </w:pPr>
          </w:p>
        </w:tc>
        <w:tc>
          <w:tcPr>
            <w:tcW w:w="400" w:type="dxa"/>
            <w:vAlign w:val="bottom"/>
            <w:shd w:val="clear" w:color="auto" w:fill="232F84"/>
          </w:tcPr>
          <w:p>
            <w:pPr>
              <w:spacing w:after="0"/>
              <w:rPr>
                <w:sz w:val="14"/>
                <w:szCs w:val="14"/>
                <w:color w:val="auto"/>
              </w:rPr>
            </w:pP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Markets</w:t>
            </w: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Inputs</w:t>
            </w:r>
          </w:p>
        </w:tc>
        <w:tc>
          <w:tcPr>
            <w:tcW w:w="240" w:type="dxa"/>
            <w:vAlign w:val="bottom"/>
            <w:shd w:val="clear" w:color="auto" w:fill="232F84"/>
          </w:tcPr>
          <w:p>
            <w:pPr>
              <w:spacing w:after="0"/>
              <w:rPr>
                <w:sz w:val="14"/>
                <w:szCs w:val="14"/>
                <w:color w:val="auto"/>
              </w:rPr>
            </w:pPr>
          </w:p>
        </w:tc>
        <w:tc>
          <w:tcPr>
            <w:tcW w:w="1560" w:type="dxa"/>
            <w:vAlign w:val="bottom"/>
            <w:shd w:val="clear" w:color="auto" w:fill="232F84"/>
          </w:tcPr>
          <w:p>
            <w:pPr>
              <w:jc w:val="right"/>
              <w:ind w:right="448"/>
              <w:spacing w:after="0"/>
              <w:rPr>
                <w:sz w:val="20"/>
                <w:szCs w:val="20"/>
                <w:color w:val="auto"/>
              </w:rPr>
            </w:pPr>
            <w:r>
              <w:rPr>
                <w:rFonts w:ascii="Arial" w:cs="Arial" w:eastAsia="Arial" w:hAnsi="Arial"/>
                <w:sz w:val="14"/>
                <w:szCs w:val="14"/>
                <w:b w:val="1"/>
                <w:bCs w:val="1"/>
                <w:color w:val="FFFFFF"/>
              </w:rPr>
              <w:t>Inputs</w:t>
            </w:r>
          </w:p>
        </w:tc>
        <w:tc>
          <w:tcPr>
            <w:tcW w:w="700" w:type="dxa"/>
            <w:vAlign w:val="bottom"/>
            <w:shd w:val="clear" w:color="auto" w:fill="232F84"/>
          </w:tcPr>
          <w:p>
            <w:pPr>
              <w:spacing w:after="0"/>
              <w:rPr>
                <w:sz w:val="14"/>
                <w:szCs w:val="14"/>
                <w:color w:val="auto"/>
              </w:rPr>
            </w:pPr>
          </w:p>
        </w:tc>
        <w:tc>
          <w:tcPr>
            <w:tcW w:w="140" w:type="dxa"/>
            <w:vAlign w:val="bottom"/>
            <w:shd w:val="clear" w:color="auto" w:fill="232F84"/>
          </w:tcPr>
          <w:p>
            <w:pPr>
              <w:spacing w:after="0"/>
              <w:rPr>
                <w:sz w:val="14"/>
                <w:szCs w:val="14"/>
                <w:color w:val="auto"/>
              </w:rPr>
            </w:pPr>
          </w:p>
        </w:tc>
        <w:tc>
          <w:tcPr>
            <w:tcW w:w="1300" w:type="dxa"/>
            <w:vAlign w:val="bottom"/>
            <w:shd w:val="clear" w:color="auto" w:fill="232F84"/>
          </w:tcPr>
          <w:p>
            <w:pPr>
              <w:jc w:val="right"/>
              <w:ind w:right="288"/>
              <w:spacing w:after="0"/>
              <w:rPr>
                <w:sz w:val="20"/>
                <w:szCs w:val="20"/>
                <w:color w:val="auto"/>
              </w:rPr>
            </w:pPr>
            <w:r>
              <w:rPr>
                <w:rFonts w:ascii="Arial" w:cs="Arial" w:eastAsia="Arial" w:hAnsi="Arial"/>
                <w:sz w:val="14"/>
                <w:szCs w:val="14"/>
                <w:b w:val="1"/>
                <w:bCs w:val="1"/>
                <w:color w:val="FFFFFF"/>
              </w:rPr>
              <w:t>Markets</w:t>
            </w: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Inputs</w:t>
            </w:r>
          </w:p>
        </w:tc>
        <w:tc>
          <w:tcPr>
            <w:tcW w:w="220" w:type="dxa"/>
            <w:vAlign w:val="bottom"/>
            <w:shd w:val="clear" w:color="auto" w:fill="232F84"/>
          </w:tcPr>
          <w:p>
            <w:pPr>
              <w:spacing w:after="0"/>
              <w:rPr>
                <w:sz w:val="14"/>
                <w:szCs w:val="14"/>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Inputs</w:t>
            </w:r>
          </w:p>
        </w:tc>
      </w:tr>
      <w:tr>
        <w:trPr>
          <w:trHeight w:val="202"/>
        </w:trPr>
        <w:tc>
          <w:tcPr>
            <w:tcW w:w="152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400" w:type="dxa"/>
            <w:vAlign w:val="bottom"/>
            <w:shd w:val="clear" w:color="auto" w:fill="232F84"/>
          </w:tcPr>
          <w:p>
            <w:pPr>
              <w:spacing w:after="0"/>
              <w:rPr>
                <w:sz w:val="17"/>
                <w:szCs w:val="17"/>
                <w:color w:val="auto"/>
              </w:rPr>
            </w:pPr>
          </w:p>
        </w:tc>
        <w:tc>
          <w:tcPr>
            <w:tcW w:w="700" w:type="dxa"/>
            <w:vAlign w:val="bottom"/>
            <w:shd w:val="clear" w:color="auto" w:fill="232F84"/>
          </w:tcPr>
          <w:p>
            <w:pPr>
              <w:jc w:val="center"/>
              <w:ind w:left="188"/>
              <w:spacing w:after="0"/>
              <w:rPr>
                <w:sz w:val="20"/>
                <w:szCs w:val="20"/>
                <w:color w:val="auto"/>
              </w:rPr>
            </w:pPr>
            <w:r>
              <w:rPr>
                <w:rFonts w:ascii="Arial" w:cs="Arial" w:eastAsia="Arial" w:hAnsi="Arial"/>
                <w:sz w:val="14"/>
                <w:szCs w:val="14"/>
                <w:b w:val="1"/>
                <w:bCs w:val="1"/>
                <w:color w:val="FFFFFF"/>
                <w:w w:val="95"/>
              </w:rPr>
              <w:t>Total</w:t>
            </w:r>
          </w:p>
        </w:tc>
        <w:tc>
          <w:tcPr>
            <w:tcW w:w="140" w:type="dxa"/>
            <w:vAlign w:val="bottom"/>
            <w:shd w:val="clear" w:color="auto" w:fill="232F84"/>
          </w:tcPr>
          <w:p>
            <w:pPr>
              <w:spacing w:after="0"/>
              <w:rPr>
                <w:sz w:val="17"/>
                <w:szCs w:val="17"/>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(Level 1)</w:t>
            </w: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(Level 2)</w:t>
            </w:r>
          </w:p>
        </w:tc>
        <w:tc>
          <w:tcPr>
            <w:tcW w:w="240" w:type="dxa"/>
            <w:vAlign w:val="bottom"/>
            <w:shd w:val="clear" w:color="auto" w:fill="232F84"/>
          </w:tcPr>
          <w:p>
            <w:pPr>
              <w:spacing w:after="0"/>
              <w:rPr>
                <w:sz w:val="17"/>
                <w:szCs w:val="17"/>
                <w:color w:val="auto"/>
              </w:rPr>
            </w:pPr>
          </w:p>
        </w:tc>
        <w:tc>
          <w:tcPr>
            <w:tcW w:w="1560" w:type="dxa"/>
            <w:vAlign w:val="bottom"/>
            <w:shd w:val="clear" w:color="auto" w:fill="232F84"/>
          </w:tcPr>
          <w:p>
            <w:pPr>
              <w:jc w:val="right"/>
              <w:ind w:right="448"/>
              <w:spacing w:after="0"/>
              <w:rPr>
                <w:sz w:val="20"/>
                <w:szCs w:val="20"/>
                <w:color w:val="auto"/>
              </w:rPr>
            </w:pPr>
            <w:r>
              <w:rPr>
                <w:rFonts w:ascii="Arial" w:cs="Arial" w:eastAsia="Arial" w:hAnsi="Arial"/>
                <w:sz w:val="14"/>
                <w:szCs w:val="14"/>
                <w:b w:val="1"/>
                <w:bCs w:val="1"/>
                <w:color w:val="FFFFFF"/>
              </w:rPr>
              <w:t>(Level 3)</w:t>
            </w:r>
          </w:p>
        </w:tc>
        <w:tc>
          <w:tcPr>
            <w:tcW w:w="700" w:type="dxa"/>
            <w:vAlign w:val="bottom"/>
            <w:shd w:val="clear" w:color="auto" w:fill="232F84"/>
          </w:tcPr>
          <w:p>
            <w:pPr>
              <w:jc w:val="center"/>
              <w:ind w:left="188"/>
              <w:spacing w:after="0"/>
              <w:rPr>
                <w:sz w:val="20"/>
                <w:szCs w:val="20"/>
                <w:color w:val="auto"/>
              </w:rPr>
            </w:pPr>
            <w:r>
              <w:rPr>
                <w:rFonts w:ascii="Arial" w:cs="Arial" w:eastAsia="Arial" w:hAnsi="Arial"/>
                <w:sz w:val="14"/>
                <w:szCs w:val="14"/>
                <w:b w:val="1"/>
                <w:bCs w:val="1"/>
                <w:color w:val="FFFFFF"/>
                <w:w w:val="95"/>
              </w:rPr>
              <w:t>Total</w:t>
            </w:r>
          </w:p>
        </w:tc>
        <w:tc>
          <w:tcPr>
            <w:tcW w:w="140" w:type="dxa"/>
            <w:vAlign w:val="bottom"/>
            <w:shd w:val="clear" w:color="auto" w:fill="232F84"/>
          </w:tcPr>
          <w:p>
            <w:pPr>
              <w:spacing w:after="0"/>
              <w:rPr>
                <w:sz w:val="17"/>
                <w:szCs w:val="17"/>
                <w:color w:val="auto"/>
              </w:rPr>
            </w:pPr>
          </w:p>
        </w:tc>
        <w:tc>
          <w:tcPr>
            <w:tcW w:w="1300" w:type="dxa"/>
            <w:vAlign w:val="bottom"/>
            <w:shd w:val="clear" w:color="auto" w:fill="232F84"/>
          </w:tcPr>
          <w:p>
            <w:pPr>
              <w:jc w:val="right"/>
              <w:ind w:right="248"/>
              <w:spacing w:after="0"/>
              <w:rPr>
                <w:sz w:val="20"/>
                <w:szCs w:val="20"/>
                <w:color w:val="auto"/>
              </w:rPr>
            </w:pPr>
            <w:r>
              <w:rPr>
                <w:rFonts w:ascii="Arial" w:cs="Arial" w:eastAsia="Arial" w:hAnsi="Arial"/>
                <w:sz w:val="14"/>
                <w:szCs w:val="14"/>
                <w:b w:val="1"/>
                <w:bCs w:val="1"/>
                <w:color w:val="FFFFFF"/>
              </w:rPr>
              <w:t>(Level 1)</w:t>
            </w:r>
          </w:p>
        </w:tc>
        <w:tc>
          <w:tcPr>
            <w:tcW w:w="9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(Level 2)</w:t>
            </w:r>
          </w:p>
        </w:tc>
        <w:tc>
          <w:tcPr>
            <w:tcW w:w="220" w:type="dxa"/>
            <w:vAlign w:val="bottom"/>
            <w:shd w:val="clear" w:color="auto" w:fill="232F84"/>
          </w:tcPr>
          <w:p>
            <w:pPr>
              <w:spacing w:after="0"/>
              <w:rPr>
                <w:sz w:val="17"/>
                <w:szCs w:val="17"/>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(Level 3)</w:t>
            </w:r>
          </w:p>
        </w:tc>
      </w:tr>
      <w:tr>
        <w:trPr>
          <w:trHeight w:val="194"/>
        </w:trPr>
        <w:tc>
          <w:tcPr>
            <w:tcW w:w="152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Interest rate swap</w:t>
            </w:r>
          </w:p>
        </w:tc>
        <w:tc>
          <w:tcPr>
            <w:tcW w:w="400" w:type="dxa"/>
            <w:vAlign w:val="bottom"/>
            <w:shd w:val="clear" w:color="auto" w:fill="43C0B9"/>
          </w:tcPr>
          <w:p>
            <w:pPr>
              <w:spacing w:after="0"/>
              <w:rPr>
                <w:sz w:val="16"/>
                <w:szCs w:val="16"/>
                <w:color w:val="auto"/>
              </w:rPr>
            </w:pPr>
          </w:p>
        </w:tc>
        <w:tc>
          <w:tcPr>
            <w:tcW w:w="700" w:type="dxa"/>
            <w:vAlign w:val="bottom"/>
            <w:shd w:val="clear" w:color="auto" w:fill="43C0B9"/>
          </w:tcPr>
          <w:p>
            <w:pPr>
              <w:spacing w:after="0"/>
              <w:rPr>
                <w:sz w:val="16"/>
                <w:szCs w:val="16"/>
                <w:color w:val="auto"/>
              </w:rPr>
            </w:pPr>
          </w:p>
        </w:tc>
        <w:tc>
          <w:tcPr>
            <w:tcW w:w="140" w:type="dxa"/>
            <w:vAlign w:val="bottom"/>
            <w:shd w:val="clear" w:color="auto" w:fill="43C0B9"/>
          </w:tcPr>
          <w:p>
            <w:pPr>
              <w:spacing w:after="0"/>
              <w:rPr>
                <w:sz w:val="16"/>
                <w:szCs w:val="16"/>
                <w:color w:val="auto"/>
              </w:rPr>
            </w:pPr>
          </w:p>
        </w:tc>
        <w:tc>
          <w:tcPr>
            <w:tcW w:w="1300" w:type="dxa"/>
            <w:vAlign w:val="bottom"/>
            <w:shd w:val="clear" w:color="auto" w:fill="43C0B9"/>
          </w:tcPr>
          <w:p>
            <w:pPr>
              <w:spacing w:after="0"/>
              <w:rPr>
                <w:sz w:val="16"/>
                <w:szCs w:val="16"/>
                <w:color w:val="auto"/>
              </w:rPr>
            </w:pPr>
          </w:p>
        </w:tc>
        <w:tc>
          <w:tcPr>
            <w:tcW w:w="960" w:type="dxa"/>
            <w:vAlign w:val="bottom"/>
            <w:shd w:val="clear" w:color="auto" w:fill="43C0B9"/>
          </w:tcPr>
          <w:p>
            <w:pPr>
              <w:spacing w:after="0"/>
              <w:rPr>
                <w:sz w:val="16"/>
                <w:szCs w:val="16"/>
                <w:color w:val="auto"/>
              </w:rPr>
            </w:pPr>
          </w:p>
        </w:tc>
        <w:tc>
          <w:tcPr>
            <w:tcW w:w="240" w:type="dxa"/>
            <w:vAlign w:val="bottom"/>
            <w:shd w:val="clear" w:color="auto" w:fill="43C0B9"/>
          </w:tcPr>
          <w:p>
            <w:pPr>
              <w:spacing w:after="0"/>
              <w:rPr>
                <w:sz w:val="16"/>
                <w:szCs w:val="16"/>
                <w:color w:val="auto"/>
              </w:rPr>
            </w:pPr>
          </w:p>
        </w:tc>
        <w:tc>
          <w:tcPr>
            <w:tcW w:w="1560" w:type="dxa"/>
            <w:vAlign w:val="bottom"/>
            <w:shd w:val="clear" w:color="auto" w:fill="43C0B9"/>
          </w:tcPr>
          <w:p>
            <w:pPr>
              <w:spacing w:after="0"/>
              <w:rPr>
                <w:sz w:val="16"/>
                <w:szCs w:val="16"/>
                <w:color w:val="auto"/>
              </w:rPr>
            </w:pPr>
          </w:p>
        </w:tc>
        <w:tc>
          <w:tcPr>
            <w:tcW w:w="700" w:type="dxa"/>
            <w:vAlign w:val="bottom"/>
            <w:shd w:val="clear" w:color="auto" w:fill="43C0B9"/>
          </w:tcPr>
          <w:p>
            <w:pPr>
              <w:spacing w:after="0"/>
              <w:rPr>
                <w:sz w:val="16"/>
                <w:szCs w:val="16"/>
                <w:color w:val="auto"/>
              </w:rPr>
            </w:pPr>
          </w:p>
        </w:tc>
        <w:tc>
          <w:tcPr>
            <w:tcW w:w="140" w:type="dxa"/>
            <w:vAlign w:val="bottom"/>
            <w:shd w:val="clear" w:color="auto" w:fill="43C0B9"/>
          </w:tcPr>
          <w:p>
            <w:pPr>
              <w:spacing w:after="0"/>
              <w:rPr>
                <w:sz w:val="16"/>
                <w:szCs w:val="16"/>
                <w:color w:val="auto"/>
              </w:rPr>
            </w:pPr>
          </w:p>
        </w:tc>
        <w:tc>
          <w:tcPr>
            <w:tcW w:w="1300" w:type="dxa"/>
            <w:vAlign w:val="bottom"/>
            <w:shd w:val="clear" w:color="auto" w:fill="43C0B9"/>
          </w:tcPr>
          <w:p>
            <w:pPr>
              <w:spacing w:after="0"/>
              <w:rPr>
                <w:sz w:val="16"/>
                <w:szCs w:val="16"/>
                <w:color w:val="auto"/>
              </w:rPr>
            </w:pPr>
          </w:p>
        </w:tc>
        <w:tc>
          <w:tcPr>
            <w:tcW w:w="980" w:type="dxa"/>
            <w:vAlign w:val="bottom"/>
            <w:shd w:val="clear" w:color="auto" w:fill="43C0B9"/>
          </w:tcPr>
          <w:p>
            <w:pPr>
              <w:spacing w:after="0"/>
              <w:rPr>
                <w:sz w:val="16"/>
                <w:szCs w:val="16"/>
                <w:color w:val="auto"/>
              </w:rPr>
            </w:pPr>
          </w:p>
        </w:tc>
        <w:tc>
          <w:tcPr>
            <w:tcW w:w="220" w:type="dxa"/>
            <w:vAlign w:val="bottom"/>
            <w:shd w:val="clear" w:color="auto" w:fill="43C0B9"/>
          </w:tcPr>
          <w:p>
            <w:pPr>
              <w:spacing w:after="0"/>
              <w:rPr>
                <w:sz w:val="16"/>
                <w:szCs w:val="16"/>
                <w:color w:val="auto"/>
              </w:rPr>
            </w:pPr>
          </w:p>
        </w:tc>
        <w:tc>
          <w:tcPr>
            <w:tcW w:w="1080" w:type="dxa"/>
            <w:vAlign w:val="bottom"/>
            <w:shd w:val="clear" w:color="auto" w:fill="43C0B9"/>
          </w:tcPr>
          <w:p>
            <w:pPr>
              <w:spacing w:after="0"/>
              <w:rPr>
                <w:sz w:val="16"/>
                <w:szCs w:val="16"/>
                <w:color w:val="auto"/>
              </w:rPr>
            </w:pPr>
          </w:p>
        </w:tc>
      </w:tr>
      <w:tr>
        <w:trPr>
          <w:trHeight w:val="178"/>
        </w:trPr>
        <w:tc>
          <w:tcPr>
            <w:tcW w:w="15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liability</w:t>
            </w:r>
          </w:p>
        </w:tc>
        <w:tc>
          <w:tcPr>
            <w:tcW w:w="400" w:type="dxa"/>
            <w:vAlign w:val="bottom"/>
            <w:tcBorders>
              <w:bottom w:val="single" w:sz="8" w:color="auto"/>
            </w:tcBorders>
            <w:shd w:val="clear" w:color="auto" w:fill="43C0B9"/>
          </w:tcPr>
          <w:p>
            <w:pPr>
              <w:jc w:val="right"/>
              <w:ind w:right="2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5.9</w:t>
            </w:r>
          </w:p>
        </w:tc>
        <w:tc>
          <w:tcPr>
            <w:tcW w:w="1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  $</w:t>
            </w:r>
          </w:p>
        </w:tc>
        <w:tc>
          <w:tcPr>
            <w:tcW w:w="96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5.9</w:t>
            </w:r>
          </w:p>
        </w:tc>
        <w:tc>
          <w:tcPr>
            <w:tcW w:w="24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43C0B9"/>
          </w:tcPr>
          <w:p>
            <w:pPr>
              <w:jc w:val="right"/>
              <w:ind w:right="248"/>
              <w:spacing w:after="0"/>
              <w:rPr>
                <w:sz w:val="20"/>
                <w:szCs w:val="20"/>
                <w:color w:val="auto"/>
              </w:rPr>
            </w:pPr>
            <w:r>
              <w:rPr>
                <w:rFonts w:ascii="Arial" w:cs="Arial" w:eastAsia="Arial" w:hAnsi="Arial"/>
                <w:sz w:val="14"/>
                <w:szCs w:val="14"/>
                <w:color w:val="auto"/>
              </w:rPr>
              <w:t>—  $</w:t>
            </w:r>
          </w:p>
        </w:tc>
        <w:tc>
          <w:tcPr>
            <w:tcW w:w="70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6.5</w:t>
            </w:r>
          </w:p>
        </w:tc>
        <w:tc>
          <w:tcPr>
            <w:tcW w:w="1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  $</w:t>
            </w:r>
          </w:p>
        </w:tc>
        <w:tc>
          <w:tcPr>
            <w:tcW w:w="98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6.5</w:t>
            </w:r>
          </w:p>
        </w:tc>
        <w:tc>
          <w:tcPr>
            <w:tcW w:w="2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r>
    </w:tbl>
    <w:p>
      <w:pPr>
        <w:spacing w:after="0" w:line="218" w:lineRule="exact"/>
        <w:rPr>
          <w:sz w:val="20"/>
          <w:szCs w:val="20"/>
          <w:color w:val="auto"/>
        </w:rPr>
      </w:pPr>
    </w:p>
    <w:p>
      <w:pPr>
        <w:ind w:right="140" w:firstLine="648"/>
        <w:spacing w:after="0" w:line="248" w:lineRule="auto"/>
        <w:rPr>
          <w:sz w:val="20"/>
          <w:szCs w:val="20"/>
          <w:color w:val="auto"/>
        </w:rPr>
      </w:pPr>
      <w:r>
        <w:rPr>
          <w:rFonts w:ascii="Arial" w:cs="Arial" w:eastAsia="Arial" w:hAnsi="Arial"/>
          <w:sz w:val="16"/>
          <w:szCs w:val="16"/>
          <w:color w:val="auto"/>
        </w:rPr>
        <w:t>The fair value of interest rate swaps is determined using widely accepted valuation techniques, including discounted cash flow analysis, on the expected cash flows of each derivative.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January 31, 2021 and October 31, 2020, that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liabilities associated with the interest rate swaps have been included in accrued expenses and other long-term liabilities in the condensed consolidated balance sheets and gains and losses for the interest rate swaps have been included in other expense in the condensed consolidated statements of comprehensive income.</w:t>
      </w:r>
    </w:p>
    <w:p>
      <w:pPr>
        <w:spacing w:after="0" w:line="200" w:lineRule="exact"/>
        <w:rPr>
          <w:sz w:val="20"/>
          <w:szCs w:val="20"/>
          <w:color w:val="auto"/>
        </w:rPr>
      </w:pPr>
    </w:p>
    <w:p>
      <w:pPr>
        <w:spacing w:after="0" w:line="24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77"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spacing w:after="0"/>
        <w:tabs>
          <w:tab w:leader="none" w:pos="380" w:val="left"/>
        </w:tabs>
        <w:rPr>
          <w:sz w:val="20"/>
          <w:szCs w:val="20"/>
          <w:color w:val="auto"/>
        </w:rPr>
      </w:pPr>
      <w:r>
        <w:rPr>
          <w:rFonts w:ascii="Arial" w:cs="Arial" w:eastAsia="Arial" w:hAnsi="Arial"/>
          <w:sz w:val="20"/>
          <w:szCs w:val="20"/>
          <w:b w:val="1"/>
          <w:bCs w:val="1"/>
          <w:color w:val="232F84"/>
        </w:rPr>
        <w:t>8.</w:t>
      </w:r>
      <w:r>
        <w:rPr>
          <w:sz w:val="20"/>
          <w:szCs w:val="20"/>
          <w:color w:val="auto"/>
        </w:rPr>
        <w:tab/>
      </w:r>
      <w:r>
        <w:rPr>
          <w:rFonts w:ascii="Arial" w:cs="Arial" w:eastAsia="Arial" w:hAnsi="Arial"/>
          <w:sz w:val="19"/>
          <w:szCs w:val="19"/>
          <w:b w:val="1"/>
          <w:bCs w:val="1"/>
          <w:color w:val="232F84"/>
        </w:rPr>
        <w:t>Earnings Per Share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40" w:type="dxa"/>
            <w:vAlign w:val="bottom"/>
            <w:shd w:val="clear" w:color="auto" w:fill="232F84"/>
          </w:tcPr>
          <w:p>
            <w:pPr>
              <w:spacing w:after="0"/>
              <w:rPr>
                <w:sz w:val="15"/>
                <w:szCs w:val="15"/>
                <w:color w:val="auto"/>
              </w:rPr>
            </w:pPr>
          </w:p>
        </w:tc>
        <w:tc>
          <w:tcPr>
            <w:tcW w:w="520" w:type="dxa"/>
            <w:vAlign w:val="bottom"/>
            <w:shd w:val="clear" w:color="auto" w:fill="232F84"/>
          </w:tcPr>
          <w:p>
            <w:pPr>
              <w:spacing w:after="0"/>
              <w:rPr>
                <w:sz w:val="15"/>
                <w:szCs w:val="15"/>
                <w:color w:val="auto"/>
              </w:rPr>
            </w:pPr>
          </w:p>
        </w:tc>
        <w:tc>
          <w:tcPr>
            <w:tcW w:w="1940" w:type="dxa"/>
            <w:vAlign w:val="bottom"/>
            <w:gridSpan w:val="2"/>
            <w:shd w:val="clear" w:color="auto" w:fill="232F84"/>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840" w:type="dxa"/>
            <w:vAlign w:val="bottom"/>
            <w:shd w:val="clear" w:color="auto" w:fill="232F84"/>
          </w:tcPr>
          <w:p>
            <w:pPr>
              <w:spacing w:after="0"/>
              <w:rPr>
                <w:sz w:val="15"/>
                <w:szCs w:val="15"/>
                <w:color w:val="auto"/>
              </w:rPr>
            </w:pPr>
          </w:p>
        </w:tc>
      </w:tr>
      <w:tr>
        <w:trPr>
          <w:trHeight w:val="206"/>
        </w:trPr>
        <w:tc>
          <w:tcPr>
            <w:tcW w:w="7940" w:type="dxa"/>
            <w:vAlign w:val="bottom"/>
            <w:shd w:val="clear" w:color="auto" w:fill="232F84"/>
          </w:tcPr>
          <w:p>
            <w:pPr>
              <w:spacing w:after="0"/>
              <w:rPr>
                <w:sz w:val="17"/>
                <w:szCs w:val="17"/>
                <w:color w:val="auto"/>
              </w:rPr>
            </w:pPr>
          </w:p>
        </w:tc>
        <w:tc>
          <w:tcPr>
            <w:tcW w:w="520" w:type="dxa"/>
            <w:vAlign w:val="bottom"/>
            <w:shd w:val="clear" w:color="auto" w:fill="232F84"/>
          </w:tcPr>
          <w:p>
            <w:pPr>
              <w:spacing w:after="0"/>
              <w:rPr>
                <w:sz w:val="17"/>
                <w:szCs w:val="17"/>
                <w:color w:val="auto"/>
              </w:rPr>
            </w:pPr>
          </w:p>
        </w:tc>
        <w:tc>
          <w:tcPr>
            <w:tcW w:w="1940" w:type="dxa"/>
            <w:vAlign w:val="bottom"/>
            <w:gridSpan w:val="2"/>
            <w:shd w:val="clear" w:color="auto" w:fill="232F84"/>
          </w:tcPr>
          <w:p>
            <w:pPr>
              <w:jc w:val="right"/>
              <w:ind w:right="308"/>
              <w:spacing w:after="0"/>
              <w:rPr>
                <w:sz w:val="20"/>
                <w:szCs w:val="20"/>
                <w:color w:val="auto"/>
              </w:rPr>
            </w:pPr>
            <w:r>
              <w:rPr>
                <w:rFonts w:ascii="Arial" w:cs="Arial" w:eastAsia="Arial" w:hAnsi="Arial"/>
                <w:sz w:val="14"/>
                <w:szCs w:val="14"/>
                <w:b w:val="1"/>
                <w:bCs w:val="1"/>
                <w:color w:val="FFFFFF"/>
              </w:rPr>
              <w:t>January 31,</w:t>
            </w:r>
          </w:p>
        </w:tc>
        <w:tc>
          <w:tcPr>
            <w:tcW w:w="840" w:type="dxa"/>
            <w:vAlign w:val="bottom"/>
            <w:shd w:val="clear" w:color="auto" w:fill="232F84"/>
          </w:tcPr>
          <w:p>
            <w:pPr>
              <w:spacing w:after="0"/>
              <w:rPr>
                <w:sz w:val="17"/>
                <w:szCs w:val="17"/>
                <w:color w:val="auto"/>
              </w:rPr>
            </w:pPr>
          </w:p>
        </w:tc>
      </w:tr>
      <w:tr>
        <w:trPr>
          <w:trHeight w:val="226"/>
        </w:trPr>
        <w:tc>
          <w:tcPr>
            <w:tcW w:w="7940" w:type="dxa"/>
            <w:vAlign w:val="bottom"/>
            <w:shd w:val="clear" w:color="auto" w:fill="232F84"/>
          </w:tcPr>
          <w:p>
            <w:pPr>
              <w:spacing w:after="0"/>
              <w:rPr>
                <w:sz w:val="19"/>
                <w:szCs w:val="19"/>
                <w:color w:val="auto"/>
              </w:rPr>
            </w:pPr>
          </w:p>
        </w:tc>
        <w:tc>
          <w:tcPr>
            <w:tcW w:w="520" w:type="dxa"/>
            <w:vAlign w:val="bottom"/>
            <w:shd w:val="clear" w:color="auto" w:fill="232F84"/>
          </w:tcPr>
          <w:p>
            <w:pPr>
              <w:spacing w:after="0"/>
              <w:rPr>
                <w:sz w:val="19"/>
                <w:szCs w:val="19"/>
                <w:color w:val="auto"/>
              </w:rPr>
            </w:pPr>
          </w:p>
        </w:tc>
        <w:tc>
          <w:tcPr>
            <w:tcW w:w="114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800" w:type="dxa"/>
            <w:vAlign w:val="bottom"/>
            <w:shd w:val="clear" w:color="auto" w:fill="232F84"/>
          </w:tcPr>
          <w:p>
            <w:pPr>
              <w:spacing w:after="0"/>
              <w:rPr>
                <w:sz w:val="19"/>
                <w:szCs w:val="19"/>
                <w:color w:val="auto"/>
              </w:rPr>
            </w:pPr>
          </w:p>
        </w:tc>
        <w:tc>
          <w:tcPr>
            <w:tcW w:w="84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Numerator:</w:t>
            </w:r>
          </w:p>
        </w:tc>
        <w:tc>
          <w:tcPr>
            <w:tcW w:w="520" w:type="dxa"/>
            <w:vAlign w:val="bottom"/>
            <w:shd w:val="clear" w:color="auto" w:fill="43C0B9"/>
          </w:tcPr>
          <w:p>
            <w:pPr>
              <w:spacing w:after="0"/>
              <w:rPr>
                <w:sz w:val="18"/>
                <w:szCs w:val="18"/>
                <w:color w:val="auto"/>
              </w:rPr>
            </w:pPr>
          </w:p>
        </w:tc>
        <w:tc>
          <w:tcPr>
            <w:tcW w:w="1140" w:type="dxa"/>
            <w:vAlign w:val="bottom"/>
            <w:shd w:val="clear" w:color="auto" w:fill="43C0B9"/>
          </w:tcPr>
          <w:p>
            <w:pPr>
              <w:spacing w:after="0"/>
              <w:rPr>
                <w:sz w:val="18"/>
                <w:szCs w:val="18"/>
                <w:color w:val="auto"/>
              </w:rPr>
            </w:pPr>
          </w:p>
        </w:tc>
        <w:tc>
          <w:tcPr>
            <w:tcW w:w="800" w:type="dxa"/>
            <w:vAlign w:val="bottom"/>
            <w:shd w:val="clear" w:color="auto" w:fill="43C0B9"/>
          </w:tcPr>
          <w:p>
            <w:pPr>
              <w:spacing w:after="0"/>
              <w:rPr>
                <w:sz w:val="18"/>
                <w:szCs w:val="18"/>
                <w:color w:val="auto"/>
              </w:rPr>
            </w:pPr>
          </w:p>
        </w:tc>
        <w:tc>
          <w:tcPr>
            <w:tcW w:w="840" w:type="dxa"/>
            <w:vAlign w:val="bottom"/>
            <w:shd w:val="clear" w:color="auto" w:fill="43C0B9"/>
          </w:tcPr>
          <w:p>
            <w:pPr>
              <w:spacing w:after="0"/>
              <w:rPr>
                <w:sz w:val="18"/>
                <w:szCs w:val="18"/>
                <w:color w:val="auto"/>
              </w:rPr>
            </w:pPr>
          </w:p>
        </w:tc>
      </w:tr>
      <w:tr>
        <w:trPr>
          <w:trHeight w:val="210"/>
        </w:trPr>
        <w:tc>
          <w:tcPr>
            <w:tcW w:w="79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Net income available to shareholders (in millions)</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8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r>
      <w:tr>
        <w:trPr>
          <w:trHeight w:val="216"/>
        </w:trPr>
        <w:tc>
          <w:tcPr>
            <w:tcW w:w="79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Denominator:</w:t>
            </w:r>
          </w:p>
        </w:tc>
        <w:tc>
          <w:tcPr>
            <w:tcW w:w="520" w:type="dxa"/>
            <w:vAlign w:val="bottom"/>
            <w:shd w:val="clear" w:color="auto" w:fill="43C0B9"/>
          </w:tcPr>
          <w:p>
            <w:pPr>
              <w:spacing w:after="0"/>
              <w:rPr>
                <w:sz w:val="18"/>
                <w:szCs w:val="18"/>
                <w:color w:val="auto"/>
              </w:rPr>
            </w:pPr>
          </w:p>
        </w:tc>
        <w:tc>
          <w:tcPr>
            <w:tcW w:w="1140" w:type="dxa"/>
            <w:vAlign w:val="bottom"/>
            <w:shd w:val="clear" w:color="auto" w:fill="43C0B9"/>
          </w:tcPr>
          <w:p>
            <w:pPr>
              <w:spacing w:after="0"/>
              <w:rPr>
                <w:sz w:val="18"/>
                <w:szCs w:val="18"/>
                <w:color w:val="auto"/>
              </w:rPr>
            </w:pPr>
          </w:p>
        </w:tc>
        <w:tc>
          <w:tcPr>
            <w:tcW w:w="800" w:type="dxa"/>
            <w:vAlign w:val="bottom"/>
            <w:shd w:val="clear" w:color="auto" w:fill="43C0B9"/>
          </w:tcPr>
          <w:p>
            <w:pPr>
              <w:spacing w:after="0"/>
              <w:rPr>
                <w:sz w:val="18"/>
                <w:szCs w:val="18"/>
                <w:color w:val="auto"/>
              </w:rPr>
            </w:pPr>
          </w:p>
        </w:tc>
        <w:tc>
          <w:tcPr>
            <w:tcW w:w="840" w:type="dxa"/>
            <w:vAlign w:val="bottom"/>
            <w:shd w:val="clear" w:color="auto" w:fill="43C0B9"/>
          </w:tcPr>
          <w:p>
            <w:pPr>
              <w:spacing w:after="0"/>
              <w:rPr>
                <w:sz w:val="18"/>
                <w:szCs w:val="18"/>
                <w:color w:val="auto"/>
              </w:rPr>
            </w:pPr>
          </w:p>
        </w:tc>
      </w:tr>
      <w:tr>
        <w:trPr>
          <w:trHeight w:val="210"/>
        </w:trPr>
        <w:tc>
          <w:tcPr>
            <w:tcW w:w="7940" w:type="dxa"/>
            <w:vAlign w:val="bottom"/>
          </w:tcPr>
          <w:p>
            <w:pPr>
              <w:ind w:left="360"/>
              <w:spacing w:after="0"/>
              <w:rPr>
                <w:sz w:val="20"/>
                <w:szCs w:val="20"/>
                <w:color w:val="auto"/>
              </w:rPr>
            </w:pPr>
            <w:r>
              <w:rPr>
                <w:rFonts w:ascii="Arial" w:cs="Arial" w:eastAsia="Arial" w:hAnsi="Arial"/>
                <w:sz w:val="14"/>
                <w:szCs w:val="14"/>
                <w:color w:val="auto"/>
              </w:rPr>
              <w:t>Weighted average shares of common stock outstanding, used in computing basic earnings per share</w:t>
            </w:r>
          </w:p>
        </w:tc>
        <w:tc>
          <w:tcPr>
            <w:tcW w:w="5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70,550,922</w:t>
            </w:r>
          </w:p>
        </w:tc>
        <w:tc>
          <w:tcPr>
            <w:tcW w:w="8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63,401,211</w:t>
            </w:r>
          </w:p>
        </w:tc>
      </w:tr>
      <w:tr>
        <w:trPr>
          <w:trHeight w:val="222"/>
        </w:trPr>
        <w:tc>
          <w:tcPr>
            <w:tcW w:w="7940" w:type="dxa"/>
            <w:vAlign w:val="bottom"/>
            <w:shd w:val="clear" w:color="auto" w:fill="43C0B9"/>
          </w:tcPr>
          <w:p>
            <w:pPr>
              <w:ind w:left="360"/>
              <w:spacing w:after="0"/>
              <w:rPr>
                <w:sz w:val="20"/>
                <w:szCs w:val="20"/>
                <w:color w:val="auto"/>
              </w:rPr>
            </w:pPr>
            <w:r>
              <w:rPr>
                <w:rFonts w:ascii="Arial" w:cs="Arial" w:eastAsia="Arial" w:hAnsi="Arial"/>
                <w:sz w:val="14"/>
                <w:szCs w:val="14"/>
                <w:color w:val="auto"/>
              </w:rPr>
              <w:t>Effect of dilutive stock options</w:t>
            </w:r>
          </w:p>
        </w:tc>
        <w:tc>
          <w:tcPr>
            <w:tcW w:w="520" w:type="dxa"/>
            <w:vAlign w:val="bottom"/>
            <w:shd w:val="clear" w:color="auto" w:fill="43C0B9"/>
          </w:tcPr>
          <w:p>
            <w:pPr>
              <w:spacing w:after="0"/>
              <w:rPr>
                <w:sz w:val="19"/>
                <w:szCs w:val="19"/>
                <w:color w:val="auto"/>
              </w:rPr>
            </w:pPr>
          </w:p>
        </w:tc>
        <w:tc>
          <w:tcPr>
            <w:tcW w:w="11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22,328</w:t>
            </w:r>
          </w:p>
        </w:tc>
        <w:tc>
          <w:tcPr>
            <w:tcW w:w="800" w:type="dxa"/>
            <w:vAlign w:val="bottom"/>
            <w:shd w:val="clear" w:color="auto" w:fill="43C0B9"/>
          </w:tcPr>
          <w:p>
            <w:pPr>
              <w:spacing w:after="0"/>
              <w:rPr>
                <w:sz w:val="19"/>
                <w:szCs w:val="19"/>
                <w:color w:val="auto"/>
              </w:rPr>
            </w:pPr>
          </w:p>
        </w:tc>
        <w:tc>
          <w:tcPr>
            <w:tcW w:w="8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24,038</w:t>
            </w:r>
          </w:p>
        </w:tc>
      </w:tr>
      <w:tr>
        <w:trPr>
          <w:trHeight w:val="210"/>
        </w:trPr>
        <w:tc>
          <w:tcPr>
            <w:tcW w:w="79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Effect of dilutive RSUs</w:t>
            </w:r>
          </w:p>
        </w:tc>
        <w:tc>
          <w:tcPr>
            <w:tcW w:w="5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32,321</w:t>
            </w:r>
          </w:p>
        </w:tc>
        <w:tc>
          <w:tcPr>
            <w:tcW w:w="8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40" w:type="dxa"/>
            <w:vAlign w:val="bottom"/>
            <w:tcBorders>
              <w:bottom w:val="single" w:sz="8" w:color="auto"/>
            </w:tcBorders>
            <w:shd w:val="clear" w:color="auto" w:fill="43C0B9"/>
          </w:tcPr>
          <w:p>
            <w:pPr>
              <w:ind w:left="140"/>
              <w:spacing w:after="0"/>
              <w:rPr>
                <w:sz w:val="20"/>
                <w:szCs w:val="20"/>
                <w:color w:val="auto"/>
              </w:rPr>
            </w:pPr>
            <w:r>
              <w:rPr>
                <w:rFonts w:ascii="Arial" w:cs="Arial" w:eastAsia="Arial" w:hAnsi="Arial"/>
                <w:sz w:val="14"/>
                <w:szCs w:val="14"/>
                <w:color w:val="auto"/>
              </w:rPr>
              <w:t>Weighted average shares of common stock outstanding, used in computing diluted earnings per share</w:t>
            </w:r>
          </w:p>
        </w:tc>
        <w:tc>
          <w:tcPr>
            <w:tcW w:w="520" w:type="dxa"/>
            <w:vAlign w:val="bottom"/>
            <w:tcBorders>
              <w:bottom w:val="single" w:sz="8" w:color="auto"/>
            </w:tcBorders>
            <w:shd w:val="clear" w:color="auto" w:fill="43C0B9"/>
          </w:tcPr>
          <w:p>
            <w:pPr>
              <w:spacing w:after="0"/>
              <w:rPr>
                <w:sz w:val="18"/>
                <w:szCs w:val="18"/>
                <w:color w:val="auto"/>
              </w:rPr>
            </w:pPr>
          </w:p>
        </w:tc>
        <w:tc>
          <w:tcPr>
            <w:tcW w:w="114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70,605,571</w:t>
            </w:r>
          </w:p>
        </w:tc>
        <w:tc>
          <w:tcPr>
            <w:tcW w:w="800" w:type="dxa"/>
            <w:vAlign w:val="bottom"/>
            <w:tcBorders>
              <w:bottom w:val="single" w:sz="8" w:color="auto"/>
            </w:tcBorders>
            <w:shd w:val="clear" w:color="auto" w:fill="43C0B9"/>
          </w:tcPr>
          <w:p>
            <w:pPr>
              <w:spacing w:after="0"/>
              <w:rPr>
                <w:sz w:val="18"/>
                <w:szCs w:val="18"/>
                <w:color w:val="auto"/>
              </w:rPr>
            </w:pPr>
          </w:p>
        </w:tc>
        <w:tc>
          <w:tcPr>
            <w:tcW w:w="8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63,425,249</w:t>
            </w:r>
          </w:p>
        </w:tc>
      </w:tr>
      <w:tr>
        <w:trPr>
          <w:trHeight w:val="210"/>
        </w:trPr>
        <w:tc>
          <w:tcPr>
            <w:tcW w:w="7940" w:type="dxa"/>
            <w:vAlign w:val="bottom"/>
          </w:tcPr>
          <w:p>
            <w:pPr>
              <w:ind w:left="20"/>
              <w:spacing w:after="0"/>
              <w:rPr>
                <w:sz w:val="20"/>
                <w:szCs w:val="20"/>
                <w:color w:val="auto"/>
              </w:rPr>
            </w:pPr>
            <w:r>
              <w:rPr>
                <w:rFonts w:ascii="Arial" w:cs="Arial" w:eastAsia="Arial" w:hAnsi="Arial"/>
                <w:sz w:val="14"/>
                <w:szCs w:val="14"/>
                <w:color w:val="auto"/>
              </w:rPr>
              <w:t>Earnings per share</w:t>
            </w:r>
          </w:p>
        </w:tc>
        <w:tc>
          <w:tcPr>
            <w:tcW w:w="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2"/>
        </w:trPr>
        <w:tc>
          <w:tcPr>
            <w:tcW w:w="7940" w:type="dxa"/>
            <w:vAlign w:val="bottom"/>
            <w:shd w:val="clear" w:color="auto" w:fill="43C0B9"/>
          </w:tcPr>
          <w:p>
            <w:pPr>
              <w:ind w:left="360"/>
              <w:spacing w:after="0"/>
              <w:rPr>
                <w:sz w:val="20"/>
                <w:szCs w:val="20"/>
                <w:color w:val="auto"/>
              </w:rPr>
            </w:pPr>
            <w:r>
              <w:rPr>
                <w:rFonts w:ascii="Arial" w:cs="Arial" w:eastAsia="Arial" w:hAnsi="Arial"/>
                <w:sz w:val="14"/>
                <w:szCs w:val="14"/>
                <w:color w:val="auto"/>
              </w:rPr>
              <w:t>Basic</w:t>
            </w:r>
          </w:p>
        </w:tc>
        <w:tc>
          <w:tcPr>
            <w:tcW w:w="520" w:type="dxa"/>
            <w:vAlign w:val="bottom"/>
            <w:shd w:val="clear" w:color="auto" w:fill="43C0B9"/>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0.03</w:t>
            </w:r>
          </w:p>
        </w:tc>
        <w:tc>
          <w:tcPr>
            <w:tcW w:w="800" w:type="dxa"/>
            <w:vAlign w:val="bottom"/>
            <w:shd w:val="clear" w:color="auto" w:fill="43C0B9"/>
          </w:tcPr>
          <w:p>
            <w:pPr>
              <w:jc w:val="right"/>
              <w:ind w:right="548"/>
              <w:spacing w:after="0"/>
              <w:rPr>
                <w:sz w:val="20"/>
                <w:szCs w:val="20"/>
                <w:color w:val="auto"/>
              </w:rPr>
            </w:pPr>
            <w:r>
              <w:rPr>
                <w:rFonts w:ascii="Arial" w:cs="Arial" w:eastAsia="Arial" w:hAnsi="Arial"/>
                <w:sz w:val="14"/>
                <w:szCs w:val="14"/>
                <w:color w:val="auto"/>
              </w:rPr>
              <w:t>$</w:t>
            </w:r>
          </w:p>
        </w:tc>
        <w:tc>
          <w:tcPr>
            <w:tcW w:w="8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0.02</w:t>
            </w:r>
          </w:p>
        </w:tc>
      </w:tr>
      <w:tr>
        <w:trPr>
          <w:trHeight w:val="210"/>
        </w:trPr>
        <w:tc>
          <w:tcPr>
            <w:tcW w:w="794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Diluted</w:t>
            </w:r>
          </w:p>
        </w:tc>
        <w:tc>
          <w:tcPr>
            <w:tcW w:w="5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0.03</w:t>
            </w:r>
          </w:p>
        </w:tc>
        <w:tc>
          <w:tcPr>
            <w:tcW w:w="8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r>
    </w:tbl>
    <w:p>
      <w:pPr>
        <w:spacing w:after="0" w:line="218" w:lineRule="exact"/>
        <w:rPr>
          <w:sz w:val="20"/>
          <w:szCs w:val="20"/>
          <w:color w:val="auto"/>
        </w:rPr>
      </w:pPr>
    </w:p>
    <w:p>
      <w:pPr>
        <w:ind w:right="300" w:firstLine="648"/>
        <w:spacing w:after="0" w:line="260" w:lineRule="auto"/>
        <w:rPr>
          <w:sz w:val="20"/>
          <w:szCs w:val="20"/>
          <w:color w:val="auto"/>
        </w:rPr>
      </w:pPr>
      <w:r>
        <w:rPr>
          <w:rFonts w:ascii="Arial" w:cs="Arial" w:eastAsia="Arial" w:hAnsi="Arial"/>
          <w:sz w:val="16"/>
          <w:szCs w:val="16"/>
          <w:color w:val="auto"/>
        </w:rPr>
        <w:t>There were 2,329,152 and 1,700,000 weighted-average stock options that were excluded in the computation of diluted EPS because their effect would have been anti-dilutive as a result of applying the treasury stock method for the three months ended January 31, 2021 and 2020, respectively.</w:t>
      </w:r>
    </w:p>
    <w:p>
      <w:pPr>
        <w:spacing w:after="0" w:line="200" w:lineRule="exact"/>
        <w:rPr>
          <w:sz w:val="20"/>
          <w:szCs w:val="20"/>
          <w:color w:val="auto"/>
        </w:rPr>
      </w:pPr>
    </w:p>
    <w:p>
      <w:pPr>
        <w:spacing w:after="0" w:line="209" w:lineRule="exact"/>
        <w:rPr>
          <w:sz w:val="20"/>
          <w:szCs w:val="20"/>
          <w:color w:val="auto"/>
        </w:rPr>
      </w:pPr>
    </w:p>
    <w:p>
      <w:pPr>
        <w:ind w:left="440" w:hanging="432"/>
        <w:spacing w:after="0"/>
        <w:tabs>
          <w:tab w:leader="none" w:pos="440" w:val="left"/>
        </w:tabs>
        <w:numPr>
          <w:ilvl w:val="0"/>
          <w:numId w:val="9"/>
        </w:numPr>
        <w:rPr>
          <w:rFonts w:ascii="Arial" w:cs="Arial" w:eastAsia="Arial" w:hAnsi="Arial"/>
          <w:sz w:val="20"/>
          <w:szCs w:val="20"/>
          <w:b w:val="1"/>
          <w:bCs w:val="1"/>
          <w:color w:val="232F84"/>
        </w:rPr>
      </w:pPr>
      <w:r>
        <w:rPr>
          <w:rFonts w:ascii="Arial" w:cs="Arial" w:eastAsia="Arial" w:hAnsi="Arial"/>
          <w:sz w:val="20"/>
          <w:szCs w:val="20"/>
          <w:b w:val="1"/>
          <w:bCs w:val="1"/>
          <w:color w:val="232F84"/>
        </w:rPr>
        <w:t>Related Party Transactions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Transactions with related parties included in the condensed consolidated financial statements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shd w:val="clear" w:color="auto" w:fill="232F84"/>
          </w:tcPr>
          <w:p>
            <w:pPr>
              <w:spacing w:after="0"/>
              <w:rPr>
                <w:sz w:val="15"/>
                <w:szCs w:val="15"/>
                <w:color w:val="auto"/>
              </w:rPr>
            </w:pPr>
          </w:p>
        </w:tc>
        <w:tc>
          <w:tcPr>
            <w:tcW w:w="280" w:type="dxa"/>
            <w:vAlign w:val="bottom"/>
            <w:shd w:val="clear" w:color="auto" w:fill="232F84"/>
          </w:tcPr>
          <w:p>
            <w:pPr>
              <w:spacing w:after="0"/>
              <w:rPr>
                <w:sz w:val="15"/>
                <w:szCs w:val="15"/>
                <w:color w:val="auto"/>
              </w:rPr>
            </w:pPr>
          </w:p>
        </w:tc>
        <w:tc>
          <w:tcPr>
            <w:tcW w:w="960" w:type="dxa"/>
            <w:vAlign w:val="bottom"/>
            <w:shd w:val="clear" w:color="auto" w:fill="232F84"/>
          </w:tcPr>
          <w:p>
            <w:pPr>
              <w:spacing w:after="0"/>
              <w:rPr>
                <w:sz w:val="15"/>
                <w:szCs w:val="15"/>
                <w:color w:val="auto"/>
              </w:rPr>
            </w:pPr>
          </w:p>
        </w:tc>
        <w:tc>
          <w:tcPr>
            <w:tcW w:w="160" w:type="dxa"/>
            <w:vAlign w:val="bottom"/>
            <w:shd w:val="clear" w:color="auto" w:fill="232F84"/>
          </w:tcPr>
          <w:p>
            <w:pPr>
              <w:spacing w:after="0"/>
              <w:rPr>
                <w:sz w:val="15"/>
                <w:szCs w:val="15"/>
                <w:color w:val="auto"/>
              </w:rPr>
            </w:pPr>
          </w:p>
        </w:tc>
        <w:tc>
          <w:tcPr>
            <w:tcW w:w="1120" w:type="dxa"/>
            <w:vAlign w:val="bottom"/>
            <w:shd w:val="clear" w:color="auto" w:fill="232F84"/>
          </w:tcPr>
          <w:p>
            <w:pPr>
              <w:spacing w:after="0"/>
              <w:rPr>
                <w:sz w:val="15"/>
                <w:szCs w:val="15"/>
                <w:color w:val="auto"/>
              </w:rPr>
            </w:pPr>
          </w:p>
        </w:tc>
        <w:tc>
          <w:tcPr>
            <w:tcW w:w="360" w:type="dxa"/>
            <w:vAlign w:val="bottom"/>
            <w:shd w:val="clear" w:color="auto" w:fill="232F84"/>
          </w:tcPr>
          <w:p>
            <w:pPr>
              <w:spacing w:after="0"/>
              <w:rPr>
                <w:sz w:val="15"/>
                <w:szCs w:val="15"/>
                <w:color w:val="auto"/>
              </w:rPr>
            </w:pPr>
          </w:p>
        </w:tc>
        <w:tc>
          <w:tcPr>
            <w:tcW w:w="900" w:type="dxa"/>
            <w:vAlign w:val="bottom"/>
            <w:shd w:val="clear" w:color="auto" w:fill="232F84"/>
          </w:tcPr>
          <w:p>
            <w:pPr>
              <w:spacing w:after="0"/>
              <w:rPr>
                <w:sz w:val="15"/>
                <w:szCs w:val="15"/>
                <w:color w:val="auto"/>
              </w:rPr>
            </w:pPr>
          </w:p>
        </w:tc>
        <w:tc>
          <w:tcPr>
            <w:tcW w:w="120" w:type="dxa"/>
            <w:vAlign w:val="bottom"/>
            <w:shd w:val="clear" w:color="auto" w:fill="232F84"/>
          </w:tcPr>
          <w:p>
            <w:pPr>
              <w:spacing w:after="0"/>
              <w:rPr>
                <w:sz w:val="15"/>
                <w:szCs w:val="15"/>
                <w:color w:val="auto"/>
              </w:rPr>
            </w:pPr>
          </w:p>
        </w:tc>
        <w:tc>
          <w:tcPr>
            <w:tcW w:w="320" w:type="dxa"/>
            <w:vAlign w:val="bottom"/>
            <w:shd w:val="clear" w:color="auto" w:fill="232F84"/>
          </w:tcPr>
          <w:p>
            <w:pPr>
              <w:spacing w:after="0"/>
              <w:rPr>
                <w:sz w:val="15"/>
                <w:szCs w:val="15"/>
                <w:color w:val="auto"/>
              </w:rPr>
            </w:pPr>
          </w:p>
        </w:tc>
        <w:tc>
          <w:tcPr>
            <w:tcW w:w="3480" w:type="dxa"/>
            <w:vAlign w:val="bottom"/>
            <w:gridSpan w:val="5"/>
            <w:shd w:val="clear" w:color="auto" w:fill="232F84"/>
          </w:tcPr>
          <w:p>
            <w:pPr>
              <w:jc w:val="center"/>
              <w:ind w:right="248"/>
              <w:spacing w:after="0"/>
              <w:rPr>
                <w:sz w:val="20"/>
                <w:szCs w:val="20"/>
                <w:color w:val="auto"/>
              </w:rPr>
            </w:pPr>
            <w:r>
              <w:rPr>
                <w:rFonts w:ascii="Arial" w:cs="Arial" w:eastAsia="Arial" w:hAnsi="Arial"/>
                <w:sz w:val="14"/>
                <w:szCs w:val="14"/>
                <w:b w:val="1"/>
                <w:bCs w:val="1"/>
                <w:color w:val="FFFFFF"/>
              </w:rPr>
              <w:t>Condensed Consolidated Statements of</w:t>
            </w:r>
          </w:p>
        </w:tc>
      </w:tr>
      <w:tr>
        <w:trPr>
          <w:trHeight w:val="206"/>
        </w:trPr>
        <w:tc>
          <w:tcPr>
            <w:tcW w:w="3540" w:type="dxa"/>
            <w:vAlign w:val="bottom"/>
            <w:shd w:val="clear" w:color="auto" w:fill="232F84"/>
          </w:tcPr>
          <w:p>
            <w:pPr>
              <w:spacing w:after="0"/>
              <w:rPr>
                <w:sz w:val="17"/>
                <w:szCs w:val="17"/>
                <w:color w:val="auto"/>
              </w:rPr>
            </w:pPr>
          </w:p>
        </w:tc>
        <w:tc>
          <w:tcPr>
            <w:tcW w:w="280" w:type="dxa"/>
            <w:vAlign w:val="bottom"/>
            <w:shd w:val="clear" w:color="auto" w:fill="232F84"/>
          </w:tcPr>
          <w:p>
            <w:pPr>
              <w:spacing w:after="0"/>
              <w:rPr>
                <w:sz w:val="17"/>
                <w:szCs w:val="17"/>
                <w:color w:val="auto"/>
              </w:rPr>
            </w:pPr>
          </w:p>
        </w:tc>
        <w:tc>
          <w:tcPr>
            <w:tcW w:w="3620" w:type="dxa"/>
            <w:vAlign w:val="bottom"/>
            <w:gridSpan w:val="6"/>
            <w:shd w:val="clear" w:color="auto" w:fill="232F84"/>
          </w:tcPr>
          <w:p>
            <w:pPr>
              <w:ind w:left="180"/>
              <w:spacing w:after="0"/>
              <w:rPr>
                <w:sz w:val="20"/>
                <w:szCs w:val="20"/>
                <w:color w:val="auto"/>
              </w:rPr>
            </w:pPr>
            <w:r>
              <w:rPr>
                <w:rFonts w:ascii="Arial" w:cs="Arial" w:eastAsia="Arial" w:hAnsi="Arial"/>
                <w:sz w:val="14"/>
                <w:szCs w:val="14"/>
                <w:b w:val="1"/>
                <w:bCs w:val="1"/>
                <w:color w:val="FFFFFF"/>
              </w:rPr>
              <w:t>Condensed Consolidated Balance Sheets</w:t>
            </w:r>
          </w:p>
        </w:tc>
        <w:tc>
          <w:tcPr>
            <w:tcW w:w="320" w:type="dxa"/>
            <w:vAlign w:val="bottom"/>
            <w:shd w:val="clear" w:color="auto" w:fill="232F84"/>
          </w:tcPr>
          <w:p>
            <w:pPr>
              <w:spacing w:after="0"/>
              <w:rPr>
                <w:sz w:val="17"/>
                <w:szCs w:val="17"/>
                <w:color w:val="auto"/>
              </w:rPr>
            </w:pPr>
          </w:p>
        </w:tc>
        <w:tc>
          <w:tcPr>
            <w:tcW w:w="2400" w:type="dxa"/>
            <w:vAlign w:val="bottom"/>
            <w:gridSpan w:val="4"/>
            <w:shd w:val="clear" w:color="auto" w:fill="232F84"/>
          </w:tcPr>
          <w:p>
            <w:pPr>
              <w:jc w:val="center"/>
              <w:ind w:left="708"/>
              <w:spacing w:after="0"/>
              <w:rPr>
                <w:sz w:val="20"/>
                <w:szCs w:val="20"/>
                <w:color w:val="auto"/>
              </w:rPr>
            </w:pPr>
            <w:r>
              <w:rPr>
                <w:rFonts w:ascii="Arial" w:cs="Arial" w:eastAsia="Arial" w:hAnsi="Arial"/>
                <w:sz w:val="14"/>
                <w:szCs w:val="14"/>
                <w:b w:val="1"/>
                <w:bCs w:val="1"/>
                <w:color w:val="FFFFFF"/>
              </w:rPr>
              <w:t>Comprehensive Income</w:t>
            </w:r>
          </w:p>
        </w:tc>
        <w:tc>
          <w:tcPr>
            <w:tcW w:w="1080" w:type="dxa"/>
            <w:vAlign w:val="bottom"/>
            <w:shd w:val="clear" w:color="auto" w:fill="232F84"/>
          </w:tcPr>
          <w:p>
            <w:pPr>
              <w:spacing w:after="0"/>
              <w:rPr>
                <w:sz w:val="17"/>
                <w:szCs w:val="17"/>
                <w:color w:val="auto"/>
              </w:rPr>
            </w:pPr>
          </w:p>
        </w:tc>
      </w:tr>
      <w:tr>
        <w:trPr>
          <w:trHeight w:val="186"/>
        </w:trPr>
        <w:tc>
          <w:tcPr>
            <w:tcW w:w="3540" w:type="dxa"/>
            <w:vAlign w:val="bottom"/>
            <w:shd w:val="clear" w:color="auto" w:fill="232F84"/>
          </w:tcPr>
          <w:p>
            <w:pPr>
              <w:spacing w:after="0"/>
              <w:rPr>
                <w:sz w:val="16"/>
                <w:szCs w:val="16"/>
                <w:color w:val="auto"/>
              </w:rPr>
            </w:pPr>
          </w:p>
        </w:tc>
        <w:tc>
          <w:tcPr>
            <w:tcW w:w="280" w:type="dxa"/>
            <w:vAlign w:val="bottom"/>
            <w:shd w:val="clear" w:color="auto" w:fill="232F84"/>
          </w:tcPr>
          <w:p>
            <w:pPr>
              <w:spacing w:after="0"/>
              <w:rPr>
                <w:sz w:val="16"/>
                <w:szCs w:val="16"/>
                <w:color w:val="auto"/>
              </w:rPr>
            </w:pPr>
          </w:p>
        </w:tc>
        <w:tc>
          <w:tcPr>
            <w:tcW w:w="960" w:type="dxa"/>
            <w:vAlign w:val="bottom"/>
            <w:shd w:val="clear" w:color="auto" w:fill="232F84"/>
          </w:tcPr>
          <w:p>
            <w:pPr>
              <w:spacing w:after="0"/>
              <w:rPr>
                <w:sz w:val="16"/>
                <w:szCs w:val="16"/>
                <w:color w:val="auto"/>
              </w:rPr>
            </w:pPr>
          </w:p>
        </w:tc>
        <w:tc>
          <w:tcPr>
            <w:tcW w:w="160" w:type="dxa"/>
            <w:vAlign w:val="bottom"/>
            <w:shd w:val="clear" w:color="auto" w:fill="232F84"/>
          </w:tcPr>
          <w:p>
            <w:pPr>
              <w:spacing w:after="0"/>
              <w:rPr>
                <w:sz w:val="16"/>
                <w:szCs w:val="16"/>
                <w:color w:val="auto"/>
              </w:rPr>
            </w:pPr>
          </w:p>
        </w:tc>
        <w:tc>
          <w:tcPr>
            <w:tcW w:w="1120" w:type="dxa"/>
            <w:vAlign w:val="bottom"/>
            <w:shd w:val="clear" w:color="auto" w:fill="232F84"/>
          </w:tcPr>
          <w:p>
            <w:pPr>
              <w:spacing w:after="0"/>
              <w:rPr>
                <w:sz w:val="16"/>
                <w:szCs w:val="16"/>
                <w:color w:val="auto"/>
              </w:rPr>
            </w:pPr>
          </w:p>
        </w:tc>
        <w:tc>
          <w:tcPr>
            <w:tcW w:w="360" w:type="dxa"/>
            <w:vAlign w:val="bottom"/>
            <w:shd w:val="clear" w:color="auto" w:fill="232F84"/>
          </w:tcPr>
          <w:p>
            <w:pPr>
              <w:spacing w:after="0"/>
              <w:rPr>
                <w:sz w:val="16"/>
                <w:szCs w:val="16"/>
                <w:color w:val="auto"/>
              </w:rPr>
            </w:pPr>
          </w:p>
        </w:tc>
        <w:tc>
          <w:tcPr>
            <w:tcW w:w="900" w:type="dxa"/>
            <w:vAlign w:val="bottom"/>
            <w:shd w:val="clear" w:color="auto" w:fill="232F84"/>
          </w:tcPr>
          <w:p>
            <w:pPr>
              <w:spacing w:after="0"/>
              <w:rPr>
                <w:sz w:val="16"/>
                <w:szCs w:val="16"/>
                <w:color w:val="auto"/>
              </w:rPr>
            </w:pPr>
          </w:p>
        </w:tc>
        <w:tc>
          <w:tcPr>
            <w:tcW w:w="120" w:type="dxa"/>
            <w:vAlign w:val="bottom"/>
            <w:shd w:val="clear" w:color="auto" w:fill="232F84"/>
          </w:tcPr>
          <w:p>
            <w:pPr>
              <w:spacing w:after="0"/>
              <w:rPr>
                <w:sz w:val="16"/>
                <w:szCs w:val="16"/>
                <w:color w:val="auto"/>
              </w:rPr>
            </w:pPr>
          </w:p>
        </w:tc>
        <w:tc>
          <w:tcPr>
            <w:tcW w:w="320" w:type="dxa"/>
            <w:vAlign w:val="bottom"/>
            <w:shd w:val="clear" w:color="auto" w:fill="232F84"/>
          </w:tcPr>
          <w:p>
            <w:pPr>
              <w:spacing w:after="0"/>
              <w:rPr>
                <w:sz w:val="16"/>
                <w:szCs w:val="16"/>
                <w:color w:val="auto"/>
              </w:rPr>
            </w:pPr>
          </w:p>
        </w:tc>
        <w:tc>
          <w:tcPr>
            <w:tcW w:w="920" w:type="dxa"/>
            <w:vAlign w:val="bottom"/>
            <w:shd w:val="clear" w:color="auto" w:fill="232F84"/>
          </w:tcPr>
          <w:p>
            <w:pPr>
              <w:spacing w:after="0"/>
              <w:rPr>
                <w:sz w:val="16"/>
                <w:szCs w:val="16"/>
                <w:color w:val="auto"/>
              </w:rPr>
            </w:pPr>
          </w:p>
        </w:tc>
        <w:tc>
          <w:tcPr>
            <w:tcW w:w="220" w:type="dxa"/>
            <w:vAlign w:val="bottom"/>
            <w:shd w:val="clear" w:color="auto" w:fill="232F84"/>
          </w:tcPr>
          <w:p>
            <w:pPr>
              <w:spacing w:after="0"/>
              <w:rPr>
                <w:sz w:val="16"/>
                <w:szCs w:val="16"/>
                <w:color w:val="auto"/>
              </w:rPr>
            </w:pPr>
          </w:p>
        </w:tc>
        <w:tc>
          <w:tcPr>
            <w:tcW w:w="1040" w:type="dxa"/>
            <w:vAlign w:val="bottom"/>
            <w:shd w:val="clear" w:color="auto" w:fill="232F84"/>
          </w:tcPr>
          <w:p>
            <w:pPr>
              <w:spacing w:after="0"/>
              <w:rPr>
                <w:sz w:val="16"/>
                <w:szCs w:val="16"/>
                <w:color w:val="auto"/>
              </w:rPr>
            </w:pPr>
          </w:p>
        </w:tc>
        <w:tc>
          <w:tcPr>
            <w:tcW w:w="220" w:type="dxa"/>
            <w:vAlign w:val="bottom"/>
            <w:shd w:val="clear" w:color="auto" w:fill="232F84"/>
          </w:tcPr>
          <w:p>
            <w:pPr>
              <w:spacing w:after="0"/>
              <w:rPr>
                <w:sz w:val="16"/>
                <w:szCs w:val="16"/>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Selling, general</w:t>
            </w:r>
          </w:p>
        </w:tc>
      </w:tr>
      <w:tr>
        <w:trPr>
          <w:trHeight w:val="162"/>
        </w:trPr>
        <w:tc>
          <w:tcPr>
            <w:tcW w:w="3540" w:type="dxa"/>
            <w:vAlign w:val="bottom"/>
            <w:shd w:val="clear" w:color="auto" w:fill="232F84"/>
          </w:tcPr>
          <w:p>
            <w:pPr>
              <w:spacing w:after="0"/>
              <w:rPr>
                <w:sz w:val="14"/>
                <w:szCs w:val="14"/>
                <w:color w:val="auto"/>
              </w:rPr>
            </w:pPr>
          </w:p>
        </w:tc>
        <w:tc>
          <w:tcPr>
            <w:tcW w:w="280" w:type="dxa"/>
            <w:vAlign w:val="bottom"/>
            <w:shd w:val="clear" w:color="auto" w:fill="232F84"/>
          </w:tcPr>
          <w:p>
            <w:pPr>
              <w:spacing w:after="0"/>
              <w:rPr>
                <w:sz w:val="14"/>
                <w:szCs w:val="14"/>
                <w:color w:val="auto"/>
              </w:rPr>
            </w:pPr>
          </w:p>
        </w:tc>
        <w:tc>
          <w:tcPr>
            <w:tcW w:w="960" w:type="dxa"/>
            <w:vAlign w:val="bottom"/>
            <w:shd w:val="clear" w:color="auto" w:fill="232F84"/>
          </w:tcPr>
          <w:p>
            <w:pPr>
              <w:spacing w:after="0"/>
              <w:rPr>
                <w:sz w:val="14"/>
                <w:szCs w:val="14"/>
                <w:color w:val="auto"/>
              </w:rPr>
            </w:pPr>
          </w:p>
        </w:tc>
        <w:tc>
          <w:tcPr>
            <w:tcW w:w="160" w:type="dxa"/>
            <w:vAlign w:val="bottom"/>
            <w:shd w:val="clear" w:color="auto" w:fill="232F84"/>
          </w:tcPr>
          <w:p>
            <w:pPr>
              <w:spacing w:after="0"/>
              <w:rPr>
                <w:sz w:val="14"/>
                <w:szCs w:val="14"/>
                <w:color w:val="auto"/>
              </w:rPr>
            </w:pPr>
          </w:p>
        </w:tc>
        <w:tc>
          <w:tcPr>
            <w:tcW w:w="11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Loans to equity</w:t>
            </w:r>
          </w:p>
        </w:tc>
        <w:tc>
          <w:tcPr>
            <w:tcW w:w="360" w:type="dxa"/>
            <w:vAlign w:val="bottom"/>
            <w:shd w:val="clear" w:color="auto" w:fill="232F84"/>
          </w:tcPr>
          <w:p>
            <w:pPr>
              <w:spacing w:after="0"/>
              <w:rPr>
                <w:sz w:val="14"/>
                <w:szCs w:val="14"/>
                <w:color w:val="auto"/>
              </w:rPr>
            </w:pPr>
          </w:p>
        </w:tc>
        <w:tc>
          <w:tcPr>
            <w:tcW w:w="900" w:type="dxa"/>
            <w:vAlign w:val="bottom"/>
            <w:shd w:val="clear" w:color="auto" w:fill="232F84"/>
          </w:tcPr>
          <w:p>
            <w:pPr>
              <w:spacing w:after="0"/>
              <w:rPr>
                <w:sz w:val="14"/>
                <w:szCs w:val="14"/>
                <w:color w:val="auto"/>
              </w:rPr>
            </w:pPr>
          </w:p>
        </w:tc>
        <w:tc>
          <w:tcPr>
            <w:tcW w:w="120" w:type="dxa"/>
            <w:vAlign w:val="bottom"/>
            <w:shd w:val="clear" w:color="auto" w:fill="232F84"/>
          </w:tcPr>
          <w:p>
            <w:pPr>
              <w:spacing w:after="0"/>
              <w:rPr>
                <w:sz w:val="14"/>
                <w:szCs w:val="14"/>
                <w:color w:val="auto"/>
              </w:rPr>
            </w:pPr>
          </w:p>
        </w:tc>
        <w:tc>
          <w:tcPr>
            <w:tcW w:w="320" w:type="dxa"/>
            <w:vAlign w:val="bottom"/>
            <w:shd w:val="clear" w:color="auto" w:fill="232F84"/>
          </w:tcPr>
          <w:p>
            <w:pPr>
              <w:spacing w:after="0"/>
              <w:rPr>
                <w:sz w:val="14"/>
                <w:szCs w:val="14"/>
                <w:color w:val="auto"/>
              </w:rPr>
            </w:pPr>
          </w:p>
        </w:tc>
        <w:tc>
          <w:tcPr>
            <w:tcW w:w="920" w:type="dxa"/>
            <w:vAlign w:val="bottom"/>
            <w:shd w:val="clear" w:color="auto" w:fill="232F84"/>
          </w:tcPr>
          <w:p>
            <w:pPr>
              <w:spacing w:after="0"/>
              <w:rPr>
                <w:sz w:val="14"/>
                <w:szCs w:val="14"/>
                <w:color w:val="auto"/>
              </w:rPr>
            </w:pPr>
          </w:p>
        </w:tc>
        <w:tc>
          <w:tcPr>
            <w:tcW w:w="220" w:type="dxa"/>
            <w:vAlign w:val="bottom"/>
            <w:shd w:val="clear" w:color="auto" w:fill="232F84"/>
          </w:tcPr>
          <w:p>
            <w:pPr>
              <w:spacing w:after="0"/>
              <w:rPr>
                <w:sz w:val="14"/>
                <w:szCs w:val="14"/>
                <w:color w:val="auto"/>
              </w:rPr>
            </w:pPr>
          </w:p>
        </w:tc>
        <w:tc>
          <w:tcPr>
            <w:tcW w:w="1040" w:type="dxa"/>
            <w:vAlign w:val="bottom"/>
            <w:shd w:val="clear" w:color="auto" w:fill="232F84"/>
          </w:tcPr>
          <w:p>
            <w:pPr>
              <w:spacing w:after="0"/>
              <w:rPr>
                <w:sz w:val="14"/>
                <w:szCs w:val="14"/>
                <w:color w:val="auto"/>
              </w:rPr>
            </w:pPr>
          </w:p>
        </w:tc>
        <w:tc>
          <w:tcPr>
            <w:tcW w:w="220" w:type="dxa"/>
            <w:vAlign w:val="bottom"/>
            <w:shd w:val="clear" w:color="auto" w:fill="232F84"/>
          </w:tcPr>
          <w:p>
            <w:pPr>
              <w:spacing w:after="0"/>
              <w:rPr>
                <w:sz w:val="14"/>
                <w:szCs w:val="14"/>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and</w:t>
            </w:r>
          </w:p>
        </w:tc>
      </w:tr>
      <w:tr>
        <w:trPr>
          <w:trHeight w:val="162"/>
        </w:trPr>
        <w:tc>
          <w:tcPr>
            <w:tcW w:w="3540" w:type="dxa"/>
            <w:vAlign w:val="bottom"/>
            <w:shd w:val="clear" w:color="auto" w:fill="232F84"/>
          </w:tcPr>
          <w:p>
            <w:pPr>
              <w:spacing w:after="0"/>
              <w:rPr>
                <w:sz w:val="14"/>
                <w:szCs w:val="14"/>
                <w:color w:val="auto"/>
              </w:rPr>
            </w:pPr>
          </w:p>
        </w:tc>
        <w:tc>
          <w:tcPr>
            <w:tcW w:w="280" w:type="dxa"/>
            <w:vAlign w:val="bottom"/>
            <w:shd w:val="clear" w:color="auto" w:fill="232F84"/>
          </w:tcPr>
          <w:p>
            <w:pPr>
              <w:spacing w:after="0"/>
              <w:rPr>
                <w:sz w:val="14"/>
                <w:szCs w:val="14"/>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Accounts</w:t>
            </w:r>
          </w:p>
        </w:tc>
        <w:tc>
          <w:tcPr>
            <w:tcW w:w="160" w:type="dxa"/>
            <w:vAlign w:val="bottom"/>
            <w:shd w:val="clear" w:color="auto" w:fill="232F84"/>
          </w:tcPr>
          <w:p>
            <w:pPr>
              <w:spacing w:after="0"/>
              <w:rPr>
                <w:sz w:val="14"/>
                <w:szCs w:val="14"/>
                <w:color w:val="auto"/>
              </w:rPr>
            </w:pPr>
          </w:p>
        </w:tc>
        <w:tc>
          <w:tcPr>
            <w:tcW w:w="11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method</w:t>
            </w:r>
          </w:p>
        </w:tc>
        <w:tc>
          <w:tcPr>
            <w:tcW w:w="360" w:type="dxa"/>
            <w:vAlign w:val="bottom"/>
            <w:shd w:val="clear" w:color="auto" w:fill="232F84"/>
          </w:tcPr>
          <w:p>
            <w:pPr>
              <w:spacing w:after="0"/>
              <w:rPr>
                <w:sz w:val="14"/>
                <w:szCs w:val="14"/>
                <w:color w:val="auto"/>
              </w:rPr>
            </w:pPr>
          </w:p>
        </w:tc>
        <w:tc>
          <w:tcPr>
            <w:tcW w:w="1020" w:type="dxa"/>
            <w:vAlign w:val="bottom"/>
            <w:gridSpan w:val="2"/>
            <w:shd w:val="clear" w:color="auto" w:fill="232F84"/>
          </w:tcPr>
          <w:p>
            <w:pPr>
              <w:jc w:val="right"/>
              <w:ind w:right="140"/>
              <w:spacing w:after="0"/>
              <w:rPr>
                <w:sz w:val="20"/>
                <w:szCs w:val="20"/>
                <w:color w:val="auto"/>
              </w:rPr>
            </w:pPr>
            <w:r>
              <w:rPr>
                <w:rFonts w:ascii="Arial" w:cs="Arial" w:eastAsia="Arial" w:hAnsi="Arial"/>
                <w:sz w:val="14"/>
                <w:szCs w:val="14"/>
                <w:b w:val="1"/>
                <w:bCs w:val="1"/>
                <w:color w:val="FFFFFF"/>
              </w:rPr>
              <w:t>Accounts</w:t>
            </w:r>
          </w:p>
        </w:tc>
        <w:tc>
          <w:tcPr>
            <w:tcW w:w="320" w:type="dxa"/>
            <w:vAlign w:val="bottom"/>
            <w:shd w:val="clear" w:color="auto" w:fill="232F84"/>
          </w:tcPr>
          <w:p>
            <w:pPr>
              <w:spacing w:after="0"/>
              <w:rPr>
                <w:sz w:val="14"/>
                <w:szCs w:val="14"/>
                <w:color w:val="auto"/>
              </w:rPr>
            </w:pPr>
          </w:p>
        </w:tc>
        <w:tc>
          <w:tcPr>
            <w:tcW w:w="920" w:type="dxa"/>
            <w:vAlign w:val="bottom"/>
            <w:shd w:val="clear" w:color="auto" w:fill="232F84"/>
          </w:tcPr>
          <w:p>
            <w:pPr>
              <w:spacing w:after="0"/>
              <w:rPr>
                <w:sz w:val="14"/>
                <w:szCs w:val="14"/>
                <w:color w:val="auto"/>
              </w:rPr>
            </w:pPr>
          </w:p>
        </w:tc>
        <w:tc>
          <w:tcPr>
            <w:tcW w:w="220" w:type="dxa"/>
            <w:vAlign w:val="bottom"/>
            <w:shd w:val="clear" w:color="auto" w:fill="232F84"/>
          </w:tcPr>
          <w:p>
            <w:pPr>
              <w:spacing w:after="0"/>
              <w:rPr>
                <w:sz w:val="14"/>
                <w:szCs w:val="14"/>
                <w:color w:val="auto"/>
              </w:rPr>
            </w:pPr>
          </w:p>
        </w:tc>
        <w:tc>
          <w:tcPr>
            <w:tcW w:w="1040" w:type="dxa"/>
            <w:vAlign w:val="bottom"/>
            <w:shd w:val="clear" w:color="auto" w:fill="232F84"/>
          </w:tcPr>
          <w:p>
            <w:pPr>
              <w:spacing w:after="0"/>
              <w:rPr>
                <w:sz w:val="14"/>
                <w:szCs w:val="14"/>
                <w:color w:val="auto"/>
              </w:rPr>
            </w:pPr>
          </w:p>
        </w:tc>
        <w:tc>
          <w:tcPr>
            <w:tcW w:w="220" w:type="dxa"/>
            <w:vAlign w:val="bottom"/>
            <w:shd w:val="clear" w:color="auto" w:fill="232F84"/>
          </w:tcPr>
          <w:p>
            <w:pPr>
              <w:spacing w:after="0"/>
              <w:rPr>
                <w:sz w:val="14"/>
                <w:szCs w:val="14"/>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administrative</w:t>
            </w:r>
          </w:p>
        </w:tc>
      </w:tr>
      <w:tr>
        <w:trPr>
          <w:trHeight w:val="202"/>
        </w:trPr>
        <w:tc>
          <w:tcPr>
            <w:tcW w:w="35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280" w:type="dxa"/>
            <w:vAlign w:val="bottom"/>
            <w:shd w:val="clear" w:color="auto" w:fill="232F84"/>
          </w:tcPr>
          <w:p>
            <w:pPr>
              <w:spacing w:after="0"/>
              <w:rPr>
                <w:sz w:val="17"/>
                <w:szCs w:val="17"/>
                <w:color w:val="auto"/>
              </w:rPr>
            </w:pPr>
          </w:p>
        </w:tc>
        <w:tc>
          <w:tcPr>
            <w:tcW w:w="9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receivable</w:t>
            </w:r>
          </w:p>
        </w:tc>
        <w:tc>
          <w:tcPr>
            <w:tcW w:w="160" w:type="dxa"/>
            <w:vAlign w:val="bottom"/>
            <w:shd w:val="clear" w:color="auto" w:fill="232F84"/>
          </w:tcPr>
          <w:p>
            <w:pPr>
              <w:spacing w:after="0"/>
              <w:rPr>
                <w:sz w:val="17"/>
                <w:szCs w:val="17"/>
                <w:color w:val="auto"/>
              </w:rPr>
            </w:pPr>
          </w:p>
        </w:tc>
        <w:tc>
          <w:tcPr>
            <w:tcW w:w="11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investees</w:t>
            </w:r>
          </w:p>
        </w:tc>
        <w:tc>
          <w:tcPr>
            <w:tcW w:w="360" w:type="dxa"/>
            <w:vAlign w:val="bottom"/>
            <w:shd w:val="clear" w:color="auto" w:fill="232F84"/>
          </w:tcPr>
          <w:p>
            <w:pPr>
              <w:spacing w:after="0"/>
              <w:rPr>
                <w:sz w:val="17"/>
                <w:szCs w:val="17"/>
                <w:color w:val="auto"/>
              </w:rPr>
            </w:pPr>
          </w:p>
        </w:tc>
        <w:tc>
          <w:tcPr>
            <w:tcW w:w="1020" w:type="dxa"/>
            <w:vAlign w:val="bottom"/>
            <w:gridSpan w:val="2"/>
            <w:shd w:val="clear" w:color="auto" w:fill="232F84"/>
          </w:tcPr>
          <w:p>
            <w:pPr>
              <w:jc w:val="right"/>
              <w:ind w:right="140"/>
              <w:spacing w:after="0"/>
              <w:rPr>
                <w:sz w:val="20"/>
                <w:szCs w:val="20"/>
                <w:color w:val="auto"/>
              </w:rPr>
            </w:pPr>
            <w:r>
              <w:rPr>
                <w:rFonts w:ascii="Arial" w:cs="Arial" w:eastAsia="Arial" w:hAnsi="Arial"/>
                <w:sz w:val="14"/>
                <w:szCs w:val="14"/>
                <w:b w:val="1"/>
                <w:bCs w:val="1"/>
                <w:color w:val="FFFFFF"/>
              </w:rPr>
              <w:t>payable</w:t>
            </w:r>
          </w:p>
        </w:tc>
        <w:tc>
          <w:tcPr>
            <w:tcW w:w="320" w:type="dxa"/>
            <w:vAlign w:val="bottom"/>
            <w:shd w:val="clear" w:color="auto" w:fill="232F84"/>
          </w:tcPr>
          <w:p>
            <w:pPr>
              <w:spacing w:after="0"/>
              <w:rPr>
                <w:sz w:val="17"/>
                <w:szCs w:val="17"/>
                <w:color w:val="auto"/>
              </w:rPr>
            </w:pPr>
          </w:p>
        </w:tc>
        <w:tc>
          <w:tcPr>
            <w:tcW w:w="9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Net sales</w:t>
            </w:r>
          </w:p>
        </w:tc>
        <w:tc>
          <w:tcPr>
            <w:tcW w:w="220" w:type="dxa"/>
            <w:vAlign w:val="bottom"/>
            <w:shd w:val="clear" w:color="auto" w:fill="232F84"/>
          </w:tcPr>
          <w:p>
            <w:pPr>
              <w:spacing w:after="0"/>
              <w:rPr>
                <w:sz w:val="17"/>
                <w:szCs w:val="17"/>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Cost of sales</w:t>
            </w:r>
          </w:p>
        </w:tc>
        <w:tc>
          <w:tcPr>
            <w:tcW w:w="220" w:type="dxa"/>
            <w:vAlign w:val="bottom"/>
            <w:shd w:val="clear" w:color="auto" w:fill="232F84"/>
          </w:tcPr>
          <w:p>
            <w:pPr>
              <w:spacing w:after="0"/>
              <w:rPr>
                <w:sz w:val="17"/>
                <w:szCs w:val="17"/>
                <w:color w:val="auto"/>
              </w:rPr>
            </w:pPr>
          </w:p>
        </w:tc>
        <w:tc>
          <w:tcPr>
            <w:tcW w:w="108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expenses</w:t>
            </w:r>
          </w:p>
        </w:tc>
      </w:tr>
      <w:tr>
        <w:trPr>
          <w:trHeight w:val="216"/>
        </w:trPr>
        <w:tc>
          <w:tcPr>
            <w:tcW w:w="3540" w:type="dxa"/>
            <w:vAlign w:val="bottom"/>
            <w:shd w:val="clear" w:color="auto" w:fill="43C0B9"/>
          </w:tcPr>
          <w:p>
            <w:pPr>
              <w:spacing w:after="0"/>
              <w:rPr>
                <w:sz w:val="18"/>
                <w:szCs w:val="18"/>
                <w:color w:val="auto"/>
              </w:rPr>
            </w:pPr>
          </w:p>
        </w:tc>
        <w:tc>
          <w:tcPr>
            <w:tcW w:w="280" w:type="dxa"/>
            <w:vAlign w:val="bottom"/>
            <w:tcBorders>
              <w:bottom w:val="single" w:sz="8" w:color="auto"/>
            </w:tcBorders>
            <w:shd w:val="clear" w:color="auto" w:fill="43C0B9"/>
          </w:tcPr>
          <w:p>
            <w:pPr>
              <w:spacing w:after="0"/>
              <w:rPr>
                <w:sz w:val="18"/>
                <w:szCs w:val="18"/>
                <w:color w:val="auto"/>
              </w:rPr>
            </w:pPr>
          </w:p>
        </w:tc>
        <w:tc>
          <w:tcPr>
            <w:tcW w:w="960" w:type="dxa"/>
            <w:vAlign w:val="bottom"/>
            <w:tcBorders>
              <w:bottom w:val="single" w:sz="8" w:color="auto"/>
            </w:tcBorders>
            <w:shd w:val="clear" w:color="auto" w:fill="43C0B9"/>
          </w:tcPr>
          <w:p>
            <w:pPr>
              <w:spacing w:after="0"/>
              <w:rPr>
                <w:sz w:val="18"/>
                <w:szCs w:val="18"/>
                <w:color w:val="auto"/>
              </w:rPr>
            </w:pPr>
          </w:p>
        </w:tc>
        <w:tc>
          <w:tcPr>
            <w:tcW w:w="1280" w:type="dxa"/>
            <w:vAlign w:val="bottom"/>
            <w:tcBorders>
              <w:bottom w:val="single" w:sz="8" w:color="auto"/>
            </w:tcBorders>
            <w:gridSpan w:val="2"/>
            <w:shd w:val="clear" w:color="auto" w:fill="43C0B9"/>
          </w:tcPr>
          <w:p>
            <w:pPr>
              <w:ind w:left="80"/>
              <w:spacing w:after="0"/>
              <w:rPr>
                <w:sz w:val="20"/>
                <w:szCs w:val="20"/>
                <w:color w:val="auto"/>
              </w:rPr>
            </w:pPr>
            <w:r>
              <w:rPr>
                <w:rFonts w:ascii="Arial" w:cs="Arial" w:eastAsia="Arial" w:hAnsi="Arial"/>
                <w:sz w:val="14"/>
                <w:szCs w:val="14"/>
                <w:b w:val="1"/>
                <w:bCs w:val="1"/>
                <w:color w:val="auto"/>
              </w:rPr>
              <w:t>January 31, 2021</w:t>
            </w:r>
          </w:p>
        </w:tc>
        <w:tc>
          <w:tcPr>
            <w:tcW w:w="360" w:type="dxa"/>
            <w:vAlign w:val="bottom"/>
            <w:tcBorders>
              <w:bottom w:val="single" w:sz="8" w:color="auto"/>
            </w:tcBorders>
            <w:shd w:val="clear" w:color="auto" w:fill="43C0B9"/>
          </w:tcPr>
          <w:p>
            <w:pPr>
              <w:spacing w:after="0"/>
              <w:rPr>
                <w:sz w:val="18"/>
                <w:szCs w:val="18"/>
                <w:color w:val="auto"/>
              </w:rPr>
            </w:pPr>
          </w:p>
        </w:tc>
        <w:tc>
          <w:tcPr>
            <w:tcW w:w="900" w:type="dxa"/>
            <w:vAlign w:val="bottom"/>
            <w:tcBorders>
              <w:bottom w:val="single" w:sz="8" w:color="auto"/>
            </w:tcBorders>
            <w:shd w:val="clear" w:color="auto" w:fill="43C0B9"/>
          </w:tcPr>
          <w:p>
            <w:pPr>
              <w:spacing w:after="0"/>
              <w:rPr>
                <w:sz w:val="18"/>
                <w:szCs w:val="18"/>
                <w:color w:val="auto"/>
              </w:rPr>
            </w:pPr>
          </w:p>
        </w:tc>
        <w:tc>
          <w:tcPr>
            <w:tcW w:w="120" w:type="dxa"/>
            <w:vAlign w:val="bottom"/>
            <w:shd w:val="clear" w:color="auto" w:fill="43C0B9"/>
          </w:tcPr>
          <w:p>
            <w:pPr>
              <w:spacing w:after="0"/>
              <w:rPr>
                <w:sz w:val="18"/>
                <w:szCs w:val="18"/>
                <w:color w:val="auto"/>
              </w:rPr>
            </w:pPr>
          </w:p>
        </w:tc>
        <w:tc>
          <w:tcPr>
            <w:tcW w:w="320" w:type="dxa"/>
            <w:vAlign w:val="bottom"/>
            <w:tcBorders>
              <w:bottom w:val="single" w:sz="8" w:color="auto"/>
            </w:tcBorders>
            <w:shd w:val="clear" w:color="auto" w:fill="43C0B9"/>
          </w:tcPr>
          <w:p>
            <w:pPr>
              <w:spacing w:after="0"/>
              <w:rPr>
                <w:sz w:val="18"/>
                <w:szCs w:val="18"/>
                <w:color w:val="auto"/>
              </w:rPr>
            </w:pPr>
          </w:p>
        </w:tc>
        <w:tc>
          <w:tcPr>
            <w:tcW w:w="3480" w:type="dxa"/>
            <w:vAlign w:val="bottom"/>
            <w:tcBorders>
              <w:bottom w:val="single" w:sz="8" w:color="auto"/>
            </w:tcBorders>
            <w:gridSpan w:val="5"/>
            <w:shd w:val="clear" w:color="auto" w:fill="43C0B9"/>
          </w:tcPr>
          <w:p>
            <w:pPr>
              <w:jc w:val="center"/>
              <w:ind w:right="228"/>
              <w:spacing w:after="0"/>
              <w:rPr>
                <w:sz w:val="20"/>
                <w:szCs w:val="20"/>
                <w:color w:val="auto"/>
              </w:rPr>
            </w:pPr>
            <w:r>
              <w:rPr>
                <w:rFonts w:ascii="Arial" w:cs="Arial" w:eastAsia="Arial" w:hAnsi="Arial"/>
                <w:sz w:val="14"/>
                <w:szCs w:val="14"/>
                <w:b w:val="1"/>
                <w:bCs w:val="1"/>
                <w:color w:val="auto"/>
              </w:rPr>
              <w:t>Three Months Ended January 31, 2021</w:t>
            </w:r>
          </w:p>
        </w:tc>
      </w:tr>
      <w:tr>
        <w:trPr>
          <w:trHeight w:val="190"/>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Equity method investees: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2"/>
        </w:trPr>
        <w:tc>
          <w:tcPr>
            <w:tcW w:w="3540" w:type="dxa"/>
            <w:vAlign w:val="bottom"/>
            <w:shd w:val="clear" w:color="auto" w:fill="43C0B9"/>
          </w:tcPr>
          <w:p>
            <w:pPr>
              <w:ind w:left="140"/>
              <w:spacing w:after="0"/>
              <w:rPr>
                <w:sz w:val="20"/>
                <w:szCs w:val="20"/>
                <w:color w:val="auto"/>
              </w:rPr>
            </w:pPr>
            <w:r>
              <w:rPr>
                <w:rFonts w:ascii="Arial" w:cs="Arial" w:eastAsia="Arial" w:hAnsi="Arial"/>
                <w:sz w:val="14"/>
                <w:szCs w:val="14"/>
                <w:color w:val="auto"/>
              </w:rPr>
              <w:t>Mr. Avocado</w:t>
            </w:r>
          </w:p>
        </w:tc>
        <w:tc>
          <w:tcPr>
            <w:tcW w:w="28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1.1</w:t>
            </w:r>
          </w:p>
        </w:tc>
        <w:tc>
          <w:tcPr>
            <w:tcW w:w="160" w:type="dxa"/>
            <w:vAlign w:val="bottom"/>
            <w:shd w:val="clear" w:color="auto" w:fill="43C0B9"/>
          </w:tcPr>
          <w:p>
            <w:pPr>
              <w:ind w:left="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shd w:val="clear" w:color="auto" w:fill="43C0B9"/>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43C0B9"/>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43C0B9"/>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1.1</w:t>
            </w:r>
          </w:p>
        </w:tc>
        <w:tc>
          <w:tcPr>
            <w:tcW w:w="22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43C0B9"/>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540" w:type="dxa"/>
            <w:vAlign w:val="bottom"/>
          </w:tcPr>
          <w:p>
            <w:pPr>
              <w:ind w:left="140"/>
              <w:spacing w:after="0"/>
              <w:rPr>
                <w:sz w:val="20"/>
                <w:szCs w:val="20"/>
                <w:color w:val="auto"/>
              </w:rPr>
            </w:pPr>
            <w:r>
              <w:rPr>
                <w:rFonts w:ascii="Arial" w:cs="Arial" w:eastAsia="Arial" w:hAnsi="Arial"/>
                <w:sz w:val="14"/>
                <w:szCs w:val="14"/>
                <w:color w:val="auto"/>
              </w:rPr>
              <w:t>Moruga</w:t>
            </w:r>
            <w:r>
              <w:rPr>
                <w:rFonts w:ascii="Arial" w:cs="Arial" w:eastAsia="Arial" w:hAnsi="Arial"/>
                <w:sz w:val="18"/>
                <w:szCs w:val="18"/>
                <w:color w:val="auto"/>
                <w:vertAlign w:val="superscript"/>
              </w:rPr>
              <w:t>(1)</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5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Other:</w:t>
            </w:r>
          </w:p>
        </w:tc>
        <w:tc>
          <w:tcPr>
            <w:tcW w:w="280" w:type="dxa"/>
            <w:vAlign w:val="bottom"/>
            <w:shd w:val="clear" w:color="auto" w:fill="43C0B9"/>
          </w:tcPr>
          <w:p>
            <w:pPr>
              <w:spacing w:after="0"/>
              <w:rPr>
                <w:sz w:val="18"/>
                <w:szCs w:val="18"/>
                <w:color w:val="auto"/>
              </w:rPr>
            </w:pPr>
          </w:p>
        </w:tc>
        <w:tc>
          <w:tcPr>
            <w:tcW w:w="960" w:type="dxa"/>
            <w:vAlign w:val="bottom"/>
            <w:shd w:val="clear" w:color="auto" w:fill="43C0B9"/>
          </w:tcPr>
          <w:p>
            <w:pPr>
              <w:spacing w:after="0"/>
              <w:rPr>
                <w:sz w:val="18"/>
                <w:szCs w:val="18"/>
                <w:color w:val="auto"/>
              </w:rPr>
            </w:pPr>
          </w:p>
        </w:tc>
        <w:tc>
          <w:tcPr>
            <w:tcW w:w="160" w:type="dxa"/>
            <w:vAlign w:val="bottom"/>
            <w:shd w:val="clear" w:color="auto" w:fill="43C0B9"/>
          </w:tcPr>
          <w:p>
            <w:pPr>
              <w:spacing w:after="0"/>
              <w:rPr>
                <w:sz w:val="18"/>
                <w:szCs w:val="18"/>
                <w:color w:val="auto"/>
              </w:rPr>
            </w:pPr>
          </w:p>
        </w:tc>
        <w:tc>
          <w:tcPr>
            <w:tcW w:w="1120" w:type="dxa"/>
            <w:vAlign w:val="bottom"/>
            <w:shd w:val="clear" w:color="auto" w:fill="43C0B9"/>
          </w:tcPr>
          <w:p>
            <w:pPr>
              <w:spacing w:after="0"/>
              <w:rPr>
                <w:sz w:val="18"/>
                <w:szCs w:val="18"/>
                <w:color w:val="auto"/>
              </w:rPr>
            </w:pPr>
          </w:p>
        </w:tc>
        <w:tc>
          <w:tcPr>
            <w:tcW w:w="360" w:type="dxa"/>
            <w:vAlign w:val="bottom"/>
            <w:shd w:val="clear" w:color="auto" w:fill="43C0B9"/>
          </w:tcPr>
          <w:p>
            <w:pPr>
              <w:spacing w:after="0"/>
              <w:rPr>
                <w:sz w:val="18"/>
                <w:szCs w:val="18"/>
                <w:color w:val="auto"/>
              </w:rPr>
            </w:pPr>
          </w:p>
        </w:tc>
        <w:tc>
          <w:tcPr>
            <w:tcW w:w="900" w:type="dxa"/>
            <w:vAlign w:val="bottom"/>
            <w:shd w:val="clear" w:color="auto" w:fill="43C0B9"/>
          </w:tcPr>
          <w:p>
            <w:pPr>
              <w:spacing w:after="0"/>
              <w:rPr>
                <w:sz w:val="18"/>
                <w:szCs w:val="18"/>
                <w:color w:val="auto"/>
              </w:rPr>
            </w:pPr>
          </w:p>
        </w:tc>
        <w:tc>
          <w:tcPr>
            <w:tcW w:w="120" w:type="dxa"/>
            <w:vAlign w:val="bottom"/>
            <w:shd w:val="clear" w:color="auto" w:fill="43C0B9"/>
          </w:tcPr>
          <w:p>
            <w:pPr>
              <w:spacing w:after="0"/>
              <w:rPr>
                <w:sz w:val="18"/>
                <w:szCs w:val="18"/>
                <w:color w:val="auto"/>
              </w:rPr>
            </w:pPr>
          </w:p>
        </w:tc>
        <w:tc>
          <w:tcPr>
            <w:tcW w:w="32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220" w:type="dxa"/>
            <w:vAlign w:val="bottom"/>
            <w:shd w:val="clear" w:color="auto" w:fill="43C0B9"/>
          </w:tcPr>
          <w:p>
            <w:pPr>
              <w:spacing w:after="0"/>
              <w:rPr>
                <w:sz w:val="18"/>
                <w:szCs w:val="18"/>
                <w:color w:val="auto"/>
              </w:rPr>
            </w:pPr>
          </w:p>
        </w:tc>
        <w:tc>
          <w:tcPr>
            <w:tcW w:w="1040" w:type="dxa"/>
            <w:vAlign w:val="bottom"/>
            <w:shd w:val="clear" w:color="auto" w:fill="43C0B9"/>
          </w:tcPr>
          <w:p>
            <w:pPr>
              <w:spacing w:after="0"/>
              <w:rPr>
                <w:sz w:val="18"/>
                <w:szCs w:val="18"/>
                <w:color w:val="auto"/>
              </w:rPr>
            </w:pPr>
          </w:p>
        </w:tc>
        <w:tc>
          <w:tcPr>
            <w:tcW w:w="220" w:type="dxa"/>
            <w:vAlign w:val="bottom"/>
            <w:shd w:val="clear" w:color="auto" w:fill="43C0B9"/>
          </w:tcPr>
          <w:p>
            <w:pPr>
              <w:spacing w:after="0"/>
              <w:rPr>
                <w:sz w:val="18"/>
                <w:szCs w:val="18"/>
                <w:color w:val="auto"/>
              </w:rPr>
            </w:pPr>
          </w:p>
        </w:tc>
        <w:tc>
          <w:tcPr>
            <w:tcW w:w="1080" w:type="dxa"/>
            <w:vAlign w:val="bottom"/>
            <w:shd w:val="clear" w:color="auto" w:fill="43C0B9"/>
          </w:tcPr>
          <w:p>
            <w:pPr>
              <w:spacing w:after="0"/>
              <w:rPr>
                <w:sz w:val="18"/>
                <w:szCs w:val="18"/>
                <w:color w:val="auto"/>
              </w:rPr>
            </w:pPr>
          </w:p>
        </w:tc>
      </w:tr>
      <w:tr>
        <w:trPr>
          <w:trHeight w:val="216"/>
        </w:trPr>
        <w:tc>
          <w:tcPr>
            <w:tcW w:w="3540" w:type="dxa"/>
            <w:vAlign w:val="bottom"/>
          </w:tcPr>
          <w:p>
            <w:pPr>
              <w:ind w:left="140"/>
              <w:spacing w:after="0"/>
              <w:rPr>
                <w:sz w:val="20"/>
                <w:szCs w:val="20"/>
                <w:color w:val="auto"/>
              </w:rPr>
            </w:pPr>
            <w:r>
              <w:rPr>
                <w:rFonts w:ascii="Arial" w:cs="Arial" w:eastAsia="Arial" w:hAnsi="Arial"/>
                <w:sz w:val="14"/>
                <w:szCs w:val="14"/>
                <w:color w:val="auto"/>
              </w:rPr>
              <w:t>Directors/officers</w:t>
            </w:r>
            <w:r>
              <w:rPr>
                <w:rFonts w:ascii="Arial" w:cs="Arial" w:eastAsia="Arial" w:hAnsi="Arial"/>
                <w:sz w:val="18"/>
                <w:szCs w:val="18"/>
                <w:color w:val="auto"/>
                <w:vertAlign w:val="superscript"/>
              </w:rPr>
              <w:t>(2)</w:t>
            </w:r>
          </w:p>
        </w:tc>
        <w:tc>
          <w:tcPr>
            <w:tcW w:w="280" w:type="dxa"/>
            <w:vAlign w:val="bottom"/>
          </w:tcPr>
          <w:p>
            <w:pPr>
              <w:spacing w:after="0"/>
              <w:rPr>
                <w:sz w:val="18"/>
                <w:szCs w:val="18"/>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220" w:type="dxa"/>
            <w:vAlign w:val="bottom"/>
          </w:tcPr>
          <w:p>
            <w:pPr>
              <w:spacing w:after="0"/>
              <w:rPr>
                <w:sz w:val="18"/>
                <w:szCs w:val="18"/>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3540" w:type="dxa"/>
            <w:vAlign w:val="bottom"/>
            <w:shd w:val="clear" w:color="auto" w:fill="43C0B9"/>
          </w:tcPr>
          <w:p>
            <w:pPr>
              <w:ind w:left="140"/>
              <w:spacing w:after="0"/>
              <w:rPr>
                <w:sz w:val="20"/>
                <w:szCs w:val="20"/>
                <w:color w:val="auto"/>
              </w:rPr>
            </w:pPr>
            <w:r>
              <w:rPr>
                <w:rFonts w:ascii="Arial" w:cs="Arial" w:eastAsia="Arial" w:hAnsi="Arial"/>
                <w:sz w:val="14"/>
                <w:szCs w:val="14"/>
                <w:color w:val="auto"/>
              </w:rPr>
              <w:t>Employees</w:t>
            </w:r>
            <w:r>
              <w:rPr>
                <w:rFonts w:ascii="Arial" w:cs="Arial" w:eastAsia="Arial" w:hAnsi="Arial"/>
                <w:sz w:val="18"/>
                <w:szCs w:val="18"/>
                <w:color w:val="auto"/>
                <w:vertAlign w:val="superscript"/>
              </w:rPr>
              <w:t>(3)</w:t>
            </w:r>
          </w:p>
        </w:tc>
        <w:tc>
          <w:tcPr>
            <w:tcW w:w="280" w:type="dxa"/>
            <w:vAlign w:val="bottom"/>
            <w:shd w:val="clear" w:color="auto" w:fill="43C0B9"/>
          </w:tcPr>
          <w:p>
            <w:pPr>
              <w:spacing w:after="0"/>
              <w:rPr>
                <w:sz w:val="18"/>
                <w:szCs w:val="18"/>
                <w:color w:val="auto"/>
              </w:rPr>
            </w:pPr>
          </w:p>
        </w:tc>
        <w:tc>
          <w:tcPr>
            <w:tcW w:w="9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43C0B9"/>
          </w:tcPr>
          <w:p>
            <w:pPr>
              <w:spacing w:after="0"/>
              <w:rPr>
                <w:sz w:val="18"/>
                <w:szCs w:val="18"/>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shd w:val="clear" w:color="auto" w:fill="43C0B9"/>
          </w:tcPr>
          <w:p>
            <w:pPr>
              <w:spacing w:after="0"/>
              <w:rPr>
                <w:sz w:val="18"/>
                <w:szCs w:val="18"/>
                <w:color w:val="auto"/>
              </w:rPr>
            </w:pPr>
          </w:p>
        </w:tc>
        <w:tc>
          <w:tcPr>
            <w:tcW w:w="1020" w:type="dxa"/>
            <w:vAlign w:val="bottom"/>
            <w:gridSpan w:val="2"/>
            <w:shd w:val="clear" w:color="auto" w:fill="43C0B9"/>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43C0B9"/>
          </w:tcPr>
          <w:p>
            <w:pPr>
              <w:spacing w:after="0"/>
              <w:rPr>
                <w:sz w:val="18"/>
                <w:szCs w:val="18"/>
                <w:color w:val="auto"/>
              </w:rPr>
            </w:pPr>
          </w:p>
        </w:tc>
        <w:tc>
          <w:tcPr>
            <w:tcW w:w="9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shd w:val="clear" w:color="auto" w:fill="43C0B9"/>
          </w:tcPr>
          <w:p>
            <w:pPr>
              <w:spacing w:after="0"/>
              <w:rPr>
                <w:sz w:val="18"/>
                <w:szCs w:val="18"/>
                <w:color w:val="auto"/>
              </w:rPr>
            </w:pPr>
          </w:p>
        </w:tc>
        <w:tc>
          <w:tcPr>
            <w:tcW w:w="104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3.0</w:t>
            </w:r>
          </w:p>
        </w:tc>
        <w:tc>
          <w:tcPr>
            <w:tcW w:w="220" w:type="dxa"/>
            <w:vAlign w:val="bottom"/>
            <w:shd w:val="clear" w:color="auto" w:fill="43C0B9"/>
          </w:tcPr>
          <w:p>
            <w:pPr>
              <w:spacing w:after="0"/>
              <w:rPr>
                <w:sz w:val="18"/>
                <w:szCs w:val="18"/>
                <w:color w:val="auto"/>
              </w:rPr>
            </w:pPr>
          </w:p>
        </w:tc>
        <w:tc>
          <w:tcPr>
            <w:tcW w:w="10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3540" w:type="dxa"/>
            <w:vAlign w:val="bottom"/>
            <w:tcBorders>
              <w:bottom w:val="single" w:sz="8" w:color="43C0B9"/>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October 31, 2020</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43C0B9"/>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5"/>
          </w:tcPr>
          <w:p>
            <w:pPr>
              <w:jc w:val="center"/>
              <w:ind w:right="228"/>
              <w:spacing w:after="0"/>
              <w:rPr>
                <w:sz w:val="20"/>
                <w:szCs w:val="20"/>
                <w:color w:val="auto"/>
              </w:rPr>
            </w:pPr>
            <w:r>
              <w:rPr>
                <w:rFonts w:ascii="Arial" w:cs="Arial" w:eastAsia="Arial" w:hAnsi="Arial"/>
                <w:sz w:val="14"/>
                <w:szCs w:val="14"/>
                <w:b w:val="1"/>
                <w:bCs w:val="1"/>
                <w:color w:val="auto"/>
              </w:rPr>
              <w:t>Three Months Ended January 31, 2020</w:t>
            </w:r>
          </w:p>
        </w:tc>
      </w:tr>
      <w:tr>
        <w:trPr>
          <w:trHeight w:val="215"/>
        </w:trPr>
        <w:tc>
          <w:tcPr>
            <w:tcW w:w="3540" w:type="dxa"/>
            <w:vAlign w:val="bottom"/>
            <w:shd w:val="clear" w:color="auto" w:fill="43C0B9"/>
          </w:tcPr>
          <w:p>
            <w:pPr>
              <w:ind w:left="20"/>
              <w:spacing w:after="0"/>
              <w:rPr>
                <w:sz w:val="20"/>
                <w:szCs w:val="20"/>
                <w:color w:val="auto"/>
              </w:rPr>
            </w:pPr>
            <w:r>
              <w:rPr>
                <w:rFonts w:ascii="Arial" w:cs="Arial" w:eastAsia="Arial" w:hAnsi="Arial"/>
                <w:sz w:val="14"/>
                <w:szCs w:val="14"/>
                <w:b w:val="1"/>
                <w:bCs w:val="1"/>
                <w:color w:val="auto"/>
              </w:rPr>
              <w:t>Equity method investees:</w:t>
            </w:r>
          </w:p>
        </w:tc>
        <w:tc>
          <w:tcPr>
            <w:tcW w:w="280" w:type="dxa"/>
            <w:vAlign w:val="bottom"/>
            <w:shd w:val="clear" w:color="auto" w:fill="43C0B9"/>
          </w:tcPr>
          <w:p>
            <w:pPr>
              <w:spacing w:after="0"/>
              <w:rPr>
                <w:sz w:val="18"/>
                <w:szCs w:val="18"/>
                <w:color w:val="auto"/>
              </w:rPr>
            </w:pPr>
          </w:p>
        </w:tc>
        <w:tc>
          <w:tcPr>
            <w:tcW w:w="960" w:type="dxa"/>
            <w:vAlign w:val="bottom"/>
            <w:shd w:val="clear" w:color="auto" w:fill="43C0B9"/>
          </w:tcPr>
          <w:p>
            <w:pPr>
              <w:spacing w:after="0"/>
              <w:rPr>
                <w:sz w:val="18"/>
                <w:szCs w:val="18"/>
                <w:color w:val="auto"/>
              </w:rPr>
            </w:pPr>
          </w:p>
        </w:tc>
        <w:tc>
          <w:tcPr>
            <w:tcW w:w="160" w:type="dxa"/>
            <w:vAlign w:val="bottom"/>
            <w:shd w:val="clear" w:color="auto" w:fill="43C0B9"/>
          </w:tcPr>
          <w:p>
            <w:pPr>
              <w:spacing w:after="0"/>
              <w:rPr>
                <w:sz w:val="18"/>
                <w:szCs w:val="18"/>
                <w:color w:val="auto"/>
              </w:rPr>
            </w:pPr>
          </w:p>
        </w:tc>
        <w:tc>
          <w:tcPr>
            <w:tcW w:w="1120" w:type="dxa"/>
            <w:vAlign w:val="bottom"/>
            <w:shd w:val="clear" w:color="auto" w:fill="43C0B9"/>
          </w:tcPr>
          <w:p>
            <w:pPr>
              <w:spacing w:after="0"/>
              <w:rPr>
                <w:sz w:val="18"/>
                <w:szCs w:val="18"/>
                <w:color w:val="auto"/>
              </w:rPr>
            </w:pPr>
          </w:p>
        </w:tc>
        <w:tc>
          <w:tcPr>
            <w:tcW w:w="360" w:type="dxa"/>
            <w:vAlign w:val="bottom"/>
            <w:shd w:val="clear" w:color="auto" w:fill="43C0B9"/>
          </w:tcPr>
          <w:p>
            <w:pPr>
              <w:spacing w:after="0"/>
              <w:rPr>
                <w:sz w:val="18"/>
                <w:szCs w:val="18"/>
                <w:color w:val="auto"/>
              </w:rPr>
            </w:pPr>
          </w:p>
        </w:tc>
        <w:tc>
          <w:tcPr>
            <w:tcW w:w="900" w:type="dxa"/>
            <w:vAlign w:val="bottom"/>
            <w:shd w:val="clear" w:color="auto" w:fill="43C0B9"/>
          </w:tcPr>
          <w:p>
            <w:pPr>
              <w:spacing w:after="0"/>
              <w:rPr>
                <w:sz w:val="18"/>
                <w:szCs w:val="18"/>
                <w:color w:val="auto"/>
              </w:rPr>
            </w:pPr>
          </w:p>
        </w:tc>
        <w:tc>
          <w:tcPr>
            <w:tcW w:w="120" w:type="dxa"/>
            <w:vAlign w:val="bottom"/>
            <w:shd w:val="clear" w:color="auto" w:fill="43C0B9"/>
          </w:tcPr>
          <w:p>
            <w:pPr>
              <w:spacing w:after="0"/>
              <w:rPr>
                <w:sz w:val="18"/>
                <w:szCs w:val="18"/>
                <w:color w:val="auto"/>
              </w:rPr>
            </w:pPr>
          </w:p>
        </w:tc>
        <w:tc>
          <w:tcPr>
            <w:tcW w:w="320" w:type="dxa"/>
            <w:vAlign w:val="bottom"/>
            <w:shd w:val="clear" w:color="auto" w:fill="43C0B9"/>
          </w:tcPr>
          <w:p>
            <w:pPr>
              <w:spacing w:after="0"/>
              <w:rPr>
                <w:sz w:val="18"/>
                <w:szCs w:val="18"/>
                <w:color w:val="auto"/>
              </w:rPr>
            </w:pPr>
          </w:p>
        </w:tc>
        <w:tc>
          <w:tcPr>
            <w:tcW w:w="920" w:type="dxa"/>
            <w:vAlign w:val="bottom"/>
            <w:shd w:val="clear" w:color="auto" w:fill="43C0B9"/>
          </w:tcPr>
          <w:p>
            <w:pPr>
              <w:spacing w:after="0"/>
              <w:rPr>
                <w:sz w:val="18"/>
                <w:szCs w:val="18"/>
                <w:color w:val="auto"/>
              </w:rPr>
            </w:pPr>
          </w:p>
        </w:tc>
        <w:tc>
          <w:tcPr>
            <w:tcW w:w="220" w:type="dxa"/>
            <w:vAlign w:val="bottom"/>
            <w:shd w:val="clear" w:color="auto" w:fill="43C0B9"/>
          </w:tcPr>
          <w:p>
            <w:pPr>
              <w:spacing w:after="0"/>
              <w:rPr>
                <w:sz w:val="18"/>
                <w:szCs w:val="18"/>
                <w:color w:val="auto"/>
              </w:rPr>
            </w:pPr>
          </w:p>
        </w:tc>
        <w:tc>
          <w:tcPr>
            <w:tcW w:w="1040" w:type="dxa"/>
            <w:vAlign w:val="bottom"/>
            <w:shd w:val="clear" w:color="auto" w:fill="43C0B9"/>
          </w:tcPr>
          <w:p>
            <w:pPr>
              <w:spacing w:after="0"/>
              <w:rPr>
                <w:sz w:val="18"/>
                <w:szCs w:val="18"/>
                <w:color w:val="auto"/>
              </w:rPr>
            </w:pPr>
          </w:p>
        </w:tc>
        <w:tc>
          <w:tcPr>
            <w:tcW w:w="220" w:type="dxa"/>
            <w:vAlign w:val="bottom"/>
            <w:shd w:val="clear" w:color="auto" w:fill="43C0B9"/>
          </w:tcPr>
          <w:p>
            <w:pPr>
              <w:spacing w:after="0"/>
              <w:rPr>
                <w:sz w:val="18"/>
                <w:szCs w:val="18"/>
                <w:color w:val="auto"/>
              </w:rPr>
            </w:pPr>
          </w:p>
        </w:tc>
        <w:tc>
          <w:tcPr>
            <w:tcW w:w="1080" w:type="dxa"/>
            <w:vAlign w:val="bottom"/>
            <w:shd w:val="clear" w:color="auto" w:fill="43C0B9"/>
          </w:tcPr>
          <w:p>
            <w:pPr>
              <w:spacing w:after="0"/>
              <w:rPr>
                <w:sz w:val="18"/>
                <w:szCs w:val="18"/>
                <w:color w:val="auto"/>
              </w:rPr>
            </w:pPr>
          </w:p>
        </w:tc>
      </w:tr>
      <w:tr>
        <w:trPr>
          <w:trHeight w:val="210"/>
        </w:trPr>
        <w:tc>
          <w:tcPr>
            <w:tcW w:w="3540" w:type="dxa"/>
            <w:vAlign w:val="bottom"/>
          </w:tcPr>
          <w:p>
            <w:pPr>
              <w:ind w:left="140"/>
              <w:spacing w:after="0"/>
              <w:rPr>
                <w:sz w:val="20"/>
                <w:szCs w:val="20"/>
                <w:color w:val="auto"/>
              </w:rPr>
            </w:pPr>
            <w:r>
              <w:rPr>
                <w:rFonts w:ascii="Arial" w:cs="Arial" w:eastAsia="Arial" w:hAnsi="Arial"/>
                <w:sz w:val="14"/>
                <w:szCs w:val="14"/>
                <w:color w:val="auto"/>
              </w:rPr>
              <w:t>Mr. Avocado</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3540" w:type="dxa"/>
            <w:vAlign w:val="bottom"/>
            <w:shd w:val="clear" w:color="auto" w:fill="43C0B9"/>
          </w:tcPr>
          <w:p>
            <w:pPr>
              <w:ind w:left="140"/>
              <w:spacing w:after="0"/>
              <w:rPr>
                <w:sz w:val="20"/>
                <w:szCs w:val="20"/>
                <w:color w:val="auto"/>
              </w:rPr>
            </w:pPr>
            <w:r>
              <w:rPr>
                <w:rFonts w:ascii="Arial" w:cs="Arial" w:eastAsia="Arial" w:hAnsi="Arial"/>
                <w:sz w:val="14"/>
                <w:szCs w:val="14"/>
                <w:color w:val="auto"/>
              </w:rPr>
              <w:t>Moruga</w:t>
            </w:r>
            <w:r>
              <w:rPr>
                <w:rFonts w:ascii="Arial" w:cs="Arial" w:eastAsia="Arial" w:hAnsi="Arial"/>
                <w:sz w:val="18"/>
                <w:szCs w:val="18"/>
                <w:color w:val="auto"/>
                <w:vertAlign w:val="superscript"/>
              </w:rPr>
              <w:t>(1)</w:t>
            </w:r>
          </w:p>
        </w:tc>
        <w:tc>
          <w:tcPr>
            <w:tcW w:w="280" w:type="dxa"/>
            <w:vAlign w:val="bottom"/>
            <w:shd w:val="clear" w:color="auto" w:fill="43C0B9"/>
          </w:tcPr>
          <w:p>
            <w:pPr>
              <w:spacing w:after="0"/>
              <w:rPr>
                <w:sz w:val="19"/>
                <w:szCs w:val="19"/>
                <w:color w:val="auto"/>
              </w:rPr>
            </w:pPr>
          </w:p>
        </w:tc>
        <w:tc>
          <w:tcPr>
            <w:tcW w:w="9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2.0</w:t>
            </w:r>
          </w:p>
        </w:tc>
        <w:tc>
          <w:tcPr>
            <w:tcW w:w="160" w:type="dxa"/>
            <w:vAlign w:val="bottom"/>
            <w:shd w:val="clear" w:color="auto" w:fill="43C0B9"/>
          </w:tcPr>
          <w:p>
            <w:pPr>
              <w:spacing w:after="0"/>
              <w:rPr>
                <w:sz w:val="19"/>
                <w:szCs w:val="19"/>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4.5</w:t>
            </w:r>
          </w:p>
        </w:tc>
        <w:tc>
          <w:tcPr>
            <w:tcW w:w="360" w:type="dxa"/>
            <w:vAlign w:val="bottom"/>
            <w:shd w:val="clear" w:color="auto" w:fill="43C0B9"/>
          </w:tcPr>
          <w:p>
            <w:pPr>
              <w:spacing w:after="0"/>
              <w:rPr>
                <w:sz w:val="19"/>
                <w:szCs w:val="19"/>
                <w:color w:val="auto"/>
              </w:rPr>
            </w:pPr>
          </w:p>
        </w:tc>
        <w:tc>
          <w:tcPr>
            <w:tcW w:w="1020" w:type="dxa"/>
            <w:vAlign w:val="bottom"/>
            <w:gridSpan w:val="2"/>
            <w:shd w:val="clear" w:color="auto" w:fill="43C0B9"/>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43C0B9"/>
          </w:tcPr>
          <w:p>
            <w:pPr>
              <w:spacing w:after="0"/>
              <w:rPr>
                <w:sz w:val="19"/>
                <w:szCs w:val="19"/>
                <w:color w:val="auto"/>
              </w:rPr>
            </w:pPr>
          </w:p>
        </w:tc>
        <w:tc>
          <w:tcPr>
            <w:tcW w:w="920" w:type="dxa"/>
            <w:vAlign w:val="bottom"/>
            <w:shd w:val="clear" w:color="auto" w:fill="43C0B9"/>
          </w:tcPr>
          <w:p>
            <w:pPr>
              <w:jc w:val="right"/>
              <w:ind w:right="48"/>
              <w:spacing w:after="0"/>
              <w:rPr>
                <w:sz w:val="20"/>
                <w:szCs w:val="20"/>
                <w:color w:val="auto"/>
              </w:rPr>
            </w:pPr>
            <w:r>
              <w:rPr>
                <w:rFonts w:ascii="Arial" w:cs="Arial" w:eastAsia="Arial" w:hAnsi="Arial"/>
                <w:sz w:val="14"/>
                <w:szCs w:val="14"/>
                <w:color w:val="auto"/>
              </w:rPr>
              <w:t>2.0</w:t>
            </w:r>
          </w:p>
        </w:tc>
        <w:tc>
          <w:tcPr>
            <w:tcW w:w="220" w:type="dxa"/>
            <w:vAlign w:val="bottom"/>
            <w:shd w:val="clear" w:color="auto" w:fill="43C0B9"/>
          </w:tcPr>
          <w:p>
            <w:pPr>
              <w:spacing w:after="0"/>
              <w:rPr>
                <w:sz w:val="19"/>
                <w:szCs w:val="19"/>
                <w:color w:val="auto"/>
              </w:rPr>
            </w:pPr>
          </w:p>
        </w:tc>
        <w:tc>
          <w:tcPr>
            <w:tcW w:w="104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43C0B9"/>
          </w:tcPr>
          <w:p>
            <w:pPr>
              <w:spacing w:after="0"/>
              <w:rPr>
                <w:sz w:val="19"/>
                <w:szCs w:val="19"/>
                <w:color w:val="auto"/>
              </w:rPr>
            </w:pPr>
          </w:p>
        </w:tc>
        <w:tc>
          <w:tcPr>
            <w:tcW w:w="10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354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3540" w:type="dxa"/>
            <w:vAlign w:val="bottom"/>
            <w:tcBorders>
              <w:bottom w:val="single" w:sz="8" w:color="auto"/>
            </w:tcBorders>
            <w:shd w:val="clear" w:color="auto" w:fill="43C0B9"/>
          </w:tcPr>
          <w:p>
            <w:pPr>
              <w:ind w:left="140"/>
              <w:spacing w:after="0"/>
              <w:rPr>
                <w:sz w:val="20"/>
                <w:szCs w:val="20"/>
                <w:color w:val="auto"/>
              </w:rPr>
            </w:pPr>
            <w:r>
              <w:rPr>
                <w:rFonts w:ascii="Arial" w:cs="Arial" w:eastAsia="Arial" w:hAnsi="Arial"/>
                <w:sz w:val="14"/>
                <w:szCs w:val="14"/>
                <w:color w:val="auto"/>
              </w:rPr>
              <w:t>Directors/officers</w:t>
            </w:r>
            <w:r>
              <w:rPr>
                <w:rFonts w:ascii="Arial" w:cs="Arial" w:eastAsia="Arial" w:hAnsi="Arial"/>
                <w:sz w:val="18"/>
                <w:szCs w:val="18"/>
                <w:color w:val="auto"/>
                <w:vertAlign w:val="superscript"/>
              </w:rPr>
              <w:t>(2)</w:t>
            </w:r>
          </w:p>
        </w:tc>
        <w:tc>
          <w:tcPr>
            <w:tcW w:w="280" w:type="dxa"/>
            <w:vAlign w:val="bottom"/>
            <w:tcBorders>
              <w:bottom w:val="single" w:sz="8" w:color="auto"/>
            </w:tcBorders>
            <w:shd w:val="clear" w:color="auto" w:fill="43C0B9"/>
          </w:tcPr>
          <w:p>
            <w:pPr>
              <w:spacing w:after="0"/>
              <w:rPr>
                <w:sz w:val="19"/>
                <w:szCs w:val="19"/>
                <w:color w:val="auto"/>
              </w:rPr>
            </w:pPr>
          </w:p>
        </w:tc>
        <w:tc>
          <w:tcPr>
            <w:tcW w:w="96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0.3</w:t>
            </w:r>
          </w:p>
        </w:tc>
        <w:tc>
          <w:tcPr>
            <w:tcW w:w="160" w:type="dxa"/>
            <w:vAlign w:val="bottom"/>
            <w:tcBorders>
              <w:bottom w:val="single" w:sz="8" w:color="auto"/>
            </w:tcBorders>
            <w:shd w:val="clear" w:color="auto" w:fill="43C0B9"/>
          </w:tcPr>
          <w:p>
            <w:pPr>
              <w:spacing w:after="0"/>
              <w:rPr>
                <w:sz w:val="19"/>
                <w:szCs w:val="19"/>
                <w:color w:val="auto"/>
              </w:rPr>
            </w:pPr>
          </w:p>
        </w:tc>
        <w:tc>
          <w:tcPr>
            <w:tcW w:w="11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43C0B9"/>
          </w:tcPr>
          <w:p>
            <w:pPr>
              <w:spacing w:after="0"/>
              <w:rPr>
                <w:sz w:val="19"/>
                <w:szCs w:val="19"/>
                <w:color w:val="auto"/>
              </w:rPr>
            </w:pPr>
          </w:p>
        </w:tc>
        <w:tc>
          <w:tcPr>
            <w:tcW w:w="90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auto"/>
            </w:tcBorders>
            <w:shd w:val="clear" w:color="auto" w:fill="43C0B9"/>
          </w:tcPr>
          <w:p>
            <w:pPr>
              <w:spacing w:after="0"/>
              <w:rPr>
                <w:sz w:val="19"/>
                <w:szCs w:val="19"/>
                <w:color w:val="auto"/>
              </w:rPr>
            </w:pPr>
          </w:p>
        </w:tc>
        <w:tc>
          <w:tcPr>
            <w:tcW w:w="320" w:type="dxa"/>
            <w:vAlign w:val="bottom"/>
            <w:tcBorders>
              <w:bottom w:val="single" w:sz="8" w:color="auto"/>
            </w:tcBorders>
            <w:shd w:val="clear" w:color="auto" w:fill="43C0B9"/>
          </w:tcPr>
          <w:p>
            <w:pPr>
              <w:spacing w:after="0"/>
              <w:rPr>
                <w:sz w:val="19"/>
                <w:szCs w:val="19"/>
                <w:color w:val="auto"/>
              </w:rPr>
            </w:pPr>
          </w:p>
        </w:tc>
        <w:tc>
          <w:tcPr>
            <w:tcW w:w="920" w:type="dxa"/>
            <w:vAlign w:val="bottom"/>
            <w:tcBorders>
              <w:bottom w:val="single" w:sz="8" w:color="auto"/>
            </w:tcBorders>
            <w:shd w:val="clear" w:color="auto" w:fill="43C0B9"/>
          </w:tcPr>
          <w:p>
            <w:pPr>
              <w:jc w:val="right"/>
              <w:ind w:right="48"/>
              <w:spacing w:after="0"/>
              <w:rPr>
                <w:sz w:val="20"/>
                <w:szCs w:val="20"/>
                <w:color w:val="auto"/>
              </w:rPr>
            </w:pPr>
            <w:r>
              <w:rPr>
                <w:rFonts w:ascii="Arial" w:cs="Arial" w:eastAsia="Arial" w:hAnsi="Arial"/>
                <w:sz w:val="14"/>
                <w:szCs w:val="14"/>
                <w:color w:val="auto"/>
              </w:rPr>
              <w:t>0.4</w:t>
            </w:r>
          </w:p>
        </w:tc>
        <w:tc>
          <w:tcPr>
            <w:tcW w:w="220" w:type="dxa"/>
            <w:vAlign w:val="bottom"/>
            <w:tcBorders>
              <w:bottom w:val="single" w:sz="8" w:color="auto"/>
            </w:tcBorders>
            <w:shd w:val="clear" w:color="auto" w:fill="43C0B9"/>
          </w:tcPr>
          <w:p>
            <w:pPr>
              <w:spacing w:after="0"/>
              <w:rPr>
                <w:sz w:val="19"/>
                <w:szCs w:val="19"/>
                <w:color w:val="auto"/>
              </w:rPr>
            </w:pPr>
          </w:p>
        </w:tc>
        <w:tc>
          <w:tcPr>
            <w:tcW w:w="104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0.2</w:t>
            </w:r>
          </w:p>
        </w:tc>
        <w:tc>
          <w:tcPr>
            <w:tcW w:w="220" w:type="dxa"/>
            <w:vAlign w:val="bottom"/>
            <w:tcBorders>
              <w:bottom w:val="single" w:sz="8" w:color="auto"/>
            </w:tcBorders>
            <w:shd w:val="clear" w:color="auto" w:fill="43C0B9"/>
          </w:tcPr>
          <w:p>
            <w:pPr>
              <w:spacing w:after="0"/>
              <w:rPr>
                <w:sz w:val="19"/>
                <w:szCs w:val="19"/>
                <w:color w:val="auto"/>
              </w:rPr>
            </w:pPr>
          </w:p>
        </w:tc>
        <w:tc>
          <w:tcPr>
            <w:tcW w:w="10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0.1</w:t>
            </w:r>
          </w:p>
        </w:tc>
      </w:tr>
    </w:tbl>
    <w:p>
      <w:pPr>
        <w:spacing w:after="0" w:line="16"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The Company has provided loans to Moruga to support growth and expansion projects, bearing interest at 6.5%, due December 31, 2022.</w:t>
      </w:r>
    </w:p>
    <w:p>
      <w:pPr>
        <w:spacing w:after="0" w:line="50" w:lineRule="exact"/>
        <w:rPr>
          <w:rFonts w:ascii="Arial" w:cs="Arial" w:eastAsia="Arial" w:hAnsi="Arial"/>
          <w:sz w:val="16"/>
          <w:szCs w:val="16"/>
          <w:color w:val="auto"/>
          <w:vertAlign w:val="superscript"/>
        </w:rPr>
      </w:pPr>
    </w:p>
    <w:p>
      <w:pPr>
        <w:ind w:left="180" w:right="60" w:hanging="172"/>
        <w:spacing w:after="0" w:line="214" w:lineRule="auto"/>
        <w:tabs>
          <w:tab w:leader="none" w:pos="186" w:val="left"/>
        </w:tabs>
        <w:numPr>
          <w:ilvl w:val="0"/>
          <w:numId w:val="10"/>
        </w:numPr>
        <w:rPr>
          <w:rFonts w:ascii="Arial" w:cs="Arial" w:eastAsia="Arial" w:hAnsi="Arial"/>
          <w:sz w:val="19"/>
          <w:szCs w:val="19"/>
          <w:color w:val="auto"/>
          <w:vertAlign w:val="superscript"/>
        </w:rPr>
      </w:pPr>
      <w:r>
        <w:rPr>
          <w:rFonts w:ascii="Arial" w:cs="Arial" w:eastAsia="Arial" w:hAnsi="Arial"/>
          <w:sz w:val="13"/>
          <w:szCs w:val="13"/>
          <w:color w:val="auto"/>
        </w:rPr>
        <w:t>The Company purchases from and sells avocados to a small number of entities having full or partial ownership by some of our directors and officers. These transactions are made under substantially similar terms as with other growers and customers. One director provides consulting services to the Company. Under the consulting agreement, the member’s responsibilities are to consult and advise on current business operations, as well as to analyze opportunities for fresh avocado farming and packing facilities in South and Central America. Some directors and officers are also employees of the Company.</w:t>
      </w:r>
    </w:p>
    <w:p>
      <w:pPr>
        <w:spacing w:after="0" w:line="21"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10"/>
        </w:numPr>
        <w:rPr>
          <w:rFonts w:ascii="Arial" w:cs="Arial" w:eastAsia="Arial" w:hAnsi="Arial"/>
          <w:sz w:val="16"/>
          <w:szCs w:val="16"/>
          <w:color w:val="auto"/>
          <w:vertAlign w:val="superscript"/>
        </w:rPr>
      </w:pPr>
      <w:r>
        <w:rPr>
          <w:rFonts w:ascii="Arial" w:cs="Arial" w:eastAsia="Arial" w:hAnsi="Arial"/>
          <w:sz w:val="13"/>
          <w:szCs w:val="13"/>
          <w:color w:val="auto"/>
        </w:rPr>
        <w:t>The Company utilizes a transportation vendor in Mexico owned by key management employees under similar terms as other transportation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77"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b w:val="1"/>
          <w:bCs w:val="1"/>
          <w:color w:val="232F84"/>
        </w:rPr>
        <w:t>MISSION PRODUCE,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232F84"/>
        </w:rPr>
        <w:t>NOTES TO UNAUDITED CONDENSED CONSOLIDATED FINANCIAL STATEMENTS</w:t>
      </w:r>
    </w:p>
    <w:p>
      <w:pPr>
        <w:spacing w:after="0" w:line="200" w:lineRule="exact"/>
        <w:rPr>
          <w:sz w:val="20"/>
          <w:szCs w:val="20"/>
          <w:color w:val="auto"/>
        </w:rPr>
      </w:pPr>
    </w:p>
    <w:p>
      <w:pPr>
        <w:spacing w:after="0" w:line="374"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20"/>
          <w:szCs w:val="20"/>
          <w:b w:val="1"/>
          <w:bCs w:val="1"/>
          <w:color w:val="232F84"/>
        </w:rPr>
      </w:pPr>
      <w:r>
        <w:rPr>
          <w:rFonts w:ascii="Arial" w:cs="Arial" w:eastAsia="Arial" w:hAnsi="Arial"/>
          <w:sz w:val="20"/>
          <w:szCs w:val="20"/>
          <w:b w:val="1"/>
          <w:bCs w:val="1"/>
          <w:color w:val="232F84"/>
        </w:rPr>
        <w:t>Segment Information</w:t>
      </w:r>
    </w:p>
    <w:p>
      <w:pPr>
        <w:spacing w:after="0" w:line="245"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have two operating segments which are also reporting segments. Our reporting segments are presented based on how information is used by our CEO, who is the chief operating decision maker, to measure performance and allocate resources. These reporting segments are Marketing and Distribution and International Farming. Our Marketing and Distribution reporting segment sources fruit from growers and then distributes the fruit through our global distribution network. Our International Farming segment owns and operates avocado orchards (principally located in Peru) and supplies our Marketing and Distribution business with a stable supply of avocados. Substantially all of the avocados produced by our International Farming segment are sold to our Marketing and Distribution segment.</w:t>
      </w:r>
    </w:p>
    <w:p>
      <w:pPr>
        <w:spacing w:after="0" w:line="20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16"/>
          <w:szCs w:val="16"/>
          <w:color w:val="auto"/>
        </w:rPr>
        <w:t>The CEO evaluates and monitors segment performance primarily through segment sales and segment adjusted earnings before interest expense, income taxes and depreciation and amortization (“adjusted EBITDA”). Management believes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GAAP financial measures.</w:t>
      </w:r>
    </w:p>
    <w:p>
      <w:pPr>
        <w:spacing w:after="0" w:line="20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6"/>
          <w:szCs w:val="16"/>
          <w:color w:val="auto"/>
        </w:rPr>
        <w:t>Adjusted EBITDA refers to net income (loss), before interest expense, income taxes, depreciation and amortization expense, stock-based compensation expense, other income (expense), and income (loss) from equity method investees, further adjusted by any non-recurring or one-time items that are distortive to results.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sales from each of our reportable segments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78"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FFFFFF"/>
        </w:rPr>
        <w:t>Three Months Ended</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FFFFFF"/>
        </w:rPr>
        <w:t>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280" w:type="dxa"/>
            <w:vAlign w:val="bottom"/>
            <w:shd w:val="clear" w:color="auto" w:fill="232F84"/>
          </w:tcPr>
          <w:p>
            <w:pPr>
              <w:spacing w:after="0"/>
              <w:rPr>
                <w:sz w:val="19"/>
                <w:szCs w:val="19"/>
                <w:color w:val="auto"/>
              </w:rPr>
            </w:pPr>
          </w:p>
        </w:tc>
        <w:tc>
          <w:tcPr>
            <w:tcW w:w="1020" w:type="dxa"/>
            <w:vAlign w:val="bottom"/>
            <w:shd w:val="clear" w:color="auto" w:fill="232F84"/>
          </w:tcPr>
          <w:p>
            <w:pPr>
              <w:spacing w:after="0"/>
              <w:rPr>
                <w:sz w:val="19"/>
                <w:szCs w:val="19"/>
                <w:color w:val="auto"/>
              </w:rPr>
            </w:pPr>
          </w:p>
        </w:tc>
        <w:tc>
          <w:tcPr>
            <w:tcW w:w="260" w:type="dxa"/>
            <w:vAlign w:val="bottom"/>
            <w:shd w:val="clear" w:color="auto" w:fill="232F84"/>
          </w:tcPr>
          <w:p>
            <w:pPr>
              <w:spacing w:after="0"/>
              <w:rPr>
                <w:sz w:val="19"/>
                <w:szCs w:val="19"/>
                <w:color w:val="auto"/>
              </w:rPr>
            </w:pPr>
          </w:p>
        </w:tc>
        <w:tc>
          <w:tcPr>
            <w:tcW w:w="1040" w:type="dxa"/>
            <w:vAlign w:val="bottom"/>
            <w:shd w:val="clear" w:color="auto" w:fill="232F84"/>
          </w:tcPr>
          <w:p>
            <w:pPr>
              <w:jc w:val="right"/>
              <w:ind w:right="408"/>
              <w:spacing w:after="0"/>
              <w:rPr>
                <w:sz w:val="20"/>
                <w:szCs w:val="20"/>
                <w:color w:val="auto"/>
              </w:rPr>
            </w:pPr>
            <w:r>
              <w:rPr>
                <w:rFonts w:ascii="Arial" w:cs="Arial" w:eastAsia="Arial" w:hAnsi="Arial"/>
                <w:sz w:val="14"/>
                <w:szCs w:val="14"/>
                <w:b w:val="1"/>
                <w:bCs w:val="1"/>
                <w:color w:val="FFFFFF"/>
              </w:rPr>
              <w:t>2021</w:t>
            </w:r>
          </w:p>
        </w:tc>
        <w:tc>
          <w:tcPr>
            <w:tcW w:w="480" w:type="dxa"/>
            <w:vAlign w:val="bottom"/>
            <w:shd w:val="clear" w:color="auto" w:fill="232F84"/>
          </w:tcPr>
          <w:p>
            <w:pPr>
              <w:spacing w:after="0"/>
              <w:rPr>
                <w:sz w:val="19"/>
                <w:szCs w:val="19"/>
                <w:color w:val="auto"/>
              </w:rPr>
            </w:pPr>
          </w:p>
        </w:tc>
        <w:tc>
          <w:tcPr>
            <w:tcW w:w="960" w:type="dxa"/>
            <w:vAlign w:val="bottom"/>
            <w:shd w:val="clear" w:color="auto" w:fill="232F84"/>
          </w:tcPr>
          <w:p>
            <w:pPr>
              <w:spacing w:after="0"/>
              <w:rPr>
                <w:sz w:val="19"/>
                <w:szCs w:val="19"/>
                <w:color w:val="auto"/>
              </w:rPr>
            </w:pPr>
          </w:p>
        </w:tc>
        <w:tc>
          <w:tcPr>
            <w:tcW w:w="260" w:type="dxa"/>
            <w:vAlign w:val="bottom"/>
            <w:shd w:val="clear" w:color="auto" w:fill="232F84"/>
          </w:tcPr>
          <w:p>
            <w:pPr>
              <w:spacing w:after="0"/>
              <w:rPr>
                <w:sz w:val="19"/>
                <w:szCs w:val="19"/>
                <w:color w:val="auto"/>
              </w:rPr>
            </w:pPr>
          </w:p>
        </w:tc>
        <w:tc>
          <w:tcPr>
            <w:tcW w:w="1020" w:type="dxa"/>
            <w:vAlign w:val="bottom"/>
            <w:shd w:val="clear" w:color="auto" w:fill="232F84"/>
          </w:tcPr>
          <w:p>
            <w:pPr>
              <w:spacing w:after="0"/>
              <w:rPr>
                <w:sz w:val="19"/>
                <w:szCs w:val="19"/>
                <w:color w:val="auto"/>
              </w:rPr>
            </w:pPr>
          </w:p>
        </w:tc>
        <w:tc>
          <w:tcPr>
            <w:tcW w:w="260" w:type="dxa"/>
            <w:vAlign w:val="bottom"/>
            <w:shd w:val="clear" w:color="auto" w:fill="232F84"/>
          </w:tcPr>
          <w:p>
            <w:pPr>
              <w:spacing w:after="0"/>
              <w:rPr>
                <w:sz w:val="19"/>
                <w:szCs w:val="19"/>
                <w:color w:val="auto"/>
              </w:rPr>
            </w:pPr>
          </w:p>
        </w:tc>
        <w:tc>
          <w:tcPr>
            <w:tcW w:w="1040" w:type="dxa"/>
            <w:vAlign w:val="bottom"/>
            <w:shd w:val="clear" w:color="auto" w:fill="232F84"/>
          </w:tcPr>
          <w:p>
            <w:pPr>
              <w:jc w:val="right"/>
              <w:ind w:right="408"/>
              <w:spacing w:after="0"/>
              <w:rPr>
                <w:sz w:val="20"/>
                <w:szCs w:val="20"/>
                <w:color w:val="auto"/>
              </w:rPr>
            </w:pPr>
            <w:r>
              <w:rPr>
                <w:rFonts w:ascii="Arial" w:cs="Arial" w:eastAsia="Arial" w:hAnsi="Arial"/>
                <w:sz w:val="14"/>
                <w:szCs w:val="14"/>
                <w:b w:val="1"/>
                <w:bCs w:val="1"/>
                <w:color w:val="FFFFFF"/>
              </w:rPr>
              <w:t>2020</w:t>
            </w:r>
          </w:p>
        </w:tc>
        <w:tc>
          <w:tcPr>
            <w:tcW w:w="480" w:type="dxa"/>
            <w:vAlign w:val="bottom"/>
            <w:shd w:val="clear" w:color="auto" w:fill="232F84"/>
          </w:tcPr>
          <w:p>
            <w:pPr>
              <w:spacing w:after="0"/>
              <w:rPr>
                <w:sz w:val="19"/>
                <w:szCs w:val="19"/>
                <w:color w:val="auto"/>
              </w:rPr>
            </w:pPr>
          </w:p>
        </w:tc>
        <w:tc>
          <w:tcPr>
            <w:tcW w:w="820" w:type="dxa"/>
            <w:vAlign w:val="bottom"/>
            <w:shd w:val="clear" w:color="auto" w:fill="232F84"/>
          </w:tcPr>
          <w:p>
            <w:pPr>
              <w:spacing w:after="0"/>
              <w:rPr>
                <w:sz w:val="19"/>
                <w:szCs w:val="19"/>
                <w:color w:val="auto"/>
              </w:rPr>
            </w:pPr>
          </w:p>
        </w:tc>
      </w:tr>
      <w:tr>
        <w:trPr>
          <w:trHeight w:val="186"/>
        </w:trPr>
        <w:tc>
          <w:tcPr>
            <w:tcW w:w="3320" w:type="dxa"/>
            <w:vAlign w:val="bottom"/>
          </w:tcPr>
          <w:p>
            <w:pPr>
              <w:spacing w:after="0"/>
              <w:rPr>
                <w:sz w:val="16"/>
                <w:szCs w:val="16"/>
                <w:color w:val="auto"/>
              </w:rPr>
            </w:pPr>
          </w:p>
        </w:tc>
        <w:tc>
          <w:tcPr>
            <w:tcW w:w="280" w:type="dxa"/>
            <w:vAlign w:val="bottom"/>
            <w:shd w:val="clear" w:color="auto" w:fill="232F84"/>
          </w:tcPr>
          <w:p>
            <w:pPr>
              <w:spacing w:after="0"/>
              <w:rPr>
                <w:sz w:val="16"/>
                <w:szCs w:val="16"/>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260" w:type="dxa"/>
            <w:vAlign w:val="bottom"/>
            <w:shd w:val="clear" w:color="auto" w:fill="232F84"/>
          </w:tcPr>
          <w:p>
            <w:pPr>
              <w:spacing w:after="0"/>
              <w:rPr>
                <w:sz w:val="16"/>
                <w:szCs w:val="16"/>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480" w:type="dxa"/>
            <w:vAlign w:val="bottom"/>
            <w:shd w:val="clear" w:color="auto" w:fill="232F84"/>
          </w:tcPr>
          <w:p>
            <w:pPr>
              <w:spacing w:after="0"/>
              <w:rPr>
                <w:sz w:val="16"/>
                <w:szCs w:val="16"/>
                <w:color w:val="auto"/>
              </w:rPr>
            </w:pPr>
          </w:p>
        </w:tc>
        <w:tc>
          <w:tcPr>
            <w:tcW w:w="960" w:type="dxa"/>
            <w:vAlign w:val="bottom"/>
            <w:shd w:val="clear" w:color="auto" w:fill="232F84"/>
          </w:tcPr>
          <w:p>
            <w:pPr>
              <w:spacing w:after="0"/>
              <w:rPr>
                <w:sz w:val="16"/>
                <w:szCs w:val="16"/>
                <w:color w:val="auto"/>
              </w:rPr>
            </w:pPr>
          </w:p>
        </w:tc>
        <w:tc>
          <w:tcPr>
            <w:tcW w:w="260" w:type="dxa"/>
            <w:vAlign w:val="bottom"/>
            <w:shd w:val="clear" w:color="auto" w:fill="232F84"/>
          </w:tcPr>
          <w:p>
            <w:pPr>
              <w:spacing w:after="0"/>
              <w:rPr>
                <w:sz w:val="16"/>
                <w:szCs w:val="16"/>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260" w:type="dxa"/>
            <w:vAlign w:val="bottom"/>
            <w:shd w:val="clear" w:color="auto" w:fill="232F84"/>
          </w:tcPr>
          <w:p>
            <w:pPr>
              <w:spacing w:after="0"/>
              <w:rPr>
                <w:sz w:val="16"/>
                <w:szCs w:val="16"/>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480" w:type="dxa"/>
            <w:vAlign w:val="bottom"/>
            <w:shd w:val="clear" w:color="auto" w:fill="232F84"/>
          </w:tcPr>
          <w:p>
            <w:pPr>
              <w:spacing w:after="0"/>
              <w:rPr>
                <w:sz w:val="16"/>
                <w:szCs w:val="16"/>
                <w:color w:val="auto"/>
              </w:rPr>
            </w:pPr>
          </w:p>
        </w:tc>
        <w:tc>
          <w:tcPr>
            <w:tcW w:w="820" w:type="dxa"/>
            <w:vAlign w:val="bottom"/>
            <w:shd w:val="clear" w:color="auto" w:fill="232F84"/>
          </w:tcPr>
          <w:p>
            <w:pPr>
              <w:spacing w:after="0"/>
              <w:rPr>
                <w:sz w:val="16"/>
                <w:szCs w:val="16"/>
                <w:color w:val="auto"/>
              </w:rPr>
            </w:pPr>
          </w:p>
        </w:tc>
      </w:tr>
      <w:tr>
        <w:trPr>
          <w:trHeight w:val="202"/>
        </w:trPr>
        <w:tc>
          <w:tcPr>
            <w:tcW w:w="3320" w:type="dxa"/>
            <w:vAlign w:val="bottom"/>
          </w:tcPr>
          <w:p>
            <w:pPr>
              <w:ind w:left="20"/>
              <w:spacing w:after="0"/>
              <w:rPr>
                <w:sz w:val="20"/>
                <w:szCs w:val="20"/>
                <w:color w:val="auto"/>
              </w:rPr>
            </w:pPr>
            <w:r>
              <w:rPr>
                <w:rFonts w:ascii="Arial" w:cs="Arial" w:eastAsia="Arial" w:hAnsi="Arial"/>
                <w:sz w:val="14"/>
                <w:szCs w:val="14"/>
                <w:b w:val="1"/>
                <w:bCs w:val="1"/>
                <w:color w:val="FFFFFF"/>
              </w:rPr>
              <w:t>(In millions)</w:t>
            </w:r>
          </w:p>
        </w:tc>
        <w:tc>
          <w:tcPr>
            <w:tcW w:w="280" w:type="dxa"/>
            <w:vAlign w:val="bottom"/>
            <w:shd w:val="clear" w:color="auto" w:fill="232F84"/>
          </w:tcPr>
          <w:p>
            <w:pPr>
              <w:spacing w:after="0"/>
              <w:rPr>
                <w:sz w:val="17"/>
                <w:szCs w:val="17"/>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260" w:type="dxa"/>
            <w:vAlign w:val="bottom"/>
            <w:shd w:val="clear" w:color="auto" w:fill="232F84"/>
          </w:tcPr>
          <w:p>
            <w:pPr>
              <w:spacing w:after="0"/>
              <w:rPr>
                <w:sz w:val="17"/>
                <w:szCs w:val="17"/>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480" w:type="dxa"/>
            <w:vAlign w:val="bottom"/>
            <w:shd w:val="clear" w:color="auto" w:fill="232F84"/>
          </w:tcPr>
          <w:p>
            <w:pPr>
              <w:spacing w:after="0"/>
              <w:rPr>
                <w:sz w:val="17"/>
                <w:szCs w:val="17"/>
                <w:color w:val="auto"/>
              </w:rPr>
            </w:pPr>
          </w:p>
        </w:tc>
        <w:tc>
          <w:tcPr>
            <w:tcW w:w="96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260" w:type="dxa"/>
            <w:vAlign w:val="bottom"/>
            <w:shd w:val="clear" w:color="auto" w:fill="232F84"/>
          </w:tcPr>
          <w:p>
            <w:pPr>
              <w:spacing w:after="0"/>
              <w:rPr>
                <w:sz w:val="17"/>
                <w:szCs w:val="17"/>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260" w:type="dxa"/>
            <w:vAlign w:val="bottom"/>
            <w:shd w:val="clear" w:color="auto" w:fill="232F84"/>
          </w:tcPr>
          <w:p>
            <w:pPr>
              <w:spacing w:after="0"/>
              <w:rPr>
                <w:sz w:val="17"/>
                <w:szCs w:val="17"/>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480" w:type="dxa"/>
            <w:vAlign w:val="bottom"/>
            <w:shd w:val="clear" w:color="auto" w:fill="232F84"/>
          </w:tcPr>
          <w:p>
            <w:pPr>
              <w:spacing w:after="0"/>
              <w:rPr>
                <w:sz w:val="17"/>
                <w:szCs w:val="17"/>
                <w:color w:val="auto"/>
              </w:rPr>
            </w:pPr>
          </w:p>
        </w:tc>
        <w:tc>
          <w:tcPr>
            <w:tcW w:w="8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16"/>
        </w:trPr>
        <w:tc>
          <w:tcPr>
            <w:tcW w:w="3320" w:type="dxa"/>
            <w:vAlign w:val="bottom"/>
            <w:shd w:val="clear" w:color="auto" w:fill="43C0B9"/>
          </w:tcPr>
          <w:p>
            <w:pPr>
              <w:ind w:left="20"/>
              <w:spacing w:after="0"/>
              <w:rPr>
                <w:sz w:val="20"/>
                <w:szCs w:val="20"/>
                <w:color w:val="auto"/>
              </w:rPr>
            </w:pPr>
            <w:r>
              <w:rPr>
                <w:rFonts w:ascii="Arial" w:cs="Arial" w:eastAsia="Arial" w:hAnsi="Arial"/>
                <w:sz w:val="14"/>
                <w:szCs w:val="14"/>
                <w:color w:val="auto"/>
              </w:rPr>
              <w:t>Third party sales</w:t>
            </w:r>
          </w:p>
        </w:tc>
        <w:tc>
          <w:tcPr>
            <w:tcW w:w="28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169.6</w:t>
            </w:r>
          </w:p>
        </w:tc>
        <w:tc>
          <w:tcPr>
            <w:tcW w:w="2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43C0B9"/>
          </w:tcPr>
          <w:p>
            <w:pPr>
              <w:jc w:val="center"/>
              <w:ind w:left="648"/>
              <w:spacing w:after="0"/>
              <w:rPr>
                <w:sz w:val="20"/>
                <w:szCs w:val="20"/>
                <w:color w:val="auto"/>
              </w:rPr>
            </w:pPr>
            <w:r>
              <w:rPr>
                <w:rFonts w:ascii="Arial" w:cs="Arial" w:eastAsia="Arial" w:hAnsi="Arial"/>
                <w:sz w:val="14"/>
                <w:szCs w:val="14"/>
                <w:color w:val="auto"/>
              </w:rPr>
              <w:t>3.6</w:t>
            </w:r>
          </w:p>
        </w:tc>
        <w:tc>
          <w:tcPr>
            <w:tcW w:w="480" w:type="dxa"/>
            <w:vAlign w:val="bottom"/>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173.2</w:t>
            </w:r>
          </w:p>
        </w:tc>
        <w:tc>
          <w:tcPr>
            <w:tcW w:w="2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194.5</w:t>
            </w:r>
          </w:p>
        </w:tc>
        <w:tc>
          <w:tcPr>
            <w:tcW w:w="2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3.0</w:t>
            </w:r>
          </w:p>
        </w:tc>
        <w:tc>
          <w:tcPr>
            <w:tcW w:w="480" w:type="dxa"/>
            <w:vAlign w:val="bottom"/>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197.5</w:t>
            </w:r>
          </w:p>
        </w:tc>
      </w:tr>
      <w:tr>
        <w:trPr>
          <w:trHeight w:val="21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Affiliated sales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color w:val="auto"/>
              </w:rPr>
              <w:t>0.2</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332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segment sales</w:t>
            </w:r>
          </w:p>
        </w:tc>
        <w:tc>
          <w:tcPr>
            <w:tcW w:w="280" w:type="dxa"/>
            <w:vAlign w:val="bottom"/>
            <w:shd w:val="clear" w:color="auto" w:fill="43C0B9"/>
          </w:tcPr>
          <w:p>
            <w:pPr>
              <w:spacing w:after="0"/>
              <w:rPr>
                <w:sz w:val="18"/>
                <w:szCs w:val="18"/>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169.6</w:t>
            </w:r>
          </w:p>
        </w:tc>
        <w:tc>
          <w:tcPr>
            <w:tcW w:w="260" w:type="dxa"/>
            <w:vAlign w:val="bottom"/>
            <w:shd w:val="clear" w:color="auto" w:fill="43C0B9"/>
          </w:tcPr>
          <w:p>
            <w:pPr>
              <w:spacing w:after="0"/>
              <w:rPr>
                <w:sz w:val="18"/>
                <w:szCs w:val="18"/>
                <w:color w:val="auto"/>
              </w:rPr>
            </w:pPr>
          </w:p>
        </w:tc>
        <w:tc>
          <w:tcPr>
            <w:tcW w:w="1040" w:type="dxa"/>
            <w:vAlign w:val="bottom"/>
            <w:shd w:val="clear" w:color="auto" w:fill="43C0B9"/>
          </w:tcPr>
          <w:p>
            <w:pPr>
              <w:jc w:val="center"/>
              <w:ind w:left="648"/>
              <w:spacing w:after="0"/>
              <w:rPr>
                <w:sz w:val="20"/>
                <w:szCs w:val="20"/>
                <w:color w:val="auto"/>
              </w:rPr>
            </w:pPr>
            <w:r>
              <w:rPr>
                <w:rFonts w:ascii="Arial" w:cs="Arial" w:eastAsia="Arial" w:hAnsi="Arial"/>
                <w:sz w:val="14"/>
                <w:szCs w:val="14"/>
                <w:color w:val="auto"/>
              </w:rPr>
              <w:t>3.8</w:t>
            </w:r>
          </w:p>
        </w:tc>
        <w:tc>
          <w:tcPr>
            <w:tcW w:w="480" w:type="dxa"/>
            <w:vAlign w:val="bottom"/>
            <w:shd w:val="clear" w:color="auto" w:fill="43C0B9"/>
          </w:tcPr>
          <w:p>
            <w:pPr>
              <w:spacing w:after="0"/>
              <w:rPr>
                <w:sz w:val="18"/>
                <w:szCs w:val="18"/>
                <w:color w:val="auto"/>
              </w:rPr>
            </w:pPr>
          </w:p>
        </w:tc>
        <w:tc>
          <w:tcPr>
            <w:tcW w:w="96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173.4</w:t>
            </w:r>
          </w:p>
        </w:tc>
        <w:tc>
          <w:tcPr>
            <w:tcW w:w="260" w:type="dxa"/>
            <w:vAlign w:val="bottom"/>
            <w:shd w:val="clear" w:color="auto" w:fill="43C0B9"/>
          </w:tcPr>
          <w:p>
            <w:pPr>
              <w:spacing w:after="0"/>
              <w:rPr>
                <w:sz w:val="18"/>
                <w:szCs w:val="18"/>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194.5</w:t>
            </w:r>
          </w:p>
        </w:tc>
        <w:tc>
          <w:tcPr>
            <w:tcW w:w="260" w:type="dxa"/>
            <w:vAlign w:val="bottom"/>
            <w:shd w:val="clear" w:color="auto" w:fill="43C0B9"/>
          </w:tcPr>
          <w:p>
            <w:pPr>
              <w:spacing w:after="0"/>
              <w:rPr>
                <w:sz w:val="18"/>
                <w:szCs w:val="18"/>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3.0</w:t>
            </w:r>
          </w:p>
        </w:tc>
        <w:tc>
          <w:tcPr>
            <w:tcW w:w="480" w:type="dxa"/>
            <w:vAlign w:val="bottom"/>
            <w:shd w:val="clear" w:color="auto" w:fill="43C0B9"/>
          </w:tcPr>
          <w:p>
            <w:pPr>
              <w:spacing w:after="0"/>
              <w:rPr>
                <w:sz w:val="18"/>
                <w:szCs w:val="18"/>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197.5</w:t>
            </w:r>
          </w:p>
        </w:tc>
      </w:tr>
      <w:tr>
        <w:trPr>
          <w:trHeight w:val="21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Intercompany eliminations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color w:val="auto"/>
              </w:rPr>
              <w:t>(0.2)</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33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net sales</w:t>
            </w:r>
          </w:p>
        </w:tc>
        <w:tc>
          <w:tcPr>
            <w:tcW w:w="280" w:type="dxa"/>
            <w:vAlign w:val="bottom"/>
            <w:tcBorders>
              <w:bottom w:val="single" w:sz="8" w:color="auto"/>
            </w:tcBorders>
            <w:shd w:val="clear" w:color="auto" w:fill="43C0B9"/>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169.6</w:t>
            </w:r>
          </w:p>
        </w:tc>
        <w:tc>
          <w:tcPr>
            <w:tcW w:w="26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43C0B9"/>
          </w:tcPr>
          <w:p>
            <w:pPr>
              <w:jc w:val="center"/>
              <w:ind w:left="648"/>
              <w:spacing w:after="0"/>
              <w:rPr>
                <w:sz w:val="20"/>
                <w:szCs w:val="20"/>
                <w:color w:val="auto"/>
              </w:rPr>
            </w:pPr>
            <w:r>
              <w:rPr>
                <w:rFonts w:ascii="Arial" w:cs="Arial" w:eastAsia="Arial" w:hAnsi="Arial"/>
                <w:sz w:val="14"/>
                <w:szCs w:val="14"/>
                <w:color w:val="auto"/>
              </w:rPr>
              <w:t>3.6</w:t>
            </w:r>
          </w:p>
        </w:tc>
        <w:tc>
          <w:tcPr>
            <w:tcW w:w="480" w:type="dxa"/>
            <w:vAlign w:val="bottom"/>
            <w:tcBorders>
              <w:bottom w:val="single" w:sz="8" w:color="auto"/>
            </w:tcBorders>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43C0B9"/>
          </w:tcPr>
          <w:p>
            <w:pPr>
              <w:jc w:val="right"/>
              <w:ind w:right="128"/>
              <w:spacing w:after="0"/>
              <w:rPr>
                <w:sz w:val="20"/>
                <w:szCs w:val="20"/>
                <w:color w:val="auto"/>
              </w:rPr>
            </w:pPr>
            <w:r>
              <w:rPr>
                <w:rFonts w:ascii="Arial" w:cs="Arial" w:eastAsia="Arial" w:hAnsi="Arial"/>
                <w:sz w:val="14"/>
                <w:szCs w:val="14"/>
                <w:color w:val="auto"/>
              </w:rPr>
              <w:t>173.2</w:t>
            </w:r>
          </w:p>
        </w:tc>
        <w:tc>
          <w:tcPr>
            <w:tcW w:w="26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194.5</w:t>
            </w:r>
          </w:p>
        </w:tc>
        <w:tc>
          <w:tcPr>
            <w:tcW w:w="26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3.0</w:t>
            </w:r>
          </w:p>
        </w:tc>
        <w:tc>
          <w:tcPr>
            <w:tcW w:w="480" w:type="dxa"/>
            <w:vAlign w:val="bottom"/>
            <w:tcBorders>
              <w:bottom w:val="single" w:sz="8" w:color="auto"/>
            </w:tcBorders>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197.5</w:t>
            </w:r>
          </w:p>
        </w:tc>
      </w:tr>
    </w:tbl>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EBITDA for each of our reporting segments was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5"/>
                <w:szCs w:val="15"/>
                <w:color w:val="auto"/>
              </w:rPr>
            </w:pPr>
          </w:p>
        </w:tc>
      </w:tr>
      <w:tr>
        <w:trPr>
          <w:trHeight w:val="206"/>
        </w:trPr>
        <w:tc>
          <w:tcPr>
            <w:tcW w:w="7860" w:type="dxa"/>
            <w:vAlign w:val="bottom"/>
            <w:shd w:val="clear" w:color="auto" w:fill="232F84"/>
          </w:tcPr>
          <w:p>
            <w:pPr>
              <w:spacing w:after="0"/>
              <w:rPr>
                <w:sz w:val="17"/>
                <w:szCs w:val="17"/>
                <w:color w:val="auto"/>
              </w:rPr>
            </w:pPr>
          </w:p>
        </w:tc>
        <w:tc>
          <w:tcPr>
            <w:tcW w:w="64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232F84"/>
          </w:tcPr>
          <w:p>
            <w:pPr>
              <w:spacing w:after="0"/>
              <w:rPr>
                <w:sz w:val="17"/>
                <w:szCs w:val="17"/>
                <w:color w:val="auto"/>
              </w:rPr>
            </w:pPr>
          </w:p>
        </w:tc>
      </w:tr>
      <w:tr>
        <w:trPr>
          <w:trHeight w:val="226"/>
        </w:trPr>
        <w:tc>
          <w:tcPr>
            <w:tcW w:w="78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640" w:type="dxa"/>
            <w:vAlign w:val="bottom"/>
            <w:shd w:val="clear" w:color="auto" w:fill="232F84"/>
          </w:tcPr>
          <w:p>
            <w:pPr>
              <w:spacing w:after="0"/>
              <w:rPr>
                <w:sz w:val="19"/>
                <w:szCs w:val="19"/>
                <w:color w:val="auto"/>
              </w:rPr>
            </w:pPr>
          </w:p>
        </w:tc>
        <w:tc>
          <w:tcPr>
            <w:tcW w:w="112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6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Marketing &amp; Distribution adjusted EBITDA</w:t>
            </w:r>
          </w:p>
        </w:tc>
        <w:tc>
          <w:tcPr>
            <w:tcW w:w="64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13.7</w:t>
            </w:r>
          </w:p>
        </w:tc>
        <w:tc>
          <w:tcPr>
            <w:tcW w:w="94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10.2</w:t>
            </w:r>
          </w:p>
        </w:tc>
      </w:tr>
      <w:tr>
        <w:trPr>
          <w:trHeight w:val="21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International Farming adjusted EBITDA</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09"/>
        </w:trPr>
        <w:tc>
          <w:tcPr>
            <w:tcW w:w="7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640" w:type="dxa"/>
            <w:vAlign w:val="bottom"/>
            <w:tcBorders>
              <w:bottom w:val="single" w:sz="8" w:color="auto"/>
            </w:tcBorders>
            <w:shd w:val="clear" w:color="auto" w:fill="43C0B9"/>
          </w:tcPr>
          <w:p>
            <w:pPr>
              <w:spacing w:after="0"/>
              <w:rPr>
                <w:sz w:val="18"/>
                <w:szCs w:val="18"/>
                <w:color w:val="auto"/>
              </w:rPr>
            </w:pPr>
          </w:p>
        </w:tc>
        <w:tc>
          <w:tcPr>
            <w:tcW w:w="11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12.5</w:t>
            </w:r>
          </w:p>
        </w:tc>
        <w:tc>
          <w:tcPr>
            <w:tcW w:w="940" w:type="dxa"/>
            <w:vAlign w:val="bottom"/>
            <w:tcBorders>
              <w:bottom w:val="single" w:sz="8" w:color="auto"/>
            </w:tcBorders>
            <w:shd w:val="clear" w:color="auto" w:fill="43C0B9"/>
          </w:tcPr>
          <w:p>
            <w:pPr>
              <w:spacing w:after="0"/>
              <w:rPr>
                <w:sz w:val="18"/>
                <w:szCs w:val="18"/>
                <w:color w:val="auto"/>
              </w:rPr>
            </w:pP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8.4</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2"/>
        </w:trPr>
        <w:tc>
          <w:tcPr>
            <w:tcW w:w="7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Interest expense</w:t>
            </w:r>
          </w:p>
        </w:tc>
        <w:tc>
          <w:tcPr>
            <w:tcW w:w="640" w:type="dxa"/>
            <w:vAlign w:val="bottom"/>
            <w:shd w:val="clear" w:color="auto" w:fill="43C0B9"/>
          </w:tcPr>
          <w:p>
            <w:pPr>
              <w:spacing w:after="0"/>
              <w:rPr>
                <w:sz w:val="19"/>
                <w:szCs w:val="19"/>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6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22"/>
        </w:trPr>
        <w:tc>
          <w:tcPr>
            <w:tcW w:w="7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43C0B9"/>
          </w:tcPr>
          <w:p>
            <w:pPr>
              <w:spacing w:after="0"/>
              <w:rPr>
                <w:sz w:val="19"/>
                <w:szCs w:val="19"/>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3.6</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3.4</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Equity method income</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Other expense</w:t>
            </w:r>
          </w:p>
        </w:tc>
        <w:tc>
          <w:tcPr>
            <w:tcW w:w="640" w:type="dxa"/>
            <w:vAlign w:val="bottom"/>
            <w:shd w:val="clear" w:color="auto" w:fill="43C0B9"/>
          </w:tcPr>
          <w:p>
            <w:pPr>
              <w:spacing w:after="0"/>
              <w:rPr>
                <w:sz w:val="19"/>
                <w:szCs w:val="19"/>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7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adjusted EBITDA</w:t>
            </w:r>
          </w:p>
        </w:tc>
        <w:tc>
          <w:tcPr>
            <w:tcW w:w="640" w:type="dxa"/>
            <w:vAlign w:val="bottom"/>
            <w:tcBorders>
              <w:bottom w:val="single" w:sz="8" w:color="auto"/>
            </w:tcBorders>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12.5</w:t>
            </w:r>
          </w:p>
        </w:tc>
        <w:tc>
          <w:tcPr>
            <w:tcW w:w="94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8.4</w:t>
            </w:r>
          </w:p>
        </w:tc>
      </w:tr>
    </w:tbl>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sales to customers outside the U.S. were $47.2 million and $40.8 million, for the three months ended January 31, 2021 and 2020, respectively.</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goodwill balance of $76.4 million as of January 31, 2021 and 2020 was wholly attributed to the International Farming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77" w:right="339" w:bottom="1440" w:gutter="0" w:footer="0" w:header="0"/>
        </w:sectPr>
      </w:pPr>
    </w:p>
    <w:bookmarkStart w:id="14" w:name="page15"/>
    <w:bookmarkEnd w:id="14"/>
    <w:p>
      <w:pPr>
        <w:ind w:right="580"/>
        <w:spacing w:after="0" w:line="288" w:lineRule="auto"/>
        <w:rPr>
          <w:sz w:val="20"/>
          <w:szCs w:val="20"/>
          <w:color w:val="auto"/>
        </w:rPr>
      </w:pPr>
      <w:r>
        <w:rPr>
          <w:rFonts w:ascii="Arial" w:cs="Arial" w:eastAsia="Arial" w:hAnsi="Arial"/>
          <w:sz w:val="25"/>
          <w:szCs w:val="25"/>
          <w:b w:val="1"/>
          <w:bCs w:val="1"/>
          <w:color w:val="232F84"/>
        </w:rPr>
        <w:t>Item 2. Management’s Discussion and Analysis of Financial Condition and Results of Operations</w:t>
      </w:r>
    </w:p>
    <w:p>
      <w:pPr>
        <w:spacing w:after="0" w:line="152"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You should read the following discussion and analysis of our financial condition and results of operations together with our financial statements and related notes included elsewhere in this quarterly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including those referenced under “Risk Factors” or in other parts of this quarterly report.</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Overview</w:t>
      </w:r>
    </w:p>
    <w:p>
      <w:pPr>
        <w:spacing w:after="0" w:line="245" w:lineRule="exact"/>
        <w:rPr>
          <w:sz w:val="20"/>
          <w:szCs w:val="20"/>
          <w:color w:val="auto"/>
        </w:rPr>
      </w:pPr>
    </w:p>
    <w:p>
      <w:pPr>
        <w:ind w:right="380" w:firstLine="648"/>
        <w:spacing w:after="0" w:line="251" w:lineRule="auto"/>
        <w:rPr>
          <w:sz w:val="20"/>
          <w:szCs w:val="20"/>
          <w:color w:val="auto"/>
        </w:rPr>
      </w:pPr>
      <w:r>
        <w:rPr>
          <w:rFonts w:ascii="Arial" w:cs="Arial" w:eastAsia="Arial" w:hAnsi="Arial"/>
          <w:sz w:val="16"/>
          <w:szCs w:val="16"/>
          <w:color w:val="auto"/>
        </w:rPr>
        <w:t>We are a world leader in sourcing, producing and distributing fresh avocados, serving retail, wholesale and foodservice customers. We source, produce, pack and distribute avocados to our customers and provide value-added services including ripening, bagging, custom packing and logistical management. In addition, we provide our customers with merchandising and promotional support, insights on market trends and training designed to increase their retail avocado sales.</w:t>
      </w:r>
    </w:p>
    <w:p>
      <w:pPr>
        <w:spacing w:after="0" w:line="202" w:lineRule="exact"/>
        <w:rPr>
          <w:sz w:val="20"/>
          <w:szCs w:val="20"/>
          <w:color w:val="auto"/>
        </w:rPr>
      </w:pPr>
    </w:p>
    <w:p>
      <w:pPr>
        <w:ind w:right="200" w:firstLine="648"/>
        <w:spacing w:after="0" w:line="250" w:lineRule="auto"/>
        <w:rPr>
          <w:sz w:val="20"/>
          <w:szCs w:val="20"/>
          <w:color w:val="auto"/>
        </w:rPr>
      </w:pPr>
      <w:r>
        <w:rPr>
          <w:rFonts w:ascii="Arial" w:cs="Arial" w:eastAsia="Arial" w:hAnsi="Arial"/>
          <w:sz w:val="16"/>
          <w:szCs w:val="16"/>
          <w:color w:val="auto"/>
        </w:rPr>
        <w:t>We have two operating segments, which are also reporting segments. These reporting segments are Marketing and Distribution and International Farming. Our Marketing and Distribution reporting segment primarily sources fruit from growers and then distributes the fruit through our global distribution network. Our International Farming segment owns and operates avocado orchards (principally located in Peru) that supply our Marketing and Distribution segment with a stable supply of avocados. Substantially all fruit produced by our International Farming segment is sold to our Marketing and Distribution segment.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Results of Operations</w:t>
      </w:r>
    </w:p>
    <w:p>
      <w:pPr>
        <w:spacing w:after="0" w:line="245"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The operating results of our businesses are significantly impacted by the price and volume of avocados we farm, source and distribute. In addition, our results have been, and will continue to be, affected by quarterly and annual fluctuations due to a number of factors, including but not limited to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203" w:lineRule="exact"/>
        <w:rPr>
          <w:sz w:val="20"/>
          <w:szCs w:val="20"/>
          <w:color w:val="auto"/>
        </w:rPr>
      </w:pPr>
    </w:p>
    <w:p>
      <w:pPr>
        <w:ind w:right="140" w:firstLine="648"/>
        <w:spacing w:after="0" w:line="248" w:lineRule="auto"/>
        <w:rPr>
          <w:sz w:val="20"/>
          <w:szCs w:val="20"/>
          <w:color w:val="auto"/>
        </w:rPr>
      </w:pPr>
      <w:r>
        <w:rPr>
          <w:rFonts w:ascii="Arial" w:cs="Arial" w:eastAsia="Arial" w:hAnsi="Arial"/>
          <w:sz w:val="16"/>
          <w:szCs w:val="16"/>
          <w:color w:val="auto"/>
        </w:rPr>
        <w:t>Our financial reporting currency is the U.S. dollar. The functional currency of substantially all of our subsidiaries is the U.S. dollar and substantially all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5314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08"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FFFFFF"/>
        </w:rPr>
        <w:t>Three Months Ended</w:t>
      </w:r>
    </w:p>
    <w:p>
      <w:pPr>
        <w:spacing w:after="0" w:line="19" w:lineRule="exact"/>
        <w:rPr>
          <w:sz w:val="20"/>
          <w:szCs w:val="20"/>
          <w:color w:val="auto"/>
        </w:rPr>
      </w:pPr>
    </w:p>
    <w:p>
      <w:pPr>
        <w:jc w:val="center"/>
        <w:ind w:left="7140"/>
        <w:spacing w:after="0"/>
        <w:rPr>
          <w:sz w:val="20"/>
          <w:szCs w:val="20"/>
          <w:color w:val="auto"/>
        </w:rPr>
      </w:pPr>
      <w:r>
        <w:rPr>
          <w:rFonts w:ascii="Arial" w:cs="Arial" w:eastAsia="Arial" w:hAnsi="Arial"/>
          <w:sz w:val="14"/>
          <w:szCs w:val="14"/>
          <w:b w:val="1"/>
          <w:bCs w:val="1"/>
          <w:color w:val="FFFFFF"/>
        </w:rPr>
        <w:t>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20" w:type="dxa"/>
            <w:vAlign w:val="bottom"/>
          </w:tcPr>
          <w:p>
            <w:pPr>
              <w:spacing w:after="0"/>
              <w:rPr>
                <w:sz w:val="19"/>
                <w:szCs w:val="19"/>
                <w:color w:val="auto"/>
              </w:rPr>
            </w:pPr>
          </w:p>
        </w:tc>
        <w:tc>
          <w:tcPr>
            <w:tcW w:w="600" w:type="dxa"/>
            <w:vAlign w:val="bottom"/>
            <w:shd w:val="clear" w:color="auto" w:fill="232F84"/>
          </w:tcPr>
          <w:p>
            <w:pPr>
              <w:spacing w:after="0"/>
              <w:rPr>
                <w:sz w:val="19"/>
                <w:szCs w:val="19"/>
                <w:color w:val="auto"/>
              </w:rPr>
            </w:pPr>
          </w:p>
        </w:tc>
        <w:tc>
          <w:tcPr>
            <w:tcW w:w="980" w:type="dxa"/>
            <w:vAlign w:val="bottom"/>
            <w:shd w:val="clear" w:color="auto" w:fill="232F84"/>
          </w:tcPr>
          <w:p>
            <w:pPr>
              <w:jc w:val="right"/>
              <w:ind w:right="208"/>
              <w:spacing w:after="0"/>
              <w:rPr>
                <w:sz w:val="20"/>
                <w:szCs w:val="20"/>
                <w:color w:val="auto"/>
              </w:rPr>
            </w:pPr>
            <w:r>
              <w:rPr>
                <w:rFonts w:ascii="Arial" w:cs="Arial" w:eastAsia="Arial" w:hAnsi="Arial"/>
                <w:sz w:val="14"/>
                <w:szCs w:val="14"/>
                <w:b w:val="1"/>
                <w:bCs w:val="1"/>
                <w:color w:val="FFFFFF"/>
              </w:rPr>
              <w:t>2021</w:t>
            </w:r>
          </w:p>
        </w:tc>
        <w:tc>
          <w:tcPr>
            <w:tcW w:w="640" w:type="dxa"/>
            <w:vAlign w:val="bottom"/>
            <w:shd w:val="clear" w:color="auto" w:fill="232F84"/>
          </w:tcPr>
          <w:p>
            <w:pPr>
              <w:spacing w:after="0"/>
              <w:rPr>
                <w:sz w:val="19"/>
                <w:szCs w:val="19"/>
                <w:color w:val="auto"/>
              </w:rPr>
            </w:pPr>
          </w:p>
        </w:tc>
        <w:tc>
          <w:tcPr>
            <w:tcW w:w="460" w:type="dxa"/>
            <w:vAlign w:val="bottom"/>
            <w:shd w:val="clear" w:color="auto" w:fill="232F84"/>
          </w:tcPr>
          <w:p>
            <w:pPr>
              <w:spacing w:after="0"/>
              <w:rPr>
                <w:sz w:val="19"/>
                <w:szCs w:val="19"/>
                <w:color w:val="auto"/>
              </w:rPr>
            </w:pPr>
          </w:p>
        </w:tc>
        <w:tc>
          <w:tcPr>
            <w:tcW w:w="980" w:type="dxa"/>
            <w:vAlign w:val="bottom"/>
            <w:shd w:val="clear" w:color="auto" w:fill="232F84"/>
          </w:tcPr>
          <w:p>
            <w:pPr>
              <w:jc w:val="right"/>
              <w:ind w:right="208"/>
              <w:spacing w:after="0"/>
              <w:rPr>
                <w:sz w:val="20"/>
                <w:szCs w:val="20"/>
                <w:color w:val="auto"/>
              </w:rPr>
            </w:pPr>
            <w:r>
              <w:rPr>
                <w:rFonts w:ascii="Arial" w:cs="Arial" w:eastAsia="Arial" w:hAnsi="Arial"/>
                <w:sz w:val="14"/>
                <w:szCs w:val="14"/>
                <w:b w:val="1"/>
                <w:bCs w:val="1"/>
                <w:color w:val="FFFFFF"/>
              </w:rPr>
              <w:t>2020</w:t>
            </w:r>
          </w:p>
        </w:tc>
        <w:tc>
          <w:tcPr>
            <w:tcW w:w="560" w:type="dxa"/>
            <w:vAlign w:val="bottom"/>
            <w:shd w:val="clear" w:color="auto" w:fill="232F84"/>
          </w:tcPr>
          <w:p>
            <w:pPr>
              <w:spacing w:after="0"/>
              <w:rPr>
                <w:sz w:val="19"/>
                <w:szCs w:val="19"/>
                <w:color w:val="auto"/>
              </w:rPr>
            </w:pPr>
          </w:p>
        </w:tc>
      </w:tr>
      <w:tr>
        <w:trPr>
          <w:trHeight w:val="226"/>
        </w:trPr>
        <w:tc>
          <w:tcPr>
            <w:tcW w:w="7020" w:type="dxa"/>
            <w:vAlign w:val="bottom"/>
          </w:tcPr>
          <w:p>
            <w:pPr>
              <w:ind w:left="20"/>
              <w:spacing w:after="0"/>
              <w:rPr>
                <w:sz w:val="20"/>
                <w:szCs w:val="20"/>
                <w:color w:val="auto"/>
              </w:rPr>
            </w:pPr>
            <w:r>
              <w:rPr>
                <w:rFonts w:ascii="Arial" w:cs="Arial" w:eastAsia="Arial" w:hAnsi="Arial"/>
                <w:sz w:val="14"/>
                <w:szCs w:val="14"/>
                <w:b w:val="1"/>
                <w:bCs w:val="1"/>
                <w:color w:val="FFFFFF"/>
              </w:rPr>
              <w:t>(In millions, except for percentages)</w:t>
            </w:r>
          </w:p>
        </w:tc>
        <w:tc>
          <w:tcPr>
            <w:tcW w:w="600" w:type="dxa"/>
            <w:vAlign w:val="bottom"/>
            <w:shd w:val="clear" w:color="auto" w:fill="232F84"/>
          </w:tcPr>
          <w:p>
            <w:pPr>
              <w:spacing w:after="0"/>
              <w:rPr>
                <w:sz w:val="19"/>
                <w:szCs w:val="19"/>
                <w:color w:val="auto"/>
              </w:rPr>
            </w:pPr>
          </w:p>
        </w:tc>
        <w:tc>
          <w:tcPr>
            <w:tcW w:w="98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Dollars</w:t>
            </w:r>
          </w:p>
        </w:tc>
        <w:tc>
          <w:tcPr>
            <w:tcW w:w="640" w:type="dxa"/>
            <w:vAlign w:val="bottom"/>
            <w:shd w:val="clear" w:color="auto" w:fill="232F84"/>
          </w:tcPr>
          <w:p>
            <w:pPr>
              <w:jc w:val="right"/>
              <w:ind w:right="28"/>
              <w:spacing w:after="0"/>
              <w:rPr>
                <w:sz w:val="20"/>
                <w:szCs w:val="20"/>
                <w:color w:val="auto"/>
              </w:rPr>
            </w:pPr>
            <w:r>
              <w:rPr>
                <w:rFonts w:ascii="Arial" w:cs="Arial" w:eastAsia="Arial" w:hAnsi="Arial"/>
                <w:sz w:val="14"/>
                <w:szCs w:val="14"/>
                <w:b w:val="1"/>
                <w:bCs w:val="1"/>
                <w:color w:val="FFFFFF"/>
              </w:rPr>
              <w:t>%</w:t>
            </w:r>
          </w:p>
        </w:tc>
        <w:tc>
          <w:tcPr>
            <w:tcW w:w="460" w:type="dxa"/>
            <w:vAlign w:val="bottom"/>
            <w:shd w:val="clear" w:color="auto" w:fill="232F84"/>
          </w:tcPr>
          <w:p>
            <w:pPr>
              <w:spacing w:after="0"/>
              <w:rPr>
                <w:sz w:val="19"/>
                <w:szCs w:val="19"/>
                <w:color w:val="auto"/>
              </w:rPr>
            </w:pPr>
          </w:p>
        </w:tc>
        <w:tc>
          <w:tcPr>
            <w:tcW w:w="98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Dollars</w:t>
            </w:r>
          </w:p>
        </w:tc>
        <w:tc>
          <w:tcPr>
            <w:tcW w:w="5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w:t>
            </w:r>
          </w:p>
        </w:tc>
      </w:tr>
      <w:tr>
        <w:trPr>
          <w:trHeight w:val="216"/>
        </w:trPr>
        <w:tc>
          <w:tcPr>
            <w:tcW w:w="702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sales</w:t>
            </w:r>
          </w:p>
        </w:tc>
        <w:tc>
          <w:tcPr>
            <w:tcW w:w="600" w:type="dxa"/>
            <w:vAlign w:val="bottom"/>
            <w:shd w:val="clear" w:color="auto" w:fill="43C0B9"/>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173.2</w:t>
            </w:r>
          </w:p>
        </w:tc>
        <w:tc>
          <w:tcPr>
            <w:tcW w:w="64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100 %</w:t>
            </w:r>
          </w:p>
        </w:tc>
        <w:tc>
          <w:tcPr>
            <w:tcW w:w="460" w:type="dxa"/>
            <w:vAlign w:val="bottom"/>
            <w:shd w:val="clear" w:color="auto" w:fill="43C0B9"/>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197.5</w:t>
            </w:r>
          </w:p>
        </w:tc>
        <w:tc>
          <w:tcPr>
            <w:tcW w:w="5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100 %</w:t>
            </w: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150.5</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87 %</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178.1</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90 %</w:t>
            </w:r>
          </w:p>
        </w:tc>
      </w:tr>
      <w:tr>
        <w:trPr>
          <w:trHeight w:val="215"/>
        </w:trPr>
        <w:tc>
          <w:tcPr>
            <w:tcW w:w="7020" w:type="dxa"/>
            <w:vAlign w:val="bottom"/>
            <w:shd w:val="clear" w:color="auto" w:fill="43C0B9"/>
          </w:tcPr>
          <w:p>
            <w:pPr>
              <w:ind w:left="20"/>
              <w:spacing w:after="0"/>
              <w:rPr>
                <w:sz w:val="20"/>
                <w:szCs w:val="20"/>
                <w:color w:val="auto"/>
              </w:rPr>
            </w:pPr>
            <w:r>
              <w:rPr>
                <w:rFonts w:ascii="Arial" w:cs="Arial" w:eastAsia="Arial" w:hAnsi="Arial"/>
                <w:sz w:val="14"/>
                <w:szCs w:val="14"/>
                <w:color w:val="auto"/>
              </w:rPr>
              <w:t>Gross profit</w:t>
            </w:r>
          </w:p>
        </w:tc>
        <w:tc>
          <w:tcPr>
            <w:tcW w:w="60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22.7</w:t>
            </w:r>
          </w:p>
        </w:tc>
        <w:tc>
          <w:tcPr>
            <w:tcW w:w="64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13 %</w:t>
            </w:r>
          </w:p>
        </w:tc>
        <w:tc>
          <w:tcPr>
            <w:tcW w:w="46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19.4</w:t>
            </w:r>
          </w:p>
        </w:tc>
        <w:tc>
          <w:tcPr>
            <w:tcW w:w="5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10 %</w:t>
            </w: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14.6</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8 %</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14.8</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r>
      <w:tr>
        <w:trPr>
          <w:trHeight w:val="216"/>
        </w:trPr>
        <w:tc>
          <w:tcPr>
            <w:tcW w:w="7020" w:type="dxa"/>
            <w:vAlign w:val="bottom"/>
            <w:shd w:val="clear" w:color="auto" w:fill="43C0B9"/>
          </w:tcPr>
          <w:p>
            <w:pPr>
              <w:ind w:left="20"/>
              <w:spacing w:after="0"/>
              <w:rPr>
                <w:sz w:val="20"/>
                <w:szCs w:val="20"/>
                <w:color w:val="auto"/>
              </w:rPr>
            </w:pPr>
            <w:r>
              <w:rPr>
                <w:rFonts w:ascii="Arial" w:cs="Arial" w:eastAsia="Arial" w:hAnsi="Arial"/>
                <w:sz w:val="14"/>
                <w:szCs w:val="14"/>
                <w:color w:val="auto"/>
              </w:rPr>
              <w:t>Operating income</w:t>
            </w:r>
          </w:p>
        </w:tc>
        <w:tc>
          <w:tcPr>
            <w:tcW w:w="60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8.1</w:t>
            </w:r>
          </w:p>
        </w:tc>
        <w:tc>
          <w:tcPr>
            <w:tcW w:w="64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5 %</w:t>
            </w:r>
          </w:p>
        </w:tc>
        <w:tc>
          <w:tcPr>
            <w:tcW w:w="46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4.6</w:t>
            </w:r>
          </w:p>
        </w:tc>
        <w:tc>
          <w:tcPr>
            <w:tcW w:w="5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2 %</w:t>
            </w:r>
          </w:p>
        </w:tc>
      </w:tr>
      <w:tr>
        <w:trPr>
          <w:trHeight w:val="210"/>
        </w:trPr>
        <w:tc>
          <w:tcPr>
            <w:tcW w:w="70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60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(0.9)</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460" w:type="dxa"/>
            <w:vAlign w:val="bottom"/>
          </w:tcPr>
          <w:p>
            <w:pPr>
              <w:spacing w:after="0"/>
              <w:rPr>
                <w:sz w:val="18"/>
                <w:szCs w:val="18"/>
                <w:color w:val="auto"/>
              </w:rPr>
            </w:pP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2"/>
        </w:trPr>
        <w:tc>
          <w:tcPr>
            <w:tcW w:w="702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income</w:t>
            </w:r>
          </w:p>
        </w:tc>
        <w:tc>
          <w:tcPr>
            <w:tcW w:w="600" w:type="dxa"/>
            <w:vAlign w:val="bottom"/>
            <w:shd w:val="clear" w:color="auto" w:fill="43C0B9"/>
          </w:tcPr>
          <w:p>
            <w:pPr>
              <w:spacing w:after="0"/>
              <w:rPr>
                <w:sz w:val="19"/>
                <w:szCs w:val="19"/>
                <w:color w:val="auto"/>
              </w:rPr>
            </w:pP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2.3</w:t>
            </w:r>
          </w:p>
        </w:tc>
        <w:tc>
          <w:tcPr>
            <w:tcW w:w="64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1 %</w:t>
            </w:r>
          </w:p>
        </w:tc>
        <w:tc>
          <w:tcPr>
            <w:tcW w:w="460" w:type="dxa"/>
            <w:vAlign w:val="bottom"/>
            <w:shd w:val="clear" w:color="auto" w:fill="43C0B9"/>
          </w:tcPr>
          <w:p>
            <w:pPr>
              <w:spacing w:after="0"/>
              <w:rPr>
                <w:sz w:val="19"/>
                <w:szCs w:val="19"/>
                <w:color w:val="auto"/>
              </w:rPr>
            </w:pP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w:t>
            </w:r>
          </w:p>
        </w:tc>
        <w:tc>
          <w:tcPr>
            <w:tcW w:w="5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 %</w:t>
            </w: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expense</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16"/>
        </w:trPr>
        <w:tc>
          <w:tcPr>
            <w:tcW w:w="702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Income before income taxes</w:t>
            </w:r>
          </w:p>
        </w:tc>
        <w:tc>
          <w:tcPr>
            <w:tcW w:w="60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9.5</w:t>
            </w:r>
          </w:p>
        </w:tc>
        <w:tc>
          <w:tcPr>
            <w:tcW w:w="64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5 %</w:t>
            </w:r>
          </w:p>
        </w:tc>
        <w:tc>
          <w:tcPr>
            <w:tcW w:w="460" w:type="dxa"/>
            <w:vAlign w:val="bottom"/>
            <w:shd w:val="clear" w:color="auto" w:fill="43C0B9"/>
          </w:tcPr>
          <w:p>
            <w:pPr>
              <w:spacing w:after="0"/>
              <w:rPr>
                <w:sz w:val="18"/>
                <w:szCs w:val="18"/>
                <w:color w:val="auto"/>
              </w:rPr>
            </w:pPr>
          </w:p>
        </w:tc>
        <w:tc>
          <w:tcPr>
            <w:tcW w:w="98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2.1</w:t>
            </w:r>
          </w:p>
        </w:tc>
        <w:tc>
          <w:tcPr>
            <w:tcW w:w="56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1 %</w:t>
            </w:r>
          </w:p>
        </w:tc>
      </w:tr>
      <w:tr>
        <w:trPr>
          <w:trHeight w:val="21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Provision for income taxes</w:t>
            </w: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7.3</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4 %</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09"/>
        </w:trPr>
        <w:tc>
          <w:tcPr>
            <w:tcW w:w="70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Net income</w:t>
            </w:r>
          </w:p>
        </w:tc>
        <w:tc>
          <w:tcPr>
            <w:tcW w:w="600" w:type="dxa"/>
            <w:vAlign w:val="bottom"/>
            <w:tcBorders>
              <w:bottom w:val="single" w:sz="8" w:color="auto"/>
            </w:tcBorders>
            <w:shd w:val="clear" w:color="auto" w:fill="43C0B9"/>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43C0B9"/>
          </w:tcPr>
          <w:p>
            <w:pPr>
              <w:jc w:val="right"/>
              <w:ind w:right="128"/>
              <w:spacing w:after="0"/>
              <w:rPr>
                <w:sz w:val="20"/>
                <w:szCs w:val="20"/>
                <w:color w:val="auto"/>
              </w:rPr>
            </w:pPr>
            <w:r>
              <w:rPr>
                <w:rFonts w:ascii="Arial" w:cs="Arial" w:eastAsia="Arial" w:hAnsi="Arial"/>
                <w:sz w:val="14"/>
                <w:szCs w:val="14"/>
                <w:color w:val="auto"/>
              </w:rPr>
              <w:t>2.2</w:t>
            </w:r>
          </w:p>
        </w:tc>
        <w:tc>
          <w:tcPr>
            <w:tcW w:w="64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1 %</w:t>
            </w:r>
          </w:p>
        </w:tc>
        <w:tc>
          <w:tcPr>
            <w:tcW w:w="460" w:type="dxa"/>
            <w:vAlign w:val="bottom"/>
            <w:tcBorders>
              <w:bottom w:val="single" w:sz="8" w:color="auto"/>
            </w:tcBorders>
            <w:shd w:val="clear" w:color="auto" w:fill="43C0B9"/>
          </w:tcPr>
          <w:p>
            <w:pPr>
              <w:jc w:val="right"/>
              <w:ind w:right="2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43C0B9"/>
          </w:tcPr>
          <w:p>
            <w:pPr>
              <w:jc w:val="right"/>
              <w:ind w:right="128"/>
              <w:spacing w:after="0"/>
              <w:rPr>
                <w:sz w:val="20"/>
                <w:szCs w:val="20"/>
                <w:color w:val="auto"/>
              </w:rPr>
            </w:pPr>
            <w:r>
              <w:rPr>
                <w:rFonts w:ascii="Arial" w:cs="Arial" w:eastAsia="Arial" w:hAnsi="Arial"/>
                <w:sz w:val="14"/>
                <w:szCs w:val="14"/>
                <w:color w:val="auto"/>
              </w:rPr>
              <w:t>1.4</w:t>
            </w:r>
          </w:p>
        </w:tc>
        <w:tc>
          <w:tcPr>
            <w:tcW w:w="5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1 %</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Net sales</w:t>
      </w:r>
    </w:p>
    <w:p>
      <w:pPr>
        <w:spacing w:after="0" w:line="241"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Our net sales are generated predominantly from the shipment of fresh avocados to retail, wholesale and foodservice customers worldwide. Our net sales are affected by numerous factors, including mainly the balance between the supply of and demand for our produce and</w:t>
      </w:r>
    </w:p>
    <w:p>
      <w:pPr>
        <w:sectPr>
          <w:pgSz w:w="11900" w:h="16838" w:orient="portrait"/>
          <w:cols w:equalWidth="0" w:num="1">
            <w:col w:w="11240"/>
          </w:cols>
          <w:pgMar w:left="320" w:top="865"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865" w:right="339" w:bottom="1440" w:gutter="0" w:footer="0" w:header="0"/>
          <w:type w:val="continuous"/>
        </w:sectPr>
      </w:pPr>
    </w:p>
    <w:bookmarkStart w:id="15" w:name="page16"/>
    <w:bookmarkEnd w:id="15"/>
    <w:p>
      <w:pPr>
        <w:ind w:right="100"/>
        <w:spacing w:after="0" w:line="260" w:lineRule="auto"/>
        <w:rPr>
          <w:sz w:val="20"/>
          <w:szCs w:val="20"/>
          <w:color w:val="auto"/>
        </w:rPr>
      </w:pPr>
      <w:r>
        <w:rPr>
          <w:rFonts w:ascii="Arial" w:cs="Arial" w:eastAsia="Arial" w:hAnsi="Arial"/>
          <w:sz w:val="16"/>
          <w:szCs w:val="16"/>
          <w:color w:val="auto"/>
        </w:rPr>
        <w:t>competition from other fresh produce companies. Our net sales are also dependent on our ability to supply a consistent volume and quality of fresh produce to the markets we serve.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5"/>
                <w:szCs w:val="15"/>
                <w:color w:val="auto"/>
              </w:rPr>
            </w:pPr>
          </w:p>
        </w:tc>
      </w:tr>
      <w:tr>
        <w:trPr>
          <w:trHeight w:val="206"/>
        </w:trPr>
        <w:tc>
          <w:tcPr>
            <w:tcW w:w="7920" w:type="dxa"/>
            <w:vAlign w:val="bottom"/>
            <w:shd w:val="clear" w:color="auto" w:fill="232F84"/>
          </w:tcPr>
          <w:p>
            <w:pPr>
              <w:spacing w:after="0"/>
              <w:rPr>
                <w:sz w:val="17"/>
                <w:szCs w:val="17"/>
                <w:color w:val="auto"/>
              </w:rPr>
            </w:pPr>
          </w:p>
        </w:tc>
        <w:tc>
          <w:tcPr>
            <w:tcW w:w="58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232F84"/>
          </w:tcPr>
          <w:p>
            <w:pPr>
              <w:spacing w:after="0"/>
              <w:rPr>
                <w:sz w:val="17"/>
                <w:szCs w:val="17"/>
                <w:color w:val="auto"/>
              </w:rPr>
            </w:pPr>
          </w:p>
        </w:tc>
      </w:tr>
      <w:tr>
        <w:trPr>
          <w:trHeight w:val="226"/>
        </w:trPr>
        <w:tc>
          <w:tcPr>
            <w:tcW w:w="792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80" w:type="dxa"/>
            <w:vAlign w:val="bottom"/>
            <w:shd w:val="clear" w:color="auto" w:fill="232F84"/>
          </w:tcPr>
          <w:p>
            <w:pPr>
              <w:spacing w:after="0"/>
              <w:rPr>
                <w:sz w:val="19"/>
                <w:szCs w:val="19"/>
                <w:color w:val="auto"/>
              </w:rPr>
            </w:pPr>
          </w:p>
        </w:tc>
        <w:tc>
          <w:tcPr>
            <w:tcW w:w="110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960" w:type="dxa"/>
            <w:vAlign w:val="bottom"/>
            <w:shd w:val="clear" w:color="auto" w:fill="232F84"/>
          </w:tcPr>
          <w:p>
            <w:pPr>
              <w:spacing w:after="0"/>
              <w:rPr>
                <w:sz w:val="19"/>
                <w:szCs w:val="19"/>
                <w:color w:val="auto"/>
              </w:rPr>
            </w:pPr>
          </w:p>
        </w:tc>
        <w:tc>
          <w:tcPr>
            <w:tcW w:w="6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sales:</w:t>
            </w:r>
          </w:p>
        </w:tc>
        <w:tc>
          <w:tcPr>
            <w:tcW w:w="580" w:type="dxa"/>
            <w:vAlign w:val="bottom"/>
            <w:shd w:val="clear" w:color="auto" w:fill="43C0B9"/>
          </w:tcPr>
          <w:p>
            <w:pPr>
              <w:spacing w:after="0"/>
              <w:rPr>
                <w:sz w:val="18"/>
                <w:szCs w:val="18"/>
                <w:color w:val="auto"/>
              </w:rPr>
            </w:pPr>
          </w:p>
        </w:tc>
        <w:tc>
          <w:tcPr>
            <w:tcW w:w="1100" w:type="dxa"/>
            <w:vAlign w:val="bottom"/>
            <w:shd w:val="clear" w:color="auto" w:fill="43C0B9"/>
          </w:tcPr>
          <w:p>
            <w:pPr>
              <w:spacing w:after="0"/>
              <w:rPr>
                <w:sz w:val="18"/>
                <w:szCs w:val="18"/>
                <w:color w:val="auto"/>
              </w:rPr>
            </w:pPr>
          </w:p>
        </w:tc>
        <w:tc>
          <w:tcPr>
            <w:tcW w:w="960" w:type="dxa"/>
            <w:vAlign w:val="bottom"/>
            <w:shd w:val="clear" w:color="auto" w:fill="43C0B9"/>
          </w:tcPr>
          <w:p>
            <w:pPr>
              <w:spacing w:after="0"/>
              <w:rPr>
                <w:sz w:val="18"/>
                <w:szCs w:val="18"/>
                <w:color w:val="auto"/>
              </w:rPr>
            </w:pPr>
          </w:p>
        </w:tc>
        <w:tc>
          <w:tcPr>
            <w:tcW w:w="680" w:type="dxa"/>
            <w:vAlign w:val="bottom"/>
            <w:shd w:val="clear" w:color="auto" w:fill="43C0B9"/>
          </w:tcPr>
          <w:p>
            <w:pPr>
              <w:spacing w:after="0"/>
              <w:rPr>
                <w:sz w:val="18"/>
                <w:szCs w:val="18"/>
                <w:color w:val="auto"/>
              </w:rPr>
            </w:pPr>
          </w:p>
        </w:tc>
      </w:tr>
      <w:tr>
        <w:trPr>
          <w:trHeight w:val="210"/>
        </w:trPr>
        <w:tc>
          <w:tcPr>
            <w:tcW w:w="7920" w:type="dxa"/>
            <w:vAlign w:val="bottom"/>
          </w:tcPr>
          <w:p>
            <w:pPr>
              <w:ind w:left="240"/>
              <w:spacing w:after="0"/>
              <w:rPr>
                <w:sz w:val="20"/>
                <w:szCs w:val="20"/>
                <w:color w:val="auto"/>
              </w:rPr>
            </w:pPr>
            <w:r>
              <w:rPr>
                <w:rFonts w:ascii="Arial" w:cs="Arial" w:eastAsia="Arial" w:hAnsi="Arial"/>
                <w:sz w:val="14"/>
                <w:szCs w:val="14"/>
                <w:color w:val="auto"/>
              </w:rPr>
              <w:t>Marketing and Distribution</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169.6</w:t>
            </w:r>
          </w:p>
        </w:tc>
        <w:tc>
          <w:tcPr>
            <w:tcW w:w="96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194.5</w:t>
            </w:r>
          </w:p>
        </w:tc>
      </w:tr>
      <w:tr>
        <w:trPr>
          <w:trHeight w:val="216"/>
        </w:trPr>
        <w:tc>
          <w:tcPr>
            <w:tcW w:w="7920" w:type="dxa"/>
            <w:vAlign w:val="bottom"/>
            <w:tcBorders>
              <w:bottom w:val="single" w:sz="8" w:color="auto"/>
            </w:tcBorders>
            <w:shd w:val="clear" w:color="auto" w:fill="43C0B9"/>
          </w:tcPr>
          <w:p>
            <w:pPr>
              <w:ind w:left="240"/>
              <w:spacing w:after="0"/>
              <w:rPr>
                <w:sz w:val="20"/>
                <w:szCs w:val="20"/>
                <w:color w:val="auto"/>
              </w:rPr>
            </w:pPr>
            <w:r>
              <w:rPr>
                <w:rFonts w:ascii="Arial" w:cs="Arial" w:eastAsia="Arial" w:hAnsi="Arial"/>
                <w:sz w:val="14"/>
                <w:szCs w:val="14"/>
                <w:color w:val="auto"/>
              </w:rPr>
              <w:t>International Farming</w:t>
            </w:r>
          </w:p>
        </w:tc>
        <w:tc>
          <w:tcPr>
            <w:tcW w:w="580" w:type="dxa"/>
            <w:vAlign w:val="bottom"/>
            <w:tcBorders>
              <w:bottom w:val="single" w:sz="8" w:color="auto"/>
            </w:tcBorders>
            <w:shd w:val="clear" w:color="auto" w:fill="43C0B9"/>
          </w:tcPr>
          <w:p>
            <w:pPr>
              <w:spacing w:after="0"/>
              <w:rPr>
                <w:sz w:val="18"/>
                <w:szCs w:val="18"/>
                <w:color w:val="auto"/>
              </w:rPr>
            </w:pPr>
          </w:p>
        </w:tc>
        <w:tc>
          <w:tcPr>
            <w:tcW w:w="110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3.6</w:t>
            </w:r>
          </w:p>
        </w:tc>
        <w:tc>
          <w:tcPr>
            <w:tcW w:w="960" w:type="dxa"/>
            <w:vAlign w:val="bottom"/>
            <w:tcBorders>
              <w:bottom w:val="single" w:sz="8" w:color="auto"/>
            </w:tcBorders>
            <w:shd w:val="clear" w:color="auto" w:fill="43C0B9"/>
          </w:tcPr>
          <w:p>
            <w:pPr>
              <w:spacing w:after="0"/>
              <w:rPr>
                <w:sz w:val="18"/>
                <w:szCs w:val="18"/>
                <w:color w:val="auto"/>
              </w:rPr>
            </w:pP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3.0</w:t>
            </w:r>
          </w:p>
        </w:tc>
      </w:tr>
      <w:tr>
        <w:trPr>
          <w:trHeight w:val="2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Total net sales</w:t>
            </w:r>
          </w:p>
        </w:tc>
        <w:tc>
          <w:tcPr>
            <w:tcW w:w="5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173.2</w:t>
            </w:r>
          </w:p>
        </w:tc>
        <w:tc>
          <w:tcPr>
            <w:tcW w:w="9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197.5</w:t>
            </w:r>
          </w:p>
        </w:tc>
      </w:tr>
    </w:tbl>
    <w:p>
      <w:pPr>
        <w:spacing w:after="0" w:line="218" w:lineRule="exact"/>
        <w:rPr>
          <w:sz w:val="20"/>
          <w:szCs w:val="20"/>
          <w:color w:val="auto"/>
        </w:rPr>
      </w:pPr>
    </w:p>
    <w:p>
      <w:pPr>
        <w:jc w:val="both"/>
        <w:ind w:right="180" w:firstLine="648"/>
        <w:spacing w:after="0" w:line="253" w:lineRule="auto"/>
        <w:rPr>
          <w:sz w:val="20"/>
          <w:szCs w:val="20"/>
          <w:color w:val="auto"/>
        </w:rPr>
      </w:pPr>
      <w:r>
        <w:rPr>
          <w:rFonts w:ascii="Arial" w:cs="Arial" w:eastAsia="Arial" w:hAnsi="Arial"/>
          <w:sz w:val="16"/>
          <w:szCs w:val="16"/>
          <w:color w:val="auto"/>
        </w:rPr>
        <w:t>Net sales decreased $24.3 million or 12% in the three months ended January 31, 2021 compared to the same period last year primarily due to an 18% decrease in average per-unit sales prices partially offset by a 7% increase in volume. Average price decreases were driven by strong industry supply from Mexico in the three months ended January 31, 2021.</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Gross profit</w:t>
      </w:r>
    </w:p>
    <w:p>
      <w:pPr>
        <w:spacing w:after="0" w:line="241"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Costs of sales is composed primarily of avocado procurement costs from independent growers and packers, logistic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203"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Variations in containerboard prices, which affect the cost of boxes and other packaging materials, and fuel prices can have an impact on our product cost and our profit margins. Variations in the production yields, and other input costs also affect our cost of sales.</w:t>
      </w:r>
    </w:p>
    <w:p>
      <w:pPr>
        <w:spacing w:after="0" w:line="203" w:lineRule="exact"/>
        <w:rPr>
          <w:sz w:val="20"/>
          <w:szCs w:val="20"/>
          <w:color w:val="auto"/>
        </w:rPr>
      </w:pPr>
    </w:p>
    <w:p>
      <w:pPr>
        <w:ind w:right="260" w:firstLine="648"/>
        <w:spacing w:after="0" w:line="251" w:lineRule="auto"/>
        <w:rPr>
          <w:sz w:val="20"/>
          <w:szCs w:val="20"/>
          <w:color w:val="auto"/>
        </w:rPr>
      </w:pPr>
      <w:r>
        <w:rPr>
          <w:rFonts w:ascii="Arial" w:cs="Arial" w:eastAsia="Arial" w:hAnsi="Arial"/>
          <w:sz w:val="16"/>
          <w:szCs w:val="16"/>
          <w:color w:val="auto"/>
        </w:rPr>
        <w:t>In general, changes in our volume of products sold can have a disproportionate effect on our gross profit. Within any particular year, a significant portion of our cost of products are fixed, particularly in our International Farming segment. Accordingly, higher volumes processed through packing and distribution facilities or produced on company-owned farms directly reduce the average cost per pound of fruit grown on company owned orchards, while lower volumes directly increase the average cost per pound of fruit grown on company owned orchards.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c>
          <w:tcPr>
            <w:tcW w:w="2140" w:type="dxa"/>
            <w:vAlign w:val="bottom"/>
            <w:gridSpan w:val="2"/>
            <w:shd w:val="clear" w:color="auto" w:fill="232F84"/>
          </w:tcPr>
          <w:p>
            <w:pPr>
              <w:jc w:val="center"/>
              <w:ind w:left="128"/>
              <w:spacing w:after="0"/>
              <w:rPr>
                <w:sz w:val="20"/>
                <w:szCs w:val="20"/>
                <w:color w:val="auto"/>
              </w:rPr>
            </w:pPr>
            <w:r>
              <w:rPr>
                <w:rFonts w:ascii="Arial" w:cs="Arial" w:eastAsia="Arial" w:hAnsi="Arial"/>
                <w:sz w:val="14"/>
                <w:szCs w:val="14"/>
                <w:b w:val="1"/>
                <w:bCs w:val="1"/>
                <w:color w:val="FFFFFF"/>
              </w:rPr>
              <w:t>Three Months Ended</w:t>
            </w:r>
          </w:p>
        </w:tc>
        <w:tc>
          <w:tcPr>
            <w:tcW w:w="740" w:type="dxa"/>
            <w:vAlign w:val="bottom"/>
            <w:shd w:val="clear" w:color="auto" w:fill="232F84"/>
          </w:tcPr>
          <w:p>
            <w:pPr>
              <w:spacing w:after="0"/>
              <w:rPr>
                <w:sz w:val="15"/>
                <w:szCs w:val="15"/>
                <w:color w:val="auto"/>
              </w:rPr>
            </w:pPr>
          </w:p>
        </w:tc>
      </w:tr>
      <w:tr>
        <w:trPr>
          <w:trHeight w:val="206"/>
        </w:trPr>
        <w:tc>
          <w:tcPr>
            <w:tcW w:w="7720" w:type="dxa"/>
            <w:vAlign w:val="bottom"/>
            <w:shd w:val="clear" w:color="auto" w:fill="232F84"/>
          </w:tcPr>
          <w:p>
            <w:pPr>
              <w:spacing w:after="0"/>
              <w:rPr>
                <w:sz w:val="17"/>
                <w:szCs w:val="17"/>
                <w:color w:val="auto"/>
              </w:rPr>
            </w:pPr>
          </w:p>
        </w:tc>
        <w:tc>
          <w:tcPr>
            <w:tcW w:w="640" w:type="dxa"/>
            <w:vAlign w:val="bottom"/>
            <w:shd w:val="clear" w:color="auto" w:fill="232F84"/>
          </w:tcPr>
          <w:p>
            <w:pPr>
              <w:spacing w:after="0"/>
              <w:rPr>
                <w:sz w:val="17"/>
                <w:szCs w:val="17"/>
                <w:color w:val="auto"/>
              </w:rPr>
            </w:pPr>
          </w:p>
        </w:tc>
        <w:tc>
          <w:tcPr>
            <w:tcW w:w="214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January 31,</w:t>
            </w:r>
          </w:p>
        </w:tc>
        <w:tc>
          <w:tcPr>
            <w:tcW w:w="740" w:type="dxa"/>
            <w:vAlign w:val="bottom"/>
            <w:shd w:val="clear" w:color="auto" w:fill="232F84"/>
          </w:tcPr>
          <w:p>
            <w:pPr>
              <w:spacing w:after="0"/>
              <w:rPr>
                <w:sz w:val="17"/>
                <w:szCs w:val="17"/>
                <w:color w:val="auto"/>
              </w:rPr>
            </w:pPr>
          </w:p>
        </w:tc>
      </w:tr>
      <w:tr>
        <w:trPr>
          <w:trHeight w:val="226"/>
        </w:trPr>
        <w:tc>
          <w:tcPr>
            <w:tcW w:w="7720" w:type="dxa"/>
            <w:vAlign w:val="bottom"/>
            <w:shd w:val="clear" w:color="auto" w:fill="232F84"/>
          </w:tcPr>
          <w:p>
            <w:pPr>
              <w:spacing w:after="0"/>
              <w:rPr>
                <w:sz w:val="19"/>
                <w:szCs w:val="19"/>
                <w:color w:val="auto"/>
              </w:rPr>
            </w:pPr>
          </w:p>
        </w:tc>
        <w:tc>
          <w:tcPr>
            <w:tcW w:w="640" w:type="dxa"/>
            <w:vAlign w:val="bottom"/>
            <w:shd w:val="clear" w:color="auto" w:fill="232F84"/>
          </w:tcPr>
          <w:p>
            <w:pPr>
              <w:spacing w:after="0"/>
              <w:rPr>
                <w:sz w:val="19"/>
                <w:szCs w:val="19"/>
                <w:color w:val="auto"/>
              </w:rPr>
            </w:pPr>
          </w:p>
        </w:tc>
        <w:tc>
          <w:tcPr>
            <w:tcW w:w="116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80" w:type="dxa"/>
            <w:vAlign w:val="bottom"/>
            <w:shd w:val="clear" w:color="auto" w:fill="232F84"/>
          </w:tcPr>
          <w:p>
            <w:pPr>
              <w:spacing w:after="0"/>
              <w:rPr>
                <w:sz w:val="19"/>
                <w:szCs w:val="19"/>
                <w:color w:val="auto"/>
              </w:rPr>
            </w:pPr>
          </w:p>
        </w:tc>
        <w:tc>
          <w:tcPr>
            <w:tcW w:w="74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720" w:type="dxa"/>
            <w:vAlign w:val="bottom"/>
            <w:shd w:val="clear" w:color="auto" w:fill="43C0B9"/>
          </w:tcPr>
          <w:p>
            <w:pPr>
              <w:ind w:left="20"/>
              <w:spacing w:after="0"/>
              <w:rPr>
                <w:sz w:val="20"/>
                <w:szCs w:val="20"/>
                <w:color w:val="auto"/>
              </w:rPr>
            </w:pPr>
            <w:r>
              <w:rPr>
                <w:rFonts w:ascii="Arial" w:cs="Arial" w:eastAsia="Arial" w:hAnsi="Arial"/>
                <w:sz w:val="14"/>
                <w:szCs w:val="14"/>
                <w:color w:val="auto"/>
              </w:rPr>
              <w:t>Gross profit (in millions)</w:t>
            </w:r>
          </w:p>
        </w:tc>
        <w:tc>
          <w:tcPr>
            <w:tcW w:w="640" w:type="dxa"/>
            <w:vAlign w:val="bottom"/>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43C0B9"/>
          </w:tcPr>
          <w:p>
            <w:pPr>
              <w:ind w:left="660"/>
              <w:spacing w:after="0"/>
              <w:rPr>
                <w:sz w:val="20"/>
                <w:szCs w:val="20"/>
                <w:color w:val="auto"/>
              </w:rPr>
            </w:pPr>
            <w:r>
              <w:rPr>
                <w:rFonts w:ascii="Arial" w:cs="Arial" w:eastAsia="Arial" w:hAnsi="Arial"/>
                <w:sz w:val="14"/>
                <w:szCs w:val="14"/>
                <w:color w:val="auto"/>
              </w:rPr>
              <w:t>22.7</w:t>
            </w:r>
          </w:p>
        </w:tc>
        <w:tc>
          <w:tcPr>
            <w:tcW w:w="980" w:type="dxa"/>
            <w:vAlign w:val="bottom"/>
            <w:shd w:val="clear" w:color="auto" w:fill="43C0B9"/>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19.4</w:t>
            </w:r>
          </w:p>
        </w:tc>
      </w:tr>
      <w:tr>
        <w:trPr>
          <w:trHeight w:val="21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Gross profit as a percentage of sales</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13.1 %</w:t>
            </w: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9.8 %</w:t>
            </w:r>
          </w:p>
        </w:tc>
      </w:tr>
    </w:tbl>
    <w:p>
      <w:pPr>
        <w:spacing w:after="0" w:line="218" w:lineRule="exact"/>
        <w:rPr>
          <w:sz w:val="20"/>
          <w:szCs w:val="20"/>
          <w:color w:val="auto"/>
        </w:rPr>
      </w:pPr>
    </w:p>
    <w:p>
      <w:pPr>
        <w:ind w:right="120" w:firstLine="648"/>
        <w:spacing w:after="0" w:line="251" w:lineRule="auto"/>
        <w:rPr>
          <w:sz w:val="20"/>
          <w:szCs w:val="20"/>
          <w:color w:val="auto"/>
        </w:rPr>
      </w:pPr>
      <w:r>
        <w:rPr>
          <w:rFonts w:ascii="Arial" w:cs="Arial" w:eastAsia="Arial" w:hAnsi="Arial"/>
          <w:sz w:val="16"/>
          <w:szCs w:val="16"/>
          <w:color w:val="auto"/>
        </w:rPr>
        <w:t>Gross profit increased 17% compared to the same period last year to $22.7 million, and gross profit margin increased 328 basis points to 13.1% of revenue. The increase in gross profit is due to a combination of higher volume and higher margin per-unit sold. Improvements in the per-unit margin are driven by lower packaging costs as well as favorable leveraging of fixed-cost overhead. In addition, gross profit percentage is being positively impacted by lower per-unit sales prices, as our per-unit margins represent a higher proportion of the sales value.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Selling, general and administrative expenses</w:t>
      </w:r>
    </w:p>
    <w:p>
      <w:pPr>
        <w:spacing w:after="0" w:line="241"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Selling, general and administrative expenses primarily include the costs associated with selling, advertising and promotional expenses, professional fees, general corporate overhead and other related administrative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95"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FFFFFF"/>
        </w:rPr>
        <w:t>Three Months Ended</w:t>
      </w:r>
    </w:p>
    <w:p>
      <w:pPr>
        <w:spacing w:after="0" w:line="19"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FFFFFF"/>
        </w:rPr>
        <w:t>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920" w:type="dxa"/>
            <w:vAlign w:val="bottom"/>
          </w:tcPr>
          <w:p>
            <w:pPr>
              <w:ind w:left="20"/>
              <w:spacing w:after="0"/>
              <w:rPr>
                <w:sz w:val="20"/>
                <w:szCs w:val="20"/>
                <w:color w:val="auto"/>
              </w:rPr>
            </w:pPr>
            <w:r>
              <w:rPr>
                <w:rFonts w:ascii="Arial" w:cs="Arial" w:eastAsia="Arial" w:hAnsi="Arial"/>
                <w:sz w:val="14"/>
                <w:szCs w:val="14"/>
                <w:b w:val="1"/>
                <w:bCs w:val="1"/>
                <w:color w:val="FFFFFF"/>
              </w:rPr>
              <w:t>(In millions)</w:t>
            </w:r>
          </w:p>
        </w:tc>
        <w:tc>
          <w:tcPr>
            <w:tcW w:w="700" w:type="dxa"/>
            <w:vAlign w:val="bottom"/>
            <w:shd w:val="clear" w:color="auto" w:fill="232F84"/>
          </w:tcPr>
          <w:p>
            <w:pPr>
              <w:spacing w:after="0"/>
              <w:rPr>
                <w:sz w:val="19"/>
                <w:szCs w:val="19"/>
                <w:color w:val="auto"/>
              </w:rPr>
            </w:pPr>
          </w:p>
        </w:tc>
        <w:tc>
          <w:tcPr>
            <w:tcW w:w="98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680" w:type="dxa"/>
            <w:vAlign w:val="bottom"/>
            <w:shd w:val="clear" w:color="auto" w:fill="232F84"/>
          </w:tcPr>
          <w:p>
            <w:pPr>
              <w:spacing w:after="0"/>
              <w:rPr>
                <w:sz w:val="19"/>
                <w:szCs w:val="19"/>
                <w:color w:val="auto"/>
              </w:rPr>
            </w:pPr>
          </w:p>
        </w:tc>
        <w:tc>
          <w:tcPr>
            <w:tcW w:w="96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0"/>
        </w:trPr>
        <w:tc>
          <w:tcPr>
            <w:tcW w:w="79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Selling, general and administrative expenses</w:t>
            </w:r>
          </w:p>
        </w:tc>
        <w:tc>
          <w:tcPr>
            <w:tcW w:w="700" w:type="dxa"/>
            <w:vAlign w:val="bottom"/>
            <w:tcBorders>
              <w:bottom w:val="single" w:sz="8" w:color="auto"/>
            </w:tcBorders>
            <w:shd w:val="clear" w:color="auto" w:fill="43C0B9"/>
          </w:tcPr>
          <w:p>
            <w:pPr>
              <w:jc w:val="right"/>
              <w:ind w:right="4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14.6</w:t>
            </w:r>
          </w:p>
        </w:tc>
        <w:tc>
          <w:tcPr>
            <w:tcW w:w="680" w:type="dxa"/>
            <w:vAlign w:val="bottom"/>
            <w:tcBorders>
              <w:bottom w:val="single" w:sz="8" w:color="auto"/>
            </w:tcBorders>
            <w:shd w:val="clear" w:color="auto" w:fill="43C0B9"/>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14.8</w:t>
            </w:r>
          </w:p>
        </w:tc>
      </w:tr>
    </w:tbl>
    <w:p>
      <w:pPr>
        <w:spacing w:after="0" w:line="218"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16"/>
          <w:szCs w:val="16"/>
          <w:color w:val="auto"/>
        </w:rPr>
        <w:t>Selling, general and administrative expenses decreased $0.2 million or 1% in the three months ended January 31, 2021 compared to the same period last year due to lower professional fees, largely offset by higher employee-related costs and liability insurance premiums now required as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Equity method income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equity method investees include Henry Avocado, Mr. Avocado, Moruga, and Copaltas.</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005" w:right="339" w:bottom="1440" w:gutter="0" w:footer="0" w:header="0"/>
          <w:type w:val="continuous"/>
        </w:sectPr>
      </w:pPr>
    </w:p>
    <w:bookmarkStart w:id="16" w:name="page17"/>
    <w:bookmarkEnd w:id="16"/>
    <w:p>
      <w:pPr>
        <w:jc w:val="center"/>
        <w:ind w:left="7980"/>
        <w:spacing w:after="0"/>
        <w:rPr>
          <w:sz w:val="20"/>
          <w:szCs w:val="20"/>
          <w:color w:val="auto"/>
        </w:rPr>
      </w:pPr>
      <w:r>
        <w:rPr>
          <w:rFonts w:ascii="Arial" w:cs="Arial" w:eastAsia="Arial" w:hAnsi="Arial"/>
          <w:sz w:val="14"/>
          <w:szCs w:val="14"/>
          <w:b w:val="1"/>
          <w:bCs w:val="1"/>
          <w:color w:val="FFFFFF"/>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t>Three Months Ended</w:t>
      </w:r>
    </w:p>
    <w:p>
      <w:pPr>
        <w:spacing w:after="0" w:line="19"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FFFFFF"/>
        </w:rPr>
        <w:t>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20" w:type="dxa"/>
            <w:vAlign w:val="bottom"/>
          </w:tcPr>
          <w:p>
            <w:pPr>
              <w:ind w:left="20"/>
              <w:spacing w:after="0"/>
              <w:rPr>
                <w:sz w:val="20"/>
                <w:szCs w:val="20"/>
                <w:color w:val="auto"/>
              </w:rPr>
            </w:pPr>
            <w:r>
              <w:rPr>
                <w:rFonts w:ascii="Arial" w:cs="Arial" w:eastAsia="Arial" w:hAnsi="Arial"/>
                <w:sz w:val="14"/>
                <w:szCs w:val="14"/>
                <w:b w:val="1"/>
                <w:bCs w:val="1"/>
                <w:color w:val="FFFFFF"/>
              </w:rPr>
              <w:t>(In millions)</w:t>
            </w:r>
          </w:p>
        </w:tc>
        <w:tc>
          <w:tcPr>
            <w:tcW w:w="700" w:type="dxa"/>
            <w:vAlign w:val="bottom"/>
            <w:shd w:val="clear" w:color="auto" w:fill="232F84"/>
          </w:tcPr>
          <w:p>
            <w:pPr>
              <w:spacing w:after="0"/>
              <w:rPr>
                <w:sz w:val="19"/>
                <w:szCs w:val="19"/>
                <w:color w:val="auto"/>
              </w:rPr>
            </w:pPr>
          </w:p>
        </w:tc>
        <w:tc>
          <w:tcPr>
            <w:tcW w:w="98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680" w:type="dxa"/>
            <w:vAlign w:val="bottom"/>
            <w:shd w:val="clear" w:color="auto" w:fill="232F84"/>
          </w:tcPr>
          <w:p>
            <w:pPr>
              <w:spacing w:after="0"/>
              <w:rPr>
                <w:sz w:val="19"/>
                <w:szCs w:val="19"/>
                <w:color w:val="auto"/>
              </w:rPr>
            </w:pPr>
          </w:p>
        </w:tc>
        <w:tc>
          <w:tcPr>
            <w:tcW w:w="96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0"/>
        </w:trPr>
        <w:tc>
          <w:tcPr>
            <w:tcW w:w="79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Equity method income</w:t>
            </w:r>
          </w:p>
        </w:tc>
        <w:tc>
          <w:tcPr>
            <w:tcW w:w="700" w:type="dxa"/>
            <w:vAlign w:val="bottom"/>
            <w:tcBorders>
              <w:bottom w:val="single" w:sz="8" w:color="auto"/>
            </w:tcBorders>
            <w:shd w:val="clear" w:color="auto" w:fill="43C0B9"/>
          </w:tcPr>
          <w:p>
            <w:pPr>
              <w:jc w:val="right"/>
              <w:ind w:right="4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2.3</w:t>
            </w:r>
          </w:p>
        </w:tc>
        <w:tc>
          <w:tcPr>
            <w:tcW w:w="680" w:type="dxa"/>
            <w:vAlign w:val="bottom"/>
            <w:tcBorders>
              <w:bottom w:val="single" w:sz="8" w:color="auto"/>
            </w:tcBorders>
            <w:shd w:val="clear" w:color="auto" w:fill="43C0B9"/>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r>
    </w:tbl>
    <w:p>
      <w:pPr>
        <w:spacing w:after="0" w:line="218" w:lineRule="exact"/>
        <w:rPr>
          <w:sz w:val="20"/>
          <w:szCs w:val="20"/>
          <w:color w:val="auto"/>
        </w:rPr>
      </w:pPr>
    </w:p>
    <w:p>
      <w:pPr>
        <w:ind w:right="160" w:firstLine="648"/>
        <w:spacing w:after="0" w:line="253" w:lineRule="auto"/>
        <w:rPr>
          <w:sz w:val="20"/>
          <w:szCs w:val="20"/>
          <w:color w:val="auto"/>
        </w:rPr>
      </w:pPr>
      <w:r>
        <w:rPr>
          <w:rFonts w:ascii="Arial" w:cs="Arial" w:eastAsia="Arial" w:hAnsi="Arial"/>
          <w:sz w:val="16"/>
          <w:szCs w:val="16"/>
          <w:color w:val="auto"/>
        </w:rPr>
        <w:t>Equity method income increased $2.3 million or 100% in the three months ended January 31, 2021 compared to the same period last year, driven by higher earnings from investments in Moruga and Henry Avocado. Moruga’s earnings increased due to strong yields and pricing returns on 2020-21 blueberry harvest. Henry Avocado’s earnings increased due to higher per-unit margins.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Interest expense</w:t>
      </w:r>
    </w:p>
    <w:p>
      <w:pPr>
        <w:spacing w:after="0" w:line="241" w:lineRule="exact"/>
        <w:rPr>
          <w:sz w:val="20"/>
          <w:szCs w:val="20"/>
          <w:color w:val="auto"/>
        </w:rPr>
      </w:pPr>
    </w:p>
    <w:p>
      <w:pPr>
        <w:ind w:right="240" w:firstLine="648"/>
        <w:spacing w:after="0" w:line="260" w:lineRule="auto"/>
        <w:rPr>
          <w:sz w:val="20"/>
          <w:szCs w:val="20"/>
          <w:color w:val="auto"/>
        </w:rPr>
      </w:pPr>
      <w:r>
        <w:rPr>
          <w:rFonts w:ascii="Arial" w:cs="Arial" w:eastAsia="Arial" w:hAnsi="Arial"/>
          <w:sz w:val="16"/>
          <w:szCs w:val="16"/>
          <w:color w:val="auto"/>
        </w:rPr>
        <w:t>Interest expense consists primarily of interest on borrowings under working capital facilities that we maintain and interest on other long-term debt used to make capital and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386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95"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FFFFFF"/>
        </w:rPr>
        <w:t>Three Months Ended</w:t>
      </w:r>
    </w:p>
    <w:p>
      <w:pPr>
        <w:spacing w:after="0" w:line="19" w:lineRule="exact"/>
        <w:rPr>
          <w:sz w:val="20"/>
          <w:szCs w:val="20"/>
          <w:color w:val="auto"/>
        </w:rPr>
      </w:pPr>
    </w:p>
    <w:p>
      <w:pPr>
        <w:jc w:val="center"/>
        <w:ind w:left="7980"/>
        <w:spacing w:after="0"/>
        <w:rPr>
          <w:sz w:val="20"/>
          <w:szCs w:val="20"/>
          <w:color w:val="auto"/>
        </w:rPr>
      </w:pPr>
      <w:r>
        <w:rPr>
          <w:rFonts w:ascii="Arial" w:cs="Arial" w:eastAsia="Arial" w:hAnsi="Arial"/>
          <w:sz w:val="14"/>
          <w:szCs w:val="14"/>
          <w:b w:val="1"/>
          <w:bCs w:val="1"/>
          <w:color w:val="FFFFFF"/>
        </w:rPr>
        <w:t>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920" w:type="dxa"/>
            <w:vAlign w:val="bottom"/>
          </w:tcPr>
          <w:p>
            <w:pPr>
              <w:ind w:left="20"/>
              <w:spacing w:after="0"/>
              <w:rPr>
                <w:sz w:val="20"/>
                <w:szCs w:val="20"/>
                <w:color w:val="auto"/>
              </w:rPr>
            </w:pPr>
            <w:r>
              <w:rPr>
                <w:rFonts w:ascii="Arial" w:cs="Arial" w:eastAsia="Arial" w:hAnsi="Arial"/>
                <w:sz w:val="14"/>
                <w:szCs w:val="14"/>
                <w:b w:val="1"/>
                <w:bCs w:val="1"/>
                <w:color w:val="FFFFFF"/>
              </w:rPr>
              <w:t>(In millions)</w:t>
            </w:r>
          </w:p>
        </w:tc>
        <w:tc>
          <w:tcPr>
            <w:tcW w:w="700" w:type="dxa"/>
            <w:vAlign w:val="bottom"/>
            <w:shd w:val="clear" w:color="auto" w:fill="232F84"/>
          </w:tcPr>
          <w:p>
            <w:pPr>
              <w:spacing w:after="0"/>
              <w:rPr>
                <w:sz w:val="19"/>
                <w:szCs w:val="19"/>
                <w:color w:val="auto"/>
              </w:rPr>
            </w:pPr>
          </w:p>
        </w:tc>
        <w:tc>
          <w:tcPr>
            <w:tcW w:w="980" w:type="dxa"/>
            <w:vAlign w:val="bottom"/>
            <w:shd w:val="clear" w:color="auto" w:fill="232F84"/>
          </w:tcPr>
          <w:p>
            <w:pPr>
              <w:jc w:val="right"/>
              <w:ind w:right="68"/>
              <w:spacing w:after="0"/>
              <w:rPr>
                <w:sz w:val="20"/>
                <w:szCs w:val="20"/>
                <w:color w:val="auto"/>
              </w:rPr>
            </w:pPr>
            <w:r>
              <w:rPr>
                <w:rFonts w:ascii="Arial" w:cs="Arial" w:eastAsia="Arial" w:hAnsi="Arial"/>
                <w:sz w:val="14"/>
                <w:szCs w:val="14"/>
                <w:b w:val="1"/>
                <w:bCs w:val="1"/>
                <w:color w:val="FFFFFF"/>
              </w:rPr>
              <w:t>2021</w:t>
            </w:r>
          </w:p>
        </w:tc>
        <w:tc>
          <w:tcPr>
            <w:tcW w:w="680" w:type="dxa"/>
            <w:vAlign w:val="bottom"/>
            <w:shd w:val="clear" w:color="auto" w:fill="232F84"/>
          </w:tcPr>
          <w:p>
            <w:pPr>
              <w:spacing w:after="0"/>
              <w:rPr>
                <w:sz w:val="19"/>
                <w:szCs w:val="19"/>
                <w:color w:val="auto"/>
              </w:rPr>
            </w:pPr>
          </w:p>
        </w:tc>
        <w:tc>
          <w:tcPr>
            <w:tcW w:w="96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0"/>
        </w:trPr>
        <w:tc>
          <w:tcPr>
            <w:tcW w:w="79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Interest expense</w:t>
            </w:r>
          </w:p>
        </w:tc>
        <w:tc>
          <w:tcPr>
            <w:tcW w:w="700" w:type="dxa"/>
            <w:vAlign w:val="bottom"/>
            <w:tcBorders>
              <w:bottom w:val="single" w:sz="8" w:color="auto"/>
            </w:tcBorders>
            <w:shd w:val="clear" w:color="auto" w:fill="43C0B9"/>
          </w:tcPr>
          <w:p>
            <w:pPr>
              <w:jc w:val="right"/>
              <w:ind w:right="4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43C0B9"/>
          </w:tcPr>
          <w:p>
            <w:pPr>
              <w:jc w:val="right"/>
              <w:ind w:right="8"/>
              <w:spacing w:after="0"/>
              <w:rPr>
                <w:sz w:val="20"/>
                <w:szCs w:val="20"/>
                <w:color w:val="auto"/>
              </w:rPr>
            </w:pPr>
            <w:r>
              <w:rPr>
                <w:rFonts w:ascii="Arial" w:cs="Arial" w:eastAsia="Arial" w:hAnsi="Arial"/>
                <w:sz w:val="14"/>
                <w:szCs w:val="14"/>
                <w:color w:val="auto"/>
              </w:rPr>
              <w:t>0.9</w:t>
            </w:r>
          </w:p>
        </w:tc>
        <w:tc>
          <w:tcPr>
            <w:tcW w:w="680" w:type="dxa"/>
            <w:vAlign w:val="bottom"/>
            <w:tcBorders>
              <w:bottom w:val="single" w:sz="8" w:color="auto"/>
            </w:tcBorders>
            <w:shd w:val="clear" w:color="auto" w:fill="43C0B9"/>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2.1</w:t>
            </w:r>
          </w:p>
        </w:tc>
      </w:tr>
    </w:tbl>
    <w:p>
      <w:pPr>
        <w:spacing w:after="0" w:line="218" w:lineRule="exact"/>
        <w:rPr>
          <w:sz w:val="20"/>
          <w:szCs w:val="20"/>
          <w:color w:val="auto"/>
        </w:rPr>
      </w:pPr>
    </w:p>
    <w:p>
      <w:pPr>
        <w:ind w:right="180" w:firstLine="648"/>
        <w:spacing w:after="0" w:line="253" w:lineRule="auto"/>
        <w:rPr>
          <w:sz w:val="20"/>
          <w:szCs w:val="20"/>
          <w:color w:val="auto"/>
        </w:rPr>
      </w:pPr>
      <w:r>
        <w:rPr>
          <w:rFonts w:ascii="Arial" w:cs="Arial" w:eastAsia="Arial" w:hAnsi="Arial"/>
          <w:sz w:val="16"/>
          <w:szCs w:val="16"/>
          <w:color w:val="auto"/>
        </w:rPr>
        <w:t>Interest expense decreased $1.2 million or 57% in the three months ended January 31, 2021 compared to the same period last year due to a combination of lower interest rates and lower average debt balances. A substantial portion of our debt has variable interest rates that are based on LIBOR, which has declined significantly since fiscal year 2020. Average debt balances were lower reflecting principal payments of existing long-term debt.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Other expense</w:t>
      </w:r>
    </w:p>
    <w:p>
      <w:pPr>
        <w:spacing w:after="0" w:line="241" w:lineRule="exact"/>
        <w:rPr>
          <w:sz w:val="20"/>
          <w:szCs w:val="20"/>
          <w:color w:val="auto"/>
        </w:rPr>
      </w:pPr>
    </w:p>
    <w:p>
      <w:pPr>
        <w:ind w:right="380" w:firstLine="648"/>
        <w:spacing w:after="0" w:line="260" w:lineRule="auto"/>
        <w:rPr>
          <w:sz w:val="20"/>
          <w:szCs w:val="20"/>
          <w:color w:val="auto"/>
        </w:rPr>
      </w:pPr>
      <w:r>
        <w:rPr>
          <w:rFonts w:ascii="Arial" w:cs="Arial" w:eastAsia="Arial" w:hAnsi="Arial"/>
          <w:sz w:val="16"/>
          <w:szCs w:val="16"/>
          <w:color w:val="auto"/>
        </w:rPr>
        <w:t>Other expense consists of interest income, currency exchange gains or losses, interest rate derivative gains or losses and other miscellaneous income and expense items.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2060" w:type="dxa"/>
            <w:vAlign w:val="bottom"/>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5"/>
                <w:szCs w:val="15"/>
                <w:color w:val="auto"/>
              </w:rPr>
            </w:pPr>
          </w:p>
        </w:tc>
      </w:tr>
      <w:tr>
        <w:trPr>
          <w:trHeight w:val="206"/>
        </w:trPr>
        <w:tc>
          <w:tcPr>
            <w:tcW w:w="7920" w:type="dxa"/>
            <w:vAlign w:val="bottom"/>
            <w:shd w:val="clear" w:color="auto" w:fill="232F84"/>
          </w:tcPr>
          <w:p>
            <w:pPr>
              <w:spacing w:after="0"/>
              <w:rPr>
                <w:sz w:val="17"/>
                <w:szCs w:val="17"/>
                <w:color w:val="auto"/>
              </w:rPr>
            </w:pPr>
          </w:p>
        </w:tc>
        <w:tc>
          <w:tcPr>
            <w:tcW w:w="580" w:type="dxa"/>
            <w:vAlign w:val="bottom"/>
            <w:shd w:val="clear" w:color="auto" w:fill="232F84"/>
          </w:tcPr>
          <w:p>
            <w:pPr>
              <w:spacing w:after="0"/>
              <w:rPr>
                <w:sz w:val="17"/>
                <w:szCs w:val="17"/>
                <w:color w:val="auto"/>
              </w:rPr>
            </w:pPr>
          </w:p>
        </w:tc>
        <w:tc>
          <w:tcPr>
            <w:tcW w:w="2060" w:type="dxa"/>
            <w:vAlign w:val="bottom"/>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232F84"/>
          </w:tcPr>
          <w:p>
            <w:pPr>
              <w:spacing w:after="0"/>
              <w:rPr>
                <w:sz w:val="17"/>
                <w:szCs w:val="17"/>
                <w:color w:val="auto"/>
              </w:rPr>
            </w:pPr>
          </w:p>
        </w:tc>
      </w:tr>
      <w:tr>
        <w:trPr>
          <w:trHeight w:val="226"/>
        </w:trPr>
        <w:tc>
          <w:tcPr>
            <w:tcW w:w="792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80" w:type="dxa"/>
            <w:vAlign w:val="bottom"/>
            <w:shd w:val="clear" w:color="auto" w:fill="232F84"/>
          </w:tcPr>
          <w:p>
            <w:pPr>
              <w:spacing w:after="0"/>
              <w:rPr>
                <w:sz w:val="19"/>
                <w:szCs w:val="19"/>
                <w:color w:val="auto"/>
              </w:rPr>
            </w:pPr>
          </w:p>
        </w:tc>
        <w:tc>
          <w:tcPr>
            <w:tcW w:w="2060" w:type="dxa"/>
            <w:vAlign w:val="bottom"/>
            <w:shd w:val="clear" w:color="auto" w:fill="232F84"/>
          </w:tcPr>
          <w:p>
            <w:pPr>
              <w:jc w:val="right"/>
              <w:ind w:right="1028"/>
              <w:spacing w:after="0"/>
              <w:rPr>
                <w:sz w:val="20"/>
                <w:szCs w:val="20"/>
                <w:color w:val="auto"/>
              </w:rPr>
            </w:pPr>
            <w:r>
              <w:rPr>
                <w:rFonts w:ascii="Arial" w:cs="Arial" w:eastAsia="Arial" w:hAnsi="Arial"/>
                <w:sz w:val="14"/>
                <w:szCs w:val="14"/>
                <w:b w:val="1"/>
                <w:bCs w:val="1"/>
                <w:color w:val="FFFFFF"/>
              </w:rPr>
              <w:t>2021</w:t>
            </w:r>
          </w:p>
        </w:tc>
        <w:tc>
          <w:tcPr>
            <w:tcW w:w="6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0"/>
        </w:trPr>
        <w:tc>
          <w:tcPr>
            <w:tcW w:w="79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 expense</w:t>
            </w:r>
          </w:p>
        </w:tc>
        <w:tc>
          <w:tcPr>
            <w:tcW w:w="580" w:type="dxa"/>
            <w:vAlign w:val="bottom"/>
            <w:tcBorders>
              <w:bottom w:val="single" w:sz="8" w:color="auto"/>
            </w:tcBorders>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206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  $</w:t>
            </w: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0.4</w:t>
            </w:r>
          </w:p>
        </w:tc>
      </w:tr>
    </w:tbl>
    <w:p>
      <w:pPr>
        <w:spacing w:after="0" w:line="218" w:lineRule="exact"/>
        <w:rPr>
          <w:sz w:val="20"/>
          <w:szCs w:val="20"/>
          <w:color w:val="auto"/>
        </w:rPr>
      </w:pPr>
    </w:p>
    <w:p>
      <w:pPr>
        <w:ind w:right="240" w:firstLine="648"/>
        <w:spacing w:after="0" w:line="260" w:lineRule="auto"/>
        <w:rPr>
          <w:sz w:val="20"/>
          <w:szCs w:val="20"/>
          <w:color w:val="auto"/>
        </w:rPr>
      </w:pPr>
      <w:r>
        <w:rPr>
          <w:rFonts w:ascii="Arial" w:cs="Arial" w:eastAsia="Arial" w:hAnsi="Arial"/>
          <w:sz w:val="16"/>
          <w:szCs w:val="16"/>
          <w:color w:val="auto"/>
        </w:rPr>
        <w:t>Other expense decreased $0.4 million in the three months ended January 31, 2021 compared to the same period last year primarily due to lower losses on our interest rate swaps driven by market movements in short-term interest rates in the three months ended January 31, 2021.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Provision for income taxes</w:t>
      </w:r>
    </w:p>
    <w:p>
      <w:pPr>
        <w:spacing w:after="0" w:line="241"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remeasured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202"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c>
          <w:tcPr>
            <w:tcW w:w="2140" w:type="dxa"/>
            <w:vAlign w:val="bottom"/>
            <w:gridSpan w:val="2"/>
            <w:shd w:val="clear" w:color="auto" w:fill="232F84"/>
          </w:tcPr>
          <w:p>
            <w:pPr>
              <w:jc w:val="center"/>
              <w:ind w:left="128"/>
              <w:spacing w:after="0"/>
              <w:rPr>
                <w:sz w:val="20"/>
                <w:szCs w:val="20"/>
                <w:color w:val="auto"/>
              </w:rPr>
            </w:pPr>
            <w:r>
              <w:rPr>
                <w:rFonts w:ascii="Arial" w:cs="Arial" w:eastAsia="Arial" w:hAnsi="Arial"/>
                <w:sz w:val="14"/>
                <w:szCs w:val="14"/>
                <w:b w:val="1"/>
                <w:bCs w:val="1"/>
                <w:color w:val="FFFFFF"/>
              </w:rPr>
              <w:t>Three Months Ended</w:t>
            </w:r>
          </w:p>
        </w:tc>
        <w:tc>
          <w:tcPr>
            <w:tcW w:w="740" w:type="dxa"/>
            <w:vAlign w:val="bottom"/>
            <w:shd w:val="clear" w:color="auto" w:fill="232F84"/>
          </w:tcPr>
          <w:p>
            <w:pPr>
              <w:spacing w:after="0"/>
              <w:rPr>
                <w:sz w:val="15"/>
                <w:szCs w:val="15"/>
                <w:color w:val="auto"/>
              </w:rPr>
            </w:pPr>
          </w:p>
        </w:tc>
      </w:tr>
      <w:tr>
        <w:trPr>
          <w:trHeight w:val="206"/>
        </w:trPr>
        <w:tc>
          <w:tcPr>
            <w:tcW w:w="7720" w:type="dxa"/>
            <w:vAlign w:val="bottom"/>
            <w:shd w:val="clear" w:color="auto" w:fill="232F84"/>
          </w:tcPr>
          <w:p>
            <w:pPr>
              <w:spacing w:after="0"/>
              <w:rPr>
                <w:sz w:val="17"/>
                <w:szCs w:val="17"/>
                <w:color w:val="auto"/>
              </w:rPr>
            </w:pPr>
          </w:p>
        </w:tc>
        <w:tc>
          <w:tcPr>
            <w:tcW w:w="640" w:type="dxa"/>
            <w:vAlign w:val="bottom"/>
            <w:shd w:val="clear" w:color="auto" w:fill="232F84"/>
          </w:tcPr>
          <w:p>
            <w:pPr>
              <w:spacing w:after="0"/>
              <w:rPr>
                <w:sz w:val="17"/>
                <w:szCs w:val="17"/>
                <w:color w:val="auto"/>
              </w:rPr>
            </w:pPr>
          </w:p>
        </w:tc>
        <w:tc>
          <w:tcPr>
            <w:tcW w:w="2140" w:type="dxa"/>
            <w:vAlign w:val="bottom"/>
            <w:gridSpan w:val="2"/>
            <w:shd w:val="clear" w:color="auto" w:fill="232F84"/>
          </w:tcPr>
          <w:p>
            <w:pPr>
              <w:jc w:val="center"/>
              <w:ind w:left="108"/>
              <w:spacing w:after="0"/>
              <w:rPr>
                <w:sz w:val="20"/>
                <w:szCs w:val="20"/>
                <w:color w:val="auto"/>
              </w:rPr>
            </w:pPr>
            <w:r>
              <w:rPr>
                <w:rFonts w:ascii="Arial" w:cs="Arial" w:eastAsia="Arial" w:hAnsi="Arial"/>
                <w:sz w:val="14"/>
                <w:szCs w:val="14"/>
                <w:b w:val="1"/>
                <w:bCs w:val="1"/>
                <w:color w:val="FFFFFF"/>
              </w:rPr>
              <w:t>January 31,</w:t>
            </w:r>
          </w:p>
        </w:tc>
        <w:tc>
          <w:tcPr>
            <w:tcW w:w="740" w:type="dxa"/>
            <w:vAlign w:val="bottom"/>
            <w:shd w:val="clear" w:color="auto" w:fill="232F84"/>
          </w:tcPr>
          <w:p>
            <w:pPr>
              <w:spacing w:after="0"/>
              <w:rPr>
                <w:sz w:val="17"/>
                <w:szCs w:val="17"/>
                <w:color w:val="auto"/>
              </w:rPr>
            </w:pPr>
          </w:p>
        </w:tc>
      </w:tr>
      <w:tr>
        <w:trPr>
          <w:trHeight w:val="226"/>
        </w:trPr>
        <w:tc>
          <w:tcPr>
            <w:tcW w:w="7720" w:type="dxa"/>
            <w:vAlign w:val="bottom"/>
            <w:shd w:val="clear" w:color="auto" w:fill="232F84"/>
          </w:tcPr>
          <w:p>
            <w:pPr>
              <w:spacing w:after="0"/>
              <w:rPr>
                <w:sz w:val="19"/>
                <w:szCs w:val="19"/>
                <w:color w:val="auto"/>
              </w:rPr>
            </w:pPr>
          </w:p>
        </w:tc>
        <w:tc>
          <w:tcPr>
            <w:tcW w:w="640" w:type="dxa"/>
            <w:vAlign w:val="bottom"/>
            <w:shd w:val="clear" w:color="auto" w:fill="232F84"/>
          </w:tcPr>
          <w:p>
            <w:pPr>
              <w:spacing w:after="0"/>
              <w:rPr>
                <w:sz w:val="19"/>
                <w:szCs w:val="19"/>
                <w:color w:val="auto"/>
              </w:rPr>
            </w:pPr>
          </w:p>
        </w:tc>
        <w:tc>
          <w:tcPr>
            <w:tcW w:w="116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80" w:type="dxa"/>
            <w:vAlign w:val="bottom"/>
            <w:shd w:val="clear" w:color="auto" w:fill="232F84"/>
          </w:tcPr>
          <w:p>
            <w:pPr>
              <w:spacing w:after="0"/>
              <w:rPr>
                <w:sz w:val="19"/>
                <w:szCs w:val="19"/>
                <w:color w:val="auto"/>
              </w:rPr>
            </w:pPr>
          </w:p>
        </w:tc>
        <w:tc>
          <w:tcPr>
            <w:tcW w:w="74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72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Provision for income taxes (in millions)</w:t>
            </w:r>
          </w:p>
        </w:tc>
        <w:tc>
          <w:tcPr>
            <w:tcW w:w="640" w:type="dxa"/>
            <w:vAlign w:val="bottom"/>
            <w:shd w:val="clear" w:color="auto" w:fill="43C0B9"/>
          </w:tcPr>
          <w:p>
            <w:pPr>
              <w:jc w:val="right"/>
              <w:ind w:right="388"/>
              <w:spacing w:after="0"/>
              <w:rPr>
                <w:sz w:val="20"/>
                <w:szCs w:val="20"/>
                <w:color w:val="auto"/>
              </w:rPr>
            </w:pPr>
            <w:r>
              <w:rPr>
                <w:rFonts w:ascii="Arial" w:cs="Arial" w:eastAsia="Arial" w:hAnsi="Arial"/>
                <w:sz w:val="14"/>
                <w:szCs w:val="14"/>
                <w:color w:val="auto"/>
              </w:rPr>
              <w:t>$</w:t>
            </w:r>
          </w:p>
        </w:tc>
        <w:tc>
          <w:tcPr>
            <w:tcW w:w="1160" w:type="dxa"/>
            <w:vAlign w:val="bottom"/>
            <w:shd w:val="clear" w:color="auto" w:fill="43C0B9"/>
          </w:tcPr>
          <w:p>
            <w:pPr>
              <w:jc w:val="right"/>
              <w:ind w:right="148"/>
              <w:spacing w:after="0"/>
              <w:rPr>
                <w:sz w:val="20"/>
                <w:szCs w:val="20"/>
                <w:color w:val="auto"/>
              </w:rPr>
            </w:pPr>
            <w:r>
              <w:rPr>
                <w:rFonts w:ascii="Arial" w:cs="Arial" w:eastAsia="Arial" w:hAnsi="Arial"/>
                <w:sz w:val="14"/>
                <w:szCs w:val="14"/>
                <w:color w:val="auto"/>
              </w:rPr>
              <w:t>7.3</w:t>
            </w:r>
          </w:p>
        </w:tc>
        <w:tc>
          <w:tcPr>
            <w:tcW w:w="980" w:type="dxa"/>
            <w:vAlign w:val="bottom"/>
            <w:shd w:val="clear" w:color="auto" w:fill="43C0B9"/>
          </w:tcPr>
          <w:p>
            <w:pPr>
              <w:jc w:val="right"/>
              <w:ind w:right="768"/>
              <w:spacing w:after="0"/>
              <w:rPr>
                <w:sz w:val="20"/>
                <w:szCs w:val="20"/>
                <w:color w:val="auto"/>
              </w:rPr>
            </w:pPr>
            <w:r>
              <w:rPr>
                <w:rFonts w:ascii="Arial" w:cs="Arial" w:eastAsia="Arial" w:hAnsi="Arial"/>
                <w:sz w:val="14"/>
                <w:szCs w:val="14"/>
                <w:color w:val="auto"/>
              </w:rPr>
              <w:t>$</w:t>
            </w:r>
          </w:p>
        </w:tc>
        <w:tc>
          <w:tcPr>
            <w:tcW w:w="74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0.7</w:t>
            </w:r>
          </w:p>
        </w:tc>
      </w:tr>
      <w:tr>
        <w:trPr>
          <w:trHeight w:val="210"/>
        </w:trPr>
        <w:tc>
          <w:tcPr>
            <w:tcW w:w="77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Effective tax rate</w:t>
            </w:r>
          </w:p>
        </w:tc>
        <w:tc>
          <w:tcPr>
            <w:tcW w:w="6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76.8 %</w:t>
            </w:r>
          </w:p>
        </w:tc>
        <w:tc>
          <w:tcPr>
            <w:tcW w:w="9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33.3 %</w:t>
            </w:r>
          </w:p>
        </w:tc>
      </w:tr>
    </w:tbl>
    <w:p>
      <w:pPr>
        <w:spacing w:after="0" w:line="218" w:lineRule="exact"/>
        <w:rPr>
          <w:sz w:val="20"/>
          <w:szCs w:val="20"/>
          <w:color w:val="auto"/>
        </w:rPr>
      </w:pPr>
    </w:p>
    <w:p>
      <w:pPr>
        <w:jc w:val="both"/>
        <w:ind w:right="60" w:firstLine="648"/>
        <w:spacing w:after="0" w:line="250" w:lineRule="auto"/>
        <w:rPr>
          <w:sz w:val="20"/>
          <w:szCs w:val="20"/>
          <w:color w:val="auto"/>
        </w:rPr>
      </w:pPr>
      <w:r>
        <w:rPr>
          <w:rFonts w:ascii="Arial" w:cs="Arial" w:eastAsia="Arial" w:hAnsi="Arial"/>
          <w:sz w:val="16"/>
          <w:szCs w:val="16"/>
          <w:color w:val="auto"/>
        </w:rPr>
        <w:t>The provision for income taxes is determined using an estimated annual effective tax rate and adjusted for discrete items that may occur during the quarter. The provision for income taxes increased $6.6 million or 943% in the three months ended January 31, 2021 compared to the same period last year. The effective tax rate increased by 43.5% in the three months ended January 31, 2021 compared to the same period last year. The higher effective tax rate was primarily due to the revaluation of certain deferred tax assets and liabilities as a result of changes in enacted future corporate income tax rates in Peru. The result of the revaluation was a $5.1 million discrete charge to deferred tax expense during the three months ended January 31, 2021.</w:t>
      </w:r>
    </w:p>
    <w:p>
      <w:pPr>
        <w:sectPr>
          <w:pgSz w:w="11900" w:h="16838" w:orient="portrait"/>
          <w:cols w:equalWidth="0" w:num="1">
            <w:col w:w="11240"/>
          </w:cols>
          <w:pgMar w:left="320" w:top="1125" w:right="339" w:bottom="1440" w:gutter="0" w:footer="0" w:header="0"/>
        </w:sectPr>
      </w:pPr>
    </w:p>
    <w:p>
      <w:pPr>
        <w:spacing w:after="0" w:line="200" w:lineRule="exact"/>
        <w:rPr>
          <w:sz w:val="20"/>
          <w:szCs w:val="20"/>
          <w:color w:val="auto"/>
        </w:rPr>
      </w:pPr>
    </w:p>
    <w:p>
      <w:pPr>
        <w:spacing w:after="0" w:line="24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125"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20"/>
          <w:szCs w:val="20"/>
          <w:b w:val="1"/>
          <w:bCs w:val="1"/>
          <w:color w:val="232F84"/>
        </w:rPr>
        <w:t>Segment Results of Operations</w:t>
      </w:r>
    </w:p>
    <w:p>
      <w:pPr>
        <w:spacing w:after="0" w:line="245" w:lineRule="exact"/>
        <w:rPr>
          <w:sz w:val="20"/>
          <w:szCs w:val="20"/>
          <w:color w:val="auto"/>
        </w:rPr>
      </w:pPr>
    </w:p>
    <w:p>
      <w:pPr>
        <w:ind w:right="80" w:firstLine="648"/>
        <w:spacing w:after="0" w:line="250" w:lineRule="auto"/>
        <w:rPr>
          <w:sz w:val="20"/>
          <w:szCs w:val="20"/>
          <w:color w:val="auto"/>
        </w:rPr>
      </w:pPr>
      <w:r>
        <w:rPr>
          <w:rFonts w:ascii="Arial" w:cs="Arial" w:eastAsia="Arial" w:hAnsi="Arial"/>
          <w:sz w:val="16"/>
          <w:szCs w:val="16"/>
          <w:color w:val="auto"/>
        </w:rPr>
        <w:t>The CEO evaluates and monitors segment performance primarily through segment sales and segment adjusted earnings before interest expense, income taxes and depreciation and amortization (“adjusted EBITDA”). Management believes that adjusted EBITDA by segment provides useful information for analyzing the underlying business results as well as allowing investors a means to evaluate the financial results of each reportable segment in relation to the Company as a whole. These measures are not in accordance with, nor are they a substitute for or superior to, the comparable financial measures by generally accepted accounting principles in the United States (“U.S. GAAP”).</w:t>
      </w:r>
    </w:p>
    <w:p>
      <w:pPr>
        <w:spacing w:after="0" w:line="203" w:lineRule="exact"/>
        <w:rPr>
          <w:sz w:val="20"/>
          <w:szCs w:val="20"/>
          <w:color w:val="auto"/>
        </w:rPr>
      </w:pPr>
    </w:p>
    <w:p>
      <w:pPr>
        <w:ind w:right="200" w:firstLine="648"/>
        <w:spacing w:after="0" w:line="253" w:lineRule="auto"/>
        <w:rPr>
          <w:sz w:val="20"/>
          <w:szCs w:val="20"/>
          <w:color w:val="auto"/>
        </w:rPr>
      </w:pPr>
      <w:r>
        <w:rPr>
          <w:rFonts w:ascii="Arial" w:cs="Arial" w:eastAsia="Arial" w:hAnsi="Arial"/>
          <w:sz w:val="16"/>
          <w:szCs w:val="16"/>
          <w:color w:val="auto"/>
        </w:rPr>
        <w:t>Adjusted EBITDA refers to net income (loss), before interest expense, income taxes, depreciation and amortization expense, stock-based compensation expense, other income (expense), and income (loss) from equity method investees, further adjusted by any non-recurring or one-time items that are distortive to results.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634365"/>
                    </a:xfrm>
                    <a:prstGeom prst="rect">
                      <a:avLst/>
                    </a:prstGeom>
                    <a:noFill/>
                  </pic:spPr>
                </pic:pic>
              </a:graphicData>
            </a:graphic>
          </wp:anchor>
        </w:drawing>
      </w:r>
    </w:p>
    <w:p>
      <w:pPr>
        <w:spacing w:after="0" w:line="341"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FFFFFF"/>
        </w:rPr>
        <w:t>Three Months Ended</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4"/>
          <w:szCs w:val="14"/>
          <w:b w:val="1"/>
          <w:bCs w:val="1"/>
          <w:color w:val="FFFFFF"/>
        </w:rPr>
        <w:t>January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280" w:type="dxa"/>
            <w:vAlign w:val="bottom"/>
            <w:shd w:val="clear" w:color="auto" w:fill="232F84"/>
          </w:tcPr>
          <w:p>
            <w:pPr>
              <w:spacing w:after="0"/>
              <w:rPr>
                <w:sz w:val="19"/>
                <w:szCs w:val="19"/>
                <w:color w:val="auto"/>
              </w:rPr>
            </w:pPr>
          </w:p>
        </w:tc>
        <w:tc>
          <w:tcPr>
            <w:tcW w:w="1020" w:type="dxa"/>
            <w:vAlign w:val="bottom"/>
            <w:shd w:val="clear" w:color="auto" w:fill="232F84"/>
          </w:tcPr>
          <w:p>
            <w:pPr>
              <w:spacing w:after="0"/>
              <w:rPr>
                <w:sz w:val="19"/>
                <w:szCs w:val="19"/>
                <w:color w:val="auto"/>
              </w:rPr>
            </w:pPr>
          </w:p>
        </w:tc>
        <w:tc>
          <w:tcPr>
            <w:tcW w:w="260" w:type="dxa"/>
            <w:vAlign w:val="bottom"/>
            <w:shd w:val="clear" w:color="auto" w:fill="232F84"/>
          </w:tcPr>
          <w:p>
            <w:pPr>
              <w:spacing w:after="0"/>
              <w:rPr>
                <w:sz w:val="19"/>
                <w:szCs w:val="19"/>
                <w:color w:val="auto"/>
              </w:rPr>
            </w:pPr>
          </w:p>
        </w:tc>
        <w:tc>
          <w:tcPr>
            <w:tcW w:w="1040" w:type="dxa"/>
            <w:vAlign w:val="bottom"/>
            <w:shd w:val="clear" w:color="auto" w:fill="232F84"/>
          </w:tcPr>
          <w:p>
            <w:pPr>
              <w:jc w:val="right"/>
              <w:ind w:right="408"/>
              <w:spacing w:after="0"/>
              <w:rPr>
                <w:sz w:val="20"/>
                <w:szCs w:val="20"/>
                <w:color w:val="auto"/>
              </w:rPr>
            </w:pPr>
            <w:r>
              <w:rPr>
                <w:rFonts w:ascii="Arial" w:cs="Arial" w:eastAsia="Arial" w:hAnsi="Arial"/>
                <w:sz w:val="14"/>
                <w:szCs w:val="14"/>
                <w:b w:val="1"/>
                <w:bCs w:val="1"/>
                <w:color w:val="FFFFFF"/>
              </w:rPr>
              <w:t>2021</w:t>
            </w:r>
          </w:p>
        </w:tc>
        <w:tc>
          <w:tcPr>
            <w:tcW w:w="480" w:type="dxa"/>
            <w:vAlign w:val="bottom"/>
            <w:shd w:val="clear" w:color="auto" w:fill="232F84"/>
          </w:tcPr>
          <w:p>
            <w:pPr>
              <w:spacing w:after="0"/>
              <w:rPr>
                <w:sz w:val="19"/>
                <w:szCs w:val="19"/>
                <w:color w:val="auto"/>
              </w:rPr>
            </w:pPr>
          </w:p>
        </w:tc>
        <w:tc>
          <w:tcPr>
            <w:tcW w:w="960" w:type="dxa"/>
            <w:vAlign w:val="bottom"/>
            <w:shd w:val="clear" w:color="auto" w:fill="232F84"/>
          </w:tcPr>
          <w:p>
            <w:pPr>
              <w:spacing w:after="0"/>
              <w:rPr>
                <w:sz w:val="19"/>
                <w:szCs w:val="19"/>
                <w:color w:val="auto"/>
              </w:rPr>
            </w:pPr>
          </w:p>
        </w:tc>
        <w:tc>
          <w:tcPr>
            <w:tcW w:w="260" w:type="dxa"/>
            <w:vAlign w:val="bottom"/>
            <w:shd w:val="clear" w:color="auto" w:fill="232F84"/>
          </w:tcPr>
          <w:p>
            <w:pPr>
              <w:spacing w:after="0"/>
              <w:rPr>
                <w:sz w:val="19"/>
                <w:szCs w:val="19"/>
                <w:color w:val="auto"/>
              </w:rPr>
            </w:pPr>
          </w:p>
        </w:tc>
        <w:tc>
          <w:tcPr>
            <w:tcW w:w="1020" w:type="dxa"/>
            <w:vAlign w:val="bottom"/>
            <w:shd w:val="clear" w:color="auto" w:fill="232F84"/>
          </w:tcPr>
          <w:p>
            <w:pPr>
              <w:spacing w:after="0"/>
              <w:rPr>
                <w:sz w:val="19"/>
                <w:szCs w:val="19"/>
                <w:color w:val="auto"/>
              </w:rPr>
            </w:pPr>
          </w:p>
        </w:tc>
        <w:tc>
          <w:tcPr>
            <w:tcW w:w="260" w:type="dxa"/>
            <w:vAlign w:val="bottom"/>
            <w:shd w:val="clear" w:color="auto" w:fill="232F84"/>
          </w:tcPr>
          <w:p>
            <w:pPr>
              <w:spacing w:after="0"/>
              <w:rPr>
                <w:sz w:val="19"/>
                <w:szCs w:val="19"/>
                <w:color w:val="auto"/>
              </w:rPr>
            </w:pPr>
          </w:p>
        </w:tc>
        <w:tc>
          <w:tcPr>
            <w:tcW w:w="1040" w:type="dxa"/>
            <w:vAlign w:val="bottom"/>
            <w:shd w:val="clear" w:color="auto" w:fill="232F84"/>
          </w:tcPr>
          <w:p>
            <w:pPr>
              <w:jc w:val="right"/>
              <w:ind w:right="408"/>
              <w:spacing w:after="0"/>
              <w:rPr>
                <w:sz w:val="20"/>
                <w:szCs w:val="20"/>
                <w:color w:val="auto"/>
              </w:rPr>
            </w:pPr>
            <w:r>
              <w:rPr>
                <w:rFonts w:ascii="Arial" w:cs="Arial" w:eastAsia="Arial" w:hAnsi="Arial"/>
                <w:sz w:val="14"/>
                <w:szCs w:val="14"/>
                <w:b w:val="1"/>
                <w:bCs w:val="1"/>
                <w:color w:val="FFFFFF"/>
              </w:rPr>
              <w:t>2020</w:t>
            </w:r>
          </w:p>
        </w:tc>
        <w:tc>
          <w:tcPr>
            <w:tcW w:w="480" w:type="dxa"/>
            <w:vAlign w:val="bottom"/>
            <w:shd w:val="clear" w:color="auto" w:fill="232F84"/>
          </w:tcPr>
          <w:p>
            <w:pPr>
              <w:spacing w:after="0"/>
              <w:rPr>
                <w:sz w:val="19"/>
                <w:szCs w:val="19"/>
                <w:color w:val="auto"/>
              </w:rPr>
            </w:pPr>
          </w:p>
        </w:tc>
        <w:tc>
          <w:tcPr>
            <w:tcW w:w="820" w:type="dxa"/>
            <w:vAlign w:val="bottom"/>
            <w:shd w:val="clear" w:color="auto" w:fill="232F84"/>
          </w:tcPr>
          <w:p>
            <w:pPr>
              <w:spacing w:after="0"/>
              <w:rPr>
                <w:sz w:val="19"/>
                <w:szCs w:val="19"/>
                <w:color w:val="auto"/>
              </w:rPr>
            </w:pPr>
          </w:p>
        </w:tc>
      </w:tr>
      <w:tr>
        <w:trPr>
          <w:trHeight w:val="186"/>
        </w:trPr>
        <w:tc>
          <w:tcPr>
            <w:tcW w:w="3320" w:type="dxa"/>
            <w:vAlign w:val="bottom"/>
          </w:tcPr>
          <w:p>
            <w:pPr>
              <w:spacing w:after="0"/>
              <w:rPr>
                <w:sz w:val="16"/>
                <w:szCs w:val="16"/>
                <w:color w:val="auto"/>
              </w:rPr>
            </w:pPr>
          </w:p>
        </w:tc>
        <w:tc>
          <w:tcPr>
            <w:tcW w:w="280" w:type="dxa"/>
            <w:vAlign w:val="bottom"/>
            <w:shd w:val="clear" w:color="auto" w:fill="232F84"/>
          </w:tcPr>
          <w:p>
            <w:pPr>
              <w:spacing w:after="0"/>
              <w:rPr>
                <w:sz w:val="16"/>
                <w:szCs w:val="16"/>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260" w:type="dxa"/>
            <w:vAlign w:val="bottom"/>
            <w:shd w:val="clear" w:color="auto" w:fill="232F84"/>
          </w:tcPr>
          <w:p>
            <w:pPr>
              <w:spacing w:after="0"/>
              <w:rPr>
                <w:sz w:val="16"/>
                <w:szCs w:val="16"/>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480" w:type="dxa"/>
            <w:vAlign w:val="bottom"/>
            <w:shd w:val="clear" w:color="auto" w:fill="232F84"/>
          </w:tcPr>
          <w:p>
            <w:pPr>
              <w:spacing w:after="0"/>
              <w:rPr>
                <w:sz w:val="16"/>
                <w:szCs w:val="16"/>
                <w:color w:val="auto"/>
              </w:rPr>
            </w:pPr>
          </w:p>
        </w:tc>
        <w:tc>
          <w:tcPr>
            <w:tcW w:w="960" w:type="dxa"/>
            <w:vAlign w:val="bottom"/>
            <w:shd w:val="clear" w:color="auto" w:fill="232F84"/>
          </w:tcPr>
          <w:p>
            <w:pPr>
              <w:spacing w:after="0"/>
              <w:rPr>
                <w:sz w:val="16"/>
                <w:szCs w:val="16"/>
                <w:color w:val="auto"/>
              </w:rPr>
            </w:pPr>
          </w:p>
        </w:tc>
        <w:tc>
          <w:tcPr>
            <w:tcW w:w="260" w:type="dxa"/>
            <w:vAlign w:val="bottom"/>
            <w:shd w:val="clear" w:color="auto" w:fill="232F84"/>
          </w:tcPr>
          <w:p>
            <w:pPr>
              <w:spacing w:after="0"/>
              <w:rPr>
                <w:sz w:val="16"/>
                <w:szCs w:val="16"/>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Marketing &amp;</w:t>
            </w:r>
          </w:p>
        </w:tc>
        <w:tc>
          <w:tcPr>
            <w:tcW w:w="260" w:type="dxa"/>
            <w:vAlign w:val="bottom"/>
            <w:shd w:val="clear" w:color="auto" w:fill="232F84"/>
          </w:tcPr>
          <w:p>
            <w:pPr>
              <w:spacing w:after="0"/>
              <w:rPr>
                <w:sz w:val="16"/>
                <w:szCs w:val="16"/>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International</w:t>
            </w:r>
          </w:p>
        </w:tc>
        <w:tc>
          <w:tcPr>
            <w:tcW w:w="480" w:type="dxa"/>
            <w:vAlign w:val="bottom"/>
            <w:shd w:val="clear" w:color="auto" w:fill="232F84"/>
          </w:tcPr>
          <w:p>
            <w:pPr>
              <w:spacing w:after="0"/>
              <w:rPr>
                <w:sz w:val="16"/>
                <w:szCs w:val="16"/>
                <w:color w:val="auto"/>
              </w:rPr>
            </w:pPr>
          </w:p>
        </w:tc>
        <w:tc>
          <w:tcPr>
            <w:tcW w:w="820" w:type="dxa"/>
            <w:vAlign w:val="bottom"/>
            <w:shd w:val="clear" w:color="auto" w:fill="232F84"/>
          </w:tcPr>
          <w:p>
            <w:pPr>
              <w:spacing w:after="0"/>
              <w:rPr>
                <w:sz w:val="16"/>
                <w:szCs w:val="16"/>
                <w:color w:val="auto"/>
              </w:rPr>
            </w:pPr>
          </w:p>
        </w:tc>
      </w:tr>
      <w:tr>
        <w:trPr>
          <w:trHeight w:val="202"/>
        </w:trPr>
        <w:tc>
          <w:tcPr>
            <w:tcW w:w="3320" w:type="dxa"/>
            <w:vAlign w:val="bottom"/>
          </w:tcPr>
          <w:p>
            <w:pPr>
              <w:ind w:left="20"/>
              <w:spacing w:after="0"/>
              <w:rPr>
                <w:sz w:val="20"/>
                <w:szCs w:val="20"/>
                <w:color w:val="auto"/>
              </w:rPr>
            </w:pPr>
            <w:r>
              <w:rPr>
                <w:rFonts w:ascii="Arial" w:cs="Arial" w:eastAsia="Arial" w:hAnsi="Arial"/>
                <w:sz w:val="14"/>
                <w:szCs w:val="14"/>
                <w:b w:val="1"/>
                <w:bCs w:val="1"/>
                <w:color w:val="FFFFFF"/>
              </w:rPr>
              <w:t>(In millions)</w:t>
            </w:r>
          </w:p>
        </w:tc>
        <w:tc>
          <w:tcPr>
            <w:tcW w:w="280" w:type="dxa"/>
            <w:vAlign w:val="bottom"/>
            <w:shd w:val="clear" w:color="auto" w:fill="232F84"/>
          </w:tcPr>
          <w:p>
            <w:pPr>
              <w:spacing w:after="0"/>
              <w:rPr>
                <w:sz w:val="17"/>
                <w:szCs w:val="17"/>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260" w:type="dxa"/>
            <w:vAlign w:val="bottom"/>
            <w:shd w:val="clear" w:color="auto" w:fill="232F84"/>
          </w:tcPr>
          <w:p>
            <w:pPr>
              <w:spacing w:after="0"/>
              <w:rPr>
                <w:sz w:val="17"/>
                <w:szCs w:val="17"/>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480" w:type="dxa"/>
            <w:vAlign w:val="bottom"/>
            <w:shd w:val="clear" w:color="auto" w:fill="232F84"/>
          </w:tcPr>
          <w:p>
            <w:pPr>
              <w:spacing w:after="0"/>
              <w:rPr>
                <w:sz w:val="17"/>
                <w:szCs w:val="17"/>
                <w:color w:val="auto"/>
              </w:rPr>
            </w:pPr>
          </w:p>
        </w:tc>
        <w:tc>
          <w:tcPr>
            <w:tcW w:w="96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Total</w:t>
            </w:r>
          </w:p>
        </w:tc>
        <w:tc>
          <w:tcPr>
            <w:tcW w:w="260" w:type="dxa"/>
            <w:vAlign w:val="bottom"/>
            <w:shd w:val="clear" w:color="auto" w:fill="232F84"/>
          </w:tcPr>
          <w:p>
            <w:pPr>
              <w:spacing w:after="0"/>
              <w:rPr>
                <w:sz w:val="17"/>
                <w:szCs w:val="17"/>
                <w:color w:val="auto"/>
              </w:rPr>
            </w:pPr>
          </w:p>
        </w:tc>
        <w:tc>
          <w:tcPr>
            <w:tcW w:w="10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Distribution</w:t>
            </w:r>
          </w:p>
        </w:tc>
        <w:tc>
          <w:tcPr>
            <w:tcW w:w="260" w:type="dxa"/>
            <w:vAlign w:val="bottom"/>
            <w:shd w:val="clear" w:color="auto" w:fill="232F84"/>
          </w:tcPr>
          <w:p>
            <w:pPr>
              <w:spacing w:after="0"/>
              <w:rPr>
                <w:sz w:val="17"/>
                <w:szCs w:val="17"/>
                <w:color w:val="auto"/>
              </w:rPr>
            </w:pPr>
          </w:p>
        </w:tc>
        <w:tc>
          <w:tcPr>
            <w:tcW w:w="104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Farming</w:t>
            </w:r>
          </w:p>
        </w:tc>
        <w:tc>
          <w:tcPr>
            <w:tcW w:w="480" w:type="dxa"/>
            <w:vAlign w:val="bottom"/>
            <w:shd w:val="clear" w:color="auto" w:fill="232F84"/>
          </w:tcPr>
          <w:p>
            <w:pPr>
              <w:spacing w:after="0"/>
              <w:rPr>
                <w:sz w:val="17"/>
                <w:szCs w:val="17"/>
                <w:color w:val="auto"/>
              </w:rPr>
            </w:pPr>
          </w:p>
        </w:tc>
        <w:tc>
          <w:tcPr>
            <w:tcW w:w="8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Total</w:t>
            </w:r>
          </w:p>
        </w:tc>
      </w:tr>
      <w:tr>
        <w:trPr>
          <w:trHeight w:val="216"/>
        </w:trPr>
        <w:tc>
          <w:tcPr>
            <w:tcW w:w="3320" w:type="dxa"/>
            <w:vAlign w:val="bottom"/>
            <w:shd w:val="clear" w:color="auto" w:fill="43C0B9"/>
          </w:tcPr>
          <w:p>
            <w:pPr>
              <w:ind w:left="20"/>
              <w:spacing w:after="0"/>
              <w:rPr>
                <w:sz w:val="20"/>
                <w:szCs w:val="20"/>
                <w:color w:val="auto"/>
              </w:rPr>
            </w:pPr>
            <w:r>
              <w:rPr>
                <w:rFonts w:ascii="Arial" w:cs="Arial" w:eastAsia="Arial" w:hAnsi="Arial"/>
                <w:sz w:val="14"/>
                <w:szCs w:val="14"/>
                <w:color w:val="auto"/>
              </w:rPr>
              <w:t>Third party sales</w:t>
            </w:r>
          </w:p>
        </w:tc>
        <w:tc>
          <w:tcPr>
            <w:tcW w:w="280" w:type="dxa"/>
            <w:vAlign w:val="bottom"/>
            <w:shd w:val="clear" w:color="auto" w:fill="43C0B9"/>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169.6</w:t>
            </w:r>
          </w:p>
        </w:tc>
        <w:tc>
          <w:tcPr>
            <w:tcW w:w="2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43C0B9"/>
          </w:tcPr>
          <w:p>
            <w:pPr>
              <w:jc w:val="center"/>
              <w:ind w:left="648"/>
              <w:spacing w:after="0"/>
              <w:rPr>
                <w:sz w:val="20"/>
                <w:szCs w:val="20"/>
                <w:color w:val="auto"/>
              </w:rPr>
            </w:pPr>
            <w:r>
              <w:rPr>
                <w:rFonts w:ascii="Arial" w:cs="Arial" w:eastAsia="Arial" w:hAnsi="Arial"/>
                <w:sz w:val="14"/>
                <w:szCs w:val="14"/>
                <w:color w:val="auto"/>
              </w:rPr>
              <w:t>3.6</w:t>
            </w:r>
          </w:p>
        </w:tc>
        <w:tc>
          <w:tcPr>
            <w:tcW w:w="480" w:type="dxa"/>
            <w:vAlign w:val="bottom"/>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173.2</w:t>
            </w:r>
          </w:p>
        </w:tc>
        <w:tc>
          <w:tcPr>
            <w:tcW w:w="2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194.5</w:t>
            </w:r>
          </w:p>
        </w:tc>
        <w:tc>
          <w:tcPr>
            <w:tcW w:w="26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3.0</w:t>
            </w:r>
          </w:p>
        </w:tc>
        <w:tc>
          <w:tcPr>
            <w:tcW w:w="480" w:type="dxa"/>
            <w:vAlign w:val="bottom"/>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197.5</w:t>
            </w:r>
          </w:p>
        </w:tc>
      </w:tr>
      <w:tr>
        <w:trPr>
          <w:trHeight w:val="21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Affiliated sales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color w:val="auto"/>
              </w:rPr>
              <w:t>0.2</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15"/>
        </w:trPr>
        <w:tc>
          <w:tcPr>
            <w:tcW w:w="3320" w:type="dxa"/>
            <w:vAlign w:val="bottom"/>
            <w:shd w:val="clear" w:color="auto" w:fill="43C0B9"/>
          </w:tcPr>
          <w:p>
            <w:pPr>
              <w:ind w:left="20"/>
              <w:spacing w:after="0"/>
              <w:rPr>
                <w:sz w:val="20"/>
                <w:szCs w:val="20"/>
                <w:color w:val="auto"/>
              </w:rPr>
            </w:pPr>
            <w:r>
              <w:rPr>
                <w:rFonts w:ascii="Arial" w:cs="Arial" w:eastAsia="Arial" w:hAnsi="Arial"/>
                <w:sz w:val="14"/>
                <w:szCs w:val="14"/>
                <w:color w:val="auto"/>
              </w:rPr>
              <w:t>Total segment sales</w:t>
            </w:r>
          </w:p>
        </w:tc>
        <w:tc>
          <w:tcPr>
            <w:tcW w:w="280" w:type="dxa"/>
            <w:vAlign w:val="bottom"/>
            <w:shd w:val="clear" w:color="auto" w:fill="43C0B9"/>
          </w:tcPr>
          <w:p>
            <w:pPr>
              <w:spacing w:after="0"/>
              <w:rPr>
                <w:sz w:val="18"/>
                <w:szCs w:val="18"/>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169.6</w:t>
            </w:r>
          </w:p>
        </w:tc>
        <w:tc>
          <w:tcPr>
            <w:tcW w:w="260" w:type="dxa"/>
            <w:vAlign w:val="bottom"/>
            <w:shd w:val="clear" w:color="auto" w:fill="43C0B9"/>
          </w:tcPr>
          <w:p>
            <w:pPr>
              <w:spacing w:after="0"/>
              <w:rPr>
                <w:sz w:val="18"/>
                <w:szCs w:val="18"/>
                <w:color w:val="auto"/>
              </w:rPr>
            </w:pPr>
          </w:p>
        </w:tc>
        <w:tc>
          <w:tcPr>
            <w:tcW w:w="1040" w:type="dxa"/>
            <w:vAlign w:val="bottom"/>
            <w:shd w:val="clear" w:color="auto" w:fill="43C0B9"/>
          </w:tcPr>
          <w:p>
            <w:pPr>
              <w:jc w:val="center"/>
              <w:ind w:left="648"/>
              <w:spacing w:after="0"/>
              <w:rPr>
                <w:sz w:val="20"/>
                <w:szCs w:val="20"/>
                <w:color w:val="auto"/>
              </w:rPr>
            </w:pPr>
            <w:r>
              <w:rPr>
                <w:rFonts w:ascii="Arial" w:cs="Arial" w:eastAsia="Arial" w:hAnsi="Arial"/>
                <w:sz w:val="14"/>
                <w:szCs w:val="14"/>
                <w:color w:val="auto"/>
              </w:rPr>
              <w:t>3.8</w:t>
            </w:r>
          </w:p>
        </w:tc>
        <w:tc>
          <w:tcPr>
            <w:tcW w:w="480" w:type="dxa"/>
            <w:vAlign w:val="bottom"/>
            <w:shd w:val="clear" w:color="auto" w:fill="43C0B9"/>
          </w:tcPr>
          <w:p>
            <w:pPr>
              <w:spacing w:after="0"/>
              <w:rPr>
                <w:sz w:val="18"/>
                <w:szCs w:val="18"/>
                <w:color w:val="auto"/>
              </w:rPr>
            </w:pPr>
          </w:p>
        </w:tc>
        <w:tc>
          <w:tcPr>
            <w:tcW w:w="960" w:type="dxa"/>
            <w:vAlign w:val="bottom"/>
            <w:shd w:val="clear" w:color="auto" w:fill="43C0B9"/>
          </w:tcPr>
          <w:p>
            <w:pPr>
              <w:jc w:val="right"/>
              <w:ind w:right="128"/>
              <w:spacing w:after="0"/>
              <w:rPr>
                <w:sz w:val="20"/>
                <w:szCs w:val="20"/>
                <w:color w:val="auto"/>
              </w:rPr>
            </w:pPr>
            <w:r>
              <w:rPr>
                <w:rFonts w:ascii="Arial" w:cs="Arial" w:eastAsia="Arial" w:hAnsi="Arial"/>
                <w:sz w:val="14"/>
                <w:szCs w:val="14"/>
                <w:color w:val="auto"/>
              </w:rPr>
              <w:t>173.4</w:t>
            </w:r>
          </w:p>
        </w:tc>
        <w:tc>
          <w:tcPr>
            <w:tcW w:w="260" w:type="dxa"/>
            <w:vAlign w:val="bottom"/>
            <w:shd w:val="clear" w:color="auto" w:fill="43C0B9"/>
          </w:tcPr>
          <w:p>
            <w:pPr>
              <w:spacing w:after="0"/>
              <w:rPr>
                <w:sz w:val="18"/>
                <w:szCs w:val="18"/>
                <w:color w:val="auto"/>
              </w:rPr>
            </w:pPr>
          </w:p>
        </w:tc>
        <w:tc>
          <w:tcPr>
            <w:tcW w:w="10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194.5</w:t>
            </w:r>
          </w:p>
        </w:tc>
        <w:tc>
          <w:tcPr>
            <w:tcW w:w="260" w:type="dxa"/>
            <w:vAlign w:val="bottom"/>
            <w:shd w:val="clear" w:color="auto" w:fill="43C0B9"/>
          </w:tcPr>
          <w:p>
            <w:pPr>
              <w:spacing w:after="0"/>
              <w:rPr>
                <w:sz w:val="18"/>
                <w:szCs w:val="18"/>
                <w:color w:val="auto"/>
              </w:rPr>
            </w:pPr>
          </w:p>
        </w:tc>
        <w:tc>
          <w:tcPr>
            <w:tcW w:w="104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3.0</w:t>
            </w:r>
          </w:p>
        </w:tc>
        <w:tc>
          <w:tcPr>
            <w:tcW w:w="480" w:type="dxa"/>
            <w:vAlign w:val="bottom"/>
            <w:shd w:val="clear" w:color="auto" w:fill="43C0B9"/>
          </w:tcPr>
          <w:p>
            <w:pPr>
              <w:spacing w:after="0"/>
              <w:rPr>
                <w:sz w:val="18"/>
                <w:szCs w:val="18"/>
                <w:color w:val="auto"/>
              </w:rPr>
            </w:pPr>
          </w:p>
        </w:tc>
        <w:tc>
          <w:tcPr>
            <w:tcW w:w="8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197.5</w:t>
            </w:r>
          </w:p>
        </w:tc>
      </w:tr>
      <w:tr>
        <w:trPr>
          <w:trHeight w:val="210"/>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Intercompany eliminations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628"/>
              <w:spacing w:after="0"/>
              <w:rPr>
                <w:sz w:val="20"/>
                <w:szCs w:val="20"/>
                <w:color w:val="auto"/>
              </w:rPr>
            </w:pPr>
            <w:r>
              <w:rPr>
                <w:rFonts w:ascii="Arial" w:cs="Arial" w:eastAsia="Arial" w:hAnsi="Arial"/>
                <w:sz w:val="14"/>
                <w:szCs w:val="14"/>
                <w:color w:val="auto"/>
              </w:rPr>
              <w:t>(0.2)</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(0.2)</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33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net sales</w:t>
            </w:r>
          </w:p>
        </w:tc>
        <w:tc>
          <w:tcPr>
            <w:tcW w:w="280" w:type="dxa"/>
            <w:vAlign w:val="bottom"/>
            <w:tcBorders>
              <w:bottom w:val="single" w:sz="8" w:color="auto"/>
            </w:tcBorders>
            <w:shd w:val="clear" w:color="auto" w:fill="43C0B9"/>
          </w:tcPr>
          <w:p>
            <w:pPr>
              <w:jc w:val="right"/>
              <w:ind w:right="1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169.6</w:t>
            </w:r>
          </w:p>
        </w:tc>
        <w:tc>
          <w:tcPr>
            <w:tcW w:w="26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43C0B9"/>
          </w:tcPr>
          <w:p>
            <w:pPr>
              <w:jc w:val="center"/>
              <w:ind w:left="648"/>
              <w:spacing w:after="0"/>
              <w:rPr>
                <w:sz w:val="20"/>
                <w:szCs w:val="20"/>
                <w:color w:val="auto"/>
              </w:rPr>
            </w:pPr>
            <w:r>
              <w:rPr>
                <w:rFonts w:ascii="Arial" w:cs="Arial" w:eastAsia="Arial" w:hAnsi="Arial"/>
                <w:sz w:val="14"/>
                <w:szCs w:val="14"/>
                <w:color w:val="auto"/>
              </w:rPr>
              <w:t>3.6</w:t>
            </w:r>
          </w:p>
        </w:tc>
        <w:tc>
          <w:tcPr>
            <w:tcW w:w="480" w:type="dxa"/>
            <w:vAlign w:val="bottom"/>
            <w:tcBorders>
              <w:bottom w:val="single" w:sz="8" w:color="auto"/>
            </w:tcBorders>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43C0B9"/>
          </w:tcPr>
          <w:p>
            <w:pPr>
              <w:jc w:val="right"/>
              <w:ind w:right="128"/>
              <w:spacing w:after="0"/>
              <w:rPr>
                <w:sz w:val="20"/>
                <w:szCs w:val="20"/>
                <w:color w:val="auto"/>
              </w:rPr>
            </w:pPr>
            <w:r>
              <w:rPr>
                <w:rFonts w:ascii="Arial" w:cs="Arial" w:eastAsia="Arial" w:hAnsi="Arial"/>
                <w:sz w:val="14"/>
                <w:szCs w:val="14"/>
                <w:color w:val="auto"/>
              </w:rPr>
              <w:t>173.2</w:t>
            </w:r>
          </w:p>
        </w:tc>
        <w:tc>
          <w:tcPr>
            <w:tcW w:w="26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194.5</w:t>
            </w:r>
          </w:p>
        </w:tc>
        <w:tc>
          <w:tcPr>
            <w:tcW w:w="260" w:type="dxa"/>
            <w:vAlign w:val="bottom"/>
            <w:tcBorders>
              <w:bottom w:val="single" w:sz="8" w:color="auto"/>
            </w:tcBorders>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3.0</w:t>
            </w:r>
          </w:p>
        </w:tc>
        <w:tc>
          <w:tcPr>
            <w:tcW w:w="480" w:type="dxa"/>
            <w:vAlign w:val="bottom"/>
            <w:tcBorders>
              <w:bottom w:val="single" w:sz="8" w:color="auto"/>
            </w:tcBorders>
            <w:shd w:val="clear" w:color="auto" w:fill="43C0B9"/>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197.5</w:t>
            </w:r>
          </w:p>
        </w:tc>
      </w:tr>
      <w:tr>
        <w:trPr>
          <w:trHeight w:val="412"/>
        </w:trPr>
        <w:tc>
          <w:tcPr>
            <w:tcW w:w="3320" w:type="dxa"/>
            <w:vAlign w:val="bottom"/>
          </w:tcPr>
          <w:p>
            <w:pPr>
              <w:spacing w:after="0"/>
              <w:rPr>
                <w:sz w:val="20"/>
                <w:szCs w:val="20"/>
                <w:color w:val="auto"/>
              </w:rPr>
            </w:pPr>
            <w:r>
              <w:rPr>
                <w:rFonts w:ascii="Arial" w:cs="Arial" w:eastAsia="Arial" w:hAnsi="Arial"/>
                <w:sz w:val="16"/>
                <w:szCs w:val="16"/>
                <w:b w:val="1"/>
                <w:bCs w:val="1"/>
                <w:i w:val="1"/>
                <w:iCs w:val="1"/>
                <w:color w:val="232F84"/>
              </w:rPr>
              <w:t>Adjusted EBITDA</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shd w:val="clear" w:color="auto" w:fill="232F84"/>
          </w:tcPr>
          <w:p>
            <w:pPr>
              <w:spacing w:after="0"/>
              <w:rPr>
                <w:sz w:val="15"/>
                <w:szCs w:val="15"/>
                <w:color w:val="auto"/>
              </w:rPr>
            </w:pPr>
          </w:p>
        </w:tc>
        <w:tc>
          <w:tcPr>
            <w:tcW w:w="64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5"/>
                <w:szCs w:val="15"/>
                <w:color w:val="auto"/>
              </w:rPr>
            </w:pPr>
          </w:p>
        </w:tc>
      </w:tr>
      <w:tr>
        <w:trPr>
          <w:trHeight w:val="206"/>
        </w:trPr>
        <w:tc>
          <w:tcPr>
            <w:tcW w:w="7860" w:type="dxa"/>
            <w:vAlign w:val="bottom"/>
            <w:shd w:val="clear" w:color="auto" w:fill="232F84"/>
          </w:tcPr>
          <w:p>
            <w:pPr>
              <w:spacing w:after="0"/>
              <w:rPr>
                <w:sz w:val="17"/>
                <w:szCs w:val="17"/>
                <w:color w:val="auto"/>
              </w:rPr>
            </w:pPr>
          </w:p>
        </w:tc>
        <w:tc>
          <w:tcPr>
            <w:tcW w:w="64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232F84"/>
          </w:tcPr>
          <w:p>
            <w:pPr>
              <w:spacing w:after="0"/>
              <w:rPr>
                <w:sz w:val="17"/>
                <w:szCs w:val="17"/>
                <w:color w:val="auto"/>
              </w:rPr>
            </w:pPr>
          </w:p>
        </w:tc>
      </w:tr>
      <w:tr>
        <w:trPr>
          <w:trHeight w:val="226"/>
        </w:trPr>
        <w:tc>
          <w:tcPr>
            <w:tcW w:w="786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640" w:type="dxa"/>
            <w:vAlign w:val="bottom"/>
            <w:shd w:val="clear" w:color="auto" w:fill="232F84"/>
          </w:tcPr>
          <w:p>
            <w:pPr>
              <w:spacing w:after="0"/>
              <w:rPr>
                <w:sz w:val="19"/>
                <w:szCs w:val="19"/>
                <w:color w:val="auto"/>
              </w:rPr>
            </w:pPr>
          </w:p>
        </w:tc>
        <w:tc>
          <w:tcPr>
            <w:tcW w:w="112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6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Marketing &amp; Distribution adjusted EBITDA</w:t>
            </w:r>
          </w:p>
        </w:tc>
        <w:tc>
          <w:tcPr>
            <w:tcW w:w="64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13.7</w:t>
            </w:r>
          </w:p>
        </w:tc>
        <w:tc>
          <w:tcPr>
            <w:tcW w:w="94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10.2</w:t>
            </w:r>
          </w:p>
        </w:tc>
      </w:tr>
      <w:tr>
        <w:trPr>
          <w:trHeight w:val="21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International Farming adjusted EBITDA</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209"/>
        </w:trPr>
        <w:tc>
          <w:tcPr>
            <w:tcW w:w="7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reportable segment adjusted EBITDA</w:t>
            </w:r>
          </w:p>
        </w:tc>
        <w:tc>
          <w:tcPr>
            <w:tcW w:w="640" w:type="dxa"/>
            <w:vAlign w:val="bottom"/>
            <w:tcBorders>
              <w:bottom w:val="single" w:sz="8" w:color="auto"/>
            </w:tcBorders>
            <w:shd w:val="clear" w:color="auto" w:fill="43C0B9"/>
          </w:tcPr>
          <w:p>
            <w:pPr>
              <w:spacing w:after="0"/>
              <w:rPr>
                <w:sz w:val="18"/>
                <w:szCs w:val="18"/>
                <w:color w:val="auto"/>
              </w:rPr>
            </w:pPr>
          </w:p>
        </w:tc>
        <w:tc>
          <w:tcPr>
            <w:tcW w:w="11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12.5</w:t>
            </w:r>
          </w:p>
        </w:tc>
        <w:tc>
          <w:tcPr>
            <w:tcW w:w="940" w:type="dxa"/>
            <w:vAlign w:val="bottom"/>
            <w:tcBorders>
              <w:bottom w:val="single" w:sz="8" w:color="auto"/>
            </w:tcBorders>
            <w:shd w:val="clear" w:color="auto" w:fill="43C0B9"/>
          </w:tcPr>
          <w:p>
            <w:pPr>
              <w:spacing w:after="0"/>
              <w:rPr>
                <w:sz w:val="18"/>
                <w:szCs w:val="18"/>
                <w:color w:val="auto"/>
              </w:rPr>
            </w:pP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8.4</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6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2"/>
        </w:trPr>
        <w:tc>
          <w:tcPr>
            <w:tcW w:w="7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Interest expense</w:t>
            </w:r>
          </w:p>
        </w:tc>
        <w:tc>
          <w:tcPr>
            <w:tcW w:w="640" w:type="dxa"/>
            <w:vAlign w:val="bottom"/>
            <w:shd w:val="clear" w:color="auto" w:fill="43C0B9"/>
          </w:tcPr>
          <w:p>
            <w:pPr>
              <w:spacing w:after="0"/>
              <w:rPr>
                <w:sz w:val="19"/>
                <w:szCs w:val="19"/>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0.9</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2.1</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64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7.3</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22"/>
        </w:trPr>
        <w:tc>
          <w:tcPr>
            <w:tcW w:w="7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Depreciation and amortization</w:t>
            </w:r>
          </w:p>
        </w:tc>
        <w:tc>
          <w:tcPr>
            <w:tcW w:w="640" w:type="dxa"/>
            <w:vAlign w:val="bottom"/>
            <w:shd w:val="clear" w:color="auto" w:fill="43C0B9"/>
          </w:tcPr>
          <w:p>
            <w:pPr>
              <w:spacing w:after="0"/>
              <w:rPr>
                <w:sz w:val="19"/>
                <w:szCs w:val="19"/>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3.6</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3.4</w:t>
            </w:r>
          </w:p>
        </w:tc>
      </w:tr>
      <w:tr>
        <w:trPr>
          <w:trHeight w:val="210"/>
        </w:trPr>
        <w:tc>
          <w:tcPr>
            <w:tcW w:w="7860" w:type="dxa"/>
            <w:vAlign w:val="bottom"/>
          </w:tcPr>
          <w:p>
            <w:pPr>
              <w:ind w:left="20"/>
              <w:spacing w:after="0"/>
              <w:rPr>
                <w:sz w:val="20"/>
                <w:szCs w:val="20"/>
                <w:color w:val="auto"/>
              </w:rPr>
            </w:pPr>
            <w:r>
              <w:rPr>
                <w:rFonts w:ascii="Arial" w:cs="Arial" w:eastAsia="Arial" w:hAnsi="Arial"/>
                <w:sz w:val="14"/>
                <w:szCs w:val="14"/>
                <w:color w:val="auto"/>
              </w:rPr>
              <w:t>Equity method income</w:t>
            </w:r>
          </w:p>
        </w:tc>
        <w:tc>
          <w:tcPr>
            <w:tcW w:w="6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860" w:type="dxa"/>
            <w:vAlign w:val="bottom"/>
            <w:shd w:val="clear" w:color="auto" w:fill="43C0B9"/>
          </w:tcPr>
          <w:p>
            <w:pPr>
              <w:ind w:left="20"/>
              <w:spacing w:after="0"/>
              <w:rPr>
                <w:sz w:val="20"/>
                <w:szCs w:val="20"/>
                <w:color w:val="auto"/>
              </w:rPr>
            </w:pPr>
            <w:r>
              <w:rPr>
                <w:rFonts w:ascii="Arial" w:cs="Arial" w:eastAsia="Arial" w:hAnsi="Arial"/>
                <w:sz w:val="14"/>
                <w:szCs w:val="14"/>
                <w:color w:val="auto"/>
              </w:rPr>
              <w:t>Other expense</w:t>
            </w:r>
          </w:p>
        </w:tc>
        <w:tc>
          <w:tcPr>
            <w:tcW w:w="640" w:type="dxa"/>
            <w:vAlign w:val="bottom"/>
            <w:shd w:val="clear" w:color="auto" w:fill="43C0B9"/>
          </w:tcPr>
          <w:p>
            <w:pPr>
              <w:spacing w:after="0"/>
              <w:rPr>
                <w:sz w:val="19"/>
                <w:szCs w:val="19"/>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Stock-based compensation</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r>
      <w:tr>
        <w:trPr>
          <w:trHeight w:val="209"/>
        </w:trPr>
        <w:tc>
          <w:tcPr>
            <w:tcW w:w="786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Total adjusted EBITDA</w:t>
            </w:r>
          </w:p>
        </w:tc>
        <w:tc>
          <w:tcPr>
            <w:tcW w:w="640" w:type="dxa"/>
            <w:vAlign w:val="bottom"/>
            <w:tcBorders>
              <w:bottom w:val="single" w:sz="8" w:color="auto"/>
            </w:tcBorders>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12.5</w:t>
            </w:r>
          </w:p>
        </w:tc>
        <w:tc>
          <w:tcPr>
            <w:tcW w:w="94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8.4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Marketing and Distribution</w:t>
      </w:r>
    </w:p>
    <w:p>
      <w:pPr>
        <w:spacing w:after="0" w:line="237"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Net sales in our Marketing and Distribution segment decreased $24.9 million or 13% in the three months ended January 31, 2021 compared to the same period last year primarily due to an 18% decrease in average per unit sales prices partially offset by a 7% increase in volume. Average price decreases were driven by strong industry supply from Mexico in the three months ended January 31, 2021.</w:t>
      </w:r>
    </w:p>
    <w:p>
      <w:pPr>
        <w:spacing w:after="0" w:line="201"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Segment adjusted EBITDA increased $3.5 million or 34% in the three months ended January 31, 2021 compared to the same period last year due to a combination of higher volumes and higher per-unit gross margins, which correlates with lower per-box packaging costs and favorable leveraging of fixed-cost overhead.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International Farming</w:t>
      </w:r>
    </w:p>
    <w:p>
      <w:pPr>
        <w:spacing w:after="0" w:line="237"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Substantially all sales of fruit from our International Farming reportable segment are to our Marketing and Distribution reportable segment, with the remainder of revenue largely derived from services provided to independent third parties. Nominal affiliated sales are realized in the first quarter since the avocado harvest season for our Peruvian farms typically runs from April through August of each year. Adjusted EBITDA for International Farming is generally concentrated in the third and fourth quarters of our fiscal year in alignment with the harvest season for avocados in Peru.</w:t>
      </w:r>
    </w:p>
    <w:p>
      <w:pPr>
        <w:sectPr>
          <w:pgSz w:w="11900" w:h="16838" w:orient="portrait"/>
          <w:cols w:equalWidth="0" w:num="1">
            <w:col w:w="11240"/>
          </w:cols>
          <w:pgMar w:left="320" w:top="976"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240"/>
          </w:cols>
          <w:pgMar w:left="320" w:top="976" w:right="339" w:bottom="1440" w:gutter="0" w:footer="0" w:header="0"/>
          <w:type w:val="continuous"/>
        </w:sectPr>
      </w:pPr>
    </w:p>
    <w:bookmarkStart w:id="18" w:name="page19"/>
    <w:bookmarkEnd w:id="18"/>
    <w:p>
      <w:pPr>
        <w:ind w:right="260" w:firstLine="648"/>
        <w:spacing w:after="0" w:line="253" w:lineRule="auto"/>
        <w:rPr>
          <w:sz w:val="20"/>
          <w:szCs w:val="20"/>
          <w:color w:val="auto"/>
        </w:rPr>
      </w:pPr>
      <w:r>
        <w:rPr>
          <w:rFonts w:ascii="Arial" w:cs="Arial" w:eastAsia="Arial" w:hAnsi="Arial"/>
          <w:sz w:val="16"/>
          <w:szCs w:val="16"/>
          <w:color w:val="auto"/>
        </w:rPr>
        <w:t>Total segment sales in our International Farming segment increased $0.8 million or 27% and net sales increased $0.6 million or 20% in the three months ended January 31, 2021 compared to the same period last year. The sales increases were primarily driven by higher blueberry packing and cold storage service revenue compared to prior year.</w:t>
      </w:r>
    </w:p>
    <w:p>
      <w:pPr>
        <w:spacing w:after="0" w:line="201" w:lineRule="exact"/>
        <w:rPr>
          <w:sz w:val="20"/>
          <w:szCs w:val="20"/>
          <w:color w:val="auto"/>
        </w:rPr>
      </w:pPr>
    </w:p>
    <w:p>
      <w:pPr>
        <w:ind w:right="600" w:firstLine="648"/>
        <w:spacing w:after="0" w:line="260" w:lineRule="auto"/>
        <w:rPr>
          <w:sz w:val="20"/>
          <w:szCs w:val="20"/>
          <w:color w:val="auto"/>
        </w:rPr>
      </w:pPr>
      <w:r>
        <w:rPr>
          <w:rFonts w:ascii="Arial" w:cs="Arial" w:eastAsia="Arial" w:hAnsi="Arial"/>
          <w:sz w:val="16"/>
          <w:szCs w:val="16"/>
          <w:color w:val="auto"/>
        </w:rPr>
        <w:t>Segment adjusted EBITDA improved by $0.6 million to a loss of $1.2 million primarily due to the higher service volumes noted above, which enabled us to better leverage fixed-cost overhead in Peru during the avocado harvest off-season.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232F84"/>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Operating activities</w:t>
      </w:r>
    </w:p>
    <w:p>
      <w:pPr>
        <w:spacing w:after="0" w:line="241" w:lineRule="exact"/>
        <w:rPr>
          <w:sz w:val="20"/>
          <w:szCs w:val="20"/>
          <w:color w:val="auto"/>
        </w:rPr>
      </w:pPr>
    </w:p>
    <w:p>
      <w:pPr>
        <w:ind w:right="80" w:firstLine="648"/>
        <w:spacing w:after="0" w:line="250" w:lineRule="auto"/>
        <w:rPr>
          <w:sz w:val="20"/>
          <w:szCs w:val="20"/>
          <w:color w:val="auto"/>
        </w:rPr>
      </w:pPr>
      <w:r>
        <w:rPr>
          <w:rFonts w:ascii="Arial" w:cs="Arial" w:eastAsia="Arial" w:hAnsi="Arial"/>
          <w:sz w:val="16"/>
          <w:szCs w:val="16"/>
          <w:color w:val="auto"/>
        </w:rPr>
        <w:t>Operating cash flows are seasonal in nature. We typically see increases in non-cash working capital during the first quarter of the fiscal year as our supply is predominantly sourced from Mexico under payment terms that are shorter than terms established for other source markets. In addition, we are building our growing crops inventory in our International Farming segment during the first quarter of the year for ultimate harvest and sale that will occur during the second half of the fiscal year. While these increases in non-cash working capital can cause operating cash flows to be unfavorable in individual quarters, it is not indicative of operating cash performance that we expect to realize for the full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5"/>
                <w:szCs w:val="15"/>
                <w:color w:val="auto"/>
              </w:rPr>
            </w:pPr>
          </w:p>
        </w:tc>
      </w:tr>
      <w:tr>
        <w:trPr>
          <w:trHeight w:val="206"/>
        </w:trPr>
        <w:tc>
          <w:tcPr>
            <w:tcW w:w="7920" w:type="dxa"/>
            <w:vAlign w:val="bottom"/>
            <w:shd w:val="clear" w:color="auto" w:fill="232F84"/>
          </w:tcPr>
          <w:p>
            <w:pPr>
              <w:spacing w:after="0"/>
              <w:rPr>
                <w:sz w:val="17"/>
                <w:szCs w:val="17"/>
                <w:color w:val="auto"/>
              </w:rPr>
            </w:pPr>
          </w:p>
        </w:tc>
        <w:tc>
          <w:tcPr>
            <w:tcW w:w="58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232F84"/>
          </w:tcPr>
          <w:p>
            <w:pPr>
              <w:spacing w:after="0"/>
              <w:rPr>
                <w:sz w:val="17"/>
                <w:szCs w:val="17"/>
                <w:color w:val="auto"/>
              </w:rPr>
            </w:pPr>
          </w:p>
        </w:tc>
      </w:tr>
      <w:tr>
        <w:trPr>
          <w:trHeight w:val="226"/>
        </w:trPr>
        <w:tc>
          <w:tcPr>
            <w:tcW w:w="792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80" w:type="dxa"/>
            <w:vAlign w:val="bottom"/>
            <w:shd w:val="clear" w:color="auto" w:fill="232F84"/>
          </w:tcPr>
          <w:p>
            <w:pPr>
              <w:spacing w:after="0"/>
              <w:rPr>
                <w:sz w:val="19"/>
                <w:szCs w:val="19"/>
                <w:color w:val="auto"/>
              </w:rPr>
            </w:pPr>
          </w:p>
        </w:tc>
        <w:tc>
          <w:tcPr>
            <w:tcW w:w="112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6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2.2</w:t>
            </w:r>
          </w:p>
        </w:tc>
        <w:tc>
          <w:tcPr>
            <w:tcW w:w="94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1.4</w:t>
            </w:r>
          </w:p>
        </w:tc>
      </w:tr>
      <w:tr>
        <w:trPr>
          <w:trHeight w:val="210"/>
        </w:trPr>
        <w:tc>
          <w:tcPr>
            <w:tcW w:w="792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5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22"/>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Equity method income</w:t>
            </w:r>
          </w:p>
        </w:tc>
        <w:tc>
          <w:tcPr>
            <w:tcW w:w="580" w:type="dxa"/>
            <w:vAlign w:val="bottom"/>
            <w:shd w:val="clear" w:color="auto" w:fill="43C0B9"/>
          </w:tcPr>
          <w:p>
            <w:pPr>
              <w:spacing w:after="0"/>
              <w:rPr>
                <w:sz w:val="19"/>
                <w:szCs w:val="19"/>
                <w:color w:val="auto"/>
              </w:rPr>
            </w:pPr>
          </w:p>
        </w:tc>
        <w:tc>
          <w:tcPr>
            <w:tcW w:w="11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(2.3)</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79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5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22"/>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Deferred income taxes</w:t>
            </w:r>
          </w:p>
        </w:tc>
        <w:tc>
          <w:tcPr>
            <w:tcW w:w="580" w:type="dxa"/>
            <w:vAlign w:val="bottom"/>
            <w:shd w:val="clear" w:color="auto" w:fill="43C0B9"/>
          </w:tcPr>
          <w:p>
            <w:pPr>
              <w:spacing w:after="0"/>
              <w:rPr>
                <w:sz w:val="19"/>
                <w:szCs w:val="19"/>
                <w:color w:val="auto"/>
              </w:rPr>
            </w:pPr>
          </w:p>
        </w:tc>
        <w:tc>
          <w:tcPr>
            <w:tcW w:w="112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4.9</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(0.3)</w:t>
            </w:r>
          </w:p>
        </w:tc>
      </w:tr>
      <w:tr>
        <w:trPr>
          <w:trHeight w:val="210"/>
        </w:trPr>
        <w:tc>
          <w:tcPr>
            <w:tcW w:w="7920" w:type="dxa"/>
            <w:vAlign w:val="bottom"/>
          </w:tcPr>
          <w:p>
            <w:pPr>
              <w:ind w:left="20"/>
              <w:spacing w:after="0"/>
              <w:rPr>
                <w:sz w:val="20"/>
                <w:szCs w:val="20"/>
                <w:color w:val="auto"/>
              </w:rPr>
            </w:pPr>
            <w:r>
              <w:rPr>
                <w:rFonts w:ascii="Arial" w:cs="Arial" w:eastAsia="Arial" w:hAnsi="Arial"/>
                <w:sz w:val="14"/>
                <w:szCs w:val="14"/>
                <w:color w:val="auto"/>
              </w:rPr>
              <w:t>Dividends received from equity method investees</w:t>
            </w:r>
          </w:p>
        </w:tc>
        <w:tc>
          <w:tcPr>
            <w:tcW w:w="5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2"/>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Other</w:t>
            </w:r>
          </w:p>
        </w:tc>
        <w:tc>
          <w:tcPr>
            <w:tcW w:w="580" w:type="dxa"/>
            <w:vAlign w:val="bottom"/>
            <w:shd w:val="clear" w:color="auto" w:fill="43C0B9"/>
          </w:tcPr>
          <w:p>
            <w:pPr>
              <w:spacing w:after="0"/>
              <w:rPr>
                <w:sz w:val="19"/>
                <w:szCs w:val="19"/>
                <w:color w:val="auto"/>
              </w:rPr>
            </w:pPr>
          </w:p>
        </w:tc>
        <w:tc>
          <w:tcPr>
            <w:tcW w:w="11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(0.1)</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0.4</w:t>
            </w:r>
          </w:p>
        </w:tc>
      </w:tr>
      <w:tr>
        <w:trPr>
          <w:trHeight w:val="2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Changes in working capital</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r>
      <w:tr>
        <w:trPr>
          <w:trHeight w:val="210"/>
        </w:trPr>
        <w:tc>
          <w:tcPr>
            <w:tcW w:w="79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Net cash used in operating activities</w:t>
            </w:r>
          </w:p>
        </w:tc>
        <w:tc>
          <w:tcPr>
            <w:tcW w:w="580" w:type="dxa"/>
            <w:vAlign w:val="bottom"/>
            <w:tcBorders>
              <w:bottom w:val="single" w:sz="8" w:color="auto"/>
            </w:tcBorders>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(9.7)</w:t>
            </w:r>
          </w:p>
        </w:tc>
        <w:tc>
          <w:tcPr>
            <w:tcW w:w="94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(12.5)</w:t>
            </w:r>
          </w:p>
        </w:tc>
      </w:tr>
    </w:tbl>
    <w:p>
      <w:pPr>
        <w:spacing w:after="0" w:line="200" w:lineRule="exact"/>
        <w:rPr>
          <w:sz w:val="20"/>
          <w:szCs w:val="20"/>
          <w:color w:val="auto"/>
        </w:rPr>
      </w:pPr>
    </w:p>
    <w:p>
      <w:pPr>
        <w:spacing w:after="0" w:line="261" w:lineRule="exact"/>
        <w:rPr>
          <w:sz w:val="20"/>
          <w:szCs w:val="20"/>
          <w:color w:val="auto"/>
        </w:rPr>
      </w:pPr>
    </w:p>
    <w:p>
      <w:pPr>
        <w:ind w:right="140" w:firstLine="648"/>
        <w:spacing w:after="0" w:line="248" w:lineRule="auto"/>
        <w:rPr>
          <w:sz w:val="20"/>
          <w:szCs w:val="20"/>
          <w:color w:val="auto"/>
        </w:rPr>
      </w:pPr>
      <w:r>
        <w:rPr>
          <w:rFonts w:ascii="Arial" w:cs="Arial" w:eastAsia="Arial" w:hAnsi="Arial"/>
          <w:sz w:val="16"/>
          <w:szCs w:val="16"/>
          <w:color w:val="auto"/>
        </w:rPr>
        <w:t>Net cash used in operating activities decreased $2.8 million for the three months ended January 31, 2021 compared to the same period last year, reflecting our higher net income and a favorable net change in working capital. Within working capital, favorable changes in accounts payable, grower payables, and miscellaneous receivables were partially offset by unfavorable changes in inventory and accounts receivable. Changes in accounts payable and accrued expenses were due to changes in the timing of payments combined with higher volume. Changes in grower payables were favorable primarily due to an increase in volume of Mexican-sourced fruit in the first quarter of 2021 relative to the preceding quarter as compared to the increase experienced in the first quarter of 2020. Changes in miscellaneous receivables were largely due to reclamation of value-added tax in Peru and Mexico in the first quarter of 2021. Changes in inventory and accounts receivable were driven by higher Mexican fruit volumes and are correlated with volume movements impacting grower payables.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Investing activities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20" w:type="dxa"/>
            <w:vAlign w:val="bottom"/>
            <w:shd w:val="clear" w:color="auto" w:fill="232F84"/>
          </w:tcPr>
          <w:p>
            <w:pPr>
              <w:spacing w:after="0"/>
              <w:rPr>
                <w:sz w:val="15"/>
                <w:szCs w:val="15"/>
                <w:color w:val="auto"/>
              </w:rPr>
            </w:pPr>
          </w:p>
        </w:tc>
        <w:tc>
          <w:tcPr>
            <w:tcW w:w="58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5"/>
                <w:szCs w:val="15"/>
                <w:color w:val="auto"/>
              </w:rPr>
            </w:pPr>
          </w:p>
        </w:tc>
      </w:tr>
      <w:tr>
        <w:trPr>
          <w:trHeight w:val="206"/>
        </w:trPr>
        <w:tc>
          <w:tcPr>
            <w:tcW w:w="7920" w:type="dxa"/>
            <w:vAlign w:val="bottom"/>
            <w:shd w:val="clear" w:color="auto" w:fill="232F84"/>
          </w:tcPr>
          <w:p>
            <w:pPr>
              <w:spacing w:after="0"/>
              <w:rPr>
                <w:sz w:val="17"/>
                <w:szCs w:val="17"/>
                <w:color w:val="auto"/>
              </w:rPr>
            </w:pPr>
          </w:p>
        </w:tc>
        <w:tc>
          <w:tcPr>
            <w:tcW w:w="58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232F84"/>
          </w:tcPr>
          <w:p>
            <w:pPr>
              <w:spacing w:after="0"/>
              <w:rPr>
                <w:sz w:val="17"/>
                <w:szCs w:val="17"/>
                <w:color w:val="auto"/>
              </w:rPr>
            </w:pPr>
          </w:p>
        </w:tc>
      </w:tr>
      <w:tr>
        <w:trPr>
          <w:trHeight w:val="226"/>
        </w:trPr>
        <w:tc>
          <w:tcPr>
            <w:tcW w:w="792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580" w:type="dxa"/>
            <w:vAlign w:val="bottom"/>
            <w:shd w:val="clear" w:color="auto" w:fill="232F84"/>
          </w:tcPr>
          <w:p>
            <w:pPr>
              <w:spacing w:after="0"/>
              <w:rPr>
                <w:sz w:val="19"/>
                <w:szCs w:val="19"/>
                <w:color w:val="auto"/>
              </w:rPr>
            </w:pPr>
          </w:p>
        </w:tc>
        <w:tc>
          <w:tcPr>
            <w:tcW w:w="112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6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Purchases of property and equipment</w:t>
            </w:r>
          </w:p>
        </w:tc>
        <w:tc>
          <w:tcPr>
            <w:tcW w:w="58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(22.4)</w:t>
            </w:r>
          </w:p>
        </w:tc>
        <w:tc>
          <w:tcPr>
            <w:tcW w:w="94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(8.9)</w:t>
            </w:r>
          </w:p>
        </w:tc>
      </w:tr>
      <w:tr>
        <w:trPr>
          <w:trHeight w:val="210"/>
        </w:trPr>
        <w:tc>
          <w:tcPr>
            <w:tcW w:w="7920" w:type="dxa"/>
            <w:vAlign w:val="bottom"/>
          </w:tcPr>
          <w:p>
            <w:pPr>
              <w:ind w:left="20"/>
              <w:spacing w:after="0"/>
              <w:rPr>
                <w:sz w:val="20"/>
                <w:szCs w:val="20"/>
                <w:color w:val="auto"/>
              </w:rPr>
            </w:pPr>
            <w:r>
              <w:rPr>
                <w:rFonts w:ascii="Arial" w:cs="Arial" w:eastAsia="Arial" w:hAnsi="Arial"/>
                <w:sz w:val="14"/>
                <w:szCs w:val="14"/>
                <w:color w:val="auto"/>
              </w:rPr>
              <w:t>Proceeds from sale of property, plant and equipment</w:t>
            </w:r>
          </w:p>
        </w:tc>
        <w:tc>
          <w:tcPr>
            <w:tcW w:w="58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2"/>
        </w:trPr>
        <w:tc>
          <w:tcPr>
            <w:tcW w:w="7920" w:type="dxa"/>
            <w:vAlign w:val="bottom"/>
            <w:shd w:val="clear" w:color="auto" w:fill="43C0B9"/>
          </w:tcPr>
          <w:p>
            <w:pPr>
              <w:ind w:left="20"/>
              <w:spacing w:after="0"/>
              <w:rPr>
                <w:sz w:val="20"/>
                <w:szCs w:val="20"/>
                <w:color w:val="auto"/>
              </w:rPr>
            </w:pPr>
            <w:r>
              <w:rPr>
                <w:rFonts w:ascii="Arial" w:cs="Arial" w:eastAsia="Arial" w:hAnsi="Arial"/>
                <w:sz w:val="14"/>
                <w:szCs w:val="14"/>
                <w:color w:val="auto"/>
              </w:rPr>
              <w:t>Investment in equity method investees</w:t>
            </w:r>
          </w:p>
        </w:tc>
        <w:tc>
          <w:tcPr>
            <w:tcW w:w="580" w:type="dxa"/>
            <w:vAlign w:val="bottom"/>
            <w:shd w:val="clear" w:color="auto" w:fill="43C0B9"/>
          </w:tcPr>
          <w:p>
            <w:pPr>
              <w:spacing w:after="0"/>
              <w:rPr>
                <w:sz w:val="19"/>
                <w:szCs w:val="19"/>
                <w:color w:val="auto"/>
              </w:rPr>
            </w:pPr>
          </w:p>
        </w:tc>
        <w:tc>
          <w:tcPr>
            <w:tcW w:w="11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(0.2)</w:t>
            </w:r>
          </w:p>
        </w:tc>
        <w:tc>
          <w:tcPr>
            <w:tcW w:w="940" w:type="dxa"/>
            <w:vAlign w:val="bottom"/>
            <w:shd w:val="clear" w:color="auto" w:fill="43C0B9"/>
          </w:tcPr>
          <w:p>
            <w:pPr>
              <w:spacing w:after="0"/>
              <w:rPr>
                <w:sz w:val="19"/>
                <w:szCs w:val="19"/>
                <w:color w:val="auto"/>
              </w:rPr>
            </w:pP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(1.9)</w:t>
            </w:r>
          </w:p>
        </w:tc>
      </w:tr>
      <w:tr>
        <w:trPr>
          <w:trHeight w:val="210"/>
        </w:trPr>
        <w:tc>
          <w:tcPr>
            <w:tcW w:w="79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w:t>
            </w:r>
          </w:p>
        </w:tc>
      </w:tr>
      <w:tr>
        <w:trPr>
          <w:trHeight w:val="210"/>
        </w:trPr>
        <w:tc>
          <w:tcPr>
            <w:tcW w:w="792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Net cash used in investing activities</w:t>
            </w:r>
          </w:p>
        </w:tc>
        <w:tc>
          <w:tcPr>
            <w:tcW w:w="580" w:type="dxa"/>
            <w:vAlign w:val="bottom"/>
            <w:tcBorders>
              <w:bottom w:val="single" w:sz="8" w:color="auto"/>
            </w:tcBorders>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(20.6)</w:t>
            </w:r>
          </w:p>
        </w:tc>
        <w:tc>
          <w:tcPr>
            <w:tcW w:w="940" w:type="dxa"/>
            <w:vAlign w:val="bottom"/>
            <w:tcBorders>
              <w:bottom w:val="single" w:sz="8" w:color="auto"/>
            </w:tcBorders>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(10.9)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Property, plant and equipment</w:t>
      </w:r>
    </w:p>
    <w:p>
      <w:pPr>
        <w:spacing w:after="0" w:line="237" w:lineRule="exact"/>
        <w:rPr>
          <w:sz w:val="20"/>
          <w:szCs w:val="20"/>
          <w:color w:val="auto"/>
        </w:rPr>
      </w:pPr>
    </w:p>
    <w:p>
      <w:pPr>
        <w:ind w:right="160" w:firstLine="648"/>
        <w:spacing w:after="0" w:line="251" w:lineRule="auto"/>
        <w:rPr>
          <w:sz w:val="20"/>
          <w:szCs w:val="20"/>
          <w:color w:val="auto"/>
        </w:rPr>
      </w:pPr>
      <w:r>
        <w:rPr>
          <w:rFonts w:ascii="Arial" w:cs="Arial" w:eastAsia="Arial" w:hAnsi="Arial"/>
          <w:sz w:val="16"/>
          <w:szCs w:val="16"/>
          <w:color w:val="auto"/>
        </w:rPr>
        <w:t>In the three months ended January 31, 2021, our expenditures were concentrated in the construction of our new distribution center in Laredo, Texas, and for land improvements and orchard development in Peru and Guatemala. Our Laredo facility is expected to expand our distribution capacity in North America, while our farming investments will provide avocado supply in future years. In the three months ended January 31, 2020, property, plant and equipment purchases primarily consisted of orchard development and packinghouse expansion in Peru.</w:t>
      </w:r>
    </w:p>
    <w:p>
      <w:pPr>
        <w:spacing w:after="0" w:line="202"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In the three months ended January 31, 2021, proceeds from the sale of property, plant and equipment were primarily from the sale of two multi-unit housing properties in California that had been used for housing seasonal avocado labor contractors.</w:t>
      </w:r>
    </w:p>
    <w:p>
      <w:pPr>
        <w:sectPr>
          <w:pgSz w:w="11900" w:h="16838" w:orient="portrait"/>
          <w:cols w:equalWidth="0" w:num="1">
            <w:col w:w="11240"/>
          </w:cols>
          <w:pgMar w:left="320" w:top="1005" w:right="339" w:bottom="1440" w:gutter="0" w:footer="0" w:header="0"/>
        </w:sectPr>
      </w:pPr>
    </w:p>
    <w:p>
      <w:pPr>
        <w:spacing w:after="0" w:line="200" w:lineRule="exact"/>
        <w:rPr>
          <w:sz w:val="20"/>
          <w:szCs w:val="20"/>
          <w:color w:val="auto"/>
        </w:rPr>
      </w:pP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00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i w:val="1"/>
          <w:iCs w:val="1"/>
          <w:color w:val="232F84"/>
        </w:rPr>
        <w:t>Investment in equity method investee</w:t>
      </w:r>
    </w:p>
    <w:p>
      <w:pPr>
        <w:spacing w:after="0" w:line="237" w:lineRule="exact"/>
        <w:rPr>
          <w:sz w:val="20"/>
          <w:szCs w:val="20"/>
          <w:color w:val="auto"/>
        </w:rPr>
      </w:pPr>
    </w:p>
    <w:p>
      <w:pPr>
        <w:ind w:right="660" w:firstLine="648"/>
        <w:spacing w:after="0" w:line="260" w:lineRule="auto"/>
        <w:rPr>
          <w:sz w:val="20"/>
          <w:szCs w:val="20"/>
          <w:color w:val="auto"/>
        </w:rPr>
      </w:pPr>
      <w:r>
        <w:rPr>
          <w:rFonts w:ascii="Arial" w:cs="Arial" w:eastAsia="Arial" w:hAnsi="Arial"/>
          <w:sz w:val="16"/>
          <w:szCs w:val="16"/>
          <w:color w:val="auto"/>
        </w:rPr>
        <w:t>In the three months ended January 31, 2021 and 2020, we made capital contributions to our joint venture in Copaltas S.A.S. to support the purchase of additional farmland in Colombia.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Financing activities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40" w:type="dxa"/>
            <w:vAlign w:val="bottom"/>
            <w:shd w:val="clear" w:color="auto" w:fill="232F84"/>
          </w:tcPr>
          <w:p>
            <w:pPr>
              <w:spacing w:after="0"/>
              <w:rPr>
                <w:sz w:val="15"/>
                <w:szCs w:val="15"/>
                <w:color w:val="auto"/>
              </w:rPr>
            </w:pPr>
          </w:p>
        </w:tc>
        <w:tc>
          <w:tcPr>
            <w:tcW w:w="660" w:type="dxa"/>
            <w:vAlign w:val="bottom"/>
            <w:shd w:val="clear" w:color="auto" w:fill="232F84"/>
          </w:tcPr>
          <w:p>
            <w:pPr>
              <w:spacing w:after="0"/>
              <w:rPr>
                <w:sz w:val="15"/>
                <w:szCs w:val="15"/>
                <w:color w:val="auto"/>
              </w:rPr>
            </w:pPr>
          </w:p>
        </w:tc>
        <w:tc>
          <w:tcPr>
            <w:tcW w:w="2060" w:type="dxa"/>
            <w:vAlign w:val="bottom"/>
            <w:gridSpan w:val="2"/>
            <w:shd w:val="clear" w:color="auto" w:fill="232F84"/>
          </w:tcPr>
          <w:p>
            <w:pPr>
              <w:jc w:val="right"/>
              <w:ind w:right="148"/>
              <w:spacing w:after="0"/>
              <w:rPr>
                <w:sz w:val="20"/>
                <w:szCs w:val="20"/>
                <w:color w:val="auto"/>
              </w:rPr>
            </w:pPr>
            <w:r>
              <w:rPr>
                <w:rFonts w:ascii="Arial" w:cs="Arial" w:eastAsia="Arial" w:hAnsi="Arial"/>
                <w:sz w:val="14"/>
                <w:szCs w:val="14"/>
                <w:b w:val="1"/>
                <w:bCs w:val="1"/>
                <w:color w:val="FFFFFF"/>
              </w:rPr>
              <w:t>Three Months Ended</w:t>
            </w:r>
          </w:p>
        </w:tc>
        <w:tc>
          <w:tcPr>
            <w:tcW w:w="680" w:type="dxa"/>
            <w:vAlign w:val="bottom"/>
            <w:shd w:val="clear" w:color="auto" w:fill="232F84"/>
          </w:tcPr>
          <w:p>
            <w:pPr>
              <w:spacing w:after="0"/>
              <w:rPr>
                <w:sz w:val="15"/>
                <w:szCs w:val="15"/>
                <w:color w:val="auto"/>
              </w:rPr>
            </w:pPr>
          </w:p>
        </w:tc>
      </w:tr>
      <w:tr>
        <w:trPr>
          <w:trHeight w:val="206"/>
        </w:trPr>
        <w:tc>
          <w:tcPr>
            <w:tcW w:w="7840" w:type="dxa"/>
            <w:vAlign w:val="bottom"/>
            <w:shd w:val="clear" w:color="auto" w:fill="232F84"/>
          </w:tcPr>
          <w:p>
            <w:pPr>
              <w:spacing w:after="0"/>
              <w:rPr>
                <w:sz w:val="17"/>
                <w:szCs w:val="17"/>
                <w:color w:val="auto"/>
              </w:rPr>
            </w:pPr>
          </w:p>
        </w:tc>
        <w:tc>
          <w:tcPr>
            <w:tcW w:w="660" w:type="dxa"/>
            <w:vAlign w:val="bottom"/>
            <w:shd w:val="clear" w:color="auto" w:fill="232F84"/>
          </w:tcPr>
          <w:p>
            <w:pPr>
              <w:spacing w:after="0"/>
              <w:rPr>
                <w:sz w:val="17"/>
                <w:szCs w:val="17"/>
                <w:color w:val="auto"/>
              </w:rPr>
            </w:pPr>
          </w:p>
        </w:tc>
        <w:tc>
          <w:tcPr>
            <w:tcW w:w="2060" w:type="dxa"/>
            <w:vAlign w:val="bottom"/>
            <w:gridSpan w:val="2"/>
            <w:shd w:val="clear" w:color="auto" w:fill="232F84"/>
          </w:tcPr>
          <w:p>
            <w:pPr>
              <w:jc w:val="right"/>
              <w:ind w:right="468"/>
              <w:spacing w:after="0"/>
              <w:rPr>
                <w:sz w:val="20"/>
                <w:szCs w:val="20"/>
                <w:color w:val="auto"/>
              </w:rPr>
            </w:pPr>
            <w:r>
              <w:rPr>
                <w:rFonts w:ascii="Arial" w:cs="Arial" w:eastAsia="Arial" w:hAnsi="Arial"/>
                <w:sz w:val="14"/>
                <w:szCs w:val="14"/>
                <w:b w:val="1"/>
                <w:bCs w:val="1"/>
                <w:color w:val="FFFFFF"/>
              </w:rPr>
              <w:t>January 31,</w:t>
            </w:r>
          </w:p>
        </w:tc>
        <w:tc>
          <w:tcPr>
            <w:tcW w:w="680" w:type="dxa"/>
            <w:vAlign w:val="bottom"/>
            <w:shd w:val="clear" w:color="auto" w:fill="232F84"/>
          </w:tcPr>
          <w:p>
            <w:pPr>
              <w:spacing w:after="0"/>
              <w:rPr>
                <w:sz w:val="17"/>
                <w:szCs w:val="17"/>
                <w:color w:val="auto"/>
              </w:rPr>
            </w:pPr>
          </w:p>
        </w:tc>
      </w:tr>
      <w:tr>
        <w:trPr>
          <w:trHeight w:val="226"/>
        </w:trPr>
        <w:tc>
          <w:tcPr>
            <w:tcW w:w="784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660" w:type="dxa"/>
            <w:vAlign w:val="bottom"/>
            <w:shd w:val="clear" w:color="auto" w:fill="232F84"/>
          </w:tcPr>
          <w:p>
            <w:pPr>
              <w:spacing w:after="0"/>
              <w:rPr>
                <w:sz w:val="19"/>
                <w:szCs w:val="19"/>
                <w:color w:val="auto"/>
              </w:rPr>
            </w:pPr>
          </w:p>
        </w:tc>
        <w:tc>
          <w:tcPr>
            <w:tcW w:w="1120" w:type="dxa"/>
            <w:vAlign w:val="bottom"/>
            <w:shd w:val="clear" w:color="auto" w:fill="232F84"/>
          </w:tcPr>
          <w:p>
            <w:pPr>
              <w:jc w:val="right"/>
              <w:ind w:right="88"/>
              <w:spacing w:after="0"/>
              <w:rPr>
                <w:sz w:val="20"/>
                <w:szCs w:val="20"/>
                <w:color w:val="auto"/>
              </w:rPr>
            </w:pPr>
            <w:r>
              <w:rPr>
                <w:rFonts w:ascii="Arial" w:cs="Arial" w:eastAsia="Arial" w:hAnsi="Arial"/>
                <w:sz w:val="14"/>
                <w:szCs w:val="14"/>
                <w:b w:val="1"/>
                <w:bCs w:val="1"/>
                <w:color w:val="FFFFFF"/>
              </w:rPr>
              <w:t>2021</w:t>
            </w:r>
          </w:p>
        </w:tc>
        <w:tc>
          <w:tcPr>
            <w:tcW w:w="940" w:type="dxa"/>
            <w:vAlign w:val="bottom"/>
            <w:shd w:val="clear" w:color="auto" w:fill="232F84"/>
          </w:tcPr>
          <w:p>
            <w:pPr>
              <w:spacing w:after="0"/>
              <w:rPr>
                <w:sz w:val="19"/>
                <w:szCs w:val="19"/>
                <w:color w:val="auto"/>
              </w:rPr>
            </w:pPr>
          </w:p>
        </w:tc>
        <w:tc>
          <w:tcPr>
            <w:tcW w:w="680" w:type="dxa"/>
            <w:vAlign w:val="bottom"/>
            <w:shd w:val="clear" w:color="auto" w:fill="232F84"/>
          </w:tcPr>
          <w:p>
            <w:pPr>
              <w:jc w:val="right"/>
              <w:ind w:right="48"/>
              <w:spacing w:after="0"/>
              <w:rPr>
                <w:sz w:val="20"/>
                <w:szCs w:val="20"/>
                <w:color w:val="auto"/>
              </w:rPr>
            </w:pPr>
            <w:r>
              <w:rPr>
                <w:rFonts w:ascii="Arial" w:cs="Arial" w:eastAsia="Arial" w:hAnsi="Arial"/>
                <w:sz w:val="14"/>
                <w:szCs w:val="14"/>
                <w:b w:val="1"/>
                <w:bCs w:val="1"/>
                <w:color w:val="FFFFFF"/>
              </w:rPr>
              <w:t>2020</w:t>
            </w:r>
          </w:p>
        </w:tc>
      </w:tr>
      <w:tr>
        <w:trPr>
          <w:trHeight w:val="216"/>
        </w:trPr>
        <w:tc>
          <w:tcPr>
            <w:tcW w:w="7840" w:type="dxa"/>
            <w:vAlign w:val="bottom"/>
            <w:shd w:val="clear" w:color="auto" w:fill="43C0B9"/>
          </w:tcPr>
          <w:p>
            <w:pPr>
              <w:ind w:left="20"/>
              <w:spacing w:after="0"/>
              <w:rPr>
                <w:sz w:val="20"/>
                <w:szCs w:val="20"/>
                <w:color w:val="auto"/>
              </w:rPr>
            </w:pPr>
            <w:r>
              <w:rPr>
                <w:rFonts w:ascii="Arial" w:cs="Arial" w:eastAsia="Arial" w:hAnsi="Arial"/>
                <w:sz w:val="14"/>
                <w:szCs w:val="14"/>
                <w:color w:val="auto"/>
              </w:rPr>
              <w:t>Principal payments on long-term borrowings, capital leases and supplier financing</w:t>
            </w:r>
          </w:p>
        </w:tc>
        <w:tc>
          <w:tcPr>
            <w:tcW w:w="660" w:type="dxa"/>
            <w:vAlign w:val="bottom"/>
            <w:shd w:val="clear" w:color="auto" w:fill="43C0B9"/>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(2.5)</w:t>
            </w:r>
          </w:p>
        </w:tc>
        <w:tc>
          <w:tcPr>
            <w:tcW w:w="940" w:type="dxa"/>
            <w:vAlign w:val="bottom"/>
            <w:shd w:val="clear" w:color="auto" w:fill="43C0B9"/>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(1.8)</w:t>
            </w:r>
          </w:p>
        </w:tc>
      </w:tr>
      <w:tr>
        <w:trPr>
          <w:trHeight w:val="210"/>
        </w:trPr>
        <w:tc>
          <w:tcPr>
            <w:tcW w:w="7840" w:type="dxa"/>
            <w:vAlign w:val="bottom"/>
          </w:tcPr>
          <w:p>
            <w:pPr>
              <w:ind w:left="20"/>
              <w:spacing w:after="0"/>
              <w:rPr>
                <w:sz w:val="20"/>
                <w:szCs w:val="20"/>
                <w:color w:val="auto"/>
              </w:rPr>
            </w:pPr>
            <w:r>
              <w:rPr>
                <w:rFonts w:ascii="Arial" w:cs="Arial" w:eastAsia="Arial" w:hAnsi="Arial"/>
                <w:sz w:val="14"/>
                <w:szCs w:val="14"/>
                <w:color w:val="auto"/>
              </w:rPr>
              <w:t>Dividends paid</w:t>
            </w:r>
          </w:p>
        </w:tc>
        <w:tc>
          <w:tcPr>
            <w:tcW w:w="660" w:type="dxa"/>
            <w:vAlign w:val="bottom"/>
          </w:tcPr>
          <w:p>
            <w:pPr>
              <w:spacing w:after="0"/>
              <w:rPr>
                <w:sz w:val="18"/>
                <w:szCs w:val="18"/>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216"/>
        </w:trPr>
        <w:tc>
          <w:tcPr>
            <w:tcW w:w="7840" w:type="dxa"/>
            <w:vAlign w:val="bottom"/>
            <w:tcBorders>
              <w:bottom w:val="single" w:sz="8" w:color="auto"/>
            </w:tcBorders>
            <w:shd w:val="clear" w:color="auto" w:fill="43C0B9"/>
          </w:tcPr>
          <w:p>
            <w:pPr>
              <w:ind w:left="20"/>
              <w:spacing w:after="0"/>
              <w:rPr>
                <w:sz w:val="20"/>
                <w:szCs w:val="20"/>
                <w:color w:val="auto"/>
              </w:rPr>
            </w:pPr>
            <w:r>
              <w:rPr>
                <w:rFonts w:ascii="Arial" w:cs="Arial" w:eastAsia="Arial" w:hAnsi="Arial"/>
                <w:sz w:val="14"/>
                <w:szCs w:val="14"/>
                <w:color w:val="auto"/>
              </w:rPr>
              <w:t>Other</w:t>
            </w:r>
          </w:p>
        </w:tc>
        <w:tc>
          <w:tcPr>
            <w:tcW w:w="660" w:type="dxa"/>
            <w:vAlign w:val="bottom"/>
            <w:tcBorders>
              <w:bottom w:val="single" w:sz="8" w:color="auto"/>
            </w:tcBorders>
            <w:shd w:val="clear" w:color="auto" w:fill="43C0B9"/>
          </w:tcPr>
          <w:p>
            <w:pPr>
              <w:spacing w:after="0"/>
              <w:rPr>
                <w:sz w:val="18"/>
                <w:szCs w:val="18"/>
                <w:color w:val="auto"/>
              </w:rPr>
            </w:pPr>
          </w:p>
        </w:tc>
        <w:tc>
          <w:tcPr>
            <w:tcW w:w="1120" w:type="dxa"/>
            <w:vAlign w:val="bottom"/>
            <w:tcBorders>
              <w:bottom w:val="single" w:sz="8" w:color="auto"/>
            </w:tcBorders>
            <w:shd w:val="clear" w:color="auto" w:fill="43C0B9"/>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43C0B9"/>
          </w:tcPr>
          <w:p>
            <w:pPr>
              <w:spacing w:after="0"/>
              <w:rPr>
                <w:sz w:val="18"/>
                <w:szCs w:val="18"/>
                <w:color w:val="auto"/>
              </w:rPr>
            </w:pPr>
          </w:p>
        </w:tc>
        <w:tc>
          <w:tcPr>
            <w:tcW w:w="680" w:type="dxa"/>
            <w:vAlign w:val="bottom"/>
            <w:tcBorders>
              <w:bottom w:val="single" w:sz="8" w:color="auto"/>
            </w:tcBorders>
            <w:shd w:val="clear" w:color="auto" w:fill="43C0B9"/>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cash used in financing activities</w:t>
            </w:r>
          </w:p>
        </w:tc>
        <w:tc>
          <w:tcPr>
            <w:tcW w:w="6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94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Borrowings and repayments of debt</w:t>
      </w:r>
    </w:p>
    <w:p>
      <w:pPr>
        <w:spacing w:after="0" w:line="237" w:lineRule="exact"/>
        <w:rPr>
          <w:sz w:val="20"/>
          <w:szCs w:val="20"/>
          <w:color w:val="auto"/>
        </w:rPr>
      </w:pPr>
    </w:p>
    <w:p>
      <w:pPr>
        <w:ind w:right="120" w:firstLine="648"/>
        <w:spacing w:after="0" w:line="260" w:lineRule="auto"/>
        <w:rPr>
          <w:sz w:val="20"/>
          <w:szCs w:val="20"/>
          <w:color w:val="auto"/>
        </w:rPr>
      </w:pPr>
      <w:r>
        <w:rPr>
          <w:rFonts w:ascii="Arial" w:cs="Arial" w:eastAsia="Arial" w:hAnsi="Arial"/>
          <w:sz w:val="16"/>
          <w:szCs w:val="16"/>
          <w:color w:val="auto"/>
        </w:rPr>
        <w:t>Principal payments on our term loans and other notes payable under our credit facility are made in accordance with debt maturity schedules under the facility.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Shareholders’ equity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dividends were paid in three months ended January 31, 2021, compared to $0.12 per share paid in the same period last year.</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Capital resources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shd w:val="clear" w:color="auto" w:fill="232F84"/>
          </w:tcPr>
          <w:p>
            <w:pPr>
              <w:ind w:left="20"/>
              <w:spacing w:after="0"/>
              <w:rPr>
                <w:sz w:val="20"/>
                <w:szCs w:val="20"/>
                <w:color w:val="auto"/>
              </w:rPr>
            </w:pPr>
            <w:r>
              <w:rPr>
                <w:rFonts w:ascii="Arial" w:cs="Arial" w:eastAsia="Arial" w:hAnsi="Arial"/>
                <w:sz w:val="14"/>
                <w:szCs w:val="14"/>
                <w:b w:val="1"/>
                <w:bCs w:val="1"/>
                <w:color w:val="FFFFFF"/>
              </w:rPr>
              <w:t>(In millions)</w:t>
            </w:r>
          </w:p>
        </w:tc>
        <w:tc>
          <w:tcPr>
            <w:tcW w:w="3380" w:type="dxa"/>
            <w:vAlign w:val="bottom"/>
            <w:shd w:val="clear" w:color="auto" w:fill="232F84"/>
          </w:tcPr>
          <w:p>
            <w:pPr>
              <w:spacing w:after="0"/>
              <w:rPr>
                <w:sz w:val="18"/>
                <w:szCs w:val="18"/>
                <w:color w:val="auto"/>
              </w:rPr>
            </w:pPr>
          </w:p>
        </w:tc>
        <w:tc>
          <w:tcPr>
            <w:tcW w:w="136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January 31, 2021</w:t>
            </w:r>
          </w:p>
        </w:tc>
        <w:tc>
          <w:tcPr>
            <w:tcW w:w="300" w:type="dxa"/>
            <w:vAlign w:val="bottom"/>
            <w:shd w:val="clear" w:color="auto" w:fill="232F84"/>
          </w:tcPr>
          <w:p>
            <w:pPr>
              <w:spacing w:after="0"/>
              <w:rPr>
                <w:sz w:val="18"/>
                <w:szCs w:val="18"/>
                <w:color w:val="auto"/>
              </w:rPr>
            </w:pPr>
          </w:p>
        </w:tc>
        <w:tc>
          <w:tcPr>
            <w:tcW w:w="1320" w:type="dxa"/>
            <w:vAlign w:val="bottom"/>
            <w:shd w:val="clear" w:color="auto" w:fill="232F84"/>
          </w:tcPr>
          <w:p>
            <w:pPr>
              <w:jc w:val="right"/>
              <w:spacing w:after="0"/>
              <w:rPr>
                <w:sz w:val="20"/>
                <w:szCs w:val="20"/>
                <w:color w:val="auto"/>
              </w:rPr>
            </w:pPr>
            <w:r>
              <w:rPr>
                <w:rFonts w:ascii="Arial" w:cs="Arial" w:eastAsia="Arial" w:hAnsi="Arial"/>
                <w:sz w:val="14"/>
                <w:szCs w:val="14"/>
                <w:b w:val="1"/>
                <w:bCs w:val="1"/>
                <w:color w:val="FFFFFF"/>
              </w:rPr>
              <w:t>October 31, 2020</w:t>
            </w:r>
          </w:p>
        </w:tc>
      </w:tr>
      <w:tr>
        <w:trPr>
          <w:trHeight w:val="216"/>
        </w:trPr>
        <w:tc>
          <w:tcPr>
            <w:tcW w:w="4880" w:type="dxa"/>
            <w:vAlign w:val="bottom"/>
            <w:shd w:val="clear" w:color="auto" w:fill="43C0B9"/>
          </w:tcPr>
          <w:p>
            <w:pPr>
              <w:ind w:left="20"/>
              <w:spacing w:after="0"/>
              <w:rPr>
                <w:sz w:val="20"/>
                <w:szCs w:val="20"/>
                <w:color w:val="auto"/>
              </w:rPr>
            </w:pPr>
            <w:r>
              <w:rPr>
                <w:rFonts w:ascii="Arial" w:cs="Arial" w:eastAsia="Arial" w:hAnsi="Arial"/>
                <w:sz w:val="14"/>
                <w:szCs w:val="14"/>
                <w:color w:val="auto"/>
              </w:rPr>
              <w:t>Cash and cash equivalents</w:t>
            </w:r>
          </w:p>
        </w:tc>
        <w:tc>
          <w:tcPr>
            <w:tcW w:w="338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60" w:type="dxa"/>
            <w:vAlign w:val="bottom"/>
            <w:shd w:val="clear" w:color="auto" w:fill="43C0B9"/>
          </w:tcPr>
          <w:p>
            <w:pPr>
              <w:jc w:val="right"/>
              <w:ind w:right="28"/>
              <w:spacing w:after="0"/>
              <w:rPr>
                <w:sz w:val="20"/>
                <w:szCs w:val="20"/>
                <w:color w:val="auto"/>
              </w:rPr>
            </w:pPr>
            <w:r>
              <w:rPr>
                <w:rFonts w:ascii="Arial" w:cs="Arial" w:eastAsia="Arial" w:hAnsi="Arial"/>
                <w:sz w:val="14"/>
                <w:szCs w:val="14"/>
                <w:color w:val="auto"/>
              </w:rPr>
              <w:t>91.1</w:t>
            </w:r>
          </w:p>
        </w:tc>
        <w:tc>
          <w:tcPr>
            <w:tcW w:w="300" w:type="dxa"/>
            <w:vAlign w:val="bottom"/>
            <w:shd w:val="clear" w:color="auto" w:fill="43C0B9"/>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43C0B9"/>
          </w:tcPr>
          <w:p>
            <w:pPr>
              <w:jc w:val="right"/>
              <w:spacing w:after="0"/>
              <w:rPr>
                <w:sz w:val="20"/>
                <w:szCs w:val="20"/>
                <w:color w:val="auto"/>
              </w:rPr>
            </w:pPr>
            <w:r>
              <w:rPr>
                <w:rFonts w:ascii="Arial" w:cs="Arial" w:eastAsia="Arial" w:hAnsi="Arial"/>
                <w:sz w:val="14"/>
                <w:szCs w:val="14"/>
                <w:color w:val="auto"/>
              </w:rPr>
              <w:t>124.0</w:t>
            </w:r>
          </w:p>
        </w:tc>
      </w:tr>
      <w:tr>
        <w:trPr>
          <w:trHeight w:val="210"/>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Working capital</w:t>
            </w:r>
          </w:p>
        </w:tc>
        <w:tc>
          <w:tcPr>
            <w:tcW w:w="3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148.0</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170.2</w:t>
            </w:r>
          </w:p>
        </w:tc>
      </w:tr>
    </w:tbl>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 resources include cash flows from operations, cash and cash equivalents, and debt financing.</w:t>
      </w:r>
    </w:p>
    <w:p>
      <w:pPr>
        <w:spacing w:after="0" w:line="221" w:lineRule="exact"/>
        <w:rPr>
          <w:sz w:val="20"/>
          <w:szCs w:val="20"/>
          <w:color w:val="auto"/>
        </w:rPr>
      </w:pPr>
    </w:p>
    <w:p>
      <w:pPr>
        <w:ind w:firstLine="648"/>
        <w:spacing w:after="0" w:line="250" w:lineRule="auto"/>
        <w:rPr>
          <w:sz w:val="20"/>
          <w:szCs w:val="20"/>
          <w:color w:val="auto"/>
        </w:rPr>
      </w:pPr>
      <w:r>
        <w:rPr>
          <w:rFonts w:ascii="Arial" w:cs="Arial" w:eastAsia="Arial" w:hAnsi="Arial"/>
          <w:sz w:val="16"/>
          <w:szCs w:val="16"/>
          <w:color w:val="auto"/>
        </w:rPr>
        <w:t>We have a syndicated credit facility with Bank of America, N.A., comprised of two term loans and a revolving credit facility (“revolver”) that provides up to $100 million in borrowings that will expire in October 2023. The credit facility also includes a swing line facility and an accordion feature which allows us to increase the borrowings by up to $125 million, with bank approval. We did not have any outstanding borrowings under the revolver as of January 31, 2021 and October 31, 2020. Interest on the revolver bears rates at a spread over LIBOR that varies with our leverage ratio. As of January 31, 2021 and October 31, 2020, interest rates on the revolver were 1.87% and 1.90%, respectively.</w:t>
      </w:r>
    </w:p>
    <w:p>
      <w:pPr>
        <w:spacing w:after="0" w:line="203" w:lineRule="exact"/>
        <w:rPr>
          <w:sz w:val="20"/>
          <w:szCs w:val="20"/>
          <w:color w:val="auto"/>
        </w:rPr>
      </w:pPr>
    </w:p>
    <w:p>
      <w:pPr>
        <w:ind w:right="200" w:firstLine="648"/>
        <w:spacing w:after="0" w:line="250" w:lineRule="auto"/>
        <w:rPr>
          <w:sz w:val="20"/>
          <w:szCs w:val="20"/>
          <w:color w:val="auto"/>
        </w:rPr>
      </w:pPr>
      <w:r>
        <w:rPr>
          <w:rFonts w:ascii="Arial" w:cs="Arial" w:eastAsia="Arial" w:hAnsi="Arial"/>
          <w:sz w:val="16"/>
          <w:szCs w:val="16"/>
          <w:color w:val="auto"/>
        </w:rPr>
        <w:t>As of January 31, 2021, we were required to comply with the following financial covenants: (a) a quarterly consolidated leverage ratio of not more than 3.00 to 1.00 and (b) a quarterly consolidated fixed charge coverage ratio of not less than 1.50 to 1.00. As of January 31, 2021, our consolidated leverage ratio was 1.2 to 1.00 and our consolidated fixed charge coverage ratio was 2.3 to 1.00 and we were in compliance with all such covenants of the credit facility. The loans are secured by real property, personal property and the capital stock of our subsidiaries. We pay fees on unused commitments on the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232F84"/>
        </w:rPr>
        <w:t>Commitments for capital expenditures</w:t>
      </w:r>
    </w:p>
    <w:p>
      <w:pPr>
        <w:spacing w:after="0" w:line="237"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16"/>
          <w:szCs w:val="16"/>
          <w:color w:val="auto"/>
        </w:rPr>
        <w:t>We are in the process of constructing a new distribution facility in Laredo, Texas. This facility will support our distribution of Mexican-sourced fruit into North American markets and will include border crossing, cold storage and value-added processing capabilities. Remaining construction costs for the facility were approximately $4.3 million as of January 31, 2021. The project is scheduled for completion in the third quarter of fiscal year 2021.</w:t>
      </w:r>
    </w:p>
    <w:p>
      <w:pPr>
        <w:spacing w:after="0" w:line="30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3.</w:t>
      </w:r>
      <w:r>
        <w:rPr>
          <w:sz w:val="20"/>
          <w:szCs w:val="20"/>
          <w:color w:val="auto"/>
        </w:rPr>
        <w:tab/>
      </w:r>
      <w:r>
        <w:rPr>
          <w:rFonts w:ascii="Arial" w:cs="Arial" w:eastAsia="Arial" w:hAnsi="Arial"/>
          <w:sz w:val="25"/>
          <w:szCs w:val="25"/>
          <w:b w:val="1"/>
          <w:bCs w:val="1"/>
          <w:color w:val="232F84"/>
        </w:rPr>
        <w:t>Quantitative and Qualitative Disclosures About Market Risk</w:t>
      </w:r>
    </w:p>
    <w:p>
      <w:pPr>
        <w:spacing w:after="0" w:line="258" w:lineRule="exact"/>
        <w:rPr>
          <w:sz w:val="20"/>
          <w:szCs w:val="20"/>
          <w:color w:val="auto"/>
        </w:rPr>
      </w:pPr>
    </w:p>
    <w:p>
      <w:pPr>
        <w:ind w:right="360" w:firstLine="648"/>
        <w:spacing w:after="0" w:line="260" w:lineRule="auto"/>
        <w:rPr>
          <w:sz w:val="20"/>
          <w:szCs w:val="20"/>
          <w:color w:val="auto"/>
        </w:rPr>
      </w:pPr>
      <w:r>
        <w:rPr>
          <w:rFonts w:ascii="Arial" w:cs="Arial" w:eastAsia="Arial" w:hAnsi="Arial"/>
          <w:sz w:val="16"/>
          <w:szCs w:val="16"/>
          <w:color w:val="auto"/>
        </w:rPr>
        <w:t>There have been no material changes to “Part II, Item 7A. Quantitative and Qualitative Disclosures About Market Risk” in our Annual Report on Form 10-K for the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989" w:right="339" w:bottom="1440" w:gutter="0" w:footer="0" w:header="0"/>
        </w:sectPr>
      </w:pPr>
    </w:p>
    <w:bookmarkStart w:id="20" w:name="page21"/>
    <w:bookmarkEnd w:id="20"/>
    <w:p>
      <w:pPr>
        <w:spacing w:after="0"/>
        <w:tabs>
          <w:tab w:leader="none" w:pos="1340" w:val="left"/>
        </w:tabs>
        <w:rPr>
          <w:sz w:val="20"/>
          <w:szCs w:val="20"/>
          <w:color w:val="auto"/>
        </w:rPr>
      </w:pPr>
      <w:r>
        <w:rPr>
          <w:rFonts w:ascii="Arial" w:cs="Arial" w:eastAsia="Arial" w:hAnsi="Arial"/>
          <w:sz w:val="25"/>
          <w:szCs w:val="25"/>
          <w:b w:val="1"/>
          <w:bCs w:val="1"/>
          <w:color w:val="232F84"/>
        </w:rPr>
        <w:t>Item 4.</w:t>
      </w:r>
      <w:r>
        <w:rPr>
          <w:sz w:val="20"/>
          <w:szCs w:val="20"/>
          <w:color w:val="auto"/>
        </w:rPr>
        <w:tab/>
      </w:r>
      <w:r>
        <w:rPr>
          <w:rFonts w:ascii="Arial" w:cs="Arial" w:eastAsia="Arial" w:hAnsi="Arial"/>
          <w:sz w:val="25"/>
          <w:szCs w:val="25"/>
          <w:b w:val="1"/>
          <w:bCs w:val="1"/>
          <w:color w:val="232F84"/>
        </w:rPr>
        <w:t>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Evaluation of Disclosure Controls and Procedures</w:t>
      </w:r>
    </w:p>
    <w:p>
      <w:pPr>
        <w:spacing w:after="0" w:line="241" w:lineRule="exact"/>
        <w:rPr>
          <w:sz w:val="20"/>
          <w:szCs w:val="20"/>
          <w:color w:val="auto"/>
        </w:rPr>
      </w:pPr>
    </w:p>
    <w:p>
      <w:pPr>
        <w:ind w:right="180" w:firstLine="648"/>
        <w:spacing w:after="0" w:line="248" w:lineRule="auto"/>
        <w:rPr>
          <w:sz w:val="20"/>
          <w:szCs w:val="20"/>
          <w:color w:val="auto"/>
        </w:rPr>
      </w:pPr>
      <w:r>
        <w:rPr>
          <w:rFonts w:ascii="Arial" w:cs="Arial" w:eastAsia="Arial" w:hAnsi="Arial"/>
          <w:sz w:val="16"/>
          <w:szCs w:val="16"/>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Chief Executive Officer and our Chief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our Chief Financial Officer,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Changes in Internal Control Over Financial Reporting</w:t>
      </w:r>
    </w:p>
    <w:p>
      <w:pPr>
        <w:spacing w:after="0" w:line="241"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There have been no changes in our internal control over financial reporting during the quarter ended January 31, 2021 that have materially affected, or are reasonably likely to materially affect, our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2F84"/>
        </w:rPr>
        <w:t>Limitations on Effectiveness of Controls and Procedures</w:t>
      </w:r>
    </w:p>
    <w:p>
      <w:pPr>
        <w:spacing w:after="0" w:line="241"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PART II- OTHER INFORMATION</w:t>
      </w:r>
    </w:p>
    <w:p>
      <w:pPr>
        <w:spacing w:after="0" w:line="226"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1.</w:t>
      </w:r>
      <w:r>
        <w:rPr>
          <w:sz w:val="20"/>
          <w:szCs w:val="20"/>
          <w:color w:val="auto"/>
        </w:rPr>
        <w:tab/>
      </w:r>
      <w:r>
        <w:rPr>
          <w:rFonts w:ascii="Arial" w:cs="Arial" w:eastAsia="Arial" w:hAnsi="Arial"/>
          <w:sz w:val="25"/>
          <w:szCs w:val="25"/>
          <w:b w:val="1"/>
          <w:bCs w:val="1"/>
          <w:color w:val="232F84"/>
        </w:rPr>
        <w:t>Legal Proceedings</w:t>
      </w:r>
    </w:p>
    <w:p>
      <w:pPr>
        <w:spacing w:after="0" w:line="258" w:lineRule="exact"/>
        <w:rPr>
          <w:sz w:val="20"/>
          <w:szCs w:val="20"/>
          <w:color w:val="auto"/>
        </w:rPr>
      </w:pPr>
    </w:p>
    <w:p>
      <w:pPr>
        <w:ind w:right="280" w:firstLine="648"/>
        <w:spacing w:after="0" w:line="251" w:lineRule="auto"/>
        <w:rPr>
          <w:sz w:val="20"/>
          <w:szCs w:val="20"/>
          <w:color w:val="auto"/>
        </w:rPr>
      </w:pPr>
      <w:r>
        <w:rPr>
          <w:rFonts w:ascii="Arial" w:cs="Arial" w:eastAsia="Arial" w:hAnsi="Arial"/>
          <w:sz w:val="16"/>
          <w:szCs w:val="16"/>
          <w:color w:val="auto"/>
        </w:rPr>
        <w:t>Our performance under our contracts and our compliance with the terms of those contracts and applicable laws and regulations are subject to continuous audit, review and investigation by our customers, including the U.S. federal government. In addition, 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202"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The Company is involved from time to time in claims, proceedings, and litigation, including those discussed in “Part I, Item 3. Legal Proceedings” in our Annual Report on Form 10-K for the year ended October 31, 2020, to which there have been no material updates.</w:t>
      </w:r>
    </w:p>
    <w:p>
      <w:pPr>
        <w:spacing w:after="0" w:line="195"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304" w:lineRule="exact"/>
        <w:rPr>
          <w:sz w:val="20"/>
          <w:szCs w:val="20"/>
          <w:color w:val="auto"/>
        </w:rPr>
      </w:pPr>
    </w:p>
    <w:p>
      <w:pPr>
        <w:spacing w:after="0"/>
        <w:tabs>
          <w:tab w:leader="none" w:pos="1520" w:val="left"/>
        </w:tabs>
        <w:rPr>
          <w:sz w:val="20"/>
          <w:szCs w:val="20"/>
          <w:color w:val="auto"/>
        </w:rPr>
      </w:pPr>
      <w:r>
        <w:rPr>
          <w:rFonts w:ascii="Arial" w:cs="Arial" w:eastAsia="Arial" w:hAnsi="Arial"/>
          <w:sz w:val="25"/>
          <w:szCs w:val="25"/>
          <w:b w:val="1"/>
          <w:bCs w:val="1"/>
          <w:color w:val="232F84"/>
        </w:rPr>
        <w:t>Item 1A.</w:t>
      </w:r>
      <w:r>
        <w:rPr>
          <w:sz w:val="20"/>
          <w:szCs w:val="20"/>
          <w:color w:val="auto"/>
        </w:rPr>
        <w:tab/>
      </w:r>
      <w:r>
        <w:rPr>
          <w:rFonts w:ascii="Arial" w:cs="Arial" w:eastAsia="Arial" w:hAnsi="Arial"/>
          <w:sz w:val="25"/>
          <w:szCs w:val="25"/>
          <w:b w:val="1"/>
          <w:bCs w:val="1"/>
          <w:color w:val="232F84"/>
        </w:rPr>
        <w:t>Risk Factors</w:t>
      </w:r>
    </w:p>
    <w:p>
      <w:pPr>
        <w:spacing w:after="0" w:line="258" w:lineRule="exact"/>
        <w:rPr>
          <w:sz w:val="20"/>
          <w:szCs w:val="20"/>
          <w:color w:val="auto"/>
        </w:rPr>
      </w:pPr>
    </w:p>
    <w:p>
      <w:pPr>
        <w:ind w:right="120" w:firstLine="648"/>
        <w:spacing w:after="0" w:line="248" w:lineRule="auto"/>
        <w:rPr>
          <w:sz w:val="20"/>
          <w:szCs w:val="20"/>
          <w:color w:val="auto"/>
        </w:rPr>
      </w:pPr>
      <w:r>
        <w:rPr>
          <w:rFonts w:ascii="Arial" w:cs="Arial" w:eastAsia="Arial" w:hAnsi="Arial"/>
          <w:sz w:val="16"/>
          <w:szCs w:val="16"/>
          <w:color w:val="auto"/>
        </w:rPr>
        <w:t>For a discussion of our risk factors, see “Part I, Item 1A. Risk Factors” in our Annual Report on Form 10-K for the year ended October 31, 2020. There have been no material changes from the risk factors set forth in such Annual Report on Form 10-K. However, the risks and uncertainties that we face are not limited to those set forth in the 2020 Form 10-K. You should carefully consider the the risk factors in the 2020 Form 10-K, together with the other information contained in this quarterly report on Form 10-Q, including our financial statements and the related notes and “Management’s Discussion and Analysis of Financial Condition and Results of Operations,” before making a decision to purchase or sell shares of our common stock. Additional risks and uncertainties not presently known to us or that we currently believe to be immaterial may also adversely affect our business and the trading price of our common stock.</w:t>
      </w:r>
    </w:p>
    <w:p>
      <w:pPr>
        <w:spacing w:after="0" w:line="311"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2.</w:t>
      </w:r>
      <w:r>
        <w:rPr>
          <w:sz w:val="20"/>
          <w:szCs w:val="20"/>
          <w:color w:val="auto"/>
        </w:rPr>
        <w:tab/>
      </w:r>
      <w:r>
        <w:rPr>
          <w:rFonts w:ascii="Arial" w:cs="Arial" w:eastAsia="Arial" w:hAnsi="Arial"/>
          <w:sz w:val="25"/>
          <w:szCs w:val="25"/>
          <w:b w:val="1"/>
          <w:bCs w:val="1"/>
          <w:color w:val="232F84"/>
        </w:rPr>
        <w:t>Unregistered Sales of Equity Securities and Use of Proceeds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8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865" w:right="339" w:bottom="1440" w:gutter="0" w:footer="0" w:header="0"/>
          <w:type w:val="continuous"/>
        </w:sectPr>
      </w:pPr>
    </w:p>
    <w:bookmarkStart w:id="21" w:name="page22"/>
    <w:bookmarkEnd w:id="21"/>
    <w:p>
      <w:pPr>
        <w:spacing w:after="0"/>
        <w:tabs>
          <w:tab w:leader="none" w:pos="1340" w:val="left"/>
        </w:tabs>
        <w:rPr>
          <w:sz w:val="20"/>
          <w:szCs w:val="20"/>
          <w:color w:val="auto"/>
        </w:rPr>
      </w:pPr>
      <w:r>
        <w:rPr>
          <w:rFonts w:ascii="Arial" w:cs="Arial" w:eastAsia="Arial" w:hAnsi="Arial"/>
          <w:sz w:val="25"/>
          <w:szCs w:val="25"/>
          <w:b w:val="1"/>
          <w:bCs w:val="1"/>
          <w:color w:val="232F84"/>
        </w:rPr>
        <w:t>Item 3.</w:t>
      </w:r>
      <w:r>
        <w:rPr>
          <w:sz w:val="20"/>
          <w:szCs w:val="20"/>
          <w:color w:val="auto"/>
        </w:rPr>
        <w:tab/>
      </w:r>
      <w:r>
        <w:rPr>
          <w:rFonts w:ascii="Arial" w:cs="Arial" w:eastAsia="Arial" w:hAnsi="Arial"/>
          <w:sz w:val="25"/>
          <w:szCs w:val="25"/>
          <w:b w:val="1"/>
          <w:bCs w:val="1"/>
          <w:color w:val="232F84"/>
        </w:rPr>
        <w:t>Defaults Upon Senior Securities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2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4.</w:t>
      </w:r>
      <w:r>
        <w:rPr>
          <w:sz w:val="20"/>
          <w:szCs w:val="20"/>
          <w:color w:val="auto"/>
        </w:rPr>
        <w:tab/>
      </w:r>
      <w:r>
        <w:rPr>
          <w:rFonts w:ascii="Arial" w:cs="Arial" w:eastAsia="Arial" w:hAnsi="Arial"/>
          <w:sz w:val="25"/>
          <w:szCs w:val="25"/>
          <w:b w:val="1"/>
          <w:bCs w:val="1"/>
          <w:color w:val="232F84"/>
        </w:rPr>
        <w:t>Mine Safety Disclosures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2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5.</w:t>
      </w:r>
      <w:r>
        <w:rPr>
          <w:sz w:val="20"/>
          <w:szCs w:val="20"/>
          <w:color w:val="auto"/>
        </w:rPr>
        <w:tab/>
      </w:r>
      <w:r>
        <w:rPr>
          <w:rFonts w:ascii="Arial" w:cs="Arial" w:eastAsia="Arial" w:hAnsi="Arial"/>
          <w:sz w:val="25"/>
          <w:szCs w:val="25"/>
          <w:b w:val="1"/>
          <w:bCs w:val="1"/>
          <w:color w:val="232F84"/>
        </w:rPr>
        <w:t>Other Information</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None.</w:t>
      </w:r>
    </w:p>
    <w:p>
      <w:pPr>
        <w:spacing w:after="0" w:line="324" w:lineRule="exact"/>
        <w:rPr>
          <w:sz w:val="20"/>
          <w:szCs w:val="20"/>
          <w:color w:val="auto"/>
        </w:rPr>
      </w:pPr>
    </w:p>
    <w:p>
      <w:pPr>
        <w:spacing w:after="0"/>
        <w:tabs>
          <w:tab w:leader="none" w:pos="1340" w:val="left"/>
        </w:tabs>
        <w:rPr>
          <w:sz w:val="20"/>
          <w:szCs w:val="20"/>
          <w:color w:val="auto"/>
        </w:rPr>
      </w:pPr>
      <w:r>
        <w:rPr>
          <w:rFonts w:ascii="Arial" w:cs="Arial" w:eastAsia="Arial" w:hAnsi="Arial"/>
          <w:sz w:val="25"/>
          <w:szCs w:val="25"/>
          <w:b w:val="1"/>
          <w:bCs w:val="1"/>
          <w:color w:val="232F84"/>
        </w:rPr>
        <w:t>Item 6.</w:t>
      </w:r>
      <w:r>
        <w:rPr>
          <w:sz w:val="20"/>
          <w:szCs w:val="20"/>
          <w:color w:val="auto"/>
        </w:rPr>
        <w:tab/>
      </w:r>
      <w:r>
        <w:rPr>
          <w:rFonts w:ascii="Arial" w:cs="Arial" w:eastAsia="Arial" w:hAnsi="Arial"/>
          <w:sz w:val="25"/>
          <w:szCs w:val="25"/>
          <w:b w:val="1"/>
          <w:bCs w:val="1"/>
          <w:color w:val="232F84"/>
        </w:rPr>
        <w:t>Exhibits</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documents set forth are filed herewith or incorporated herein by reference.</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232F84"/>
        </w:rPr>
        <w:t>INDEX</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 w:type="dxa"/>
            <w:vAlign w:val="bottom"/>
            <w:shd w:val="clear" w:color="auto" w:fill="232F84"/>
          </w:tcPr>
          <w:p>
            <w:pPr>
              <w:spacing w:after="0"/>
              <w:rPr>
                <w:sz w:val="18"/>
                <w:szCs w:val="18"/>
                <w:color w:val="auto"/>
              </w:rPr>
            </w:pPr>
          </w:p>
        </w:tc>
        <w:tc>
          <w:tcPr>
            <w:tcW w:w="100" w:type="dxa"/>
            <w:vAlign w:val="bottom"/>
            <w:shd w:val="clear" w:color="auto" w:fill="232F84"/>
          </w:tcPr>
          <w:p>
            <w:pPr>
              <w:spacing w:after="0"/>
              <w:rPr>
                <w:sz w:val="18"/>
                <w:szCs w:val="18"/>
                <w:color w:val="auto"/>
              </w:rPr>
            </w:pPr>
          </w:p>
        </w:tc>
        <w:tc>
          <w:tcPr>
            <w:tcW w:w="320" w:type="dxa"/>
            <w:vAlign w:val="bottom"/>
            <w:shd w:val="clear" w:color="auto" w:fill="232F84"/>
          </w:tcPr>
          <w:p>
            <w:pPr>
              <w:spacing w:after="0"/>
              <w:rPr>
                <w:sz w:val="18"/>
                <w:szCs w:val="18"/>
                <w:color w:val="auto"/>
              </w:rPr>
            </w:pPr>
          </w:p>
        </w:tc>
        <w:tc>
          <w:tcPr>
            <w:tcW w:w="5700" w:type="dxa"/>
            <w:vAlign w:val="bottom"/>
            <w:shd w:val="clear" w:color="auto" w:fill="232F84"/>
          </w:tcPr>
          <w:p>
            <w:pPr>
              <w:spacing w:after="0"/>
              <w:rPr>
                <w:sz w:val="18"/>
                <w:szCs w:val="18"/>
                <w:color w:val="auto"/>
              </w:rPr>
            </w:pPr>
          </w:p>
        </w:tc>
        <w:tc>
          <w:tcPr>
            <w:tcW w:w="60" w:type="dxa"/>
            <w:vAlign w:val="bottom"/>
            <w:shd w:val="clear" w:color="auto" w:fill="232F84"/>
          </w:tcPr>
          <w:p>
            <w:pPr>
              <w:spacing w:after="0"/>
              <w:rPr>
                <w:sz w:val="18"/>
                <w:szCs w:val="18"/>
                <w:color w:val="auto"/>
              </w:rPr>
            </w:pPr>
          </w:p>
        </w:tc>
        <w:tc>
          <w:tcPr>
            <w:tcW w:w="260" w:type="dxa"/>
            <w:vAlign w:val="bottom"/>
            <w:shd w:val="clear" w:color="auto" w:fill="232F84"/>
          </w:tcPr>
          <w:p>
            <w:pPr>
              <w:spacing w:after="0"/>
              <w:rPr>
                <w:sz w:val="18"/>
                <w:szCs w:val="18"/>
                <w:color w:val="auto"/>
              </w:rPr>
            </w:pPr>
          </w:p>
        </w:tc>
        <w:tc>
          <w:tcPr>
            <w:tcW w:w="220" w:type="dxa"/>
            <w:vAlign w:val="bottom"/>
            <w:shd w:val="clear" w:color="auto" w:fill="232F84"/>
          </w:tcPr>
          <w:p>
            <w:pPr>
              <w:spacing w:after="0"/>
              <w:rPr>
                <w:sz w:val="18"/>
                <w:szCs w:val="18"/>
                <w:color w:val="auto"/>
              </w:rPr>
            </w:pPr>
          </w:p>
        </w:tc>
        <w:tc>
          <w:tcPr>
            <w:tcW w:w="2760" w:type="dxa"/>
            <w:vAlign w:val="bottom"/>
            <w:gridSpan w:val="3"/>
            <w:shd w:val="clear" w:color="auto" w:fill="232F84"/>
          </w:tcPr>
          <w:p>
            <w:pPr>
              <w:ind w:left="460"/>
              <w:spacing w:after="0"/>
              <w:rPr>
                <w:sz w:val="20"/>
                <w:szCs w:val="20"/>
                <w:color w:val="auto"/>
              </w:rPr>
            </w:pPr>
            <w:r>
              <w:rPr>
                <w:rFonts w:ascii="Arial" w:cs="Arial" w:eastAsia="Arial" w:hAnsi="Arial"/>
                <w:sz w:val="14"/>
                <w:szCs w:val="14"/>
                <w:b w:val="1"/>
                <w:bCs w:val="1"/>
                <w:color w:val="FFFFFF"/>
              </w:rPr>
              <w:t>Incorporated by Reference</w:t>
            </w:r>
          </w:p>
        </w:tc>
        <w:tc>
          <w:tcPr>
            <w:tcW w:w="980" w:type="dxa"/>
            <w:vAlign w:val="bottom"/>
            <w:shd w:val="clear" w:color="auto" w:fill="232F84"/>
          </w:tcPr>
          <w:p>
            <w:pPr>
              <w:spacing w:after="0"/>
              <w:rPr>
                <w:sz w:val="18"/>
                <w:szCs w:val="18"/>
                <w:color w:val="auto"/>
              </w:rPr>
            </w:pPr>
          </w:p>
        </w:tc>
      </w:tr>
      <w:tr>
        <w:trPr>
          <w:trHeight w:val="182"/>
        </w:trPr>
        <w:tc>
          <w:tcPr>
            <w:tcW w:w="780" w:type="dxa"/>
            <w:vAlign w:val="bottom"/>
            <w:shd w:val="clear" w:color="auto" w:fill="232F84"/>
          </w:tcPr>
          <w:p>
            <w:pPr>
              <w:jc w:val="center"/>
              <w:spacing w:after="0"/>
              <w:rPr>
                <w:sz w:val="20"/>
                <w:szCs w:val="20"/>
                <w:color w:val="auto"/>
              </w:rPr>
            </w:pPr>
            <w:r>
              <w:rPr>
                <w:rFonts w:ascii="Arial" w:cs="Arial" w:eastAsia="Arial" w:hAnsi="Arial"/>
                <w:sz w:val="14"/>
                <w:szCs w:val="14"/>
                <w:b w:val="1"/>
                <w:bCs w:val="1"/>
                <w:color w:val="FFFFFF"/>
              </w:rPr>
              <w:t>Exhibit</w:t>
            </w:r>
          </w:p>
        </w:tc>
        <w:tc>
          <w:tcPr>
            <w:tcW w:w="100" w:type="dxa"/>
            <w:vAlign w:val="bottom"/>
            <w:shd w:val="clear" w:color="auto" w:fill="232F84"/>
          </w:tcPr>
          <w:p>
            <w:pPr>
              <w:spacing w:after="0"/>
              <w:rPr>
                <w:sz w:val="15"/>
                <w:szCs w:val="15"/>
                <w:color w:val="auto"/>
              </w:rPr>
            </w:pPr>
          </w:p>
        </w:tc>
        <w:tc>
          <w:tcPr>
            <w:tcW w:w="320" w:type="dxa"/>
            <w:vAlign w:val="bottom"/>
            <w:shd w:val="clear" w:color="auto" w:fill="232F84"/>
          </w:tcPr>
          <w:p>
            <w:pPr>
              <w:spacing w:after="0"/>
              <w:rPr>
                <w:sz w:val="15"/>
                <w:szCs w:val="15"/>
                <w:color w:val="auto"/>
              </w:rPr>
            </w:pPr>
          </w:p>
        </w:tc>
        <w:tc>
          <w:tcPr>
            <w:tcW w:w="5700" w:type="dxa"/>
            <w:vAlign w:val="bottom"/>
            <w:shd w:val="clear" w:color="auto" w:fill="232F84"/>
          </w:tcPr>
          <w:p>
            <w:pPr>
              <w:spacing w:after="0"/>
              <w:rPr>
                <w:sz w:val="15"/>
                <w:szCs w:val="15"/>
                <w:color w:val="auto"/>
              </w:rPr>
            </w:pPr>
          </w:p>
        </w:tc>
        <w:tc>
          <w:tcPr>
            <w:tcW w:w="60" w:type="dxa"/>
            <w:vAlign w:val="bottom"/>
            <w:shd w:val="clear" w:color="auto" w:fill="232F84"/>
          </w:tcPr>
          <w:p>
            <w:pPr>
              <w:spacing w:after="0"/>
              <w:rPr>
                <w:sz w:val="15"/>
                <w:szCs w:val="15"/>
                <w:color w:val="auto"/>
              </w:rPr>
            </w:pPr>
          </w:p>
        </w:tc>
        <w:tc>
          <w:tcPr>
            <w:tcW w:w="260" w:type="dxa"/>
            <w:vAlign w:val="bottom"/>
            <w:shd w:val="clear" w:color="auto" w:fill="232F84"/>
          </w:tcPr>
          <w:p>
            <w:pPr>
              <w:spacing w:after="0"/>
              <w:rPr>
                <w:sz w:val="15"/>
                <w:szCs w:val="15"/>
                <w:color w:val="auto"/>
              </w:rPr>
            </w:pPr>
          </w:p>
        </w:tc>
        <w:tc>
          <w:tcPr>
            <w:tcW w:w="220" w:type="dxa"/>
            <w:vAlign w:val="bottom"/>
            <w:shd w:val="clear" w:color="auto" w:fill="232F84"/>
          </w:tcPr>
          <w:p>
            <w:pPr>
              <w:spacing w:after="0"/>
              <w:rPr>
                <w:sz w:val="15"/>
                <w:szCs w:val="15"/>
                <w:color w:val="auto"/>
              </w:rPr>
            </w:pPr>
          </w:p>
        </w:tc>
        <w:tc>
          <w:tcPr>
            <w:tcW w:w="700" w:type="dxa"/>
            <w:vAlign w:val="bottom"/>
            <w:shd w:val="clear" w:color="auto" w:fill="232F84"/>
          </w:tcPr>
          <w:p>
            <w:pPr>
              <w:spacing w:after="0"/>
              <w:rPr>
                <w:sz w:val="15"/>
                <w:szCs w:val="15"/>
                <w:color w:val="auto"/>
              </w:rPr>
            </w:pPr>
          </w:p>
        </w:tc>
        <w:tc>
          <w:tcPr>
            <w:tcW w:w="1120" w:type="dxa"/>
            <w:vAlign w:val="bottom"/>
            <w:shd w:val="clear" w:color="auto" w:fill="232F84"/>
          </w:tcPr>
          <w:p>
            <w:pPr>
              <w:spacing w:after="0"/>
              <w:rPr>
                <w:sz w:val="15"/>
                <w:szCs w:val="15"/>
                <w:color w:val="auto"/>
              </w:rPr>
            </w:pPr>
          </w:p>
        </w:tc>
        <w:tc>
          <w:tcPr>
            <w:tcW w:w="940" w:type="dxa"/>
            <w:vAlign w:val="bottom"/>
            <w:shd w:val="clear" w:color="auto" w:fill="232F84"/>
          </w:tcPr>
          <w:p>
            <w:pPr>
              <w:spacing w:after="0"/>
              <w:rPr>
                <w:sz w:val="15"/>
                <w:szCs w:val="15"/>
                <w:color w:val="auto"/>
              </w:rPr>
            </w:pPr>
          </w:p>
        </w:tc>
        <w:tc>
          <w:tcPr>
            <w:tcW w:w="980" w:type="dxa"/>
            <w:vAlign w:val="bottom"/>
            <w:shd w:val="clear" w:color="auto" w:fill="232F84"/>
          </w:tcPr>
          <w:p>
            <w:pPr>
              <w:jc w:val="center"/>
              <w:ind w:left="48"/>
              <w:spacing w:after="0"/>
              <w:rPr>
                <w:sz w:val="20"/>
                <w:szCs w:val="20"/>
                <w:color w:val="auto"/>
              </w:rPr>
            </w:pPr>
            <w:r>
              <w:rPr>
                <w:rFonts w:ascii="Arial" w:cs="Arial" w:eastAsia="Arial" w:hAnsi="Arial"/>
                <w:sz w:val="14"/>
                <w:szCs w:val="14"/>
                <w:b w:val="1"/>
                <w:bCs w:val="1"/>
                <w:color w:val="FFFFFF"/>
              </w:rPr>
              <w:t>Filed</w:t>
            </w:r>
          </w:p>
        </w:tc>
      </w:tr>
      <w:tr>
        <w:trPr>
          <w:trHeight w:val="202"/>
        </w:trPr>
        <w:tc>
          <w:tcPr>
            <w:tcW w:w="780" w:type="dxa"/>
            <w:vAlign w:val="bottom"/>
            <w:shd w:val="clear" w:color="auto" w:fill="232F84"/>
          </w:tcPr>
          <w:p>
            <w:pPr>
              <w:jc w:val="center"/>
              <w:spacing w:after="0"/>
              <w:rPr>
                <w:sz w:val="20"/>
                <w:szCs w:val="20"/>
                <w:color w:val="auto"/>
              </w:rPr>
            </w:pPr>
            <w:r>
              <w:rPr>
                <w:rFonts w:ascii="Arial" w:cs="Arial" w:eastAsia="Arial" w:hAnsi="Arial"/>
                <w:sz w:val="14"/>
                <w:szCs w:val="14"/>
                <w:b w:val="1"/>
                <w:bCs w:val="1"/>
                <w:color w:val="FFFFFF"/>
                <w:w w:val="97"/>
              </w:rPr>
              <w:t>No.</w:t>
            </w:r>
          </w:p>
        </w:tc>
        <w:tc>
          <w:tcPr>
            <w:tcW w:w="100" w:type="dxa"/>
            <w:vAlign w:val="bottom"/>
            <w:shd w:val="clear" w:color="auto" w:fill="232F84"/>
          </w:tcPr>
          <w:p>
            <w:pPr>
              <w:spacing w:after="0"/>
              <w:rPr>
                <w:sz w:val="17"/>
                <w:szCs w:val="17"/>
                <w:color w:val="auto"/>
              </w:rPr>
            </w:pPr>
          </w:p>
        </w:tc>
        <w:tc>
          <w:tcPr>
            <w:tcW w:w="320" w:type="dxa"/>
            <w:vAlign w:val="bottom"/>
            <w:shd w:val="clear" w:color="auto" w:fill="232F84"/>
          </w:tcPr>
          <w:p>
            <w:pPr>
              <w:spacing w:after="0"/>
              <w:rPr>
                <w:sz w:val="17"/>
                <w:szCs w:val="17"/>
                <w:color w:val="auto"/>
              </w:rPr>
            </w:pPr>
          </w:p>
        </w:tc>
        <w:tc>
          <w:tcPr>
            <w:tcW w:w="6240" w:type="dxa"/>
            <w:vAlign w:val="bottom"/>
            <w:gridSpan w:val="4"/>
            <w:shd w:val="clear" w:color="auto" w:fill="232F84"/>
          </w:tcPr>
          <w:p>
            <w:pPr>
              <w:ind w:left="2220"/>
              <w:spacing w:after="0"/>
              <w:rPr>
                <w:sz w:val="20"/>
                <w:szCs w:val="20"/>
                <w:color w:val="auto"/>
              </w:rPr>
            </w:pPr>
            <w:r>
              <w:rPr>
                <w:rFonts w:ascii="Arial" w:cs="Arial" w:eastAsia="Arial" w:hAnsi="Arial"/>
                <w:sz w:val="14"/>
                <w:szCs w:val="14"/>
                <w:b w:val="1"/>
                <w:bCs w:val="1"/>
                <w:color w:val="FFFFFF"/>
              </w:rPr>
              <w:t>Exhibit Description</w:t>
            </w:r>
          </w:p>
        </w:tc>
        <w:tc>
          <w:tcPr>
            <w:tcW w:w="700" w:type="dxa"/>
            <w:vAlign w:val="bottom"/>
            <w:shd w:val="clear" w:color="auto" w:fill="232F84"/>
          </w:tcPr>
          <w:p>
            <w:pPr>
              <w:jc w:val="center"/>
              <w:ind w:right="28"/>
              <w:spacing w:after="0"/>
              <w:rPr>
                <w:sz w:val="20"/>
                <w:szCs w:val="20"/>
                <w:color w:val="auto"/>
              </w:rPr>
            </w:pPr>
            <w:r>
              <w:rPr>
                <w:rFonts w:ascii="Arial" w:cs="Arial" w:eastAsia="Arial" w:hAnsi="Arial"/>
                <w:sz w:val="14"/>
                <w:szCs w:val="14"/>
                <w:b w:val="1"/>
                <w:bCs w:val="1"/>
                <w:color w:val="FFFFFF"/>
              </w:rPr>
              <w:t>Form</w:t>
            </w:r>
          </w:p>
        </w:tc>
        <w:tc>
          <w:tcPr>
            <w:tcW w:w="1120" w:type="dxa"/>
            <w:vAlign w:val="bottom"/>
            <w:shd w:val="clear" w:color="auto" w:fill="232F84"/>
          </w:tcPr>
          <w:p>
            <w:pPr>
              <w:jc w:val="center"/>
              <w:spacing w:after="0"/>
              <w:rPr>
                <w:sz w:val="20"/>
                <w:szCs w:val="20"/>
                <w:color w:val="auto"/>
              </w:rPr>
            </w:pPr>
            <w:r>
              <w:rPr>
                <w:rFonts w:ascii="Arial" w:cs="Arial" w:eastAsia="Arial" w:hAnsi="Arial"/>
                <w:sz w:val="14"/>
                <w:szCs w:val="14"/>
                <w:b w:val="1"/>
                <w:bCs w:val="1"/>
                <w:color w:val="FFFFFF"/>
              </w:rPr>
              <w:t>Date</w:t>
            </w:r>
          </w:p>
        </w:tc>
        <w:tc>
          <w:tcPr>
            <w:tcW w:w="940" w:type="dxa"/>
            <w:vAlign w:val="bottom"/>
            <w:shd w:val="clear" w:color="auto" w:fill="232F84"/>
          </w:tcPr>
          <w:p>
            <w:pPr>
              <w:jc w:val="center"/>
              <w:ind w:left="48"/>
              <w:spacing w:after="0"/>
              <w:rPr>
                <w:sz w:val="20"/>
                <w:szCs w:val="20"/>
                <w:color w:val="auto"/>
              </w:rPr>
            </w:pPr>
            <w:r>
              <w:rPr>
                <w:rFonts w:ascii="Arial" w:cs="Arial" w:eastAsia="Arial" w:hAnsi="Arial"/>
                <w:sz w:val="14"/>
                <w:szCs w:val="14"/>
                <w:b w:val="1"/>
                <w:bCs w:val="1"/>
                <w:color w:val="FFFFFF"/>
              </w:rPr>
              <w:t>Number</w:t>
            </w:r>
          </w:p>
        </w:tc>
        <w:tc>
          <w:tcPr>
            <w:tcW w:w="980" w:type="dxa"/>
            <w:vAlign w:val="bottom"/>
            <w:shd w:val="clear" w:color="auto" w:fill="232F84"/>
          </w:tcPr>
          <w:p>
            <w:pPr>
              <w:jc w:val="center"/>
              <w:ind w:left="68"/>
              <w:spacing w:after="0"/>
              <w:rPr>
                <w:sz w:val="20"/>
                <w:szCs w:val="20"/>
                <w:color w:val="auto"/>
              </w:rPr>
            </w:pPr>
            <w:r>
              <w:rPr>
                <w:rFonts w:ascii="Arial" w:cs="Arial" w:eastAsia="Arial" w:hAnsi="Arial"/>
                <w:sz w:val="14"/>
                <w:szCs w:val="14"/>
                <w:b w:val="1"/>
                <w:bCs w:val="1"/>
                <w:color w:val="FFFFFF"/>
              </w:rPr>
              <w:t>Herewith</w:t>
            </w:r>
          </w:p>
        </w:tc>
      </w:tr>
      <w:tr>
        <w:trPr>
          <w:trHeight w:val="216"/>
        </w:trPr>
        <w:tc>
          <w:tcPr>
            <w:tcW w:w="78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3.1#</w:t>
            </w:r>
          </w:p>
        </w:tc>
        <w:tc>
          <w:tcPr>
            <w:tcW w:w="100" w:type="dxa"/>
            <w:vAlign w:val="bottom"/>
            <w:shd w:val="clear" w:color="auto" w:fill="43C0B9"/>
          </w:tcPr>
          <w:p>
            <w:pPr>
              <w:spacing w:after="0"/>
              <w:rPr>
                <w:sz w:val="18"/>
                <w:szCs w:val="18"/>
                <w:color w:val="auto"/>
              </w:rPr>
            </w:pPr>
          </w:p>
        </w:tc>
        <w:tc>
          <w:tcPr>
            <w:tcW w:w="6560" w:type="dxa"/>
            <w:vAlign w:val="bottom"/>
            <w:gridSpan w:val="5"/>
            <w:shd w:val="clear" w:color="auto" w:fill="43C0B9"/>
          </w:tcPr>
          <w:p>
            <w:pPr>
              <w:spacing w:after="0"/>
              <w:rPr>
                <w:rFonts w:ascii="Arial" w:cs="Arial" w:eastAsia="Arial" w:hAnsi="Arial"/>
                <w:sz w:val="14"/>
                <w:szCs w:val="14"/>
                <w:u w:val="single" w:color="auto"/>
                <w:color w:val="0000FF"/>
              </w:rPr>
            </w:pPr>
            <w:hyperlink r:id="rId19">
              <w:r>
                <w:rPr>
                  <w:rFonts w:ascii="Arial" w:cs="Arial" w:eastAsia="Arial" w:hAnsi="Arial"/>
                  <w:sz w:val="14"/>
                  <w:szCs w:val="14"/>
                  <w:u w:val="single" w:color="auto"/>
                  <w:color w:val="0000FF"/>
                </w:rPr>
                <w:t>Amended and Restated Certificate of Incorporation</w:t>
              </w:r>
            </w:hyperlink>
          </w:p>
        </w:tc>
        <w:tc>
          <w:tcPr>
            <w:tcW w:w="700" w:type="dxa"/>
            <w:vAlign w:val="bottom"/>
            <w:shd w:val="clear" w:color="auto" w:fill="43C0B9"/>
          </w:tcPr>
          <w:p>
            <w:pPr>
              <w:jc w:val="center"/>
              <w:ind w:right="48"/>
              <w:spacing w:after="0"/>
              <w:rPr>
                <w:sz w:val="20"/>
                <w:szCs w:val="20"/>
                <w:color w:val="auto"/>
              </w:rPr>
            </w:pPr>
            <w:r>
              <w:rPr>
                <w:rFonts w:ascii="Arial" w:cs="Arial" w:eastAsia="Arial" w:hAnsi="Arial"/>
                <w:sz w:val="14"/>
                <w:szCs w:val="14"/>
                <w:color w:val="auto"/>
              </w:rPr>
              <w:t>8-K</w:t>
            </w:r>
          </w:p>
        </w:tc>
        <w:tc>
          <w:tcPr>
            <w:tcW w:w="112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10/7/2020</w:t>
            </w:r>
          </w:p>
        </w:tc>
        <w:tc>
          <w:tcPr>
            <w:tcW w:w="940" w:type="dxa"/>
            <w:vAlign w:val="bottom"/>
            <w:shd w:val="clear" w:color="auto" w:fill="43C0B9"/>
          </w:tcPr>
          <w:p>
            <w:pPr>
              <w:jc w:val="center"/>
              <w:ind w:left="28"/>
              <w:spacing w:after="0"/>
              <w:rPr>
                <w:sz w:val="20"/>
                <w:szCs w:val="20"/>
                <w:color w:val="auto"/>
              </w:rPr>
            </w:pPr>
            <w:r>
              <w:rPr>
                <w:rFonts w:ascii="Arial" w:cs="Arial" w:eastAsia="Arial" w:hAnsi="Arial"/>
                <w:sz w:val="14"/>
                <w:szCs w:val="14"/>
                <w:color w:val="auto"/>
              </w:rPr>
              <w:t>3.1</w:t>
            </w:r>
          </w:p>
        </w:tc>
        <w:tc>
          <w:tcPr>
            <w:tcW w:w="980" w:type="dxa"/>
            <w:vAlign w:val="bottom"/>
            <w:shd w:val="clear" w:color="auto" w:fill="43C0B9"/>
          </w:tcPr>
          <w:p>
            <w:pPr>
              <w:spacing w:after="0"/>
              <w:rPr>
                <w:sz w:val="18"/>
                <w:szCs w:val="18"/>
                <w:color w:val="auto"/>
              </w:rPr>
            </w:pPr>
          </w:p>
        </w:tc>
      </w:tr>
      <w:tr>
        <w:trPr>
          <w:trHeight w:val="210"/>
        </w:trPr>
        <w:tc>
          <w:tcPr>
            <w:tcW w:w="78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6560" w:type="dxa"/>
            <w:vAlign w:val="bottom"/>
            <w:gridSpan w:val="5"/>
          </w:tcPr>
          <w:p>
            <w:pPr>
              <w:spacing w:after="0"/>
              <w:rPr>
                <w:rFonts w:ascii="Arial" w:cs="Arial" w:eastAsia="Arial" w:hAnsi="Arial"/>
                <w:sz w:val="14"/>
                <w:szCs w:val="14"/>
                <w:u w:val="single" w:color="auto"/>
                <w:color w:val="0000FF"/>
              </w:rPr>
            </w:pPr>
            <w:hyperlink r:id="rId20">
              <w:r>
                <w:rPr>
                  <w:rFonts w:ascii="Arial" w:cs="Arial" w:eastAsia="Arial" w:hAnsi="Arial"/>
                  <w:sz w:val="14"/>
                  <w:szCs w:val="14"/>
                  <w:u w:val="single" w:color="auto"/>
                  <w:color w:val="0000FF"/>
                </w:rPr>
                <w:t>Amended and Restated Bylaws</w:t>
              </w:r>
            </w:hyperlink>
          </w:p>
        </w:tc>
        <w:tc>
          <w:tcPr>
            <w:tcW w:w="700" w:type="dxa"/>
            <w:vAlign w:val="bottom"/>
          </w:tcPr>
          <w:p>
            <w:pPr>
              <w:jc w:val="center"/>
              <w:ind w:right="48"/>
              <w:spacing w:after="0"/>
              <w:rPr>
                <w:sz w:val="20"/>
                <w:szCs w:val="20"/>
                <w:color w:val="auto"/>
              </w:rPr>
            </w:pPr>
            <w:r>
              <w:rPr>
                <w:rFonts w:ascii="Arial" w:cs="Arial" w:eastAsia="Arial" w:hAnsi="Arial"/>
                <w:sz w:val="14"/>
                <w:szCs w:val="14"/>
                <w:color w:val="auto"/>
              </w:rPr>
              <w:t>8-K</w:t>
            </w:r>
          </w:p>
        </w:tc>
        <w:tc>
          <w:tcPr>
            <w:tcW w:w="1120" w:type="dxa"/>
            <w:vAlign w:val="bottom"/>
          </w:tcPr>
          <w:p>
            <w:pPr>
              <w:jc w:val="center"/>
              <w:spacing w:after="0"/>
              <w:rPr>
                <w:sz w:val="20"/>
                <w:szCs w:val="20"/>
                <w:color w:val="auto"/>
              </w:rPr>
            </w:pPr>
            <w:r>
              <w:rPr>
                <w:rFonts w:ascii="Arial" w:cs="Arial" w:eastAsia="Arial" w:hAnsi="Arial"/>
                <w:sz w:val="14"/>
                <w:szCs w:val="14"/>
                <w:color w:val="auto"/>
              </w:rPr>
              <w:t>10/7/2020</w:t>
            </w:r>
          </w:p>
        </w:tc>
        <w:tc>
          <w:tcPr>
            <w:tcW w:w="940" w:type="dxa"/>
            <w:vAlign w:val="bottom"/>
          </w:tcPr>
          <w:p>
            <w:pPr>
              <w:jc w:val="center"/>
              <w:ind w:left="28"/>
              <w:spacing w:after="0"/>
              <w:rPr>
                <w:sz w:val="20"/>
                <w:szCs w:val="20"/>
                <w:color w:val="auto"/>
              </w:rPr>
            </w:pPr>
            <w:r>
              <w:rPr>
                <w:rFonts w:ascii="Arial" w:cs="Arial" w:eastAsia="Arial" w:hAnsi="Arial"/>
                <w:sz w:val="14"/>
                <w:szCs w:val="14"/>
                <w:color w:val="auto"/>
              </w:rPr>
              <w:t>3.2</w:t>
            </w:r>
          </w:p>
        </w:tc>
        <w:tc>
          <w:tcPr>
            <w:tcW w:w="980" w:type="dxa"/>
            <w:vAlign w:val="bottom"/>
          </w:tcPr>
          <w:p>
            <w:pPr>
              <w:spacing w:after="0"/>
              <w:rPr>
                <w:sz w:val="18"/>
                <w:szCs w:val="18"/>
                <w:color w:val="auto"/>
              </w:rPr>
            </w:pPr>
          </w:p>
        </w:tc>
      </w:tr>
      <w:tr>
        <w:trPr>
          <w:trHeight w:val="222"/>
        </w:trPr>
        <w:tc>
          <w:tcPr>
            <w:tcW w:w="78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10.12+</w:t>
            </w:r>
          </w:p>
        </w:tc>
        <w:tc>
          <w:tcPr>
            <w:tcW w:w="100" w:type="dxa"/>
            <w:vAlign w:val="bottom"/>
            <w:shd w:val="clear" w:color="auto" w:fill="43C0B9"/>
          </w:tcPr>
          <w:p>
            <w:pPr>
              <w:spacing w:after="0"/>
              <w:rPr>
                <w:sz w:val="19"/>
                <w:szCs w:val="19"/>
                <w:color w:val="auto"/>
              </w:rPr>
            </w:pPr>
          </w:p>
        </w:tc>
        <w:tc>
          <w:tcPr>
            <w:tcW w:w="6560" w:type="dxa"/>
            <w:vAlign w:val="bottom"/>
            <w:gridSpan w:val="5"/>
            <w:shd w:val="clear" w:color="auto" w:fill="43C0B9"/>
          </w:tcPr>
          <w:p>
            <w:pPr>
              <w:spacing w:after="0"/>
              <w:rPr>
                <w:rFonts w:ascii="Arial" w:cs="Arial" w:eastAsia="Arial" w:hAnsi="Arial"/>
                <w:sz w:val="14"/>
                <w:szCs w:val="14"/>
                <w:u w:val="single" w:color="auto"/>
                <w:color w:val="0000FF"/>
              </w:rPr>
            </w:pPr>
            <w:hyperlink w:anchor="page24">
              <w:r>
                <w:rPr>
                  <w:rFonts w:ascii="Arial" w:cs="Arial" w:eastAsia="Arial" w:hAnsi="Arial"/>
                  <w:sz w:val="14"/>
                  <w:szCs w:val="14"/>
                  <w:u w:val="single" w:color="auto"/>
                  <w:color w:val="0000FF"/>
                </w:rPr>
                <w:t>Offer letter dated January 29, 2020 to Michael A. Browne</w:t>
              </w:r>
            </w:hyperlink>
          </w:p>
        </w:tc>
        <w:tc>
          <w:tcPr>
            <w:tcW w:w="700" w:type="dxa"/>
            <w:vAlign w:val="bottom"/>
            <w:shd w:val="clear" w:color="auto" w:fill="43C0B9"/>
          </w:tcPr>
          <w:p>
            <w:pPr>
              <w:spacing w:after="0"/>
              <w:rPr>
                <w:sz w:val="19"/>
                <w:szCs w:val="19"/>
                <w:color w:val="auto"/>
              </w:rPr>
            </w:pPr>
          </w:p>
        </w:tc>
        <w:tc>
          <w:tcPr>
            <w:tcW w:w="1120" w:type="dxa"/>
            <w:vAlign w:val="bottom"/>
            <w:shd w:val="clear" w:color="auto" w:fill="43C0B9"/>
          </w:tcPr>
          <w:p>
            <w:pPr>
              <w:spacing w:after="0"/>
              <w:rPr>
                <w:sz w:val="19"/>
                <w:szCs w:val="19"/>
                <w:color w:val="auto"/>
              </w:rPr>
            </w:pPr>
          </w:p>
        </w:tc>
        <w:tc>
          <w:tcPr>
            <w:tcW w:w="940" w:type="dxa"/>
            <w:vAlign w:val="bottom"/>
            <w:shd w:val="clear" w:color="auto" w:fill="43C0B9"/>
          </w:tcPr>
          <w:p>
            <w:pPr>
              <w:spacing w:after="0"/>
              <w:rPr>
                <w:sz w:val="19"/>
                <w:szCs w:val="19"/>
                <w:color w:val="auto"/>
              </w:rPr>
            </w:pPr>
          </w:p>
        </w:tc>
        <w:tc>
          <w:tcPr>
            <w:tcW w:w="980" w:type="dxa"/>
            <w:vAlign w:val="bottom"/>
            <w:shd w:val="clear" w:color="auto" w:fill="43C0B9"/>
          </w:tcPr>
          <w:p>
            <w:pPr>
              <w:jc w:val="center"/>
              <w:ind w:left="48"/>
              <w:spacing w:after="0"/>
              <w:rPr>
                <w:sz w:val="20"/>
                <w:szCs w:val="20"/>
                <w:color w:val="auto"/>
              </w:rPr>
            </w:pPr>
            <w:r>
              <w:rPr>
                <w:rFonts w:ascii="Arial" w:cs="Arial" w:eastAsia="Arial" w:hAnsi="Arial"/>
                <w:sz w:val="14"/>
                <w:szCs w:val="14"/>
                <w:color w:val="auto"/>
              </w:rPr>
              <w:t>X</w:t>
            </w:r>
          </w:p>
        </w:tc>
      </w:tr>
      <w:tr>
        <w:trPr>
          <w:trHeight w:val="175"/>
        </w:trPr>
        <w:tc>
          <w:tcPr>
            <w:tcW w:w="780" w:type="dxa"/>
            <w:vAlign w:val="bottom"/>
          </w:tcPr>
          <w:p>
            <w:pPr>
              <w:jc w:val="center"/>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5"/>
                <w:szCs w:val="15"/>
                <w:color w:val="auto"/>
              </w:rPr>
            </w:pPr>
          </w:p>
        </w:tc>
        <w:tc>
          <w:tcPr>
            <w:tcW w:w="6080" w:type="dxa"/>
            <w:vAlign w:val="bottom"/>
            <w:tcBorders>
              <w:bottom w:val="single" w:sz="8" w:color="0000FF"/>
            </w:tcBorders>
            <w:gridSpan w:val="3"/>
          </w:tcPr>
          <w:p>
            <w:pPr>
              <w:spacing w:after="0"/>
              <w:rPr>
                <w:rFonts w:ascii="Arial" w:cs="Arial" w:eastAsia="Arial" w:hAnsi="Arial"/>
                <w:sz w:val="14"/>
                <w:szCs w:val="14"/>
                <w:color w:val="0000FF"/>
              </w:rPr>
            </w:pPr>
            <w:hyperlink w:anchor="page27">
              <w:r>
                <w:rPr>
                  <w:rFonts w:ascii="Arial" w:cs="Arial" w:eastAsia="Arial" w:hAnsi="Arial"/>
                  <w:sz w:val="14"/>
                  <w:szCs w:val="14"/>
                  <w:color w:val="0000FF"/>
                </w:rPr>
                <w:t>Certification of Principal Executive Officer Pursuant to Rules 13a-14(a) and 15d-14(a) under the</w:t>
              </w:r>
            </w:hyperlink>
          </w:p>
        </w:tc>
        <w:tc>
          <w:tcPr>
            <w:tcW w:w="48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jc w:val="center"/>
              <w:ind w:left="48"/>
              <w:spacing w:after="0"/>
              <w:rPr>
                <w:sz w:val="20"/>
                <w:szCs w:val="20"/>
                <w:color w:val="auto"/>
              </w:rPr>
            </w:pPr>
            <w:r>
              <w:rPr>
                <w:rFonts w:ascii="Arial" w:cs="Arial" w:eastAsia="Arial" w:hAnsi="Arial"/>
                <w:sz w:val="14"/>
                <w:szCs w:val="14"/>
                <w:color w:val="auto"/>
              </w:rPr>
              <w:t>X</w:t>
            </w:r>
          </w:p>
        </w:tc>
      </w:tr>
      <w:tr>
        <w:trPr>
          <w:trHeight w:val="142"/>
        </w:trPr>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340" w:type="dxa"/>
            <w:vAlign w:val="bottom"/>
            <w:tcBorders>
              <w:bottom w:val="single" w:sz="8" w:color="0000FF"/>
            </w:tcBorders>
            <w:gridSpan w:val="4"/>
          </w:tcPr>
          <w:p>
            <w:pPr>
              <w:spacing w:after="0" w:line="142" w:lineRule="exact"/>
              <w:rPr>
                <w:rFonts w:ascii="Arial" w:cs="Arial" w:eastAsia="Arial" w:hAnsi="Arial"/>
                <w:sz w:val="14"/>
                <w:szCs w:val="14"/>
                <w:color w:val="0000FF"/>
              </w:rPr>
            </w:pPr>
            <w:hyperlink w:anchor="page27">
              <w:r>
                <w:rPr>
                  <w:rFonts w:ascii="Arial" w:cs="Arial" w:eastAsia="Arial" w:hAnsi="Arial"/>
                  <w:sz w:val="14"/>
                  <w:szCs w:val="14"/>
                  <w:color w:val="0000FF"/>
                </w:rPr>
                <w:t>Securities Exchange Act of 1934, as Adopted Pursuant to Section 302 of the Sarbanes-Oxley Act of</w:t>
              </w:r>
            </w:hyperlink>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2"/>
        </w:trPr>
        <w:tc>
          <w:tcPr>
            <w:tcW w:w="780" w:type="dxa"/>
            <w:vAlign w:val="bottom"/>
          </w:tcPr>
          <w:p>
            <w:pPr>
              <w:spacing w:after="0"/>
              <w:rPr>
                <w:sz w:val="12"/>
                <w:szCs w:val="12"/>
                <w:color w:val="auto"/>
              </w:rPr>
            </w:pPr>
          </w:p>
        </w:tc>
        <w:tc>
          <w:tcPr>
            <w:tcW w:w="420" w:type="dxa"/>
            <w:vAlign w:val="bottom"/>
            <w:gridSpan w:val="2"/>
          </w:tcPr>
          <w:p>
            <w:pPr>
              <w:ind w:left="100"/>
              <w:spacing w:after="0" w:line="142" w:lineRule="exact"/>
              <w:rPr>
                <w:rFonts w:ascii="Arial" w:cs="Arial" w:eastAsia="Arial" w:hAnsi="Arial"/>
                <w:sz w:val="14"/>
                <w:szCs w:val="14"/>
                <w:color w:val="0000FF"/>
                <w:w w:val="96"/>
              </w:rPr>
            </w:pPr>
            <w:hyperlink w:anchor="page27">
              <w:r>
                <w:rPr>
                  <w:rFonts w:ascii="Arial" w:cs="Arial" w:eastAsia="Arial" w:hAnsi="Arial"/>
                  <w:sz w:val="14"/>
                  <w:szCs w:val="14"/>
                  <w:color w:val="0000FF"/>
                  <w:w w:val="96"/>
                </w:rPr>
                <w:t>2002</w:t>
              </w:r>
            </w:hyperlink>
          </w:p>
        </w:tc>
        <w:tc>
          <w:tcPr>
            <w:tcW w:w="5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75"/>
        </w:trPr>
        <w:tc>
          <w:tcPr>
            <w:tcW w:w="78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31.2*</w:t>
            </w:r>
          </w:p>
        </w:tc>
        <w:tc>
          <w:tcPr>
            <w:tcW w:w="100" w:type="dxa"/>
            <w:vAlign w:val="bottom"/>
            <w:shd w:val="clear" w:color="auto" w:fill="43C0B9"/>
          </w:tcPr>
          <w:p>
            <w:pPr>
              <w:spacing w:after="0"/>
              <w:rPr>
                <w:sz w:val="15"/>
                <w:szCs w:val="15"/>
                <w:color w:val="auto"/>
              </w:rPr>
            </w:pPr>
          </w:p>
        </w:tc>
        <w:tc>
          <w:tcPr>
            <w:tcW w:w="6560" w:type="dxa"/>
            <w:vAlign w:val="bottom"/>
            <w:gridSpan w:val="5"/>
            <w:shd w:val="clear" w:color="auto" w:fill="43C0B9"/>
          </w:tcPr>
          <w:p>
            <w:pPr>
              <w:spacing w:after="0"/>
              <w:rPr>
                <w:rFonts w:ascii="Arial" w:cs="Arial" w:eastAsia="Arial" w:hAnsi="Arial"/>
                <w:sz w:val="14"/>
                <w:szCs w:val="14"/>
                <w:color w:val="0000FF"/>
              </w:rPr>
            </w:pPr>
            <w:hyperlink w:anchor="page28">
              <w:r>
                <w:rPr>
                  <w:rFonts w:ascii="Arial" w:cs="Arial" w:eastAsia="Arial" w:hAnsi="Arial"/>
                  <w:sz w:val="14"/>
                  <w:szCs w:val="14"/>
                  <w:color w:val="0000FF"/>
                </w:rPr>
                <w:t>Certification of Principal Financial Officer Pursuant to Rules 13a-14(a) and 15d-14(a) under the</w:t>
              </w:r>
            </w:hyperlink>
          </w:p>
        </w:tc>
        <w:tc>
          <w:tcPr>
            <w:tcW w:w="700" w:type="dxa"/>
            <w:vAlign w:val="bottom"/>
            <w:shd w:val="clear" w:color="auto" w:fill="43C0B9"/>
          </w:tcPr>
          <w:p>
            <w:pPr>
              <w:spacing w:after="0"/>
              <w:rPr>
                <w:sz w:val="15"/>
                <w:szCs w:val="15"/>
                <w:color w:val="auto"/>
              </w:rPr>
            </w:pPr>
          </w:p>
        </w:tc>
        <w:tc>
          <w:tcPr>
            <w:tcW w:w="1120" w:type="dxa"/>
            <w:vAlign w:val="bottom"/>
            <w:shd w:val="clear" w:color="auto" w:fill="43C0B9"/>
          </w:tcPr>
          <w:p>
            <w:pPr>
              <w:spacing w:after="0"/>
              <w:rPr>
                <w:sz w:val="15"/>
                <w:szCs w:val="15"/>
                <w:color w:val="auto"/>
              </w:rPr>
            </w:pPr>
          </w:p>
        </w:tc>
        <w:tc>
          <w:tcPr>
            <w:tcW w:w="940" w:type="dxa"/>
            <w:vAlign w:val="bottom"/>
            <w:shd w:val="clear" w:color="auto" w:fill="43C0B9"/>
          </w:tcPr>
          <w:p>
            <w:pPr>
              <w:spacing w:after="0"/>
              <w:rPr>
                <w:sz w:val="15"/>
                <w:szCs w:val="15"/>
                <w:color w:val="auto"/>
              </w:rPr>
            </w:pPr>
          </w:p>
        </w:tc>
        <w:tc>
          <w:tcPr>
            <w:tcW w:w="980" w:type="dxa"/>
            <w:vAlign w:val="bottom"/>
            <w:shd w:val="clear" w:color="auto" w:fill="43C0B9"/>
          </w:tcPr>
          <w:p>
            <w:pPr>
              <w:jc w:val="center"/>
              <w:ind w:left="48"/>
              <w:spacing w:after="0"/>
              <w:rPr>
                <w:sz w:val="20"/>
                <w:szCs w:val="20"/>
                <w:color w:val="auto"/>
              </w:rPr>
            </w:pPr>
            <w:r>
              <w:rPr>
                <w:rFonts w:ascii="Arial" w:cs="Arial" w:eastAsia="Arial" w:hAnsi="Arial"/>
                <w:sz w:val="14"/>
                <w:szCs w:val="14"/>
                <w:color w:val="auto"/>
              </w:rPr>
              <w:t>X</w:t>
            </w:r>
          </w:p>
        </w:tc>
      </w:tr>
      <w:tr>
        <w:trPr>
          <w:trHeight w:val="20"/>
        </w:trPr>
        <w:tc>
          <w:tcPr>
            <w:tcW w:w="780" w:type="dxa"/>
            <w:vAlign w:val="bottom"/>
            <w:shd w:val="clear" w:color="auto" w:fill="43C0B9"/>
          </w:tcPr>
          <w:p>
            <w:pPr>
              <w:spacing w:after="0" w:line="20" w:lineRule="exact"/>
              <w:rPr>
                <w:sz w:val="1"/>
                <w:szCs w:val="1"/>
                <w:color w:val="auto"/>
              </w:rPr>
            </w:pPr>
          </w:p>
        </w:tc>
        <w:tc>
          <w:tcPr>
            <w:tcW w:w="100" w:type="dxa"/>
            <w:vAlign w:val="bottom"/>
            <w:shd w:val="clear" w:color="auto" w:fill="43C0B9"/>
          </w:tcPr>
          <w:p>
            <w:pPr>
              <w:spacing w:after="0" w:line="20" w:lineRule="exact"/>
              <w:rPr>
                <w:sz w:val="1"/>
                <w:szCs w:val="1"/>
                <w:color w:val="auto"/>
              </w:rPr>
            </w:pPr>
          </w:p>
        </w:tc>
        <w:tc>
          <w:tcPr>
            <w:tcW w:w="602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43C0B9"/>
          </w:tcPr>
          <w:p>
            <w:pPr>
              <w:spacing w:after="0" w:line="20" w:lineRule="exact"/>
              <w:rPr>
                <w:sz w:val="1"/>
                <w:szCs w:val="1"/>
                <w:color w:val="auto"/>
              </w:rPr>
            </w:pPr>
          </w:p>
        </w:tc>
        <w:tc>
          <w:tcPr>
            <w:tcW w:w="700" w:type="dxa"/>
            <w:vAlign w:val="bottom"/>
            <w:shd w:val="clear" w:color="auto" w:fill="43C0B9"/>
          </w:tcPr>
          <w:p>
            <w:pPr>
              <w:spacing w:after="0" w:line="20" w:lineRule="exact"/>
              <w:rPr>
                <w:sz w:val="1"/>
                <w:szCs w:val="1"/>
                <w:color w:val="auto"/>
              </w:rPr>
            </w:pPr>
          </w:p>
        </w:tc>
        <w:tc>
          <w:tcPr>
            <w:tcW w:w="1120" w:type="dxa"/>
            <w:vAlign w:val="bottom"/>
            <w:shd w:val="clear" w:color="auto" w:fill="43C0B9"/>
          </w:tcPr>
          <w:p>
            <w:pPr>
              <w:spacing w:after="0" w:line="20" w:lineRule="exact"/>
              <w:rPr>
                <w:sz w:val="1"/>
                <w:szCs w:val="1"/>
                <w:color w:val="auto"/>
              </w:rPr>
            </w:pPr>
          </w:p>
        </w:tc>
        <w:tc>
          <w:tcPr>
            <w:tcW w:w="940" w:type="dxa"/>
            <w:vAlign w:val="bottom"/>
            <w:shd w:val="clear" w:color="auto" w:fill="43C0B9"/>
          </w:tcPr>
          <w:p>
            <w:pPr>
              <w:spacing w:after="0" w:line="20" w:lineRule="exact"/>
              <w:rPr>
                <w:sz w:val="1"/>
                <w:szCs w:val="1"/>
                <w:color w:val="auto"/>
              </w:rPr>
            </w:pPr>
          </w:p>
        </w:tc>
        <w:tc>
          <w:tcPr>
            <w:tcW w:w="980" w:type="dxa"/>
            <w:vAlign w:val="bottom"/>
            <w:shd w:val="clear" w:color="auto" w:fill="43C0B9"/>
          </w:tcPr>
          <w:p>
            <w:pPr>
              <w:spacing w:after="0" w:line="20" w:lineRule="exact"/>
              <w:rPr>
                <w:sz w:val="1"/>
                <w:szCs w:val="1"/>
                <w:color w:val="auto"/>
              </w:rPr>
            </w:pPr>
          </w:p>
        </w:tc>
      </w:tr>
      <w:tr>
        <w:trPr>
          <w:trHeight w:val="142"/>
        </w:trPr>
        <w:tc>
          <w:tcPr>
            <w:tcW w:w="780" w:type="dxa"/>
            <w:vAlign w:val="bottom"/>
            <w:tcBorders>
              <w:bottom w:val="single" w:sz="8" w:color="43C0B9"/>
            </w:tcBorders>
            <w:shd w:val="clear" w:color="auto" w:fill="43C0B9"/>
          </w:tcPr>
          <w:p>
            <w:pPr>
              <w:spacing w:after="0"/>
              <w:rPr>
                <w:sz w:val="12"/>
                <w:szCs w:val="12"/>
                <w:color w:val="auto"/>
              </w:rPr>
            </w:pPr>
          </w:p>
        </w:tc>
        <w:tc>
          <w:tcPr>
            <w:tcW w:w="100" w:type="dxa"/>
            <w:vAlign w:val="bottom"/>
            <w:tcBorders>
              <w:bottom w:val="single" w:sz="8" w:color="43C0B9"/>
            </w:tcBorders>
            <w:shd w:val="clear" w:color="auto" w:fill="43C0B9"/>
          </w:tcPr>
          <w:p>
            <w:pPr>
              <w:spacing w:after="0"/>
              <w:rPr>
                <w:sz w:val="12"/>
                <w:szCs w:val="12"/>
                <w:color w:val="auto"/>
              </w:rPr>
            </w:pPr>
          </w:p>
        </w:tc>
        <w:tc>
          <w:tcPr>
            <w:tcW w:w="6340" w:type="dxa"/>
            <w:vAlign w:val="bottom"/>
            <w:tcBorders>
              <w:bottom w:val="single" w:sz="8" w:color="0000FF"/>
            </w:tcBorders>
            <w:gridSpan w:val="4"/>
            <w:shd w:val="clear" w:color="auto" w:fill="43C0B9"/>
          </w:tcPr>
          <w:p>
            <w:pPr>
              <w:spacing w:after="0" w:line="142" w:lineRule="exact"/>
              <w:rPr>
                <w:rFonts w:ascii="Arial" w:cs="Arial" w:eastAsia="Arial" w:hAnsi="Arial"/>
                <w:sz w:val="14"/>
                <w:szCs w:val="14"/>
                <w:color w:val="0000FF"/>
              </w:rPr>
            </w:pPr>
            <w:hyperlink w:anchor="page28">
              <w:r>
                <w:rPr>
                  <w:rFonts w:ascii="Arial" w:cs="Arial" w:eastAsia="Arial" w:hAnsi="Arial"/>
                  <w:sz w:val="14"/>
                  <w:szCs w:val="14"/>
                  <w:color w:val="0000FF"/>
                </w:rPr>
                <w:t>Securities Exchange Act of 1934, as Adopted Pursuant to Section 302 of the Sarbanes-Oxley Act of</w:t>
              </w:r>
            </w:hyperlink>
          </w:p>
        </w:tc>
        <w:tc>
          <w:tcPr>
            <w:tcW w:w="220" w:type="dxa"/>
            <w:vAlign w:val="bottom"/>
            <w:tcBorders>
              <w:bottom w:val="single" w:sz="8" w:color="43C0B9"/>
            </w:tcBorders>
            <w:shd w:val="clear" w:color="auto" w:fill="43C0B9"/>
          </w:tcPr>
          <w:p>
            <w:pPr>
              <w:spacing w:after="0"/>
              <w:rPr>
                <w:sz w:val="12"/>
                <w:szCs w:val="12"/>
                <w:color w:val="auto"/>
              </w:rPr>
            </w:pPr>
          </w:p>
        </w:tc>
        <w:tc>
          <w:tcPr>
            <w:tcW w:w="700" w:type="dxa"/>
            <w:vAlign w:val="bottom"/>
            <w:tcBorders>
              <w:bottom w:val="single" w:sz="8" w:color="43C0B9"/>
            </w:tcBorders>
            <w:shd w:val="clear" w:color="auto" w:fill="43C0B9"/>
          </w:tcPr>
          <w:p>
            <w:pPr>
              <w:spacing w:after="0"/>
              <w:rPr>
                <w:sz w:val="12"/>
                <w:szCs w:val="12"/>
                <w:color w:val="auto"/>
              </w:rPr>
            </w:pPr>
          </w:p>
        </w:tc>
        <w:tc>
          <w:tcPr>
            <w:tcW w:w="1120" w:type="dxa"/>
            <w:vAlign w:val="bottom"/>
            <w:tcBorders>
              <w:bottom w:val="single" w:sz="8" w:color="43C0B9"/>
            </w:tcBorders>
            <w:shd w:val="clear" w:color="auto" w:fill="43C0B9"/>
          </w:tcPr>
          <w:p>
            <w:pPr>
              <w:spacing w:after="0"/>
              <w:rPr>
                <w:sz w:val="12"/>
                <w:szCs w:val="12"/>
                <w:color w:val="auto"/>
              </w:rPr>
            </w:pPr>
          </w:p>
        </w:tc>
        <w:tc>
          <w:tcPr>
            <w:tcW w:w="940" w:type="dxa"/>
            <w:vAlign w:val="bottom"/>
            <w:tcBorders>
              <w:bottom w:val="single" w:sz="8" w:color="43C0B9"/>
            </w:tcBorders>
            <w:shd w:val="clear" w:color="auto" w:fill="43C0B9"/>
          </w:tcPr>
          <w:p>
            <w:pPr>
              <w:spacing w:after="0"/>
              <w:rPr>
                <w:sz w:val="12"/>
                <w:szCs w:val="12"/>
                <w:color w:val="auto"/>
              </w:rPr>
            </w:pPr>
          </w:p>
        </w:tc>
        <w:tc>
          <w:tcPr>
            <w:tcW w:w="980" w:type="dxa"/>
            <w:vAlign w:val="bottom"/>
            <w:tcBorders>
              <w:bottom w:val="single" w:sz="8" w:color="43C0B9"/>
            </w:tcBorders>
            <w:shd w:val="clear" w:color="auto" w:fill="43C0B9"/>
          </w:tcPr>
          <w:p>
            <w:pPr>
              <w:spacing w:after="0"/>
              <w:rPr>
                <w:sz w:val="12"/>
                <w:szCs w:val="12"/>
                <w:color w:val="auto"/>
              </w:rPr>
            </w:pPr>
          </w:p>
        </w:tc>
      </w:tr>
      <w:tr>
        <w:trPr>
          <w:trHeight w:val="142"/>
        </w:trPr>
        <w:tc>
          <w:tcPr>
            <w:tcW w:w="780" w:type="dxa"/>
            <w:vAlign w:val="bottom"/>
            <w:shd w:val="clear" w:color="auto" w:fill="43C0B9"/>
          </w:tcPr>
          <w:p>
            <w:pPr>
              <w:spacing w:after="0"/>
              <w:rPr>
                <w:sz w:val="12"/>
                <w:szCs w:val="12"/>
                <w:color w:val="auto"/>
              </w:rPr>
            </w:pPr>
          </w:p>
        </w:tc>
        <w:tc>
          <w:tcPr>
            <w:tcW w:w="420" w:type="dxa"/>
            <w:vAlign w:val="bottom"/>
            <w:gridSpan w:val="2"/>
            <w:shd w:val="clear" w:color="auto" w:fill="43C0B9"/>
          </w:tcPr>
          <w:p>
            <w:pPr>
              <w:ind w:left="100"/>
              <w:spacing w:after="0" w:line="142" w:lineRule="exact"/>
              <w:rPr>
                <w:rFonts w:ascii="Arial" w:cs="Arial" w:eastAsia="Arial" w:hAnsi="Arial"/>
                <w:sz w:val="14"/>
                <w:szCs w:val="14"/>
                <w:color w:val="0000FF"/>
                <w:w w:val="96"/>
              </w:rPr>
            </w:pPr>
            <w:hyperlink w:anchor="page28">
              <w:r>
                <w:rPr>
                  <w:rFonts w:ascii="Arial" w:cs="Arial" w:eastAsia="Arial" w:hAnsi="Arial"/>
                  <w:sz w:val="14"/>
                  <w:szCs w:val="14"/>
                  <w:color w:val="0000FF"/>
                  <w:w w:val="96"/>
                </w:rPr>
                <w:t>2002</w:t>
              </w:r>
            </w:hyperlink>
          </w:p>
        </w:tc>
        <w:tc>
          <w:tcPr>
            <w:tcW w:w="5700" w:type="dxa"/>
            <w:vAlign w:val="bottom"/>
            <w:shd w:val="clear" w:color="auto" w:fill="43C0B9"/>
          </w:tcPr>
          <w:p>
            <w:pPr>
              <w:spacing w:after="0"/>
              <w:rPr>
                <w:sz w:val="12"/>
                <w:szCs w:val="12"/>
                <w:color w:val="auto"/>
              </w:rPr>
            </w:pPr>
          </w:p>
        </w:tc>
        <w:tc>
          <w:tcPr>
            <w:tcW w:w="60" w:type="dxa"/>
            <w:vAlign w:val="bottom"/>
            <w:shd w:val="clear" w:color="auto" w:fill="43C0B9"/>
          </w:tcPr>
          <w:p>
            <w:pPr>
              <w:spacing w:after="0"/>
              <w:rPr>
                <w:sz w:val="12"/>
                <w:szCs w:val="12"/>
                <w:color w:val="auto"/>
              </w:rPr>
            </w:pPr>
          </w:p>
        </w:tc>
        <w:tc>
          <w:tcPr>
            <w:tcW w:w="260" w:type="dxa"/>
            <w:vAlign w:val="bottom"/>
            <w:shd w:val="clear" w:color="auto" w:fill="43C0B9"/>
          </w:tcPr>
          <w:p>
            <w:pPr>
              <w:spacing w:after="0"/>
              <w:rPr>
                <w:sz w:val="12"/>
                <w:szCs w:val="12"/>
                <w:color w:val="auto"/>
              </w:rPr>
            </w:pPr>
          </w:p>
        </w:tc>
        <w:tc>
          <w:tcPr>
            <w:tcW w:w="220" w:type="dxa"/>
            <w:vAlign w:val="bottom"/>
            <w:shd w:val="clear" w:color="auto" w:fill="43C0B9"/>
          </w:tcPr>
          <w:p>
            <w:pPr>
              <w:spacing w:after="0"/>
              <w:rPr>
                <w:sz w:val="12"/>
                <w:szCs w:val="12"/>
                <w:color w:val="auto"/>
              </w:rPr>
            </w:pPr>
          </w:p>
        </w:tc>
        <w:tc>
          <w:tcPr>
            <w:tcW w:w="700" w:type="dxa"/>
            <w:vAlign w:val="bottom"/>
            <w:shd w:val="clear" w:color="auto" w:fill="43C0B9"/>
          </w:tcPr>
          <w:p>
            <w:pPr>
              <w:spacing w:after="0"/>
              <w:rPr>
                <w:sz w:val="12"/>
                <w:szCs w:val="12"/>
                <w:color w:val="auto"/>
              </w:rPr>
            </w:pPr>
          </w:p>
        </w:tc>
        <w:tc>
          <w:tcPr>
            <w:tcW w:w="1120" w:type="dxa"/>
            <w:vAlign w:val="bottom"/>
            <w:shd w:val="clear" w:color="auto" w:fill="43C0B9"/>
          </w:tcPr>
          <w:p>
            <w:pPr>
              <w:spacing w:after="0"/>
              <w:rPr>
                <w:sz w:val="12"/>
                <w:szCs w:val="12"/>
                <w:color w:val="auto"/>
              </w:rPr>
            </w:pPr>
          </w:p>
        </w:tc>
        <w:tc>
          <w:tcPr>
            <w:tcW w:w="940" w:type="dxa"/>
            <w:vAlign w:val="bottom"/>
            <w:shd w:val="clear" w:color="auto" w:fill="43C0B9"/>
          </w:tcPr>
          <w:p>
            <w:pPr>
              <w:spacing w:after="0"/>
              <w:rPr>
                <w:sz w:val="12"/>
                <w:szCs w:val="12"/>
                <w:color w:val="auto"/>
              </w:rPr>
            </w:pPr>
          </w:p>
        </w:tc>
        <w:tc>
          <w:tcPr>
            <w:tcW w:w="980" w:type="dxa"/>
            <w:vAlign w:val="bottom"/>
            <w:shd w:val="clear" w:color="auto" w:fill="43C0B9"/>
          </w:tcPr>
          <w:p>
            <w:pPr>
              <w:spacing w:after="0"/>
              <w:rPr>
                <w:sz w:val="12"/>
                <w:szCs w:val="12"/>
                <w:color w:val="auto"/>
              </w:rPr>
            </w:pPr>
          </w:p>
        </w:tc>
      </w:tr>
      <w:tr>
        <w:trPr>
          <w:trHeight w:val="20"/>
        </w:trPr>
        <w:tc>
          <w:tcPr>
            <w:tcW w:w="780" w:type="dxa"/>
            <w:vAlign w:val="bottom"/>
            <w:tcBorders>
              <w:top w:val="single" w:sz="8" w:color="43C0B9"/>
            </w:tcBorders>
            <w:shd w:val="clear" w:color="auto" w:fill="43C0B9"/>
          </w:tcPr>
          <w:p>
            <w:pPr>
              <w:spacing w:after="0" w:line="20" w:lineRule="exact"/>
              <w:rPr>
                <w:sz w:val="1"/>
                <w:szCs w:val="1"/>
                <w:color w:val="auto"/>
              </w:rPr>
            </w:pPr>
          </w:p>
        </w:tc>
        <w:tc>
          <w:tcPr>
            <w:tcW w:w="100" w:type="dxa"/>
            <w:vAlign w:val="bottom"/>
            <w:tcBorders>
              <w:top w:val="single" w:sz="8" w:color="43C0B9"/>
            </w:tcBorders>
            <w:shd w:val="clear" w:color="auto" w:fill="43C0B9"/>
          </w:tcPr>
          <w:p>
            <w:pPr>
              <w:spacing w:after="0" w:line="20" w:lineRule="exact"/>
              <w:rPr>
                <w:sz w:val="1"/>
                <w:szCs w:val="1"/>
                <w:color w:val="auto"/>
              </w:rPr>
            </w:pPr>
          </w:p>
        </w:tc>
        <w:tc>
          <w:tcPr>
            <w:tcW w:w="320" w:type="dxa"/>
            <w:vAlign w:val="bottom"/>
            <w:tcBorders>
              <w:top w:val="single" w:sz="8" w:color="0000FF"/>
            </w:tcBorders>
            <w:shd w:val="clear" w:color="auto" w:fill="43C0B9"/>
          </w:tcPr>
          <w:p>
            <w:pPr>
              <w:spacing w:after="0" w:line="20" w:lineRule="exact"/>
              <w:rPr>
                <w:sz w:val="1"/>
                <w:szCs w:val="1"/>
                <w:color w:val="auto"/>
              </w:rPr>
            </w:pPr>
          </w:p>
        </w:tc>
        <w:tc>
          <w:tcPr>
            <w:tcW w:w="5700" w:type="dxa"/>
            <w:vAlign w:val="bottom"/>
            <w:tcBorders>
              <w:top w:val="single" w:sz="8" w:color="43C0B9"/>
            </w:tcBorders>
            <w:shd w:val="clear" w:color="auto" w:fill="43C0B9"/>
          </w:tcPr>
          <w:p>
            <w:pPr>
              <w:spacing w:after="0" w:line="20" w:lineRule="exact"/>
              <w:rPr>
                <w:sz w:val="1"/>
                <w:szCs w:val="1"/>
                <w:color w:val="auto"/>
              </w:rPr>
            </w:pPr>
          </w:p>
        </w:tc>
        <w:tc>
          <w:tcPr>
            <w:tcW w:w="60" w:type="dxa"/>
            <w:vAlign w:val="bottom"/>
            <w:tcBorders>
              <w:top w:val="single" w:sz="8" w:color="43C0B9"/>
            </w:tcBorders>
            <w:shd w:val="clear" w:color="auto" w:fill="43C0B9"/>
          </w:tcPr>
          <w:p>
            <w:pPr>
              <w:spacing w:after="0" w:line="20" w:lineRule="exact"/>
              <w:rPr>
                <w:sz w:val="1"/>
                <w:szCs w:val="1"/>
                <w:color w:val="auto"/>
              </w:rPr>
            </w:pPr>
          </w:p>
        </w:tc>
        <w:tc>
          <w:tcPr>
            <w:tcW w:w="260" w:type="dxa"/>
            <w:vAlign w:val="bottom"/>
            <w:tcBorders>
              <w:top w:val="single" w:sz="8" w:color="43C0B9"/>
            </w:tcBorders>
            <w:shd w:val="clear" w:color="auto" w:fill="43C0B9"/>
          </w:tcPr>
          <w:p>
            <w:pPr>
              <w:spacing w:after="0" w:line="20" w:lineRule="exact"/>
              <w:rPr>
                <w:sz w:val="1"/>
                <w:szCs w:val="1"/>
                <w:color w:val="auto"/>
              </w:rPr>
            </w:pPr>
          </w:p>
        </w:tc>
        <w:tc>
          <w:tcPr>
            <w:tcW w:w="220" w:type="dxa"/>
            <w:vAlign w:val="bottom"/>
            <w:tcBorders>
              <w:top w:val="single" w:sz="8" w:color="43C0B9"/>
            </w:tcBorders>
            <w:shd w:val="clear" w:color="auto" w:fill="43C0B9"/>
          </w:tcPr>
          <w:p>
            <w:pPr>
              <w:spacing w:after="0" w:line="20" w:lineRule="exact"/>
              <w:rPr>
                <w:sz w:val="1"/>
                <w:szCs w:val="1"/>
                <w:color w:val="auto"/>
              </w:rPr>
            </w:pPr>
          </w:p>
        </w:tc>
        <w:tc>
          <w:tcPr>
            <w:tcW w:w="700" w:type="dxa"/>
            <w:vAlign w:val="bottom"/>
            <w:tcBorders>
              <w:top w:val="single" w:sz="8" w:color="43C0B9"/>
            </w:tcBorders>
            <w:shd w:val="clear" w:color="auto" w:fill="43C0B9"/>
          </w:tcPr>
          <w:p>
            <w:pPr>
              <w:spacing w:after="0" w:line="20" w:lineRule="exact"/>
              <w:rPr>
                <w:sz w:val="1"/>
                <w:szCs w:val="1"/>
                <w:color w:val="auto"/>
              </w:rPr>
            </w:pPr>
          </w:p>
        </w:tc>
        <w:tc>
          <w:tcPr>
            <w:tcW w:w="1120" w:type="dxa"/>
            <w:vAlign w:val="bottom"/>
            <w:tcBorders>
              <w:top w:val="single" w:sz="8" w:color="43C0B9"/>
            </w:tcBorders>
            <w:shd w:val="clear" w:color="auto" w:fill="43C0B9"/>
          </w:tcPr>
          <w:p>
            <w:pPr>
              <w:spacing w:after="0" w:line="20" w:lineRule="exact"/>
              <w:rPr>
                <w:sz w:val="1"/>
                <w:szCs w:val="1"/>
                <w:color w:val="auto"/>
              </w:rPr>
            </w:pPr>
          </w:p>
        </w:tc>
        <w:tc>
          <w:tcPr>
            <w:tcW w:w="940" w:type="dxa"/>
            <w:vAlign w:val="bottom"/>
            <w:tcBorders>
              <w:top w:val="single" w:sz="8" w:color="43C0B9"/>
            </w:tcBorders>
            <w:shd w:val="clear" w:color="auto" w:fill="43C0B9"/>
          </w:tcPr>
          <w:p>
            <w:pPr>
              <w:spacing w:after="0" w:line="20" w:lineRule="exact"/>
              <w:rPr>
                <w:sz w:val="1"/>
                <w:szCs w:val="1"/>
                <w:color w:val="auto"/>
              </w:rPr>
            </w:pPr>
          </w:p>
        </w:tc>
        <w:tc>
          <w:tcPr>
            <w:tcW w:w="980" w:type="dxa"/>
            <w:vAlign w:val="bottom"/>
            <w:tcBorders>
              <w:top w:val="single" w:sz="8" w:color="43C0B9"/>
            </w:tcBorders>
            <w:shd w:val="clear" w:color="auto" w:fill="43C0B9"/>
          </w:tcPr>
          <w:p>
            <w:pPr>
              <w:spacing w:after="0" w:line="20" w:lineRule="exact"/>
              <w:rPr>
                <w:sz w:val="1"/>
                <w:szCs w:val="1"/>
                <w:color w:val="auto"/>
              </w:rPr>
            </w:pPr>
          </w:p>
        </w:tc>
      </w:tr>
      <w:tr>
        <w:trPr>
          <w:trHeight w:val="210"/>
        </w:trPr>
        <w:tc>
          <w:tcPr>
            <w:tcW w:w="780" w:type="dxa"/>
            <w:vAlign w:val="bottom"/>
          </w:tcPr>
          <w:p>
            <w:pPr>
              <w:jc w:val="center"/>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8"/>
                <w:szCs w:val="18"/>
                <w:color w:val="auto"/>
              </w:rPr>
            </w:pPr>
          </w:p>
        </w:tc>
        <w:tc>
          <w:tcPr>
            <w:tcW w:w="6560" w:type="dxa"/>
            <w:vAlign w:val="bottom"/>
            <w:gridSpan w:val="5"/>
          </w:tcPr>
          <w:p>
            <w:pPr>
              <w:spacing w:after="0"/>
              <w:rPr>
                <w:rFonts w:ascii="Arial" w:cs="Arial" w:eastAsia="Arial" w:hAnsi="Arial"/>
                <w:sz w:val="14"/>
                <w:szCs w:val="14"/>
                <w:u w:val="single" w:color="auto"/>
                <w:color w:val="0000FF"/>
              </w:rPr>
            </w:pPr>
            <w:hyperlink w:anchor="page29">
              <w:r>
                <w:rPr>
                  <w:rFonts w:ascii="Arial" w:cs="Arial" w:eastAsia="Arial" w:hAnsi="Arial"/>
                  <w:sz w:val="14"/>
                  <w:szCs w:val="14"/>
                  <w:u w:val="single" w:color="auto"/>
                  <w:color w:val="0000FF"/>
                </w:rPr>
                <w:t>Certification of Chief Executive Officer pursuant to Section 906 of the Sarbanes-Oxley Act of 2002</w:t>
              </w:r>
            </w:hyperlink>
          </w:p>
        </w:tc>
        <w:tc>
          <w:tcPr>
            <w:tcW w:w="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jc w:val="center"/>
              <w:ind w:left="48"/>
              <w:spacing w:after="0"/>
              <w:rPr>
                <w:sz w:val="20"/>
                <w:szCs w:val="20"/>
                <w:color w:val="auto"/>
              </w:rPr>
            </w:pPr>
            <w:r>
              <w:rPr>
                <w:rFonts w:ascii="Arial" w:cs="Arial" w:eastAsia="Arial" w:hAnsi="Arial"/>
                <w:sz w:val="14"/>
                <w:szCs w:val="14"/>
                <w:color w:val="auto"/>
              </w:rPr>
              <w:t>X</w:t>
            </w:r>
          </w:p>
        </w:tc>
      </w:tr>
      <w:tr>
        <w:trPr>
          <w:trHeight w:val="222"/>
        </w:trPr>
        <w:tc>
          <w:tcPr>
            <w:tcW w:w="780" w:type="dxa"/>
            <w:vAlign w:val="bottom"/>
            <w:shd w:val="clear" w:color="auto" w:fill="43C0B9"/>
          </w:tcPr>
          <w:p>
            <w:pPr>
              <w:jc w:val="center"/>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43C0B9"/>
          </w:tcPr>
          <w:p>
            <w:pPr>
              <w:spacing w:after="0"/>
              <w:rPr>
                <w:sz w:val="19"/>
                <w:szCs w:val="19"/>
                <w:color w:val="auto"/>
              </w:rPr>
            </w:pPr>
          </w:p>
        </w:tc>
        <w:tc>
          <w:tcPr>
            <w:tcW w:w="6560" w:type="dxa"/>
            <w:vAlign w:val="bottom"/>
            <w:gridSpan w:val="5"/>
            <w:shd w:val="clear" w:color="auto" w:fill="43C0B9"/>
          </w:tcPr>
          <w:p>
            <w:pPr>
              <w:spacing w:after="0"/>
              <w:rPr>
                <w:rFonts w:ascii="Arial" w:cs="Arial" w:eastAsia="Arial" w:hAnsi="Arial"/>
                <w:sz w:val="14"/>
                <w:szCs w:val="14"/>
                <w:u w:val="single" w:color="auto"/>
                <w:color w:val="0000FF"/>
              </w:rPr>
            </w:pPr>
            <w:hyperlink w:anchor="page30">
              <w:r>
                <w:rPr>
                  <w:rFonts w:ascii="Arial" w:cs="Arial" w:eastAsia="Arial" w:hAnsi="Arial"/>
                  <w:sz w:val="14"/>
                  <w:szCs w:val="14"/>
                  <w:u w:val="single" w:color="auto"/>
                  <w:color w:val="0000FF"/>
                </w:rPr>
                <w:t>Certification of Chief Financial Officer pursuant to Section 906 of the Sarbanes-Oxley Act of 2002</w:t>
              </w:r>
            </w:hyperlink>
          </w:p>
        </w:tc>
        <w:tc>
          <w:tcPr>
            <w:tcW w:w="700" w:type="dxa"/>
            <w:vAlign w:val="bottom"/>
            <w:shd w:val="clear" w:color="auto" w:fill="43C0B9"/>
          </w:tcPr>
          <w:p>
            <w:pPr>
              <w:spacing w:after="0"/>
              <w:rPr>
                <w:sz w:val="19"/>
                <w:szCs w:val="19"/>
                <w:color w:val="auto"/>
              </w:rPr>
            </w:pPr>
          </w:p>
        </w:tc>
        <w:tc>
          <w:tcPr>
            <w:tcW w:w="1120" w:type="dxa"/>
            <w:vAlign w:val="bottom"/>
            <w:shd w:val="clear" w:color="auto" w:fill="43C0B9"/>
          </w:tcPr>
          <w:p>
            <w:pPr>
              <w:spacing w:after="0"/>
              <w:rPr>
                <w:sz w:val="19"/>
                <w:szCs w:val="19"/>
                <w:color w:val="auto"/>
              </w:rPr>
            </w:pPr>
          </w:p>
        </w:tc>
        <w:tc>
          <w:tcPr>
            <w:tcW w:w="940" w:type="dxa"/>
            <w:vAlign w:val="bottom"/>
            <w:shd w:val="clear" w:color="auto" w:fill="43C0B9"/>
          </w:tcPr>
          <w:p>
            <w:pPr>
              <w:spacing w:after="0"/>
              <w:rPr>
                <w:sz w:val="19"/>
                <w:szCs w:val="19"/>
                <w:color w:val="auto"/>
              </w:rPr>
            </w:pPr>
          </w:p>
        </w:tc>
        <w:tc>
          <w:tcPr>
            <w:tcW w:w="980" w:type="dxa"/>
            <w:vAlign w:val="bottom"/>
            <w:shd w:val="clear" w:color="auto" w:fill="43C0B9"/>
          </w:tcPr>
          <w:p>
            <w:pPr>
              <w:jc w:val="center"/>
              <w:ind w:left="48"/>
              <w:spacing w:after="0"/>
              <w:rPr>
                <w:sz w:val="20"/>
                <w:szCs w:val="20"/>
                <w:color w:val="auto"/>
              </w:rPr>
            </w:pPr>
            <w:r>
              <w:rPr>
                <w:rFonts w:ascii="Arial" w:cs="Arial" w:eastAsia="Arial" w:hAnsi="Arial"/>
                <w:sz w:val="14"/>
                <w:szCs w:val="14"/>
                <w:color w:val="auto"/>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Previously filed</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3"/>
          <w:szCs w:val="13"/>
          <w:color w:val="auto"/>
        </w:rPr>
        <w:t xml:space="preserve"> Indicates management contract or compensatory plan.</w:t>
      </w:r>
    </w:p>
    <w:p>
      <w:pPr>
        <w:spacing w:after="0" w:line="91" w:lineRule="exact"/>
        <w:rPr>
          <w:sz w:val="20"/>
          <w:szCs w:val="20"/>
          <w:color w:val="auto"/>
        </w:rPr>
      </w:pPr>
    </w:p>
    <w:p>
      <w:pPr>
        <w:jc w:val="both"/>
        <w:ind w:left="440" w:right="460" w:hanging="80"/>
        <w:spacing w:after="0" w:line="183" w:lineRule="auto"/>
        <w:tabs>
          <w:tab w:leader="none" w:pos="440" w:val="left"/>
        </w:tabs>
        <w:numPr>
          <w:ilvl w:val="0"/>
          <w:numId w:val="12"/>
        </w:numPr>
        <w:rPr>
          <w:rFonts w:ascii="Arial" w:cs="Arial" w:eastAsia="Arial" w:hAnsi="Arial"/>
          <w:sz w:val="25"/>
          <w:szCs w:val="25"/>
          <w:color w:val="auto"/>
          <w:vertAlign w:val="superscript"/>
        </w:rPr>
      </w:pPr>
      <w:r>
        <w:rPr>
          <w:rFonts w:ascii="Arial" w:cs="Arial" w:eastAsia="Arial" w:hAnsi="Arial"/>
          <w:sz w:val="13"/>
          <w:szCs w:val="13"/>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80"/>
          </w:cols>
          <w:pgMar w:left="320" w:top="865" w:right="399" w:bottom="1440" w:gutter="0" w:footer="0" w:header="0"/>
        </w:sectPr>
      </w:pPr>
    </w:p>
    <w:bookmarkStart w:id="22" w:name="page23"/>
    <w:bookmarkEnd w:id="22"/>
    <w:p>
      <w:pPr>
        <w:jc w:val="center"/>
        <w:ind w:right="-199"/>
        <w:spacing w:after="0"/>
        <w:rPr>
          <w:sz w:val="20"/>
          <w:szCs w:val="20"/>
          <w:color w:val="auto"/>
        </w:rPr>
      </w:pPr>
      <w:r>
        <w:rPr>
          <w:rFonts w:ascii="Arial" w:cs="Arial" w:eastAsia="Arial" w:hAnsi="Arial"/>
          <w:sz w:val="25"/>
          <w:szCs w:val="25"/>
          <w:b w:val="1"/>
          <w:bCs w:val="1"/>
          <w:color w:val="232F84"/>
        </w:rPr>
        <w:t>SIGNATURES</w:t>
      </w:r>
    </w:p>
    <w:p>
      <w:pPr>
        <w:spacing w:after="0" w:line="258" w:lineRule="exact"/>
        <w:rPr>
          <w:sz w:val="20"/>
          <w:szCs w:val="20"/>
          <w:color w:val="auto"/>
        </w:rPr>
      </w:pPr>
    </w:p>
    <w:p>
      <w:pPr>
        <w:ind w:firstLine="648"/>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quarterly report to be signed on its behalf by the undersigned, thereunto duly authorized, on March 11, 2021.</w:t>
      </w:r>
    </w:p>
    <w:p>
      <w:pPr>
        <w:spacing w:after="0" w:line="256" w:lineRule="exact"/>
        <w:rPr>
          <w:sz w:val="20"/>
          <w:szCs w:val="20"/>
          <w:color w:val="auto"/>
        </w:rPr>
      </w:pPr>
    </w:p>
    <w:p>
      <w:pPr>
        <w:jc w:val="center"/>
        <w:ind w:left="7340"/>
        <w:spacing w:after="0"/>
        <w:rPr>
          <w:sz w:val="20"/>
          <w:szCs w:val="20"/>
          <w:color w:val="auto"/>
        </w:rPr>
      </w:pPr>
      <w:r>
        <w:rPr>
          <w:rFonts w:ascii="Arial" w:cs="Arial" w:eastAsia="Arial" w:hAnsi="Arial"/>
          <w:sz w:val="16"/>
          <w:szCs w:val="16"/>
          <w:b w:val="1"/>
          <w:bCs w:val="1"/>
          <w:color w:val="232F84"/>
        </w:rPr>
        <w:t>MISSION PRODUCE, INC.</w:t>
      </w:r>
    </w:p>
    <w:p>
      <w:pPr>
        <w:spacing w:after="0" w:line="163" w:lineRule="exact"/>
        <w:rPr>
          <w:sz w:val="20"/>
          <w:szCs w:val="20"/>
          <w:color w:val="auto"/>
        </w:rPr>
      </w:pPr>
    </w:p>
    <w:p>
      <w:pPr>
        <w:ind w:left="8580"/>
        <w:spacing w:after="0"/>
        <w:rPr>
          <w:sz w:val="20"/>
          <w:szCs w:val="20"/>
          <w:color w:val="auto"/>
        </w:rPr>
      </w:pPr>
      <w:r>
        <w:rPr>
          <w:rFonts w:ascii="Arial" w:cs="Arial" w:eastAsia="Arial" w:hAnsi="Arial"/>
          <w:sz w:val="14"/>
          <w:szCs w:val="14"/>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6350</wp:posOffset>
            </wp:positionV>
            <wp:extent cx="2468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5" w:lineRule="exact"/>
        <w:rPr>
          <w:sz w:val="20"/>
          <w:szCs w:val="20"/>
          <w:color w:val="auto"/>
        </w:rPr>
      </w:pPr>
    </w:p>
    <w:p>
      <w:pPr>
        <w:ind w:left="8680"/>
        <w:spacing w:after="0"/>
        <w:rPr>
          <w:sz w:val="20"/>
          <w:szCs w:val="20"/>
          <w:color w:val="auto"/>
        </w:rPr>
      </w:pPr>
      <w:r>
        <w:rPr>
          <w:rFonts w:ascii="Arial" w:cs="Arial" w:eastAsia="Arial" w:hAnsi="Arial"/>
          <w:sz w:val="14"/>
          <w:szCs w:val="14"/>
          <w:color w:val="auto"/>
        </w:rPr>
        <w:t>Stephen J. Barnard</w:t>
      </w:r>
    </w:p>
    <w:p>
      <w:pPr>
        <w:spacing w:after="0" w:line="28" w:lineRule="exact"/>
        <w:rPr>
          <w:sz w:val="20"/>
          <w:szCs w:val="20"/>
          <w:color w:val="auto"/>
        </w:rPr>
      </w:pPr>
    </w:p>
    <w:p>
      <w:pPr>
        <w:ind w:left="8560"/>
        <w:spacing w:after="0"/>
        <w:rPr>
          <w:sz w:val="20"/>
          <w:szCs w:val="20"/>
          <w:color w:val="auto"/>
        </w:rPr>
      </w:pPr>
      <w:r>
        <w:rPr>
          <w:rFonts w:ascii="Arial" w:cs="Arial" w:eastAsia="Arial" w:hAnsi="Arial"/>
          <w:sz w:val="14"/>
          <w:szCs w:val="14"/>
          <w:i w:val="1"/>
          <w:iCs w:val="1"/>
          <w:color w:val="auto"/>
        </w:rPr>
        <w:t>Chief Executive Officer</w:t>
      </w:r>
    </w:p>
    <w:p>
      <w:pPr>
        <w:spacing w:after="0" w:line="272" w:lineRule="exact"/>
        <w:rPr>
          <w:sz w:val="20"/>
          <w:szCs w:val="20"/>
          <w:color w:val="auto"/>
        </w:rPr>
      </w:pPr>
    </w:p>
    <w:p>
      <w:pPr>
        <w:ind w:left="8740"/>
        <w:spacing w:after="0"/>
        <w:rPr>
          <w:sz w:val="20"/>
          <w:szCs w:val="20"/>
          <w:color w:val="auto"/>
        </w:rPr>
      </w:pPr>
      <w:r>
        <w:rPr>
          <w:rFonts w:ascii="Arial" w:cs="Arial" w:eastAsia="Arial" w:hAnsi="Arial"/>
          <w:sz w:val="14"/>
          <w:szCs w:val="14"/>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65" w:lineRule="exact"/>
        <w:rPr>
          <w:sz w:val="20"/>
          <w:szCs w:val="20"/>
          <w:color w:val="auto"/>
        </w:rPr>
      </w:pPr>
    </w:p>
    <w:p>
      <w:pPr>
        <w:jc w:val="center"/>
        <w:ind w:left="7340"/>
        <w:spacing w:after="0"/>
        <w:rPr>
          <w:sz w:val="20"/>
          <w:szCs w:val="20"/>
          <w:color w:val="auto"/>
        </w:rPr>
      </w:pPr>
      <w:r>
        <w:rPr>
          <w:rFonts w:ascii="Arial" w:cs="Arial" w:eastAsia="Arial" w:hAnsi="Arial"/>
          <w:sz w:val="14"/>
          <w:szCs w:val="14"/>
          <w:color w:val="auto"/>
        </w:rPr>
        <w:t>Bryan E. Giles</w:t>
      </w:r>
    </w:p>
    <w:p>
      <w:pPr>
        <w:spacing w:after="0" w:line="28" w:lineRule="exact"/>
        <w:rPr>
          <w:sz w:val="20"/>
          <w:szCs w:val="20"/>
          <w:color w:val="auto"/>
        </w:rPr>
      </w:pPr>
    </w:p>
    <w:p>
      <w:pPr>
        <w:jc w:val="center"/>
        <w:ind w:left="7340"/>
        <w:spacing w:after="0"/>
        <w:rPr>
          <w:sz w:val="20"/>
          <w:szCs w:val="20"/>
          <w:color w:val="auto"/>
        </w:rPr>
      </w:pPr>
      <w:r>
        <w:rPr>
          <w:rFonts w:ascii="Arial" w:cs="Arial" w:eastAsia="Arial" w:hAnsi="Arial"/>
          <w:sz w:val="14"/>
          <w:szCs w:val="14"/>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060"/>
          </w:cols>
          <w:pgMar w:left="320" w:top="865" w:right="51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071245"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07124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MISSION PRODUCE,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2500 E. Vineyard Avenue, Suite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Oxnard, California 93036</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January 23,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Mike Browne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behalf of Mission Produce, I am pleased to formally extend our offer of employment to you for the position of Chief Operating Officer, reporting to Stephen Barnard, Chief Executive Officer, with a start date of February 3, 2020. It is with great excitement to know you will exemplify our Core Values which are Fun, Innovative, Reliable, Successful and Trustworthy. The following outlines the terms of our offer: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w:t>
      </w:r>
    </w:p>
    <w:p>
      <w:pPr>
        <w:spacing w:after="0" w:line="270" w:lineRule="exact"/>
        <w:rPr>
          <w:sz w:val="20"/>
          <w:szCs w:val="20"/>
          <w:color w:val="auto"/>
        </w:rPr>
      </w:pPr>
    </w:p>
    <w:p>
      <w:pPr>
        <w:ind w:left="660" w:hanging="652"/>
        <w:spacing w:after="0" w:line="29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Your bi-weekly salary will be $13,462.00.00 ($350,012.00 annually) and will be paid in accordance with our bi-weekly payroll disbursement schedule.</w:t>
      </w:r>
    </w:p>
    <w:p>
      <w:pPr>
        <w:spacing w:after="0" w:line="183" w:lineRule="exact"/>
        <w:rPr>
          <w:rFonts w:ascii="Arial" w:cs="Arial" w:eastAsia="Arial" w:hAnsi="Arial"/>
          <w:sz w:val="18"/>
          <w:szCs w:val="18"/>
          <w:color w:val="auto"/>
        </w:rPr>
      </w:pPr>
    </w:p>
    <w:p>
      <w:pPr>
        <w:jc w:val="both"/>
        <w:ind w:left="660" w:hanging="652"/>
        <w:spacing w:after="0" w:line="259"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be eligible to participate in our performance-based incentive program for fiscal year 2020 which is payable after the completion of the 2020 fiscal year. Your target bonus is 75% of your base annual salary and actual payout amounts are based on company &amp; individual performance. The payout will be prorated based on hire/promotion date and you must be in a bonus eligible position prior to the completion of the 6th month of the fiscal year.</w:t>
      </w:r>
    </w:p>
    <w:p>
      <w:pPr>
        <w:spacing w:after="0" w:line="213"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receive a biweekly car allowance of $881.00 ($22,906.00 annually).</w:t>
      </w:r>
    </w:p>
    <w:p>
      <w:pPr>
        <w:spacing w:after="0" w:line="252" w:lineRule="exact"/>
        <w:rPr>
          <w:rFonts w:ascii="Arial" w:cs="Arial" w:eastAsia="Arial" w:hAnsi="Arial"/>
          <w:sz w:val="18"/>
          <w:szCs w:val="18"/>
          <w:color w:val="auto"/>
        </w:rPr>
      </w:pPr>
    </w:p>
    <w:p>
      <w:pPr>
        <w:ind w:left="660" w:hanging="652"/>
        <w:spacing w:after="0" w:line="258"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Mission Produce will pay you and your family’s medical, dental and vision premiums at 100%. Our current healthcare provider is through Anthem Blue Cross.</w:t>
      </w:r>
    </w:p>
    <w:p>
      <w:pPr>
        <w:spacing w:after="0" w:line="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If you elect our premium PPO $0 deductible medical plan, the annual premium is</w:t>
      </w:r>
    </w:p>
    <w:p>
      <w:pPr>
        <w:spacing w:after="0" w:line="9" w:lineRule="exact"/>
        <w:rPr>
          <w:rFonts w:ascii="Arial" w:cs="Arial" w:eastAsia="Arial" w:hAnsi="Arial"/>
          <w:sz w:val="18"/>
          <w:szCs w:val="18"/>
          <w:b w:val="1"/>
          <w:bCs w:val="1"/>
          <w:color w:val="auto"/>
        </w:rPr>
      </w:pPr>
    </w:p>
    <w:p>
      <w:pPr>
        <w:ind w:left="1940" w:hanging="312"/>
        <w:spacing w:after="0"/>
        <w:tabs>
          <w:tab w:leader="none" w:pos="19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Employee: $ 7,832.16</w:t>
      </w:r>
    </w:p>
    <w:p>
      <w:pPr>
        <w:spacing w:after="0" w:line="9" w:lineRule="exact"/>
        <w:rPr>
          <w:rFonts w:ascii="Arial" w:cs="Arial" w:eastAsia="Arial" w:hAnsi="Arial"/>
          <w:sz w:val="18"/>
          <w:szCs w:val="18"/>
          <w:color w:val="auto"/>
        </w:rPr>
      </w:pPr>
    </w:p>
    <w:p>
      <w:pPr>
        <w:ind w:left="1940" w:hanging="312"/>
        <w:spacing w:after="0"/>
        <w:tabs>
          <w:tab w:leader="none" w:pos="19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Employee and Spouse: $17,230.80</w:t>
      </w:r>
    </w:p>
    <w:p>
      <w:pPr>
        <w:spacing w:after="0" w:line="9" w:lineRule="exact"/>
        <w:rPr>
          <w:rFonts w:ascii="Arial" w:cs="Arial" w:eastAsia="Arial" w:hAnsi="Arial"/>
          <w:sz w:val="18"/>
          <w:szCs w:val="18"/>
          <w:color w:val="auto"/>
        </w:rPr>
      </w:pPr>
    </w:p>
    <w:p>
      <w:pPr>
        <w:ind w:left="1940" w:hanging="312"/>
        <w:spacing w:after="0"/>
        <w:tabs>
          <w:tab w:leader="none" w:pos="19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Employee and Family: $23,396.88</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If you elect our Enhanced PPO Dental plan, the annual premium is</w:t>
      </w:r>
    </w:p>
    <w:p>
      <w:pPr>
        <w:spacing w:after="0" w:line="9" w:lineRule="exact"/>
        <w:rPr>
          <w:rFonts w:ascii="Arial" w:cs="Arial" w:eastAsia="Arial" w:hAnsi="Arial"/>
          <w:sz w:val="18"/>
          <w:szCs w:val="18"/>
          <w:b w:val="1"/>
          <w:bCs w:val="1"/>
          <w:color w:val="auto"/>
        </w:rPr>
      </w:pPr>
    </w:p>
    <w:p>
      <w:pPr>
        <w:ind w:left="1940" w:hanging="312"/>
        <w:spacing w:after="0"/>
        <w:tabs>
          <w:tab w:leader="none" w:pos="19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Employee: $303.36</w:t>
      </w:r>
    </w:p>
    <w:p>
      <w:pPr>
        <w:spacing w:after="0" w:line="9" w:lineRule="exact"/>
        <w:rPr>
          <w:rFonts w:ascii="Arial" w:cs="Arial" w:eastAsia="Arial" w:hAnsi="Arial"/>
          <w:sz w:val="18"/>
          <w:szCs w:val="18"/>
          <w:color w:val="auto"/>
        </w:rPr>
      </w:pPr>
    </w:p>
    <w:p>
      <w:pPr>
        <w:ind w:left="1940" w:hanging="312"/>
        <w:spacing w:after="0"/>
        <w:tabs>
          <w:tab w:leader="none" w:pos="19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Employee and Spouse: $600.72</w:t>
      </w:r>
    </w:p>
    <w:p>
      <w:pPr>
        <w:spacing w:after="0" w:line="9" w:lineRule="exact"/>
        <w:rPr>
          <w:rFonts w:ascii="Arial" w:cs="Arial" w:eastAsia="Arial" w:hAnsi="Arial"/>
          <w:sz w:val="18"/>
          <w:szCs w:val="18"/>
          <w:color w:val="auto"/>
        </w:rPr>
      </w:pPr>
    </w:p>
    <w:p>
      <w:pPr>
        <w:ind w:left="1940" w:hanging="312"/>
        <w:spacing w:after="0"/>
        <w:tabs>
          <w:tab w:leader="none" w:pos="19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Employee and Family: $1,077.48</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If you elect our Blue Vision plan, the annual premium is</w:t>
      </w:r>
    </w:p>
    <w:p>
      <w:pPr>
        <w:spacing w:after="0" w:line="9" w:lineRule="exact"/>
        <w:rPr>
          <w:rFonts w:ascii="Arial" w:cs="Arial" w:eastAsia="Arial" w:hAnsi="Arial"/>
          <w:sz w:val="18"/>
          <w:szCs w:val="18"/>
          <w:b w:val="1"/>
          <w:bCs w:val="1"/>
          <w:color w:val="auto"/>
        </w:rPr>
      </w:pPr>
    </w:p>
    <w:p>
      <w:pPr>
        <w:ind w:left="1940" w:hanging="312"/>
        <w:spacing w:after="0"/>
        <w:tabs>
          <w:tab w:leader="none" w:pos="19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Employee: $51.12</w:t>
      </w:r>
    </w:p>
    <w:p>
      <w:pPr>
        <w:spacing w:after="0" w:line="9" w:lineRule="exact"/>
        <w:rPr>
          <w:rFonts w:ascii="Arial" w:cs="Arial" w:eastAsia="Arial" w:hAnsi="Arial"/>
          <w:sz w:val="18"/>
          <w:szCs w:val="18"/>
          <w:color w:val="auto"/>
        </w:rPr>
      </w:pPr>
    </w:p>
    <w:p>
      <w:pPr>
        <w:ind w:left="1940" w:hanging="312"/>
        <w:spacing w:after="0"/>
        <w:tabs>
          <w:tab w:leader="none" w:pos="19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Employee and Spouse: $87.00</w:t>
      </w:r>
    </w:p>
    <w:p>
      <w:pPr>
        <w:spacing w:after="0" w:line="9" w:lineRule="exact"/>
        <w:rPr>
          <w:rFonts w:ascii="Arial" w:cs="Arial" w:eastAsia="Arial" w:hAnsi="Arial"/>
          <w:sz w:val="18"/>
          <w:szCs w:val="18"/>
          <w:color w:val="auto"/>
        </w:rPr>
      </w:pPr>
    </w:p>
    <w:p>
      <w:pPr>
        <w:ind w:left="1940" w:hanging="312"/>
        <w:spacing w:after="0"/>
        <w:tabs>
          <w:tab w:leader="none" w:pos="19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Employee and Family: $138.12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 full time employee, you are entitled to the following company provided benefits:</w:t>
      </w:r>
    </w:p>
    <w:p>
      <w:pPr>
        <w:sectPr>
          <w:pgSz w:w="11900" w:h="16838" w:orient="portrait"/>
          <w:cols w:equalWidth="0" w:num="1">
            <w:col w:w="11240"/>
          </w:cols>
          <w:pgMar w:left="320" w:top="1440" w:right="339" w:bottom="1440" w:gutter="0" w:footer="0" w:header="0"/>
        </w:sectPr>
      </w:pPr>
    </w:p>
    <w:bookmarkStart w:id="24" w:name="page25"/>
    <w:bookmarkEnd w:id="24"/>
    <w:p>
      <w:pPr>
        <w:spacing w:after="0" w:line="225" w:lineRule="exact"/>
        <w:rPr>
          <w:sz w:val="20"/>
          <w:szCs w:val="20"/>
          <w:color w:val="auto"/>
        </w:rPr>
      </w:pPr>
    </w:p>
    <w:p>
      <w:pPr>
        <w:jc w:val="both"/>
        <w:ind w:left="660" w:hanging="328"/>
        <w:spacing w:after="0" w:line="263" w:lineRule="auto"/>
        <w:tabs>
          <w:tab w:leader="none" w:pos="648"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You will earn and accrue 6.77 hours per pay period beginning with your first day of employment. You are eligible to accrue up to 176 total hours or 22 days and a maximum accrual of 352 hours or 44 days. PTO time will be available and may be used in accordance with the terms of the Company’s PTO policy.</w:t>
      </w:r>
    </w:p>
    <w:p>
      <w:pPr>
        <w:spacing w:after="0" w:line="210" w:lineRule="exact"/>
        <w:rPr>
          <w:rFonts w:ascii="Arial" w:cs="Arial" w:eastAsia="Arial" w:hAnsi="Arial"/>
          <w:sz w:val="18"/>
          <w:szCs w:val="18"/>
          <w:b w:val="1"/>
          <w:bCs w:val="1"/>
          <w:color w:val="auto"/>
        </w:rPr>
      </w:pPr>
    </w:p>
    <w:p>
      <w:pPr>
        <w:ind w:left="660" w:hanging="328"/>
        <w:spacing w:after="0" w:line="277" w:lineRule="auto"/>
        <w:tabs>
          <w:tab w:leader="none" w:pos="658"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You will be eligible to enroll for medical, dental, vision, and flexible spending plan effective on March 1, 2020 (first of the month following date of hire). Our current healthcare provider is through Anthem Blue Cross.</w:t>
      </w:r>
    </w:p>
    <w:p>
      <w:pPr>
        <w:spacing w:after="0" w:line="197" w:lineRule="exact"/>
        <w:rPr>
          <w:rFonts w:ascii="Arial" w:cs="Arial" w:eastAsia="Arial" w:hAnsi="Arial"/>
          <w:sz w:val="18"/>
          <w:szCs w:val="18"/>
          <w:b w:val="1"/>
          <w:bCs w:val="1"/>
          <w:color w:val="auto"/>
        </w:rPr>
      </w:pPr>
    </w:p>
    <w:p>
      <w:pPr>
        <w:ind w:left="660" w:right="20" w:hanging="328"/>
        <w:spacing w:after="0" w:line="277" w:lineRule="auto"/>
        <w:tabs>
          <w:tab w:leader="none" w:pos="651"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You will be eligible for our Company Sponsored Plans: Life and AD &amp; D insurance at 1.5 times your Basic Annual Earnings and Long-Term Disability with a monthly benefits equaling to 60% of monthly pre-disability pay, to a maximum of $6,000.00 per month.</w:t>
      </w:r>
    </w:p>
    <w:p>
      <w:pPr>
        <w:spacing w:after="0" w:line="197" w:lineRule="exact"/>
        <w:rPr>
          <w:rFonts w:ascii="Arial" w:cs="Arial" w:eastAsia="Arial" w:hAnsi="Arial"/>
          <w:sz w:val="18"/>
          <w:szCs w:val="18"/>
          <w:b w:val="1"/>
          <w:bCs w:val="1"/>
          <w:color w:val="auto"/>
        </w:rPr>
      </w:pPr>
    </w:p>
    <w:p>
      <w:pPr>
        <w:jc w:val="both"/>
        <w:ind w:left="660" w:hanging="328"/>
        <w:spacing w:after="0" w:line="263" w:lineRule="auto"/>
        <w:tabs>
          <w:tab w:leader="none" w:pos="658"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You will be eligible to participate in the Company’s 401(k) Plan through Fidelity Investment on July 1, 2020. We match 100% of the first 3% in eligible compensation deferred and 50% of the next 2% in eligible compensation deferred. You are 100% vested immediately on the employer match.</w:t>
      </w:r>
    </w:p>
    <w:p>
      <w:pPr>
        <w:spacing w:after="0" w:line="224" w:lineRule="exact"/>
        <w:rPr>
          <w:rFonts w:ascii="Arial" w:cs="Arial" w:eastAsia="Arial" w:hAnsi="Arial"/>
          <w:sz w:val="18"/>
          <w:szCs w:val="18"/>
          <w:b w:val="1"/>
          <w:bCs w:val="1"/>
          <w:color w:val="auto"/>
        </w:rPr>
      </w:pPr>
    </w:p>
    <w:p>
      <w:pPr>
        <w:jc w:val="both"/>
        <w:ind w:left="660" w:hanging="328"/>
        <w:spacing w:after="0" w:line="279" w:lineRule="auto"/>
        <w:tabs>
          <w:tab w:leader="none" w:pos="651"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You will be eligible for our Company’s Deferred Compensation Plan through Lockton. This exclusive plan provides an opportunity to defer salary and/or incentive compensation on a pretax basis to assist with your personal tax planning and funding of future retirement income. You will be eligible to enroll the first of the month following 30 days of employment.</w:t>
      </w:r>
    </w:p>
    <w:p>
      <w:pPr>
        <w:spacing w:after="0" w:line="209" w:lineRule="exact"/>
        <w:rPr>
          <w:rFonts w:ascii="Arial" w:cs="Arial" w:eastAsia="Arial" w:hAnsi="Arial"/>
          <w:sz w:val="18"/>
          <w:szCs w:val="18"/>
          <w:b w:val="1"/>
          <w:bCs w:val="1"/>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You can elect up to a maximum of 90% of your base salary.</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You can elect 10% to 100% of your annual bonus.</w:t>
      </w:r>
    </w:p>
    <w:p>
      <w:pPr>
        <w:spacing w:after="0" w:line="25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You are eligible for (6) paid holidays and ½ day on Christmas Eve and New Year’s Eve.</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Neither the policies nor practices described in this document, nor the document itself, create an express or implied contract of employment or any other contractual commitment. Mission Produce Inc. may modify the terms outlined herein at its sole discretion without notice, at any time, consistent with applicable law.</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Employment with Mission Produce, Inc. is on an at-will basis, which means that either you or the company may terminate the employment relationship at any time for any or no reason, consistent with applicable law.</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you will find our environment to be challenging, stimulating, and rewarding. Please sign and return the offer within five (5) business days. This offer of employment will lapse at that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Upon execution, please return the signed letter by one of the following options:</w:t>
      </w:r>
    </w:p>
    <w:p>
      <w:pPr>
        <w:spacing w:after="0" w:line="252" w:lineRule="exact"/>
        <w:rPr>
          <w:sz w:val="20"/>
          <w:szCs w:val="20"/>
          <w:color w:val="auto"/>
        </w:rPr>
      </w:pPr>
    </w:p>
    <w:p>
      <w:pPr>
        <w:ind w:left="700" w:hanging="32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Fax a signed copy to Rachel Rivas at (805) 228-4720.</w:t>
      </w:r>
    </w:p>
    <w:p>
      <w:pPr>
        <w:spacing w:after="0" w:line="23" w:lineRule="exact"/>
        <w:rPr>
          <w:rFonts w:ascii="Arial" w:cs="Arial" w:eastAsia="Arial" w:hAnsi="Arial"/>
          <w:sz w:val="18"/>
          <w:szCs w:val="18"/>
          <w:color w:val="auto"/>
        </w:rPr>
      </w:pPr>
    </w:p>
    <w:p>
      <w:pPr>
        <w:ind w:left="700" w:hanging="328"/>
        <w:spacing w:after="0"/>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Scan and email the signed copy to rrivas@missionproduce.com</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receiving your signed offer letter, Jenna Colitti, will contact you directly to provide you a schedule of your first day of new hire orientation and indoctrination into the Mission Produce team.</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am confident that you will undoubtedly be instrumental to our business. I look forward to working with you in this new capacity. Please feel free to contact me directly if you have questions.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240"/>
          </w:cols>
          <w:pgMar w:left="320" w:top="1440" w:right="339" w:bottom="1440" w:gutter="0" w:footer="0" w:header="0"/>
        </w:sectPr>
      </w:pPr>
    </w:p>
    <w:bookmarkStart w:id="25" w:name="page26"/>
    <w:bookmarkEnd w:id="25"/>
    <w:p>
      <w:pPr>
        <w:spacing w:after="0" w:line="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Rachel Rivas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Rachel Rivas</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Director of Human Resources</w:t>
      </w:r>
    </w:p>
    <w:p>
      <w:pPr>
        <w:spacing w:after="0" w:line="200" w:lineRule="exact"/>
        <w:rPr>
          <w:sz w:val="20"/>
          <w:szCs w:val="20"/>
          <w:color w:val="auto"/>
        </w:rPr>
      </w:pPr>
    </w:p>
    <w:p>
      <w:pPr>
        <w:spacing w:after="0" w:line="331"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b w:val="1"/>
          <w:bCs w:val="1"/>
          <w:color w:val="auto"/>
        </w:rPr>
        <w:t>I acknowledge receipt of this offer. I have read and understand the conditions of employment. By signing below, I have agreed and accepted the terms and conditions of your offer as stated above.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gridSpan w:val="2"/>
          </w:tcPr>
          <w:p>
            <w:pPr>
              <w:jc w:val="right"/>
              <w:ind w:right="6240"/>
              <w:spacing w:after="0"/>
              <w:rPr>
                <w:sz w:val="20"/>
                <w:szCs w:val="20"/>
                <w:color w:val="auto"/>
              </w:rPr>
            </w:pPr>
            <w:r>
              <w:rPr>
                <w:rFonts w:ascii="Arial" w:cs="Arial" w:eastAsia="Arial" w:hAnsi="Arial"/>
                <w:sz w:val="18"/>
                <w:szCs w:val="18"/>
                <w:color w:val="auto"/>
                <w:w w:val="95"/>
              </w:rPr>
              <w:t>/s/ Mike Browne</w:t>
            </w:r>
          </w:p>
        </w:tc>
        <w:tc>
          <w:tcPr>
            <w:tcW w:w="3760" w:type="dxa"/>
            <w:vAlign w:val="bottom"/>
          </w:tcPr>
          <w:p>
            <w:pPr>
              <w:ind w:left="20"/>
              <w:spacing w:after="0"/>
              <w:rPr>
                <w:sz w:val="20"/>
                <w:szCs w:val="20"/>
                <w:color w:val="auto"/>
              </w:rPr>
            </w:pPr>
            <w:r>
              <w:rPr>
                <w:rFonts w:ascii="Arial" w:cs="Arial" w:eastAsia="Arial" w:hAnsi="Arial"/>
                <w:sz w:val="18"/>
                <w:szCs w:val="18"/>
                <w:color w:val="auto"/>
              </w:rPr>
              <w:t>01/29/2020</w:t>
            </w:r>
          </w:p>
        </w:tc>
      </w:tr>
      <w:tr>
        <w:trPr>
          <w:trHeight w:val="224"/>
        </w:trPr>
        <w:tc>
          <w:tcPr>
            <w:tcW w:w="5180" w:type="dxa"/>
            <w:vAlign w:val="bottom"/>
            <w:tcBorders>
              <w:top w:val="single" w:sz="8" w:color="auto"/>
            </w:tcBorders>
          </w:tcPr>
          <w:p>
            <w:pPr>
              <w:jc w:val="right"/>
              <w:ind w:right="3850"/>
              <w:spacing w:after="0"/>
              <w:rPr>
                <w:sz w:val="20"/>
                <w:szCs w:val="20"/>
                <w:color w:val="auto"/>
              </w:rPr>
            </w:pPr>
            <w:r>
              <w:rPr>
                <w:rFonts w:ascii="Arial" w:cs="Arial" w:eastAsia="Arial" w:hAnsi="Arial"/>
                <w:sz w:val="18"/>
                <w:szCs w:val="18"/>
                <w:color w:val="auto"/>
              </w:rPr>
              <w:t>Mike Browne</w:t>
            </w:r>
          </w:p>
        </w:tc>
        <w:tc>
          <w:tcPr>
            <w:tcW w:w="2300" w:type="dxa"/>
            <w:vAlign w:val="bottom"/>
          </w:tcPr>
          <w:p>
            <w:pPr>
              <w:spacing w:after="0"/>
              <w:rPr>
                <w:sz w:val="19"/>
                <w:szCs w:val="19"/>
                <w:color w:val="auto"/>
              </w:rPr>
            </w:pPr>
          </w:p>
        </w:tc>
        <w:tc>
          <w:tcPr>
            <w:tcW w:w="3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240"/>
          </w:cols>
          <w:pgMar w:left="320" w:top="1440" w:right="339" w:bottom="1440" w:gutter="0" w:footer="0" w:header="0"/>
        </w:sectPr>
      </w:pPr>
    </w:p>
    <w:bookmarkStart w:id="26" w:name="page27"/>
    <w:bookmarkEnd w:id="26"/>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CERTIFICATION OF CHIEF EXECUTIVE OFFICER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PURSUANT TO SECTION 302 OF THE SARBANES-OXLEY ACT OF 2002</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Stephen J. Barnard, certify that:</w:t>
      </w:r>
    </w:p>
    <w:p>
      <w:pPr>
        <w:spacing w:after="0" w:line="22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Mission Produce, Inc.;</w:t>
      </w:r>
    </w:p>
    <w:p>
      <w:pPr>
        <w:spacing w:after="0" w:line="221" w:lineRule="exact"/>
        <w:rPr>
          <w:rFonts w:ascii="Arial" w:cs="Arial" w:eastAsia="Arial" w:hAnsi="Arial"/>
          <w:sz w:val="16"/>
          <w:szCs w:val="16"/>
          <w:color w:val="auto"/>
        </w:rPr>
      </w:pPr>
    </w:p>
    <w:p>
      <w:pPr>
        <w:jc w:val="both"/>
        <w:ind w:left="660" w:right="100" w:hanging="328"/>
        <w:spacing w:after="0" w:line="25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20" w:hanging="328"/>
        <w:spacing w:after="0" w:line="26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jc w:val="both"/>
        <w:ind w:left="660" w:right="220" w:hanging="328"/>
        <w:spacing w:after="0" w:line="25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1300" w:right="220" w:hanging="320"/>
        <w:spacing w:after="0" w:line="253" w:lineRule="auto"/>
        <w:tabs>
          <w:tab w:leader="none" w:pos="1322"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320" w:hanging="340"/>
        <w:spacing w:after="0"/>
        <w:tabs>
          <w:tab w:leader="none" w:pos="13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 13a-14(a)];</w:t>
      </w:r>
    </w:p>
    <w:p>
      <w:pPr>
        <w:spacing w:after="0" w:line="221" w:lineRule="exact"/>
        <w:rPr>
          <w:rFonts w:ascii="Arial" w:cs="Arial" w:eastAsia="Arial" w:hAnsi="Arial"/>
          <w:sz w:val="16"/>
          <w:szCs w:val="16"/>
          <w:color w:val="auto"/>
        </w:rPr>
      </w:pPr>
    </w:p>
    <w:p>
      <w:pPr>
        <w:jc w:val="both"/>
        <w:ind w:left="1300" w:right="140" w:hanging="320"/>
        <w:spacing w:after="0" w:line="260" w:lineRule="auto"/>
        <w:tabs>
          <w:tab w:leader="none" w:pos="1313"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300" w:hanging="320"/>
        <w:spacing w:after="0" w:line="253" w:lineRule="auto"/>
        <w:tabs>
          <w:tab w:leader="none" w:pos="130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300" w:right="600" w:hanging="320"/>
        <w:spacing w:after="0" w:line="260" w:lineRule="auto"/>
        <w:tabs>
          <w:tab w:leader="none" w:pos="1322"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300" w:right="260" w:hanging="320"/>
        <w:spacing w:after="0" w:line="260" w:lineRule="auto"/>
        <w:tabs>
          <w:tab w:leader="none" w:pos="1309"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10795</wp:posOffset>
            </wp:positionV>
            <wp:extent cx="28028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9"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Stephen J. Barnard</w:t>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2021</w:t>
      </w:r>
    </w:p>
    <w:p>
      <w:pPr>
        <w:sectPr>
          <w:pgSz w:w="11900" w:h="16838" w:orient="portrait"/>
          <w:cols w:equalWidth="0" w:num="1">
            <w:col w:w="11220"/>
          </w:cols>
          <w:pgMar w:left="320" w:top="1440" w:right="359" w:bottom="1440" w:gutter="0" w:footer="0" w:header="0"/>
        </w:sectPr>
      </w:pPr>
    </w:p>
    <w:bookmarkStart w:id="27" w:name="page28"/>
    <w:bookmarkEnd w:id="27"/>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CERTIFICATION OF CHIEF FINANCIAL OFFICER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232F84"/>
        </w:rPr>
        <w:t>PURSUANT TO SECTION 302 OF THE SARBANES-OXLEY ACT OF 2002</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I, Bryan E. Giles, certify that:</w:t>
      </w:r>
    </w:p>
    <w:p>
      <w:pPr>
        <w:spacing w:after="0" w:line="22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Mission Produce, Inc.;</w:t>
      </w:r>
    </w:p>
    <w:p>
      <w:pPr>
        <w:spacing w:after="0" w:line="221" w:lineRule="exact"/>
        <w:rPr>
          <w:rFonts w:ascii="Arial" w:cs="Arial" w:eastAsia="Arial" w:hAnsi="Arial"/>
          <w:sz w:val="16"/>
          <w:szCs w:val="16"/>
          <w:color w:val="auto"/>
        </w:rPr>
      </w:pPr>
    </w:p>
    <w:p>
      <w:pPr>
        <w:jc w:val="both"/>
        <w:ind w:left="660" w:right="100" w:hanging="328"/>
        <w:spacing w:after="0" w:line="25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6"/>
          <w:szCs w:val="16"/>
          <w:color w:val="auto"/>
        </w:rPr>
      </w:pPr>
    </w:p>
    <w:p>
      <w:pPr>
        <w:ind w:left="660" w:right="22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5" w:lineRule="exact"/>
        <w:rPr>
          <w:rFonts w:ascii="Arial" w:cs="Arial" w:eastAsia="Arial" w:hAnsi="Arial"/>
          <w:sz w:val="16"/>
          <w:szCs w:val="16"/>
          <w:color w:val="auto"/>
        </w:rPr>
      </w:pPr>
    </w:p>
    <w:p>
      <w:pPr>
        <w:jc w:val="both"/>
        <w:ind w:left="660" w:right="220" w:hanging="328"/>
        <w:spacing w:after="0" w:line="25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ind w:left="1300" w:right="220" w:hanging="320"/>
        <w:spacing w:after="0" w:line="253" w:lineRule="auto"/>
        <w:tabs>
          <w:tab w:leader="none" w:pos="1322"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320" w:hanging="340"/>
        <w:spacing w:after="0"/>
        <w:tabs>
          <w:tab w:leader="none" w:pos="13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[paragraph omitted in accordance with Exchange Act Rule 13a-14(a)];</w:t>
      </w:r>
    </w:p>
    <w:p>
      <w:pPr>
        <w:spacing w:after="0" w:line="221" w:lineRule="exact"/>
        <w:rPr>
          <w:rFonts w:ascii="Arial" w:cs="Arial" w:eastAsia="Arial" w:hAnsi="Arial"/>
          <w:sz w:val="16"/>
          <w:szCs w:val="16"/>
          <w:color w:val="auto"/>
        </w:rPr>
      </w:pPr>
    </w:p>
    <w:p>
      <w:pPr>
        <w:jc w:val="both"/>
        <w:ind w:left="1300" w:right="140" w:hanging="320"/>
        <w:spacing w:after="0" w:line="260" w:lineRule="auto"/>
        <w:tabs>
          <w:tab w:leader="none" w:pos="1313"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300" w:hanging="320"/>
        <w:spacing w:after="0" w:line="253" w:lineRule="auto"/>
        <w:tabs>
          <w:tab w:leader="none" w:pos="1309"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660" w:right="240" w:hanging="328"/>
        <w:spacing w:after="0" w:line="26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300" w:right="600" w:hanging="320"/>
        <w:spacing w:after="0" w:line="260" w:lineRule="auto"/>
        <w:tabs>
          <w:tab w:leader="none" w:pos="1322"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300" w:right="260" w:hanging="320"/>
        <w:spacing w:after="0" w:line="260" w:lineRule="auto"/>
        <w:tabs>
          <w:tab w:leader="none" w:pos="1309"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jc w:val="center"/>
        <w:ind w:left="6800"/>
        <w:spacing w:after="0"/>
        <w:rPr>
          <w:sz w:val="20"/>
          <w:szCs w:val="20"/>
          <w:color w:val="auto"/>
        </w:rPr>
      </w:pPr>
      <w:r>
        <w:rPr>
          <w:rFonts w:ascii="Arial" w:cs="Arial" w:eastAsia="Arial" w:hAnsi="Arial"/>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10795</wp:posOffset>
            </wp:positionV>
            <wp:extent cx="2802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9" w:lineRule="exact"/>
        <w:rPr>
          <w:sz w:val="20"/>
          <w:szCs w:val="20"/>
          <w:color w:val="auto"/>
        </w:rPr>
      </w:pPr>
    </w:p>
    <w:p>
      <w:pPr>
        <w:jc w:val="center"/>
        <w:ind w:left="6800"/>
        <w:spacing w:after="0"/>
        <w:rPr>
          <w:sz w:val="20"/>
          <w:szCs w:val="20"/>
          <w:color w:val="auto"/>
        </w:rPr>
      </w:pPr>
      <w:r>
        <w:rPr>
          <w:rFonts w:ascii="Arial" w:cs="Arial" w:eastAsia="Arial" w:hAnsi="Arial"/>
          <w:sz w:val="16"/>
          <w:szCs w:val="16"/>
          <w:color w:val="auto"/>
        </w:rPr>
        <w:t>Bryan E. Giles</w:t>
      </w:r>
    </w:p>
    <w:p>
      <w:pPr>
        <w:spacing w:after="0" w:line="43" w:lineRule="exact"/>
        <w:rPr>
          <w:sz w:val="20"/>
          <w:szCs w:val="20"/>
          <w:color w:val="auto"/>
        </w:rPr>
      </w:pPr>
    </w:p>
    <w:p>
      <w:pPr>
        <w:jc w:val="center"/>
        <w:ind w:left="6800"/>
        <w:spacing w:after="0"/>
        <w:rPr>
          <w:sz w:val="20"/>
          <w:szCs w:val="20"/>
          <w:color w:val="auto"/>
        </w:rPr>
      </w:pPr>
      <w:r>
        <w:rPr>
          <w:rFonts w:ascii="Arial" w:cs="Arial" w:eastAsia="Arial" w:hAnsi="Arial"/>
          <w:sz w:val="16"/>
          <w:szCs w:val="16"/>
          <w:i w:val="1"/>
          <w:iCs w:val="1"/>
          <w:color w:val="auto"/>
        </w:rPr>
        <w:t>Chief Financial Officer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2021</w:t>
      </w:r>
    </w:p>
    <w:p>
      <w:pPr>
        <w:sectPr>
          <w:pgSz w:w="11900" w:h="16838" w:orient="portrait"/>
          <w:cols w:equalWidth="0" w:num="1">
            <w:col w:w="11220"/>
          </w:cols>
          <w:pgMar w:left="320" w:top="1440" w:right="359" w:bottom="1440" w:gutter="0" w:footer="0" w:header="0"/>
        </w:sectPr>
      </w:pPr>
    </w:p>
    <w:bookmarkStart w:id="28" w:name="page29"/>
    <w:bookmarkEnd w:id="28"/>
    <w:p>
      <w:pPr>
        <w:spacing w:after="0" w:line="6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232F84"/>
        </w:rPr>
        <w:t>CERTIFICATION OF CHIEF EXECUTIVE OFFICER</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232F84"/>
        </w:rPr>
        <w:t>PURSUANT TO SECTION 906 OF THE SARBANES-OXLEY ACT OF 2002</w:t>
      </w:r>
    </w:p>
    <w:p>
      <w:pPr>
        <w:spacing w:after="0" w:line="25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Mission Produce, Inc. (the “Company”) hereby certifies, to the best of his knowledge, that:</w:t>
      </w:r>
    </w:p>
    <w:p>
      <w:pPr>
        <w:spacing w:after="0" w:line="195" w:lineRule="exact"/>
        <w:rPr>
          <w:sz w:val="20"/>
          <w:szCs w:val="20"/>
          <w:color w:val="auto"/>
        </w:rPr>
      </w:pPr>
    </w:p>
    <w:p>
      <w:pPr>
        <w:ind w:left="660" w:hanging="328"/>
        <w:spacing w:after="0" w:line="260" w:lineRule="auto"/>
        <w:tabs>
          <w:tab w:leader="none" w:pos="6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January 31, 2021 (the “Report”) fully complies with the requirements of Section 13(a) or Section 15(d), as applicable, of the Securities Exchange Act of 1934, as amended; and</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5" w:lineRule="exact"/>
        <w:rPr>
          <w:sz w:val="20"/>
          <w:szCs w:val="20"/>
          <w:color w:val="auto"/>
        </w:rPr>
      </w:pPr>
    </w:p>
    <w:p>
      <w:pPr>
        <w:ind w:left="8220"/>
        <w:spacing w:after="0"/>
        <w:rPr>
          <w:sz w:val="20"/>
          <w:szCs w:val="20"/>
          <w:color w:val="auto"/>
        </w:rPr>
      </w:pPr>
      <w:r>
        <w:rPr>
          <w:rFonts w:ascii="Arial" w:cs="Arial" w:eastAsia="Arial" w:hAnsi="Arial"/>
          <w:sz w:val="16"/>
          <w:szCs w:val="16"/>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10795</wp:posOffset>
            </wp:positionV>
            <wp:extent cx="2802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9"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Stephen J. Barnard</w:t>
      </w:r>
    </w:p>
    <w:p>
      <w:pPr>
        <w:spacing w:after="0" w:line="30" w:lineRule="exact"/>
        <w:rPr>
          <w:sz w:val="20"/>
          <w:szCs w:val="20"/>
          <w:color w:val="auto"/>
        </w:rPr>
      </w:pPr>
    </w:p>
    <w:p>
      <w:pPr>
        <w:ind w:left="7360"/>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2021</w:t>
      </w:r>
    </w:p>
    <w:p>
      <w:pPr>
        <w:sectPr>
          <w:pgSz w:w="11900" w:h="16838" w:orient="portrait"/>
          <w:cols w:equalWidth="0" w:num="1">
            <w:col w:w="11040"/>
          </w:cols>
          <w:pgMar w:left="320" w:top="1440" w:right="539" w:bottom="1440" w:gutter="0" w:footer="0" w:header="0"/>
        </w:sectPr>
      </w:pPr>
    </w:p>
    <w:bookmarkStart w:id="29" w:name="page30"/>
    <w:bookmarkEnd w:id="29"/>
    <w:p>
      <w:pPr>
        <w:spacing w:after="0" w:line="6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232F84"/>
        </w:rPr>
        <w:t>CERTIFICATION OF CHIEF FINANCIAL OFFICER</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232F84"/>
        </w:rPr>
        <w:t>PURSUANT TO SECTION 906 OF THE SARBANES-OXLEY ACT OF 2002</w:t>
      </w:r>
    </w:p>
    <w:p>
      <w:pPr>
        <w:spacing w:after="0" w:line="25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Pursuant to 18 U.S.C. Section 1350, as created by Section 906 of the Sarbanes-Oxley Act of 2002, the undersigned officer of Mission Produce, Inc. (the “Company”) hereby certifies, to the best of his knowledge, that:</w:t>
      </w:r>
    </w:p>
    <w:p>
      <w:pPr>
        <w:spacing w:after="0" w:line="195" w:lineRule="exact"/>
        <w:rPr>
          <w:sz w:val="20"/>
          <w:szCs w:val="20"/>
          <w:color w:val="auto"/>
        </w:rPr>
      </w:pPr>
    </w:p>
    <w:p>
      <w:pPr>
        <w:ind w:left="660" w:hanging="328"/>
        <w:spacing w:after="0" w:line="260" w:lineRule="auto"/>
        <w:tabs>
          <w:tab w:leader="none" w:pos="669"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January 31, 2021 (the “Report”) fully complies with the requirements of Section 13(a) or Section 15(d), as applicable, of the Securities Exchange Act of 1934, as amended; and</w:t>
      </w:r>
    </w:p>
    <w:p>
      <w:pPr>
        <w:spacing w:after="0" w:line="195" w:lineRule="exact"/>
        <w:rPr>
          <w:rFonts w:ascii="Arial" w:cs="Arial" w:eastAsia="Arial" w:hAnsi="Arial"/>
          <w:sz w:val="16"/>
          <w:szCs w:val="16"/>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jc w:val="center"/>
        <w:ind w:left="6800"/>
        <w:spacing w:after="0"/>
        <w:rPr>
          <w:sz w:val="20"/>
          <w:szCs w:val="20"/>
          <w:color w:val="auto"/>
        </w:rPr>
      </w:pPr>
      <w:r>
        <w:rPr>
          <w:rFonts w:ascii="Arial" w:cs="Arial" w:eastAsia="Arial" w:hAnsi="Arial"/>
          <w:sz w:val="16"/>
          <w:szCs w:val="16"/>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10795</wp:posOffset>
            </wp:positionV>
            <wp:extent cx="2802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39" w:lineRule="exact"/>
        <w:rPr>
          <w:sz w:val="20"/>
          <w:szCs w:val="20"/>
          <w:color w:val="auto"/>
        </w:rPr>
      </w:pPr>
    </w:p>
    <w:p>
      <w:pPr>
        <w:jc w:val="center"/>
        <w:ind w:left="6800"/>
        <w:spacing w:after="0"/>
        <w:rPr>
          <w:sz w:val="20"/>
          <w:szCs w:val="20"/>
          <w:color w:val="auto"/>
        </w:rPr>
      </w:pPr>
      <w:r>
        <w:rPr>
          <w:rFonts w:ascii="Arial" w:cs="Arial" w:eastAsia="Arial" w:hAnsi="Arial"/>
          <w:sz w:val="16"/>
          <w:szCs w:val="16"/>
          <w:color w:val="auto"/>
        </w:rPr>
        <w:t>Bryan E. Giles</w:t>
      </w:r>
    </w:p>
    <w:p>
      <w:pPr>
        <w:spacing w:after="0" w:line="43" w:lineRule="exact"/>
        <w:rPr>
          <w:sz w:val="20"/>
          <w:szCs w:val="20"/>
          <w:color w:val="auto"/>
        </w:rPr>
      </w:pPr>
    </w:p>
    <w:p>
      <w:pPr>
        <w:jc w:val="center"/>
        <w:ind w:left="6800"/>
        <w:spacing w:after="0"/>
        <w:rPr>
          <w:sz w:val="20"/>
          <w:szCs w:val="20"/>
          <w:color w:val="auto"/>
        </w:rPr>
      </w:pPr>
      <w:r>
        <w:rPr>
          <w:rFonts w:ascii="Arial" w:cs="Arial" w:eastAsia="Arial" w:hAnsi="Arial"/>
          <w:sz w:val="16"/>
          <w:szCs w:val="16"/>
          <w:i w:val="1"/>
          <w:iCs w:val="1"/>
          <w:color w:val="auto"/>
        </w:rPr>
        <w:t>Chief Financial Officer</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 March 11, 2021</w:t>
      </w:r>
    </w:p>
    <w:sectPr>
      <w:pgSz w:w="11900" w:h="16838" w:orient="portrait"/>
      <w:cols w:equalWidth="0" w:num="1">
        <w:col w:w="11040"/>
      </w:cols>
      <w:pgMar w:left="320" w:top="14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5"/>
    </w:lvl>
  </w:abstractNum>
  <w:abstractNum w:abstractNumId="6">
    <w:nsid w:val="3352255A"/>
    <w:multiLevelType w:val="hybridMultilevel"/>
    <w:lvl w:ilvl="0">
      <w:lvlJc w:val="left"/>
      <w:lvlText w:val="%1."/>
      <w:numFmt w:val="decimal"/>
      <w:start w:val="6"/>
    </w:lvl>
  </w:abstractNum>
  <w:abstractNum w:abstractNumId="7">
    <w:nsid w:val="109CF92E"/>
    <w:multiLevelType w:val="hybridMultilevel"/>
    <w:lvl w:ilvl="0">
      <w:lvlJc w:val="left"/>
      <w:lvlText w:val="%1."/>
      <w:numFmt w:val="decimal"/>
      <w:start w:val="7"/>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lvl w:ilvl="1">
      <w:lvlJc w:val="left"/>
      <w:lvlText w:val="%2."/>
      <w:numFmt w:val="lowerLetter"/>
      <w:start w:val="1"/>
    </w:lvl>
    <w:lvl w:ilvl="2">
      <w:lvlJc w:val="left"/>
      <w:lvlText w:val="•"/>
      <w:numFmt w:val="bullet"/>
      <w:start w:val="1"/>
    </w:lvl>
  </w:abstractNum>
  <w:abstractNum w:abstractNumId="13">
    <w:nsid w:val="4E6AFB66"/>
    <w:multiLevelType w:val="hybridMultilevel"/>
    <w:lvl w:ilvl="0">
      <w:lvlJc w:val="left"/>
      <w:lvlText w:val="%1)"/>
      <w:numFmt w:val="lowerLetter"/>
      <w:start w:val="1"/>
    </w:lvl>
    <w:lvl w:ilvl="1">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19" Type="http://schemas.openxmlformats.org/officeDocument/2006/relationships/hyperlink" Target="https://www.sec.gov/Archives/edgar/data/1802974/000119312520265099/d32849dex31.htm" TargetMode="External"/><Relationship Id="rId20" Type="http://schemas.openxmlformats.org/officeDocument/2006/relationships/hyperlink" Target="https://www.sec.gov/Archives/edgar/data/1802974/000119312520265099/d3284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2021-03-11T08:11:55Z</dcterms:created>
  <dcterms:modified xsi:type="dcterms:W3CDTF">2021-03-11T08:11:55Z</dcterms:modified>
</cp:coreProperties>
</file>