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205105</wp:posOffset>
            </wp:positionH>
            <wp:positionV relativeFrom="page">
              <wp:posOffset>514350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539115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jc w:val="center"/>
        <w:ind w:right="-39"/>
        <w:spacing w:after="0" w:line="232" w:lineRule="auto"/>
        <w:rPr>
          <w:sz w:val="20"/>
          <w:szCs w:val="20"/>
          <w:color w:val="auto"/>
        </w:rPr>
      </w:pPr>
      <w:r>
        <w:rPr>
          <w:rFonts w:ascii="Arial" w:cs="Arial" w:eastAsia="Arial" w:hAnsi="Arial"/>
          <w:sz w:val="24"/>
          <w:szCs w:val="24"/>
          <w:b w:val="1"/>
          <w:bCs w:val="1"/>
          <w:color w:val="auto"/>
        </w:rPr>
        <w:t>SECURITIES AND EXCHANGE COMMISSION</w:t>
      </w:r>
    </w:p>
    <w:p>
      <w:pPr>
        <w:jc w:val="center"/>
        <w:ind w:right="-39"/>
        <w:spacing w:after="0" w:line="219" w:lineRule="auto"/>
        <w:rPr>
          <w:sz w:val="20"/>
          <w:szCs w:val="20"/>
          <w:color w:val="auto"/>
        </w:rPr>
      </w:pPr>
      <w:r>
        <w:rPr>
          <w:rFonts w:ascii="Arial" w:cs="Arial" w:eastAsia="Arial" w:hAnsi="Arial"/>
          <w:sz w:val="14"/>
          <w:szCs w:val="14"/>
          <w:b w:val="1"/>
          <w:bCs w:val="1"/>
          <w:color w:val="auto"/>
        </w:rPr>
        <w:t>WASHINGTON, D.C. 20549</w:t>
      </w:r>
    </w:p>
    <w:p>
      <w:pPr>
        <w:ind w:left="5260"/>
        <w:spacing w:after="0"/>
        <w:rPr>
          <w:sz w:val="20"/>
          <w:szCs w:val="20"/>
          <w:color w:val="auto"/>
        </w:rPr>
      </w:pPr>
      <w:r>
        <w:rPr>
          <w:rFonts w:ascii="Arial" w:cs="Arial" w:eastAsia="Arial" w:hAnsi="Arial"/>
          <w:sz w:val="10"/>
          <w:szCs w:val="10"/>
          <w:u w:val="single" w:color="auto"/>
          <w:color w:val="auto"/>
        </w:rPr>
        <w:t>_____________</w:t>
      </w:r>
    </w:p>
    <w:p>
      <w:pPr>
        <w:spacing w:after="0" w:line="85"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FORM 10-Q</w:t>
      </w:r>
    </w:p>
    <w:p>
      <w:pPr>
        <w:spacing w:after="0" w:line="14" w:lineRule="exact"/>
        <w:rPr>
          <w:sz w:val="24"/>
          <w:szCs w:val="24"/>
          <w:color w:val="auto"/>
        </w:rPr>
      </w:pPr>
    </w:p>
    <w:p>
      <w:pPr>
        <w:ind w:left="5260"/>
        <w:spacing w:after="0"/>
        <w:rPr>
          <w:sz w:val="20"/>
          <w:szCs w:val="20"/>
          <w:color w:val="auto"/>
        </w:rPr>
      </w:pPr>
      <w:r>
        <w:rPr>
          <w:rFonts w:ascii="Arial" w:cs="Arial" w:eastAsia="Arial" w:hAnsi="Arial"/>
          <w:sz w:val="10"/>
          <w:szCs w:val="10"/>
          <w:u w:val="single" w:color="auto"/>
          <w:color w:val="auto"/>
        </w:rPr>
        <w:t>_____________</w:t>
      </w:r>
    </w:p>
    <w:p>
      <w:pPr>
        <w:spacing w:after="0" w:line="21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9" w:lineRule="exact"/>
        <w:rPr>
          <w:sz w:val="24"/>
          <w:szCs w:val="24"/>
          <w:color w:val="auto"/>
        </w:rPr>
      </w:pPr>
    </w:p>
    <w:p>
      <w:pPr>
        <w:ind w:left="400" w:hanging="380"/>
        <w:spacing w:after="0"/>
        <w:tabs>
          <w:tab w:leader="none" w:pos="40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348" w:lineRule="exact"/>
        <w:rPr>
          <w:sz w:val="24"/>
          <w:szCs w:val="24"/>
          <w:color w:val="auto"/>
        </w:rPr>
      </w:pPr>
    </w:p>
    <w:p>
      <w:pPr>
        <w:ind w:left="4480"/>
        <w:spacing w:after="0"/>
        <w:rPr>
          <w:sz w:val="20"/>
          <w:szCs w:val="20"/>
          <w:color w:val="auto"/>
        </w:rPr>
      </w:pPr>
      <w:r>
        <w:rPr>
          <w:rFonts w:ascii="Arial" w:cs="Arial" w:eastAsia="Arial" w:hAnsi="Arial"/>
          <w:sz w:val="14"/>
          <w:szCs w:val="14"/>
          <w:b w:val="1"/>
          <w:bCs w:val="1"/>
          <w:color w:val="auto"/>
        </w:rPr>
        <w:t>For the quarterly period ended April 30, 2024</w:t>
      </w:r>
    </w:p>
    <w:p>
      <w:pPr>
        <w:spacing w:after="0" w:line="32" w:lineRule="exact"/>
        <w:rPr>
          <w:sz w:val="24"/>
          <w:szCs w:val="24"/>
          <w:color w:val="auto"/>
        </w:rPr>
      </w:pPr>
    </w:p>
    <w:p>
      <w:pPr>
        <w:ind w:left="5520"/>
        <w:spacing w:after="0"/>
        <w:rPr>
          <w:sz w:val="20"/>
          <w:szCs w:val="20"/>
          <w:color w:val="auto"/>
        </w:rPr>
      </w:pPr>
      <w:r>
        <w:rPr>
          <w:rFonts w:ascii="Arial" w:cs="Arial" w:eastAsia="Arial" w:hAnsi="Arial"/>
          <w:sz w:val="14"/>
          <w:szCs w:val="14"/>
          <w:b w:val="1"/>
          <w:bCs w:val="1"/>
          <w:color w:val="auto"/>
        </w:rPr>
        <w:t>OR</w:t>
      </w:r>
    </w:p>
    <w:p>
      <w:pPr>
        <w:spacing w:after="0" w:line="273" w:lineRule="exact"/>
        <w:rPr>
          <w:sz w:val="24"/>
          <w:szCs w:val="24"/>
          <w:color w:val="auto"/>
        </w:rPr>
      </w:pPr>
    </w:p>
    <w:p>
      <w:pPr>
        <w:ind w:left="400" w:hanging="380"/>
        <w:spacing w:after="0"/>
        <w:tabs>
          <w:tab w:leader="none" w:pos="40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90" w:lineRule="exact"/>
        <w:rPr>
          <w:sz w:val="24"/>
          <w:szCs w:val="24"/>
          <w:color w:val="auto"/>
        </w:rPr>
      </w:pPr>
    </w:p>
    <w:p>
      <w:pPr>
        <w:ind w:left="3780"/>
        <w:spacing w:after="0"/>
        <w:tabs>
          <w:tab w:leader="none" w:pos="65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3646170</wp:posOffset>
            </wp:positionH>
            <wp:positionV relativeFrom="paragraph">
              <wp:posOffset>-5715</wp:posOffset>
            </wp:positionV>
            <wp:extent cx="10998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001-39561</w:t>
      </w:r>
    </w:p>
    <w:p>
      <w:pPr>
        <w:ind w:left="5260"/>
        <w:spacing w:after="0"/>
        <w:rPr>
          <w:sz w:val="20"/>
          <w:szCs w:val="20"/>
          <w:color w:val="auto"/>
        </w:rPr>
      </w:pPr>
      <w:r>
        <w:rPr>
          <w:rFonts w:ascii="Arial" w:cs="Arial" w:eastAsia="Arial" w:hAnsi="Arial"/>
          <w:sz w:val="10"/>
          <w:szCs w:val="10"/>
          <w:u w:val="single" w:color="auto"/>
          <w:color w:val="auto"/>
        </w:rPr>
        <w:t>_____________</w:t>
      </w:r>
    </w:p>
    <w:p>
      <w:pPr>
        <w:spacing w:after="0" w:line="324"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MISSION PRODUCE, INC.</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5560"/>
        <w:spacing w:after="0"/>
        <w:rPr>
          <w:sz w:val="20"/>
          <w:szCs w:val="20"/>
          <w:color w:val="auto"/>
        </w:rPr>
      </w:pPr>
      <w:r>
        <w:rPr>
          <w:rFonts w:ascii="Arial" w:cs="Arial" w:eastAsia="Arial" w:hAnsi="Arial"/>
          <w:sz w:val="10"/>
          <w:szCs w:val="10"/>
          <w:u w:val="single" w:color="auto"/>
          <w:color w:val="auto"/>
        </w:rPr>
        <w:t>_____________</w:t>
      </w:r>
    </w:p>
    <w:p>
      <w:pPr>
        <w:sectPr>
          <w:pgSz w:w="11900" w:h="16838" w:orient="portrait"/>
          <w:cols w:equalWidth="0" w:num="1">
            <w:col w:w="11200"/>
          </w:cols>
          <w:pgMar w:left="320" w:top="981" w:right="379" w:bottom="1440" w:gutter="0" w:footer="0" w:header="0"/>
        </w:sectPr>
      </w:pPr>
    </w:p>
    <w:p>
      <w:pPr>
        <w:spacing w:after="0" w:line="227" w:lineRule="exact"/>
        <w:rPr>
          <w:sz w:val="24"/>
          <w:szCs w:val="24"/>
          <w:color w:val="auto"/>
        </w:rPr>
      </w:pPr>
    </w:p>
    <w:p>
      <w:pPr>
        <w:jc w:val="center"/>
        <w:ind w:right="2600"/>
        <w:spacing w:after="0"/>
        <w:rPr>
          <w:sz w:val="20"/>
          <w:szCs w:val="20"/>
          <w:color w:val="auto"/>
        </w:rPr>
      </w:pPr>
      <w:r>
        <w:rPr>
          <w:rFonts w:ascii="Arial" w:cs="Arial" w:eastAsia="Arial" w:hAnsi="Arial"/>
          <w:sz w:val="14"/>
          <w:szCs w:val="14"/>
          <w:b w:val="1"/>
          <w:bCs w:val="1"/>
          <w:color w:val="auto"/>
        </w:rPr>
        <w:t>Delaware</w:t>
      </w:r>
    </w:p>
    <w:p>
      <w:pPr>
        <w:spacing w:after="0" w:line="3" w:lineRule="exact"/>
        <w:rPr>
          <w:sz w:val="24"/>
          <w:szCs w:val="24"/>
          <w:color w:val="auto"/>
        </w:rPr>
      </w:pPr>
    </w:p>
    <w:p>
      <w:pPr>
        <w:ind w:left="1720"/>
        <w:spacing w:after="0"/>
        <w:rPr>
          <w:sz w:val="20"/>
          <w:szCs w:val="20"/>
          <w:color w:val="auto"/>
        </w:rPr>
      </w:pPr>
      <w:r>
        <w:rPr>
          <w:rFonts w:ascii="Arial" w:cs="Arial" w:eastAsia="Arial" w:hAnsi="Arial"/>
          <w:sz w:val="13"/>
          <w:szCs w:val="13"/>
          <w:b w:val="1"/>
          <w:bCs w:val="1"/>
          <w:color w:val="auto"/>
        </w:rPr>
        <w:t>(State or Other Jurisdiction of</w:t>
      </w:r>
    </w:p>
    <w:p>
      <w:pPr>
        <w:spacing w:after="0" w:line="5" w:lineRule="exact"/>
        <w:rPr>
          <w:sz w:val="24"/>
          <w:szCs w:val="24"/>
          <w:color w:val="auto"/>
        </w:rPr>
      </w:pPr>
    </w:p>
    <w:p>
      <w:pPr>
        <w:ind w:left="1700"/>
        <w:spacing w:after="0"/>
        <w:rPr>
          <w:sz w:val="20"/>
          <w:szCs w:val="20"/>
          <w:color w:val="auto"/>
        </w:rPr>
      </w:pPr>
      <w:r>
        <w:rPr>
          <w:rFonts w:ascii="Arial" w:cs="Arial" w:eastAsia="Arial" w:hAnsi="Arial"/>
          <w:sz w:val="13"/>
          <w:szCs w:val="13"/>
          <w:b w:val="1"/>
          <w:bCs w:val="1"/>
          <w:color w:val="auto"/>
        </w:rPr>
        <w:t>Incorporation or Organization)</w:t>
      </w:r>
    </w:p>
    <w:p>
      <w:pPr>
        <w:spacing w:after="0" w:line="151" w:lineRule="exact"/>
        <w:rPr>
          <w:sz w:val="24"/>
          <w:szCs w:val="24"/>
          <w:color w:val="auto"/>
        </w:rPr>
      </w:pPr>
    </w:p>
    <w:p>
      <w:pPr>
        <w:jc w:val="center"/>
        <w:ind w:right="2600"/>
        <w:spacing w:after="0"/>
        <w:rPr>
          <w:sz w:val="20"/>
          <w:szCs w:val="20"/>
          <w:color w:val="auto"/>
        </w:rPr>
      </w:pPr>
      <w:r>
        <w:rPr>
          <w:rFonts w:ascii="Arial" w:cs="Arial" w:eastAsia="Arial" w:hAnsi="Arial"/>
          <w:sz w:val="14"/>
          <w:szCs w:val="14"/>
          <w:b w:val="1"/>
          <w:bCs w:val="1"/>
          <w:color w:val="auto"/>
        </w:rPr>
        <w:t>2710 Camino Del Sol</w:t>
      </w:r>
    </w:p>
    <w:p>
      <w:pPr>
        <w:spacing w:after="0" w:line="21" w:lineRule="exact"/>
        <w:rPr>
          <w:sz w:val="24"/>
          <w:szCs w:val="24"/>
          <w:color w:val="auto"/>
        </w:rPr>
      </w:pPr>
    </w:p>
    <w:p>
      <w:pPr>
        <w:jc w:val="center"/>
        <w:ind w:right="2600"/>
        <w:spacing w:after="0"/>
        <w:rPr>
          <w:sz w:val="20"/>
          <w:szCs w:val="20"/>
          <w:color w:val="auto"/>
        </w:rPr>
      </w:pPr>
      <w:r>
        <w:rPr>
          <w:rFonts w:ascii="Arial" w:cs="Arial" w:eastAsia="Arial" w:hAnsi="Arial"/>
          <w:sz w:val="14"/>
          <w:szCs w:val="14"/>
          <w:b w:val="1"/>
          <w:bCs w:val="1"/>
          <w:color w:val="auto"/>
        </w:rPr>
        <w:t>Oxnard, California</w:t>
      </w:r>
    </w:p>
    <w:p>
      <w:pPr>
        <w:spacing w:after="0" w:line="1" w:lineRule="exact"/>
        <w:rPr>
          <w:sz w:val="24"/>
          <w:szCs w:val="24"/>
          <w:color w:val="auto"/>
        </w:rPr>
      </w:pPr>
    </w:p>
    <w:p>
      <w:pPr>
        <w:ind w:left="140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16" w:lineRule="exact"/>
        <w:rPr>
          <w:sz w:val="24"/>
          <w:szCs w:val="24"/>
          <w:color w:val="auto"/>
        </w:rPr>
      </w:pPr>
    </w:p>
    <w:p>
      <w:pPr>
        <w:jc w:val="center"/>
        <w:ind w:left="3380"/>
        <w:spacing w:after="0"/>
        <w:rPr>
          <w:sz w:val="20"/>
          <w:szCs w:val="20"/>
          <w:color w:val="auto"/>
        </w:rPr>
      </w:pPr>
      <w:r>
        <w:rPr>
          <w:rFonts w:ascii="Arial" w:cs="Arial" w:eastAsia="Arial" w:hAnsi="Arial"/>
          <w:sz w:val="13"/>
          <w:szCs w:val="13"/>
          <w:b w:val="1"/>
          <w:bCs w:val="1"/>
          <w:color w:val="auto"/>
        </w:rPr>
        <w:t>Registrant’s Telephone Number, Including Area Code: (805) 981-3650</w:t>
      </w:r>
    </w:p>
    <w:p>
      <w:pPr>
        <w:spacing w:after="0" w:line="12" w:lineRule="exact"/>
        <w:rPr>
          <w:sz w:val="24"/>
          <w:szCs w:val="24"/>
          <w:color w:val="auto"/>
        </w:rPr>
      </w:pPr>
    </w:p>
    <w:p>
      <w:pPr>
        <w:ind w:left="5260"/>
        <w:spacing w:after="0"/>
        <w:rPr>
          <w:sz w:val="20"/>
          <w:szCs w:val="20"/>
          <w:color w:val="auto"/>
        </w:rPr>
      </w:pPr>
      <w:r>
        <w:rPr>
          <w:rFonts w:ascii="Arial" w:cs="Arial" w:eastAsia="Arial" w:hAnsi="Arial"/>
          <w:sz w:val="10"/>
          <w:szCs w:val="10"/>
          <w:u w:val="single" w:color="auto"/>
          <w:color w:val="auto"/>
        </w:rPr>
        <w:t>_____________</w:t>
      </w:r>
    </w:p>
    <w:p>
      <w:pPr>
        <w:spacing w:after="0" w:line="98" w:lineRule="exact"/>
        <w:rPr>
          <w:sz w:val="24"/>
          <w:szCs w:val="24"/>
          <w:color w:val="auto"/>
        </w:rPr>
      </w:pPr>
    </w:p>
    <w:p>
      <w:pPr>
        <w:ind w:left="374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jc w:val="center"/>
        <w:ind w:right="2140"/>
        <w:spacing w:after="0"/>
        <w:rPr>
          <w:sz w:val="20"/>
          <w:szCs w:val="20"/>
          <w:color w:val="auto"/>
        </w:rPr>
      </w:pPr>
      <w:r>
        <w:rPr>
          <w:rFonts w:ascii="Arial" w:cs="Arial" w:eastAsia="Arial" w:hAnsi="Arial"/>
          <w:sz w:val="14"/>
          <w:szCs w:val="14"/>
          <w:b w:val="1"/>
          <w:bCs w:val="1"/>
          <w:color w:val="auto"/>
        </w:rPr>
        <w:t>95-3847744</w:t>
      </w:r>
    </w:p>
    <w:p>
      <w:pPr>
        <w:spacing w:after="0" w:line="3" w:lineRule="exact"/>
        <w:rPr>
          <w:sz w:val="24"/>
          <w:szCs w:val="24"/>
          <w:color w:val="auto"/>
        </w:rPr>
      </w:pPr>
    </w:p>
    <w:p>
      <w:pPr>
        <w:jc w:val="center"/>
        <w:ind w:right="2140"/>
        <w:spacing w:after="0"/>
        <w:rPr>
          <w:sz w:val="20"/>
          <w:szCs w:val="20"/>
          <w:color w:val="auto"/>
        </w:rPr>
      </w:pPr>
      <w:r>
        <w:rPr>
          <w:rFonts w:ascii="Arial" w:cs="Arial" w:eastAsia="Arial" w:hAnsi="Arial"/>
          <w:sz w:val="13"/>
          <w:szCs w:val="13"/>
          <w:b w:val="1"/>
          <w:bCs w:val="1"/>
          <w:color w:val="auto"/>
        </w:rPr>
        <w:t>(I.R.S. Employer</w:t>
      </w:r>
    </w:p>
    <w:p>
      <w:pPr>
        <w:spacing w:after="0" w:line="5" w:lineRule="exact"/>
        <w:rPr>
          <w:sz w:val="24"/>
          <w:szCs w:val="24"/>
          <w:color w:val="auto"/>
        </w:rPr>
      </w:pPr>
    </w:p>
    <w:p>
      <w:pPr>
        <w:jc w:val="center"/>
        <w:ind w:right="2140"/>
        <w:spacing w:after="0"/>
        <w:rPr>
          <w:sz w:val="20"/>
          <w:szCs w:val="20"/>
          <w:color w:val="auto"/>
        </w:rPr>
      </w:pPr>
      <w:r>
        <w:rPr>
          <w:rFonts w:ascii="Arial" w:cs="Arial" w:eastAsia="Arial" w:hAnsi="Arial"/>
          <w:sz w:val="13"/>
          <w:szCs w:val="13"/>
          <w:b w:val="1"/>
          <w:bCs w:val="1"/>
          <w:color w:val="auto"/>
        </w:rPr>
        <w:t>Identification No.)</w:t>
      </w:r>
    </w:p>
    <w:p>
      <w:pPr>
        <w:spacing w:after="0" w:line="151" w:lineRule="exact"/>
        <w:rPr>
          <w:sz w:val="24"/>
          <w:szCs w:val="24"/>
          <w:color w:val="auto"/>
        </w:rPr>
      </w:pPr>
    </w:p>
    <w:p>
      <w:pPr>
        <w:jc w:val="center"/>
        <w:ind w:right="2140"/>
        <w:spacing w:after="0"/>
        <w:rPr>
          <w:sz w:val="20"/>
          <w:szCs w:val="20"/>
          <w:color w:val="auto"/>
        </w:rPr>
      </w:pPr>
      <w:r>
        <w:rPr>
          <w:rFonts w:ascii="Arial" w:cs="Arial" w:eastAsia="Arial" w:hAnsi="Arial"/>
          <w:sz w:val="14"/>
          <w:szCs w:val="14"/>
          <w:b w:val="1"/>
          <w:bCs w:val="1"/>
          <w:color w:val="auto"/>
        </w:rPr>
        <w:t>93030</w:t>
      </w:r>
    </w:p>
    <w:p>
      <w:pPr>
        <w:spacing w:after="0" w:line="15" w:lineRule="exact"/>
        <w:rPr>
          <w:sz w:val="24"/>
          <w:szCs w:val="24"/>
          <w:color w:val="auto"/>
        </w:rPr>
      </w:pPr>
    </w:p>
    <w:p>
      <w:pPr>
        <w:ind w:left="240"/>
        <w:spacing w:after="0"/>
        <w:rPr>
          <w:sz w:val="20"/>
          <w:szCs w:val="20"/>
          <w:color w:val="auto"/>
        </w:rPr>
      </w:pPr>
      <w:r>
        <w:rPr>
          <w:rFonts w:ascii="Arial" w:cs="Arial" w:eastAsia="Arial" w:hAnsi="Arial"/>
          <w:sz w:val="13"/>
          <w:szCs w:val="13"/>
          <w:b w:val="1"/>
          <w:bCs w:val="1"/>
          <w:color w:val="auto"/>
        </w:rPr>
        <w:t>(Zip Code)</w:t>
      </w:r>
    </w:p>
    <w:p>
      <w:pPr>
        <w:spacing w:after="0" w:line="1105" w:lineRule="exact"/>
        <w:rPr>
          <w:sz w:val="24"/>
          <w:szCs w:val="24"/>
          <w:color w:val="auto"/>
        </w:rPr>
      </w:pPr>
    </w:p>
    <w:p>
      <w:pPr>
        <w:sectPr>
          <w:pgSz w:w="11900" w:h="16838" w:orient="portrait"/>
          <w:cols w:equalWidth="0" w:num="2">
            <w:col w:w="7860" w:space="100"/>
            <w:col w:w="3240"/>
          </w:cols>
          <w:pgMar w:left="320" w:top="981" w:right="379" w:bottom="1440" w:gutter="0" w:footer="0" w:header="0"/>
          <w:type w:val="continuous"/>
        </w:sectPr>
      </w:pPr>
    </w:p>
    <w:p>
      <w:pPr>
        <w:spacing w:after="0" w:line="116" w:lineRule="exact"/>
        <w:rPr>
          <w:sz w:val="24"/>
          <w:szCs w:val="24"/>
          <w:color w:val="auto"/>
        </w:rPr>
      </w:pPr>
    </w:p>
    <w:tbl>
      <w:tblPr>
        <w:tblLayout w:type="fixed"/>
        <w:tblInd w:w="860" w:type="dxa"/>
        <w:tblCellMar>
          <w:top w:w="0" w:type="dxa"/>
          <w:left w:w="0" w:type="dxa"/>
          <w:bottom w:w="0" w:type="dxa"/>
          <w:right w:w="0" w:type="dxa"/>
        </w:tblCellMar>
      </w:tblPr>
      <w:tr>
        <w:trPr>
          <w:trHeight w:val="18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 of each class</w:t>
            </w:r>
          </w:p>
        </w:tc>
        <w:tc>
          <w:tcPr>
            <w:tcW w:w="10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Trading Symbol(s)</w:t>
            </w:r>
          </w:p>
        </w:tc>
        <w:tc>
          <w:tcPr>
            <w:tcW w:w="120" w:type="dxa"/>
            <w:vAlign w:val="bottom"/>
          </w:tcPr>
          <w:p>
            <w:pPr>
              <w:spacing w:after="0"/>
              <w:rPr>
                <w:sz w:val="16"/>
                <w:szCs w:val="16"/>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Name of each exchange on which registered</w:t>
            </w:r>
          </w:p>
        </w:tc>
      </w:tr>
      <w:tr>
        <w:trPr>
          <w:trHeight w:val="185"/>
        </w:trPr>
        <w:tc>
          <w:tcPr>
            <w:tcW w:w="3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Common Stock, par value $0.001 per share</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AVO</w:t>
            </w:r>
          </w:p>
        </w:tc>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8"/>
              </w:rPr>
              <w:t>NASDAQ Global Select Market</w:t>
            </w:r>
          </w:p>
        </w:tc>
      </w:tr>
    </w:tbl>
    <w:p>
      <w:pPr>
        <w:spacing w:after="0" w:line="200" w:lineRule="exact"/>
        <w:rPr>
          <w:sz w:val="24"/>
          <w:szCs w:val="24"/>
          <w:color w:val="auto"/>
        </w:rPr>
      </w:pPr>
    </w:p>
    <w:p>
      <w:pPr>
        <w:spacing w:after="0" w:line="220" w:lineRule="exact"/>
        <w:rPr>
          <w:sz w:val="24"/>
          <w:szCs w:val="24"/>
          <w:color w:val="auto"/>
        </w:rPr>
      </w:pPr>
    </w:p>
    <w:p>
      <w:pPr>
        <w:ind w:right="120" w:firstLine="464"/>
        <w:spacing w:after="0" w:line="18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2" w:lineRule="exact"/>
        <w:rPr>
          <w:sz w:val="24"/>
          <w:szCs w:val="24"/>
          <w:color w:val="auto"/>
        </w:rPr>
      </w:pPr>
    </w:p>
    <w:p>
      <w:pPr>
        <w:ind w:firstLine="464"/>
        <w:spacing w:after="0" w:line="17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 w:lineRule="exact"/>
        <w:rPr>
          <w:sz w:val="24"/>
          <w:szCs w:val="24"/>
          <w:color w:val="auto"/>
        </w:rPr>
      </w:pPr>
    </w:p>
    <w:p>
      <w:pPr>
        <w:ind w:right="460" w:firstLine="464"/>
        <w:spacing w:after="0" w:line="31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2" w:lineRule="exact"/>
        <w:rPr>
          <w:sz w:val="24"/>
          <w:szCs w:val="24"/>
          <w:color w:val="auto"/>
        </w:rPr>
      </w:pPr>
    </w:p>
    <w:tbl>
      <w:tblPr>
        <w:tblLayout w:type="fixed"/>
        <w:tblInd w:w="640" w:type="dxa"/>
        <w:tblCellMar>
          <w:top w:w="0" w:type="dxa"/>
          <w:left w:w="0" w:type="dxa"/>
          <w:bottom w:w="0" w:type="dxa"/>
          <w:right w:w="0" w:type="dxa"/>
        </w:tblCellMar>
      </w:tblPr>
      <w:tr>
        <w:trPr>
          <w:trHeight w:val="193"/>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8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ind w:left="248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93"/>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28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ind w:left="248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8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8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spacing w:after="0"/>
              <w:rPr>
                <w:sz w:val="19"/>
                <w:szCs w:val="19"/>
                <w:color w:val="auto"/>
              </w:rPr>
            </w:pPr>
          </w:p>
        </w:tc>
        <w:tc>
          <w:tcPr>
            <w:tcW w:w="380" w:type="dxa"/>
            <w:vAlign w:val="bottom"/>
          </w:tcPr>
          <w:p>
            <w:pPr>
              <w:spacing w:after="0"/>
              <w:rPr>
                <w:sz w:val="19"/>
                <w:szCs w:val="19"/>
                <w:color w:val="auto"/>
              </w:rPr>
            </w:pPr>
          </w:p>
        </w:tc>
      </w:tr>
    </w:tbl>
    <w:p>
      <w:pPr>
        <w:spacing w:after="0" w:line="395" w:lineRule="exact"/>
        <w:rPr>
          <w:sz w:val="24"/>
          <w:szCs w:val="24"/>
          <w:color w:val="auto"/>
        </w:rPr>
      </w:pPr>
    </w:p>
    <w:p>
      <w:pPr>
        <w:ind w:right="300" w:firstLine="464"/>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460" w:right="3520"/>
        <w:spacing w:after="0" w:line="21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June 1, 2024, the registrant had 70,909,730 shares of common stock at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720725</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389890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414655</wp:posOffset>
            </wp:positionV>
            <wp:extent cx="713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TABLE OF CONTENTS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FISCAL SECOND QUARTER 2024</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24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w w:val="96"/>
              </w:rPr>
              <w:t>PART I- FINANCIAL INFORMATION</w:t>
            </w:r>
          </w:p>
        </w:tc>
        <w:tc>
          <w:tcPr>
            <w:tcW w:w="6180" w:type="dxa"/>
            <w:vAlign w:val="bottom"/>
            <w:gridSpan w:val="13"/>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5</w:t>
            </w:r>
          </w:p>
        </w:tc>
        <w:tc>
          <w:tcPr>
            <w:tcW w:w="100" w:type="dxa"/>
            <w:vAlign w:val="bottom"/>
          </w:tcPr>
          <w:p>
            <w:pPr>
              <w:spacing w:after="0"/>
              <w:rPr>
                <w:sz w:val="14"/>
                <w:szCs w:val="14"/>
                <w:color w:val="auto"/>
              </w:rPr>
            </w:pPr>
          </w:p>
        </w:tc>
      </w:tr>
      <w:tr>
        <w:trPr>
          <w:trHeight w:val="341"/>
        </w:trPr>
        <w:tc>
          <w:tcPr>
            <w:tcW w:w="7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1.</w:t>
            </w:r>
          </w:p>
        </w:tc>
        <w:tc>
          <w:tcPr>
            <w:tcW w:w="7260" w:type="dxa"/>
            <w:vAlign w:val="bottom"/>
            <w:gridSpan w:val="18"/>
          </w:tcPr>
          <w:p>
            <w:pPr>
              <w:spacing w:after="0"/>
              <w:rPr>
                <w:sz w:val="20"/>
                <w:szCs w:val="20"/>
                <w:color w:val="auto"/>
              </w:rPr>
            </w:pPr>
            <w:r>
              <w:rPr>
                <w:rFonts w:ascii="Arial" w:cs="Arial" w:eastAsia="Arial" w:hAnsi="Arial"/>
                <w:sz w:val="14"/>
                <w:szCs w:val="14"/>
                <w:color w:val="0000FF"/>
              </w:rPr>
              <w:t>Financial Statements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5</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rPr>
              <w:t>Condensed Consolidated Balance Sheets (Unaudited)</w:t>
            </w:r>
          </w:p>
        </w:tc>
        <w:tc>
          <w:tcPr>
            <w:tcW w:w="3660" w:type="dxa"/>
            <w:vAlign w:val="bottom"/>
            <w:gridSpan w:val="7"/>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5</w:t>
            </w:r>
          </w:p>
        </w:tc>
        <w:tc>
          <w:tcPr>
            <w:tcW w:w="100" w:type="dxa"/>
            <w:vAlign w:val="bottom"/>
          </w:tcPr>
          <w:p>
            <w:pPr>
              <w:spacing w:after="0"/>
              <w:rPr>
                <w:sz w:val="17"/>
                <w:szCs w:val="17"/>
                <w:color w:val="auto"/>
              </w:rPr>
            </w:pPr>
          </w:p>
        </w:tc>
      </w:tr>
      <w:tr>
        <w:trPr>
          <w:trHeight w:val="199"/>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60" w:type="dxa"/>
            <w:vAlign w:val="bottom"/>
            <w:gridSpan w:val="18"/>
          </w:tcPr>
          <w:p>
            <w:pPr>
              <w:spacing w:after="0"/>
              <w:rPr>
                <w:sz w:val="20"/>
                <w:szCs w:val="20"/>
                <w:color w:val="auto"/>
              </w:rPr>
            </w:pPr>
            <w:r>
              <w:rPr>
                <w:rFonts w:ascii="Arial" w:cs="Arial" w:eastAsia="Arial" w:hAnsi="Arial"/>
                <w:sz w:val="14"/>
                <w:szCs w:val="14"/>
                <w:color w:val="0000FF"/>
              </w:rPr>
              <w:t xml:space="preserve">Condensed Consolidated Statements of </w:t>
            </w:r>
            <w:r>
              <w:rPr>
                <w:rFonts w:ascii="Arial" w:cs="Arial" w:eastAsia="Arial" w:hAnsi="Arial"/>
                <w:sz w:val="14"/>
                <w:szCs w:val="14"/>
                <w:color w:val="3051F2"/>
              </w:rPr>
              <w:t>Income (Loss) (Unaudited)</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6</w:t>
            </w: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gridSpan w:val="2"/>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60" w:type="dxa"/>
            <w:vAlign w:val="bottom"/>
            <w:tcBorders>
              <w:left w:val="single" w:sz="8" w:color="3051F2"/>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60" w:type="dxa"/>
            <w:vAlign w:val="bottom"/>
            <w:gridSpan w:val="18"/>
          </w:tcPr>
          <w:p>
            <w:pPr>
              <w:spacing w:after="0"/>
              <w:rPr>
                <w:sz w:val="20"/>
                <w:szCs w:val="20"/>
                <w:color w:val="auto"/>
              </w:rPr>
            </w:pPr>
            <w:r>
              <w:rPr>
                <w:rFonts w:ascii="Arial" w:cs="Arial" w:eastAsia="Arial" w:hAnsi="Arial"/>
                <w:sz w:val="14"/>
                <w:szCs w:val="14"/>
                <w:color w:val="0000FF"/>
              </w:rPr>
              <w:t xml:space="preserve">Condensed Consolidated Statements of </w:t>
            </w:r>
            <w:r>
              <w:rPr>
                <w:rFonts w:ascii="Arial" w:cs="Arial" w:eastAsia="Arial" w:hAnsi="Arial"/>
                <w:sz w:val="14"/>
                <w:szCs w:val="14"/>
                <w:color w:val="3051F2"/>
              </w:rPr>
              <w:t>Comprehensive Income (Loss) (Unaudited)</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7</w:t>
            </w: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gridSpan w:val="2"/>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60" w:type="dxa"/>
            <w:vAlign w:val="bottom"/>
            <w:tcBorders>
              <w:left w:val="single" w:sz="8" w:color="3051F2"/>
            </w:tcBorders>
            <w:shd w:val="clear" w:color="auto" w:fill="3051F2"/>
          </w:tcPr>
          <w:p>
            <w:pPr>
              <w:spacing w:after="0" w:line="20" w:lineRule="exact"/>
              <w:rPr>
                <w:sz w:val="1"/>
                <w:szCs w:val="1"/>
                <w:color w:val="auto"/>
              </w:rPr>
            </w:pPr>
          </w:p>
        </w:tc>
        <w:tc>
          <w:tcPr>
            <w:tcW w:w="760" w:type="dxa"/>
            <w:vAlign w:val="bottom"/>
            <w:shd w:val="clear" w:color="auto" w:fill="3051F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60" w:type="dxa"/>
            <w:vAlign w:val="bottom"/>
            <w:gridSpan w:val="18"/>
          </w:tcPr>
          <w:p>
            <w:pPr>
              <w:spacing w:after="0"/>
              <w:rPr>
                <w:sz w:val="20"/>
                <w:szCs w:val="20"/>
                <w:color w:val="auto"/>
              </w:rPr>
            </w:pPr>
            <w:r>
              <w:rPr>
                <w:rFonts w:ascii="Arial" w:cs="Arial" w:eastAsia="Arial" w:hAnsi="Arial"/>
                <w:sz w:val="14"/>
                <w:szCs w:val="14"/>
                <w:color w:val="0000FF"/>
              </w:rPr>
              <w:t>Condensed Consolidated Statements of Changes in Equity (Unaudited)</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8</w:t>
            </w:r>
          </w:p>
        </w:tc>
      </w:tr>
      <w:tr>
        <w:trPr>
          <w:trHeight w:val="199"/>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6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4"/>
                <w:szCs w:val="14"/>
                <w:color w:val="0000FF"/>
                <w:w w:val="98"/>
              </w:rPr>
              <w:t>Condensed Consolidated Statements of Cash Flows (Unaudited)</w:t>
            </w:r>
          </w:p>
        </w:tc>
        <w:tc>
          <w:tcPr>
            <w:tcW w:w="380" w:type="dxa"/>
            <w:vAlign w:val="bottom"/>
            <w:tcBorders>
              <w:top w:val="single" w:sz="8" w:color="0000FF"/>
            </w:tcBorders>
            <w:gridSpan w:val="2"/>
          </w:tcPr>
          <w:p>
            <w:pPr>
              <w:spacing w:after="0"/>
              <w:rPr>
                <w:sz w:val="17"/>
                <w:szCs w:val="17"/>
                <w:color w:val="auto"/>
              </w:rPr>
            </w:pPr>
          </w:p>
        </w:tc>
        <w:tc>
          <w:tcPr>
            <w:tcW w:w="2920" w:type="dxa"/>
            <w:vAlign w:val="bottom"/>
            <w:gridSpan w:val="3"/>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4"/>
                <w:szCs w:val="14"/>
                <w:color w:val="0000FF"/>
                <w:w w:val="76"/>
              </w:rPr>
              <w:t>9</w:t>
            </w:r>
          </w:p>
        </w:tc>
        <w:tc>
          <w:tcPr>
            <w:tcW w:w="100" w:type="dxa"/>
            <w:vAlign w:val="bottom"/>
          </w:tcPr>
          <w:p>
            <w:pPr>
              <w:spacing w:after="0"/>
              <w:rPr>
                <w:sz w:val="17"/>
                <w:szCs w:val="17"/>
                <w:color w:val="auto"/>
              </w:rPr>
            </w:pPr>
          </w:p>
        </w:tc>
      </w:tr>
      <w:tr>
        <w:trPr>
          <w:trHeight w:val="199"/>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60" w:type="dxa"/>
            <w:vAlign w:val="bottom"/>
            <w:gridSpan w:val="18"/>
          </w:tcPr>
          <w:p>
            <w:pPr>
              <w:spacing w:after="0"/>
              <w:rPr>
                <w:sz w:val="20"/>
                <w:szCs w:val="20"/>
                <w:color w:val="auto"/>
              </w:rPr>
            </w:pPr>
            <w:r>
              <w:rPr>
                <w:rFonts w:ascii="Arial" w:cs="Arial" w:eastAsia="Arial" w:hAnsi="Arial"/>
                <w:sz w:val="14"/>
                <w:szCs w:val="14"/>
                <w:color w:val="0000FF"/>
              </w:rPr>
              <w:t>Notes to Unaudited Condensed Consolidated Financial Statements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11</w:t>
            </w: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2.</w:t>
            </w:r>
          </w:p>
        </w:tc>
        <w:tc>
          <w:tcPr>
            <w:tcW w:w="7260" w:type="dxa"/>
            <w:vAlign w:val="bottom"/>
            <w:gridSpan w:val="18"/>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19</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3.</w:t>
            </w:r>
          </w:p>
        </w:tc>
        <w:tc>
          <w:tcPr>
            <w:tcW w:w="7260" w:type="dxa"/>
            <w:vAlign w:val="bottom"/>
            <w:gridSpan w:val="18"/>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28</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4.</w:t>
            </w:r>
          </w:p>
        </w:tc>
        <w:tc>
          <w:tcPr>
            <w:tcW w:w="7260" w:type="dxa"/>
            <w:vAlign w:val="bottom"/>
            <w:gridSpan w:val="18"/>
          </w:tcPr>
          <w:p>
            <w:pPr>
              <w:spacing w:after="0"/>
              <w:rPr>
                <w:sz w:val="20"/>
                <w:szCs w:val="20"/>
                <w:color w:val="auto"/>
              </w:rPr>
            </w:pPr>
            <w:r>
              <w:rPr>
                <w:rFonts w:ascii="Arial" w:cs="Arial" w:eastAsia="Arial" w:hAnsi="Arial"/>
                <w:sz w:val="14"/>
                <w:szCs w:val="14"/>
                <w:color w:val="0000FF"/>
              </w:rPr>
              <w:t>Controls and Procedures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28</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7"/>
        </w:trPr>
        <w:tc>
          <w:tcPr>
            <w:tcW w:w="720" w:type="dxa"/>
            <w:vAlign w:val="bottom"/>
          </w:tcPr>
          <w:p>
            <w:pPr>
              <w:spacing w:after="0"/>
              <w:rPr>
                <w:sz w:val="24"/>
                <w:szCs w:val="24"/>
                <w:color w:val="auto"/>
              </w:rPr>
            </w:pPr>
          </w:p>
        </w:tc>
        <w:tc>
          <w:tcPr>
            <w:tcW w:w="204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w w:val="96"/>
              </w:rPr>
              <w:t>PART II- OTHER INFORMATION</w:t>
            </w:r>
          </w:p>
        </w:tc>
        <w:tc>
          <w:tcPr>
            <w:tcW w:w="6380" w:type="dxa"/>
            <w:vAlign w:val="bottom"/>
            <w:gridSpan w:val="14"/>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7"/>
                <w:szCs w:val="7"/>
                <w:color w:val="0000FF"/>
                <w:w w:val="76"/>
              </w:rPr>
              <w:t>29</w:t>
            </w:r>
          </w:p>
        </w:tc>
        <w:tc>
          <w:tcPr>
            <w:tcW w:w="100" w:type="dxa"/>
            <w:vAlign w:val="bottom"/>
          </w:tcPr>
          <w:p>
            <w:pPr>
              <w:spacing w:after="0"/>
              <w:rPr>
                <w:sz w:val="24"/>
                <w:szCs w:val="24"/>
                <w:color w:val="auto"/>
              </w:rPr>
            </w:pPr>
          </w:p>
        </w:tc>
      </w:tr>
      <w:tr>
        <w:trPr>
          <w:trHeight w:val="341"/>
        </w:trPr>
        <w:tc>
          <w:tcPr>
            <w:tcW w:w="7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1.</w:t>
            </w:r>
          </w:p>
        </w:tc>
        <w:tc>
          <w:tcPr>
            <w:tcW w:w="7260" w:type="dxa"/>
            <w:vAlign w:val="bottom"/>
            <w:gridSpan w:val="18"/>
          </w:tcPr>
          <w:p>
            <w:pPr>
              <w:spacing w:after="0"/>
              <w:rPr>
                <w:sz w:val="20"/>
                <w:szCs w:val="20"/>
                <w:color w:val="auto"/>
              </w:rPr>
            </w:pPr>
            <w:r>
              <w:rPr>
                <w:rFonts w:ascii="Arial" w:cs="Arial" w:eastAsia="Arial" w:hAnsi="Arial"/>
                <w:sz w:val="14"/>
                <w:szCs w:val="14"/>
                <w:color w:val="0000FF"/>
              </w:rPr>
              <w:t>Legal Proceedings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29</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1A.</w:t>
            </w:r>
          </w:p>
        </w:tc>
        <w:tc>
          <w:tcPr>
            <w:tcW w:w="7260" w:type="dxa"/>
            <w:vAlign w:val="bottom"/>
            <w:gridSpan w:val="18"/>
          </w:tcPr>
          <w:p>
            <w:pPr>
              <w:spacing w:after="0"/>
              <w:rPr>
                <w:sz w:val="20"/>
                <w:szCs w:val="20"/>
                <w:color w:val="auto"/>
              </w:rPr>
            </w:pPr>
            <w:r>
              <w:rPr>
                <w:rFonts w:ascii="Arial" w:cs="Arial" w:eastAsia="Arial" w:hAnsi="Arial"/>
                <w:sz w:val="14"/>
                <w:szCs w:val="14"/>
                <w:color w:val="0000FF"/>
              </w:rPr>
              <w:t>Risk Factors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29</w:t>
            </w:r>
          </w:p>
        </w:tc>
      </w:tr>
      <w:tr>
        <w:trPr>
          <w:trHeight w:val="20"/>
        </w:trPr>
        <w:tc>
          <w:tcPr>
            <w:tcW w:w="7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Arial" w:cs="Arial" w:eastAsia="Arial" w:hAnsi="Arial"/>
                <w:sz w:val="14"/>
                <w:szCs w:val="14"/>
                <w:color w:val="0000FF"/>
              </w:rPr>
              <w:t>Item 2.</w:t>
            </w:r>
          </w:p>
        </w:tc>
        <w:tc>
          <w:tcPr>
            <w:tcW w:w="640" w:type="dxa"/>
            <w:vAlign w:val="bottom"/>
          </w:tcPr>
          <w:p>
            <w:pPr>
              <w:spacing w:after="0"/>
              <w:rPr>
                <w:sz w:val="17"/>
                <w:szCs w:val="17"/>
                <w:color w:val="auto"/>
              </w:rPr>
            </w:pPr>
          </w:p>
        </w:tc>
        <w:tc>
          <w:tcPr>
            <w:tcW w:w="7260" w:type="dxa"/>
            <w:vAlign w:val="bottom"/>
            <w:gridSpan w:val="18"/>
          </w:tcPr>
          <w:p>
            <w:pPr>
              <w:spacing w:after="0"/>
              <w:rPr>
                <w:sz w:val="20"/>
                <w:szCs w:val="20"/>
                <w:color w:val="auto"/>
              </w:rPr>
            </w:pPr>
            <w:r>
              <w:rPr>
                <w:rFonts w:ascii="Arial" w:cs="Arial" w:eastAsia="Arial" w:hAnsi="Arial"/>
                <w:sz w:val="14"/>
                <w:szCs w:val="14"/>
                <w:color w:val="0000FF"/>
              </w:rPr>
              <w:t>Unregistered Sales of Equity Securities and Use of Proceeds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29</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3.</w:t>
            </w:r>
          </w:p>
        </w:tc>
        <w:tc>
          <w:tcPr>
            <w:tcW w:w="7260" w:type="dxa"/>
            <w:vAlign w:val="bottom"/>
            <w:gridSpan w:val="18"/>
          </w:tcPr>
          <w:p>
            <w:pPr>
              <w:spacing w:after="0"/>
              <w:rPr>
                <w:sz w:val="20"/>
                <w:szCs w:val="20"/>
                <w:color w:val="auto"/>
              </w:rPr>
            </w:pPr>
            <w:r>
              <w:rPr>
                <w:rFonts w:ascii="Arial" w:cs="Arial" w:eastAsia="Arial" w:hAnsi="Arial"/>
                <w:sz w:val="14"/>
                <w:szCs w:val="14"/>
                <w:color w:val="0000FF"/>
              </w:rPr>
              <w:t>Defaults Upon Senior Securities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29</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5300" w:type="dxa"/>
            <w:vAlign w:val="bottom"/>
            <w:gridSpan w:val="10"/>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4.</w:t>
            </w:r>
          </w:p>
        </w:tc>
        <w:tc>
          <w:tcPr>
            <w:tcW w:w="7260" w:type="dxa"/>
            <w:vAlign w:val="bottom"/>
            <w:gridSpan w:val="18"/>
          </w:tcPr>
          <w:p>
            <w:pPr>
              <w:spacing w:after="0"/>
              <w:rPr>
                <w:sz w:val="20"/>
                <w:szCs w:val="20"/>
                <w:color w:val="auto"/>
              </w:rPr>
            </w:pPr>
            <w:r>
              <w:rPr>
                <w:rFonts w:ascii="Arial" w:cs="Arial" w:eastAsia="Arial" w:hAnsi="Arial"/>
                <w:sz w:val="14"/>
                <w:szCs w:val="14"/>
                <w:color w:val="0000FF"/>
              </w:rPr>
              <w:t>Mine Safety Disclosures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29</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5780" w:type="dxa"/>
            <w:vAlign w:val="bottom"/>
            <w:gridSpan w:val="11"/>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5.</w:t>
            </w:r>
          </w:p>
        </w:tc>
        <w:tc>
          <w:tcPr>
            <w:tcW w:w="7260" w:type="dxa"/>
            <w:vAlign w:val="bottom"/>
            <w:gridSpan w:val="18"/>
          </w:tcPr>
          <w:p>
            <w:pPr>
              <w:spacing w:after="0"/>
              <w:rPr>
                <w:sz w:val="20"/>
                <w:szCs w:val="20"/>
                <w:color w:val="auto"/>
              </w:rPr>
            </w:pPr>
            <w:r>
              <w:rPr>
                <w:rFonts w:ascii="Arial" w:cs="Arial" w:eastAsia="Arial" w:hAnsi="Arial"/>
                <w:sz w:val="14"/>
                <w:szCs w:val="14"/>
                <w:color w:val="0000FF"/>
              </w:rPr>
              <w:t>Other Information</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30</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180" w:type="dxa"/>
            <w:vAlign w:val="bottom"/>
            <w:gridSpan w:val="13"/>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6.</w:t>
            </w:r>
          </w:p>
        </w:tc>
        <w:tc>
          <w:tcPr>
            <w:tcW w:w="7260" w:type="dxa"/>
            <w:vAlign w:val="bottom"/>
            <w:gridSpan w:val="18"/>
          </w:tcPr>
          <w:p>
            <w:pPr>
              <w:spacing w:after="0"/>
              <w:rPr>
                <w:sz w:val="20"/>
                <w:szCs w:val="20"/>
                <w:color w:val="auto"/>
              </w:rPr>
            </w:pPr>
            <w:r>
              <w:rPr>
                <w:rFonts w:ascii="Arial" w:cs="Arial" w:eastAsia="Arial" w:hAnsi="Arial"/>
                <w:sz w:val="14"/>
                <w:szCs w:val="14"/>
                <w:color w:val="0000FF"/>
              </w:rPr>
              <w:t>Exhibits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30</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0" w:type="dxa"/>
            <w:vAlign w:val="bottom"/>
            <w:gridSpan w:val="16"/>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5"/>
        </w:trPr>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60" w:type="dxa"/>
            <w:vAlign w:val="bottom"/>
            <w:gridSpan w:val="18"/>
          </w:tcPr>
          <w:p>
            <w:pPr>
              <w:spacing w:after="0"/>
              <w:rPr>
                <w:sz w:val="20"/>
                <w:szCs w:val="20"/>
                <w:color w:val="auto"/>
              </w:rPr>
            </w:pPr>
            <w:r>
              <w:rPr>
                <w:rFonts w:ascii="Arial" w:cs="Arial" w:eastAsia="Arial" w:hAnsi="Arial"/>
                <w:sz w:val="14"/>
                <w:szCs w:val="14"/>
                <w:color w:val="0000FF"/>
              </w:rPr>
              <w:t>Signatures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31</w:t>
            </w:r>
          </w:p>
        </w:tc>
      </w:tr>
      <w:tr>
        <w:trPr>
          <w:trHeight w:val="1468"/>
        </w:trPr>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FORWARD LOOKING STATEMENTS</w:t>
      </w:r>
    </w:p>
    <w:p>
      <w:pPr>
        <w:spacing w:after="0" w:line="228" w:lineRule="exact"/>
        <w:rPr>
          <w:sz w:val="20"/>
          <w:szCs w:val="20"/>
          <w:color w:val="auto"/>
        </w:rPr>
      </w:pPr>
    </w:p>
    <w:p>
      <w:pPr>
        <w:ind w:right="40" w:firstLine="619"/>
        <w:spacing w:after="0" w:line="251" w:lineRule="auto"/>
        <w:rPr>
          <w:sz w:val="20"/>
          <w:szCs w:val="20"/>
          <w:color w:val="auto"/>
        </w:rPr>
      </w:pPr>
      <w:r>
        <w:rPr>
          <w:rFonts w:ascii="Arial" w:cs="Arial" w:eastAsia="Arial" w:hAnsi="Arial"/>
          <w:sz w:val="14"/>
          <w:szCs w:val="14"/>
          <w:color w:val="auto"/>
        </w:rPr>
        <w:t>This quarterly report on Form 10-Q contains forward-looking statements within the meaning of the federal securities laws, including the Private Securities Litigation Reform Act of 1995,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following:</w:t>
      </w:r>
    </w:p>
    <w:p>
      <w:pPr>
        <w:spacing w:after="0" w:line="149" w:lineRule="exact"/>
        <w:rPr>
          <w:sz w:val="20"/>
          <w:szCs w:val="20"/>
          <w:color w:val="auto"/>
        </w:rPr>
      </w:pPr>
    </w:p>
    <w:p>
      <w:pPr>
        <w:ind w:left="620" w:right="20" w:hanging="307"/>
        <w:spacing w:after="0" w:line="248" w:lineRule="auto"/>
        <w:tabs>
          <w:tab w:leader="none" w:pos="616"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our business, including: limitations regarding the supply of fruit, either through purchasing or growing; fluctuations in the market price of fruit; increasing competition; risks associated with doing business internationally, including Mexican and Peruvian economic, political and/or societal conditions; inflationary pressures; establishment of sales channels and geographic markets; loss of one or more of our largest customers; general economic conditions or downturns; supply chain failures or disruptions; disruption to the supply of reliable and cost-effective transportation; failure to recruit or retain employees, poor employee relations, and/or ineffective organizational structure; inherent farming risks, including climate change; seasonality in operating results; failures associated with information technology infrastructure, system security and cyber risks; new and changing privacy laws and our compliance with such laws; food safety events and recalls; failure to comply with laws and regulations; changes to trade policy and/or export/import laws and regulations; risks from business acquisitions, if any; lack of or failure of infrastructure; material litigation or governmental inquiries/actions; failure to maintain or protect our brand; changes in tax rates or international tax legislation; risks associated with global conflicts; and inability to accurately forecast future performance.</w:t>
      </w:r>
    </w:p>
    <w:p>
      <w:pPr>
        <w:spacing w:after="0" w:line="152" w:lineRule="exact"/>
        <w:rPr>
          <w:rFonts w:ascii="Arial" w:cs="Arial" w:eastAsia="Arial" w:hAnsi="Arial"/>
          <w:sz w:val="14"/>
          <w:szCs w:val="14"/>
          <w:color w:val="auto"/>
        </w:rPr>
      </w:pPr>
    </w:p>
    <w:p>
      <w:pPr>
        <w:ind w:left="620" w:right="240" w:hanging="307"/>
        <w:spacing w:after="0" w:line="257" w:lineRule="auto"/>
        <w:tabs>
          <w:tab w:leader="none" w:pos="616"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our common stock, including: the viability of an active, liquid, and orderly market for our common stock; volatility in the trading price of our common stock; concentration of control in our executive officers, and directors over matters submitted to stockholders for approval; limited sources of capital appreciation; significant costs associated with being a public company and the allocation of significant management resources thereto; reliance on analyst reports; failure to maintain proper and effective internal control over financial reporting; restrictions on takeover attempts in our charter documents and under Delaware law; and the selection of Delaware as the exclusive forum for substantially all disputes between us and our stockholders.</w:t>
      </w:r>
    </w:p>
    <w:p>
      <w:pPr>
        <w:spacing w:after="0" w:line="143" w:lineRule="exact"/>
        <w:rPr>
          <w:rFonts w:ascii="Arial" w:cs="Arial" w:eastAsia="Arial" w:hAnsi="Arial"/>
          <w:sz w:val="14"/>
          <w:szCs w:val="14"/>
          <w:color w:val="auto"/>
        </w:rPr>
      </w:pPr>
    </w:p>
    <w:p>
      <w:pPr>
        <w:ind w:left="620" w:right="60" w:hanging="307"/>
        <w:spacing w:after="0" w:line="278" w:lineRule="auto"/>
        <w:tabs>
          <w:tab w:leader="none" w:pos="616"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restrictive covenants under our credit facility, which could affect our flexibility to fund ongoing operations, uses of capital and strategic initiatives, and, if we are unable to maintain compliance with such covenants, lead to significant challenges in meeting our liquidity requirements and acceleration of our debt.</w:t>
      </w:r>
    </w:p>
    <w:p>
      <w:pPr>
        <w:spacing w:after="0" w:line="129" w:lineRule="exact"/>
        <w:rPr>
          <w:rFonts w:ascii="Arial" w:cs="Arial" w:eastAsia="Arial" w:hAnsi="Arial"/>
          <w:sz w:val="14"/>
          <w:szCs w:val="14"/>
          <w:color w:val="auto"/>
        </w:rPr>
      </w:pPr>
    </w:p>
    <w:p>
      <w:pPr>
        <w:ind w:left="620" w:hanging="307"/>
        <w:spacing w:after="0"/>
        <w:tabs>
          <w:tab w:leader="none" w:pos="620" w:val="left"/>
        </w:tabs>
        <w:numPr>
          <w:ilvl w:val="0"/>
          <w:numId w:val="3"/>
        </w:numPr>
        <w:rPr>
          <w:rFonts w:ascii="Arial" w:cs="Arial" w:eastAsia="Arial" w:hAnsi="Arial"/>
          <w:sz w:val="13"/>
          <w:szCs w:val="13"/>
          <w:color w:val="auto"/>
        </w:rPr>
      </w:pPr>
      <w:r>
        <w:rPr>
          <w:rFonts w:ascii="Arial" w:cs="Arial" w:eastAsia="Arial" w:hAnsi="Arial"/>
          <w:sz w:val="13"/>
          <w:szCs w:val="13"/>
          <w:color w:val="auto"/>
        </w:rPr>
        <w:t>Other risks and factors listed under “Item 1A. Risk Factors” in our most recent Annual Report on Form 10-K for the year ended October 31, 2023 and elsewhere in this report.</w:t>
      </w:r>
    </w:p>
    <w:p>
      <w:pPr>
        <w:spacing w:after="0" w:line="211" w:lineRule="exact"/>
        <w:rPr>
          <w:sz w:val="20"/>
          <w:szCs w:val="20"/>
          <w:color w:val="auto"/>
        </w:rPr>
      </w:pPr>
    </w:p>
    <w:p>
      <w:pPr>
        <w:ind w:right="100" w:firstLine="619"/>
        <w:spacing w:after="0" w:line="251" w:lineRule="auto"/>
        <w:rPr>
          <w:sz w:val="20"/>
          <w:szCs w:val="20"/>
          <w:color w:val="auto"/>
        </w:rPr>
      </w:pPr>
      <w:r>
        <w:rPr>
          <w:rFonts w:ascii="Arial" w:cs="Arial" w:eastAsia="Arial" w:hAnsi="Arial"/>
          <w:sz w:val="14"/>
          <w:szCs w:val="14"/>
          <w:color w:val="auto"/>
        </w:rPr>
        <w:t>We have based the forward-looking statements contained in this report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“Item 1A. Risk Factors” in our most recent Annual Report on Form 10-K for the year ended October 31, 2023 and elsewhere in this report. These risks are not exhaustive. Other sections of this report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8" w:lineRule="exact"/>
        <w:rPr>
          <w:sz w:val="20"/>
          <w:szCs w:val="20"/>
          <w:color w:val="auto"/>
        </w:rPr>
      </w:pPr>
    </w:p>
    <w:p>
      <w:pPr>
        <w:ind w:firstLine="619"/>
        <w:spacing w:after="0" w:line="253" w:lineRule="auto"/>
        <w:rPr>
          <w:sz w:val="20"/>
          <w:szCs w:val="20"/>
          <w:color w:val="auto"/>
        </w:rPr>
      </w:pPr>
      <w:r>
        <w:rPr>
          <w:rFonts w:ascii="Arial" w:cs="Arial" w:eastAsia="Arial" w:hAnsi="Arial"/>
          <w:sz w:val="14"/>
          <w:szCs w:val="14"/>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5" w:lineRule="exact"/>
        <w:rPr>
          <w:sz w:val="20"/>
          <w:szCs w:val="20"/>
          <w:color w:val="auto"/>
        </w:rPr>
      </w:pPr>
    </w:p>
    <w:p>
      <w:pPr>
        <w:ind w:right="400" w:firstLine="619"/>
        <w:spacing w:after="0" w:line="264" w:lineRule="auto"/>
        <w:rPr>
          <w:sz w:val="20"/>
          <w:szCs w:val="20"/>
          <w:color w:val="auto"/>
        </w:rPr>
      </w:pPr>
      <w:r>
        <w:rPr>
          <w:rFonts w:ascii="Arial" w:cs="Arial" w:eastAsia="Arial" w:hAnsi="Arial"/>
          <w:sz w:val="14"/>
          <w:szCs w:val="14"/>
          <w:color w:val="auto"/>
        </w:rPr>
        <w:t>You should read this report, including documents that we reference and exhibits that have been filed, in this report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78" w:lineRule="exact"/>
        <w:rPr>
          <w:sz w:val="20"/>
          <w:szCs w:val="20"/>
          <w:color w:val="auto"/>
        </w:rPr>
      </w:pPr>
    </w:p>
    <w:p>
      <w:pPr>
        <w:ind w:right="520" w:firstLine="619"/>
        <w:spacing w:after="0" w:line="259" w:lineRule="auto"/>
        <w:rPr>
          <w:sz w:val="20"/>
          <w:szCs w:val="20"/>
          <w:color w:val="auto"/>
        </w:rPr>
      </w:pPr>
      <w:r>
        <w:rPr>
          <w:rFonts w:ascii="Arial" w:cs="Arial" w:eastAsia="Arial" w:hAnsi="Arial"/>
          <w:sz w:val="14"/>
          <w:szCs w:val="14"/>
          <w:color w:val="auto"/>
        </w:rPr>
        <w:t>The forward-looking statements made in this report relate only to events as of the date on which such statements are made. We undertake no obligation to update any forward-looking statements after the date of this report or to conform such statements to actual results or revised expectations, except as required by law.</w:t>
      </w:r>
    </w:p>
    <w:p>
      <w:pPr>
        <w:spacing w:after="0" w:line="181"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4"/>
          <w:szCs w:val="14"/>
          <w:color w:val="auto"/>
        </w:rPr>
        <w:t>This quarterly report may also include trademarks, tradenames and service marks that are the property of the Company and also certain trademarks, tradenames and service marks that are the property of other organizations. Solely for convenience, trademarks and tradenames referred to in this quarterly report appear without the ® and ™ symbols, but those references are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 w:name="page4"/>
    <w:bookmarkEnd w:id="3"/>
    <w:p>
      <w:pPr>
        <w:spacing w:after="0" w:line="278" w:lineRule="auto"/>
        <w:rPr>
          <w:sz w:val="20"/>
          <w:szCs w:val="20"/>
          <w:color w:val="auto"/>
        </w:rPr>
      </w:pPr>
      <w:r>
        <w:rPr>
          <w:rFonts w:ascii="Arial" w:cs="Arial" w:eastAsia="Arial" w:hAnsi="Arial"/>
          <w:sz w:val="14"/>
          <w:szCs w:val="14"/>
          <w:color w:val="auto"/>
        </w:rPr>
        <w:t>intended to indicate, in any way, that we will not assert, to the fullest extent under applicable law, our rights, or that the applicable owner will not assert its rights, to these trademarks and tradenames.</w:t>
      </w:r>
    </w:p>
    <w:p>
      <w:pPr>
        <w:spacing w:after="0" w:line="168" w:lineRule="exact"/>
        <w:rPr>
          <w:sz w:val="20"/>
          <w:szCs w:val="20"/>
          <w:color w:val="auto"/>
        </w:rPr>
      </w:pPr>
    </w:p>
    <w:p>
      <w:pPr>
        <w:ind w:right="40" w:firstLine="619"/>
        <w:spacing w:after="0" w:line="254" w:lineRule="auto"/>
        <w:rPr>
          <w:sz w:val="20"/>
          <w:szCs w:val="20"/>
          <w:color w:val="auto"/>
        </w:rPr>
      </w:pPr>
      <w:r>
        <w:rPr>
          <w:rFonts w:ascii="Arial" w:cs="Arial" w:eastAsia="Arial" w:hAnsi="Arial"/>
          <w:sz w:val="14"/>
          <w:szCs w:val="14"/>
          <w:color w:val="auto"/>
        </w:rPr>
        <w:t>We maintain a website at www.missionproduce.com, to which we regularly post copies of our press releases as well as additional information about us. Our filings with the Securities and Exchange Commission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957"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9"/>
        </w:trPr>
        <w:tc>
          <w:tcPr>
            <w:tcW w:w="7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5500" w:type="dxa"/>
            <w:vAlign w:val="bottom"/>
          </w:tcPr>
          <w:p>
            <w:pPr>
              <w:jc w:val="center"/>
              <w:ind w:right="112"/>
              <w:spacing w:after="0"/>
              <w:rPr>
                <w:sz w:val="20"/>
                <w:szCs w:val="20"/>
                <w:color w:val="auto"/>
              </w:rPr>
            </w:pPr>
            <w:r>
              <w:rPr>
                <w:rFonts w:ascii="Arial" w:cs="Arial" w:eastAsia="Arial" w:hAnsi="Arial"/>
                <w:sz w:val="19"/>
                <w:szCs w:val="19"/>
                <w:b w:val="1"/>
                <w:bCs w:val="1"/>
                <w:color w:val="auto"/>
                <w:w w:val="98"/>
              </w:rPr>
              <w:t>PART I- FINANCIAL INFORMATION</w:t>
            </w:r>
          </w:p>
        </w:tc>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438"/>
        </w:trPr>
        <w:tc>
          <w:tcPr>
            <w:tcW w:w="780" w:type="dxa"/>
            <w:vAlign w:val="bottom"/>
          </w:tcPr>
          <w:p>
            <w:pPr>
              <w:spacing w:after="0"/>
              <w:rPr>
                <w:sz w:val="20"/>
                <w:szCs w:val="20"/>
                <w:color w:val="auto"/>
              </w:rPr>
            </w:pPr>
            <w:r>
              <w:rPr>
                <w:rFonts w:ascii="Arial" w:cs="Arial" w:eastAsia="Arial" w:hAnsi="Arial"/>
                <w:sz w:val="19"/>
                <w:szCs w:val="19"/>
                <w:b w:val="1"/>
                <w:bCs w:val="1"/>
                <w:color w:val="auto"/>
              </w:rPr>
              <w:t>Item 1.</w:t>
            </w:r>
          </w:p>
        </w:tc>
        <w:tc>
          <w:tcPr>
            <w:tcW w:w="2180" w:type="dxa"/>
            <w:vAlign w:val="bottom"/>
          </w:tcPr>
          <w:p>
            <w:pPr>
              <w:ind w:left="40"/>
              <w:spacing w:after="0"/>
              <w:rPr>
                <w:sz w:val="20"/>
                <w:szCs w:val="20"/>
                <w:color w:val="auto"/>
              </w:rPr>
            </w:pPr>
            <w:r>
              <w:rPr>
                <w:rFonts w:ascii="Arial" w:cs="Arial" w:eastAsia="Arial" w:hAnsi="Arial"/>
                <w:sz w:val="19"/>
                <w:szCs w:val="19"/>
                <w:b w:val="1"/>
                <w:bCs w:val="1"/>
                <w:color w:val="auto"/>
              </w:rPr>
              <w:t>Financial Statements</w:t>
            </w:r>
          </w:p>
        </w:tc>
        <w:tc>
          <w:tcPr>
            <w:tcW w:w="5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3"/>
        </w:trPr>
        <w:tc>
          <w:tcPr>
            <w:tcW w:w="7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500" w:type="dxa"/>
            <w:vAlign w:val="bottom"/>
          </w:tcPr>
          <w:p>
            <w:pPr>
              <w:jc w:val="center"/>
              <w:ind w:right="112"/>
              <w:spacing w:after="0"/>
              <w:rPr>
                <w:sz w:val="20"/>
                <w:szCs w:val="20"/>
                <w:color w:val="auto"/>
              </w:rPr>
            </w:pPr>
            <w:r>
              <w:rPr>
                <w:rFonts w:ascii="Arial" w:cs="Arial" w:eastAsia="Arial" w:hAnsi="Arial"/>
                <w:sz w:val="17"/>
                <w:szCs w:val="17"/>
                <w:b w:val="1"/>
                <w:bCs w:val="1"/>
                <w:color w:val="auto"/>
              </w:rPr>
              <w:t>MISSION PRODUCE, INC.</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7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5500" w:type="dxa"/>
            <w:vAlign w:val="bottom"/>
          </w:tcPr>
          <w:p>
            <w:pPr>
              <w:jc w:val="center"/>
              <w:ind w:right="92"/>
              <w:spacing w:after="0"/>
              <w:rPr>
                <w:sz w:val="20"/>
                <w:szCs w:val="20"/>
                <w:color w:val="auto"/>
              </w:rPr>
            </w:pPr>
            <w:r>
              <w:rPr>
                <w:rFonts w:ascii="Arial" w:cs="Arial" w:eastAsia="Arial" w:hAnsi="Arial"/>
                <w:sz w:val="17"/>
                <w:szCs w:val="17"/>
                <w:b w:val="1"/>
                <w:bCs w:val="1"/>
                <w:color w:val="auto"/>
              </w:rPr>
              <w:t>CONDENSED CONSOLIDATED BALANCE SHEETS (UNAUDITED)</w:t>
            </w:r>
          </w:p>
        </w:tc>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19"/>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(In millions, except for shares)</w:t>
            </w:r>
          </w:p>
        </w:tc>
        <w:tc>
          <w:tcPr>
            <w:tcW w:w="5500" w:type="dxa"/>
            <w:vAlign w:val="bottom"/>
          </w:tcPr>
          <w:p>
            <w:pPr>
              <w:spacing w:after="0"/>
              <w:rPr>
                <w:sz w:val="19"/>
                <w:szCs w:val="19"/>
                <w:color w:val="auto"/>
              </w:rPr>
            </w:pPr>
          </w:p>
        </w:tc>
        <w:tc>
          <w:tcPr>
            <w:tcW w:w="1000" w:type="dxa"/>
            <w:vAlign w:val="bottom"/>
          </w:tcPr>
          <w:p>
            <w:pPr>
              <w:jc w:val="right"/>
              <w:ind w:right="108"/>
              <w:spacing w:after="0"/>
              <w:rPr>
                <w:sz w:val="20"/>
                <w:szCs w:val="20"/>
                <w:color w:val="auto"/>
              </w:rPr>
            </w:pPr>
            <w:r>
              <w:rPr>
                <w:rFonts w:ascii="Arial" w:cs="Arial" w:eastAsia="Arial" w:hAnsi="Arial"/>
                <w:sz w:val="10"/>
                <w:szCs w:val="10"/>
                <w:b w:val="1"/>
                <w:bCs w:val="1"/>
                <w:color w:val="auto"/>
              </w:rPr>
              <w:t>April 30, 2024</w:t>
            </w: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0"/>
                <w:szCs w:val="10"/>
                <w:b w:val="1"/>
                <w:bCs w:val="1"/>
                <w:color w:val="auto"/>
              </w:rPr>
              <w:t>October 31, 2023</w:t>
            </w:r>
          </w:p>
        </w:tc>
      </w:tr>
      <w:tr>
        <w:trPr>
          <w:trHeight w:val="26"/>
        </w:trPr>
        <w:tc>
          <w:tcPr>
            <w:tcW w:w="7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53"/>
        </w:trPr>
        <w:tc>
          <w:tcPr>
            <w:tcW w:w="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b w:val="1"/>
                <w:bCs w:val="1"/>
                <w:color w:val="auto"/>
              </w:rPr>
              <w:t>Assets</w:t>
            </w:r>
          </w:p>
        </w:tc>
        <w:tc>
          <w:tcPr>
            <w:tcW w:w="2180" w:type="dxa"/>
            <w:vAlign w:val="bottom"/>
            <w:tcBorders>
              <w:bottom w:val="single" w:sz="8" w:color="DBDBDB"/>
            </w:tcBorders>
            <w:shd w:val="clear" w:color="auto" w:fill="DBDBDB"/>
          </w:tcPr>
          <w:p>
            <w:pPr>
              <w:spacing w:after="0"/>
              <w:rPr>
                <w:sz w:val="13"/>
                <w:szCs w:val="13"/>
                <w:color w:val="auto"/>
              </w:rPr>
            </w:pPr>
          </w:p>
        </w:tc>
        <w:tc>
          <w:tcPr>
            <w:tcW w:w="550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spacing w:after="0"/>
              <w:rPr>
                <w:sz w:val="13"/>
                <w:szCs w:val="13"/>
                <w:color w:val="auto"/>
              </w:rPr>
            </w:pP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spacing w:after="0"/>
              <w:rPr>
                <w:sz w:val="13"/>
                <w:szCs w:val="13"/>
                <w:color w:val="auto"/>
              </w:rPr>
            </w:pPr>
          </w:p>
        </w:tc>
      </w:tr>
      <w:tr>
        <w:trPr>
          <w:trHeight w:val="148"/>
        </w:trPr>
        <w:tc>
          <w:tcPr>
            <w:tcW w:w="780" w:type="dxa"/>
            <w:vAlign w:val="bottom"/>
          </w:tcPr>
          <w:p>
            <w:pPr>
              <w:ind w:left="20"/>
              <w:spacing w:after="0"/>
              <w:rPr>
                <w:sz w:val="20"/>
                <w:szCs w:val="20"/>
                <w:color w:val="auto"/>
              </w:rPr>
            </w:pPr>
            <w:r>
              <w:rPr>
                <w:rFonts w:ascii="Arial" w:cs="Arial" w:eastAsia="Arial" w:hAnsi="Arial"/>
                <w:sz w:val="10"/>
                <w:szCs w:val="10"/>
                <w:color w:val="auto"/>
              </w:rPr>
              <w:t>Current Assets:</w:t>
            </w:r>
          </w:p>
        </w:tc>
        <w:tc>
          <w:tcPr>
            <w:tcW w:w="218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32"/>
        </w:trPr>
        <w:tc>
          <w:tcPr>
            <w:tcW w:w="2960" w:type="dxa"/>
            <w:vAlign w:val="bottom"/>
            <w:gridSpan w:val="2"/>
          </w:tcPr>
          <w:p>
            <w:pPr>
              <w:spacing w:after="0"/>
              <w:rPr>
                <w:sz w:val="2"/>
                <w:szCs w:val="2"/>
                <w:color w:val="auto"/>
              </w:rPr>
            </w:pPr>
          </w:p>
        </w:tc>
        <w:tc>
          <w:tcPr>
            <w:tcW w:w="5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0"/>
                <w:szCs w:val="10"/>
                <w:color w:val="auto"/>
              </w:rPr>
              <w:t>Cash and cash equivalents</w:t>
            </w:r>
          </w:p>
        </w:tc>
        <w:tc>
          <w:tcPr>
            <w:tcW w:w="5500" w:type="dxa"/>
            <w:vAlign w:val="bottom"/>
            <w:tcBorders>
              <w:bottom w:val="single" w:sz="8" w:color="DBDBDB"/>
            </w:tcBorders>
            <w:shd w:val="clear" w:color="auto" w:fill="DBDBDB"/>
          </w:tcPr>
          <w:p>
            <w:pPr>
              <w:jc w:val="right"/>
              <w:ind w:right="652"/>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46.2</w:t>
            </w:r>
          </w:p>
        </w:tc>
        <w:tc>
          <w:tcPr>
            <w:tcW w:w="560" w:type="dxa"/>
            <w:vAlign w:val="bottom"/>
            <w:tcBorders>
              <w:bottom w:val="single" w:sz="8" w:color="DBDBDB"/>
            </w:tcBorders>
            <w:shd w:val="clear" w:color="auto" w:fill="DBDBDB"/>
          </w:tcPr>
          <w:p>
            <w:pPr>
              <w:jc w:val="right"/>
              <w:ind w:right="308"/>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42.9</w:t>
            </w:r>
          </w:p>
        </w:tc>
      </w:tr>
      <w:tr>
        <w:trPr>
          <w:trHeight w:val="148"/>
        </w:trPr>
        <w:tc>
          <w:tcPr>
            <w:tcW w:w="2960" w:type="dxa"/>
            <w:vAlign w:val="bottom"/>
            <w:gridSpan w:val="2"/>
          </w:tcPr>
          <w:p>
            <w:pPr>
              <w:ind w:left="220"/>
              <w:spacing w:after="0"/>
              <w:rPr>
                <w:sz w:val="20"/>
                <w:szCs w:val="20"/>
                <w:color w:val="auto"/>
              </w:rPr>
            </w:pPr>
            <w:r>
              <w:rPr>
                <w:rFonts w:ascii="Arial" w:cs="Arial" w:eastAsia="Arial" w:hAnsi="Arial"/>
                <w:sz w:val="10"/>
                <w:szCs w:val="10"/>
                <w:color w:val="auto"/>
              </w:rPr>
              <w:t>Restricted cash</w:t>
            </w:r>
          </w:p>
        </w:tc>
        <w:tc>
          <w:tcPr>
            <w:tcW w:w="5500" w:type="dxa"/>
            <w:vAlign w:val="bottom"/>
          </w:tcPr>
          <w:p>
            <w:pPr>
              <w:spacing w:after="0"/>
              <w:rPr>
                <w:sz w:val="12"/>
                <w:szCs w:val="12"/>
                <w:color w:val="auto"/>
              </w:rPr>
            </w:pPr>
          </w:p>
        </w:tc>
        <w:tc>
          <w:tcPr>
            <w:tcW w:w="1000" w:type="dxa"/>
            <w:vAlign w:val="bottom"/>
          </w:tcPr>
          <w:p>
            <w:pPr>
              <w:jc w:val="right"/>
              <w:ind w:right="148"/>
              <w:spacing w:after="0"/>
              <w:rPr>
                <w:sz w:val="20"/>
                <w:szCs w:val="20"/>
                <w:color w:val="auto"/>
              </w:rPr>
            </w:pPr>
            <w:r>
              <w:rPr>
                <w:rFonts w:ascii="Arial" w:cs="Arial" w:eastAsia="Arial" w:hAnsi="Arial"/>
                <w:sz w:val="10"/>
                <w:szCs w:val="10"/>
                <w:color w:val="auto"/>
              </w:rPr>
              <w:t>1.0</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0.3</w:t>
            </w:r>
          </w:p>
        </w:tc>
      </w:tr>
      <w:tr>
        <w:trPr>
          <w:trHeight w:val="32"/>
        </w:trPr>
        <w:tc>
          <w:tcPr>
            <w:tcW w:w="2960" w:type="dxa"/>
            <w:vAlign w:val="bottom"/>
            <w:gridSpan w:val="2"/>
          </w:tcPr>
          <w:p>
            <w:pPr>
              <w:spacing w:after="0"/>
              <w:rPr>
                <w:sz w:val="2"/>
                <w:szCs w:val="2"/>
                <w:color w:val="auto"/>
              </w:rPr>
            </w:pPr>
          </w:p>
        </w:tc>
        <w:tc>
          <w:tcPr>
            <w:tcW w:w="5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0"/>
                <w:szCs w:val="10"/>
                <w:color w:val="auto"/>
              </w:rPr>
              <w:t>Accounts receivable</w:t>
            </w:r>
          </w:p>
        </w:tc>
        <w:tc>
          <w:tcPr>
            <w:tcW w:w="550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spacing w:after="0"/>
              <w:rPr>
                <w:sz w:val="13"/>
                <w:szCs w:val="13"/>
                <w:color w:val="auto"/>
              </w:rPr>
            </w:pP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spacing w:after="0"/>
              <w:rPr>
                <w:sz w:val="13"/>
                <w:szCs w:val="13"/>
                <w:color w:val="auto"/>
              </w:rPr>
            </w:pPr>
          </w:p>
        </w:tc>
      </w:tr>
      <w:tr>
        <w:trPr>
          <w:trHeight w:val="148"/>
        </w:trPr>
        <w:tc>
          <w:tcPr>
            <w:tcW w:w="2960" w:type="dxa"/>
            <w:vAlign w:val="bottom"/>
            <w:gridSpan w:val="2"/>
          </w:tcPr>
          <w:p>
            <w:pPr>
              <w:ind w:left="440"/>
              <w:spacing w:after="0"/>
              <w:rPr>
                <w:sz w:val="20"/>
                <w:szCs w:val="20"/>
                <w:color w:val="auto"/>
              </w:rPr>
            </w:pPr>
            <w:r>
              <w:rPr>
                <w:rFonts w:ascii="Arial" w:cs="Arial" w:eastAsia="Arial" w:hAnsi="Arial"/>
                <w:sz w:val="10"/>
                <w:szCs w:val="10"/>
                <w:color w:val="auto"/>
              </w:rPr>
              <w:t>Trade, net of allowances of $1.3 and $0.9, respectively</w:t>
            </w:r>
          </w:p>
        </w:tc>
        <w:tc>
          <w:tcPr>
            <w:tcW w:w="5500" w:type="dxa"/>
            <w:vAlign w:val="bottom"/>
          </w:tcPr>
          <w:p>
            <w:pPr>
              <w:spacing w:after="0"/>
              <w:rPr>
                <w:sz w:val="12"/>
                <w:szCs w:val="12"/>
                <w:color w:val="auto"/>
              </w:rPr>
            </w:pPr>
          </w:p>
        </w:tc>
        <w:tc>
          <w:tcPr>
            <w:tcW w:w="1000" w:type="dxa"/>
            <w:vAlign w:val="bottom"/>
          </w:tcPr>
          <w:p>
            <w:pPr>
              <w:jc w:val="right"/>
              <w:ind w:right="148"/>
              <w:spacing w:after="0"/>
              <w:rPr>
                <w:sz w:val="20"/>
                <w:szCs w:val="20"/>
                <w:color w:val="auto"/>
              </w:rPr>
            </w:pPr>
            <w:r>
              <w:rPr>
                <w:rFonts w:ascii="Arial" w:cs="Arial" w:eastAsia="Arial" w:hAnsi="Arial"/>
                <w:sz w:val="10"/>
                <w:szCs w:val="10"/>
                <w:color w:val="auto"/>
              </w:rPr>
              <w:t>99.5</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74.1</w:t>
            </w:r>
          </w:p>
        </w:tc>
      </w:tr>
      <w:tr>
        <w:trPr>
          <w:trHeight w:val="32"/>
        </w:trPr>
        <w:tc>
          <w:tcPr>
            <w:tcW w:w="2960" w:type="dxa"/>
            <w:vAlign w:val="bottom"/>
            <w:gridSpan w:val="2"/>
          </w:tcPr>
          <w:p>
            <w:pPr>
              <w:spacing w:after="0"/>
              <w:rPr>
                <w:sz w:val="2"/>
                <w:szCs w:val="2"/>
                <w:color w:val="auto"/>
              </w:rPr>
            </w:pPr>
          </w:p>
        </w:tc>
        <w:tc>
          <w:tcPr>
            <w:tcW w:w="5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440"/>
              <w:spacing w:after="0"/>
              <w:rPr>
                <w:sz w:val="20"/>
                <w:szCs w:val="20"/>
                <w:color w:val="auto"/>
              </w:rPr>
            </w:pPr>
            <w:r>
              <w:rPr>
                <w:rFonts w:ascii="Arial" w:cs="Arial" w:eastAsia="Arial" w:hAnsi="Arial"/>
                <w:sz w:val="10"/>
                <w:szCs w:val="10"/>
                <w:color w:val="auto"/>
              </w:rPr>
              <w:t>Grower and fruit advances</w:t>
            </w:r>
          </w:p>
        </w:tc>
        <w:tc>
          <w:tcPr>
            <w:tcW w:w="550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3.2</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0.9</w:t>
            </w:r>
          </w:p>
        </w:tc>
      </w:tr>
      <w:tr>
        <w:trPr>
          <w:trHeight w:val="148"/>
        </w:trPr>
        <w:tc>
          <w:tcPr>
            <w:tcW w:w="780" w:type="dxa"/>
            <w:vAlign w:val="bottom"/>
          </w:tcPr>
          <w:p>
            <w:pPr>
              <w:ind w:left="440"/>
              <w:spacing w:after="0"/>
              <w:rPr>
                <w:sz w:val="20"/>
                <w:szCs w:val="20"/>
                <w:color w:val="auto"/>
              </w:rPr>
            </w:pPr>
            <w:r>
              <w:rPr>
                <w:rFonts w:ascii="Arial" w:cs="Arial" w:eastAsia="Arial" w:hAnsi="Arial"/>
                <w:sz w:val="10"/>
                <w:szCs w:val="10"/>
                <w:color w:val="auto"/>
              </w:rPr>
              <w:t>Other</w:t>
            </w:r>
          </w:p>
        </w:tc>
        <w:tc>
          <w:tcPr>
            <w:tcW w:w="218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00" w:type="dxa"/>
            <w:vAlign w:val="bottom"/>
          </w:tcPr>
          <w:p>
            <w:pPr>
              <w:jc w:val="right"/>
              <w:ind w:right="148"/>
              <w:spacing w:after="0"/>
              <w:rPr>
                <w:sz w:val="20"/>
                <w:szCs w:val="20"/>
                <w:color w:val="auto"/>
              </w:rPr>
            </w:pPr>
            <w:r>
              <w:rPr>
                <w:rFonts w:ascii="Arial" w:cs="Arial" w:eastAsia="Arial" w:hAnsi="Arial"/>
                <w:sz w:val="10"/>
                <w:szCs w:val="10"/>
                <w:color w:val="auto"/>
              </w:rPr>
              <w:t>12.9</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12.4</w:t>
            </w:r>
          </w:p>
        </w:tc>
      </w:tr>
      <w:tr>
        <w:trPr>
          <w:trHeight w:val="32"/>
        </w:trPr>
        <w:tc>
          <w:tcPr>
            <w:tcW w:w="7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7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0"/>
                <w:szCs w:val="10"/>
                <w:color w:val="auto"/>
              </w:rPr>
              <w:t>Inventory</w:t>
            </w:r>
          </w:p>
        </w:tc>
        <w:tc>
          <w:tcPr>
            <w:tcW w:w="2180" w:type="dxa"/>
            <w:vAlign w:val="bottom"/>
            <w:tcBorders>
              <w:bottom w:val="single" w:sz="8" w:color="DBDBDB"/>
            </w:tcBorders>
            <w:shd w:val="clear" w:color="auto" w:fill="DBDBDB"/>
          </w:tcPr>
          <w:p>
            <w:pPr>
              <w:spacing w:after="0"/>
              <w:rPr>
                <w:sz w:val="13"/>
                <w:szCs w:val="13"/>
                <w:color w:val="auto"/>
              </w:rPr>
            </w:pPr>
          </w:p>
        </w:tc>
        <w:tc>
          <w:tcPr>
            <w:tcW w:w="550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94.9</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70.8</w:t>
            </w:r>
          </w:p>
        </w:tc>
      </w:tr>
      <w:tr>
        <w:trPr>
          <w:trHeight w:val="148"/>
        </w:trPr>
        <w:tc>
          <w:tcPr>
            <w:tcW w:w="2960" w:type="dxa"/>
            <w:vAlign w:val="bottom"/>
            <w:gridSpan w:val="2"/>
          </w:tcPr>
          <w:p>
            <w:pPr>
              <w:ind w:left="220"/>
              <w:spacing w:after="0"/>
              <w:rPr>
                <w:sz w:val="20"/>
                <w:szCs w:val="20"/>
                <w:color w:val="auto"/>
              </w:rPr>
            </w:pPr>
            <w:r>
              <w:rPr>
                <w:rFonts w:ascii="Arial" w:cs="Arial" w:eastAsia="Arial" w:hAnsi="Arial"/>
                <w:sz w:val="10"/>
                <w:szCs w:val="10"/>
                <w:color w:val="auto"/>
              </w:rPr>
              <w:t>Prepaid expenses and other current assets</w:t>
            </w:r>
          </w:p>
        </w:tc>
        <w:tc>
          <w:tcPr>
            <w:tcW w:w="5500" w:type="dxa"/>
            <w:vAlign w:val="bottom"/>
          </w:tcPr>
          <w:p>
            <w:pPr>
              <w:spacing w:after="0"/>
              <w:rPr>
                <w:sz w:val="12"/>
                <w:szCs w:val="12"/>
                <w:color w:val="auto"/>
              </w:rPr>
            </w:pPr>
          </w:p>
        </w:tc>
        <w:tc>
          <w:tcPr>
            <w:tcW w:w="1000" w:type="dxa"/>
            <w:vAlign w:val="bottom"/>
          </w:tcPr>
          <w:p>
            <w:pPr>
              <w:jc w:val="right"/>
              <w:ind w:right="148"/>
              <w:spacing w:after="0"/>
              <w:rPr>
                <w:sz w:val="20"/>
                <w:szCs w:val="20"/>
                <w:color w:val="auto"/>
              </w:rPr>
            </w:pPr>
            <w:r>
              <w:rPr>
                <w:rFonts w:ascii="Arial" w:cs="Arial" w:eastAsia="Arial" w:hAnsi="Arial"/>
                <w:sz w:val="10"/>
                <w:szCs w:val="10"/>
                <w:color w:val="auto"/>
              </w:rPr>
              <w:t>8.2</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9.1</w:t>
            </w:r>
          </w:p>
        </w:tc>
      </w:tr>
      <w:tr>
        <w:trPr>
          <w:trHeight w:val="32"/>
        </w:trPr>
        <w:tc>
          <w:tcPr>
            <w:tcW w:w="2960" w:type="dxa"/>
            <w:vAlign w:val="bottom"/>
            <w:gridSpan w:val="2"/>
          </w:tcPr>
          <w:p>
            <w:pPr>
              <w:spacing w:after="0"/>
              <w:rPr>
                <w:sz w:val="2"/>
                <w:szCs w:val="2"/>
                <w:color w:val="auto"/>
              </w:rPr>
            </w:pPr>
          </w:p>
        </w:tc>
        <w:tc>
          <w:tcPr>
            <w:tcW w:w="5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5"/>
        </w:trPr>
        <w:tc>
          <w:tcPr>
            <w:tcW w:w="296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0"/>
                <w:szCs w:val="10"/>
                <w:color w:val="auto"/>
              </w:rPr>
              <w:t>Income taxes receivable</w:t>
            </w:r>
          </w:p>
        </w:tc>
        <w:tc>
          <w:tcPr>
            <w:tcW w:w="550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10.4</w:t>
            </w:r>
          </w:p>
        </w:tc>
        <w:tc>
          <w:tcPr>
            <w:tcW w:w="560" w:type="dxa"/>
            <w:vAlign w:val="bottom"/>
            <w:tcBorders>
              <w:bottom w:val="single" w:sz="8" w:color="DBDBDB"/>
            </w:tcBorders>
            <w:shd w:val="clear" w:color="auto" w:fill="DBDBDB"/>
          </w:tcPr>
          <w:p>
            <w:pPr>
              <w:spacing w:after="0"/>
              <w:rPr>
                <w:sz w:val="15"/>
                <w:szCs w:val="15"/>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9.6</w:t>
            </w:r>
          </w:p>
        </w:tc>
      </w:tr>
      <w:tr>
        <w:trPr>
          <w:trHeight w:val="141"/>
        </w:trPr>
        <w:tc>
          <w:tcPr>
            <w:tcW w:w="2960" w:type="dxa"/>
            <w:vAlign w:val="bottom"/>
            <w:tcBorders>
              <w:top w:val="single" w:sz="8" w:color="auto"/>
            </w:tcBorders>
            <w:gridSpan w:val="2"/>
          </w:tcPr>
          <w:p>
            <w:pPr>
              <w:ind w:left="20"/>
              <w:spacing w:after="0"/>
              <w:rPr>
                <w:sz w:val="20"/>
                <w:szCs w:val="20"/>
                <w:color w:val="auto"/>
              </w:rPr>
            </w:pPr>
            <w:r>
              <w:rPr>
                <w:rFonts w:ascii="Arial" w:cs="Arial" w:eastAsia="Arial" w:hAnsi="Arial"/>
                <w:sz w:val="10"/>
                <w:szCs w:val="10"/>
                <w:color w:val="auto"/>
              </w:rPr>
              <w:t>Total current assets</w:t>
            </w:r>
          </w:p>
        </w:tc>
        <w:tc>
          <w:tcPr>
            <w:tcW w:w="55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48"/>
              <w:spacing w:after="0"/>
              <w:rPr>
                <w:sz w:val="20"/>
                <w:szCs w:val="20"/>
                <w:color w:val="auto"/>
              </w:rPr>
            </w:pPr>
            <w:r>
              <w:rPr>
                <w:rFonts w:ascii="Arial" w:cs="Arial" w:eastAsia="Arial" w:hAnsi="Arial"/>
                <w:sz w:val="10"/>
                <w:szCs w:val="10"/>
                <w:color w:val="auto"/>
              </w:rPr>
              <w:t>276.3</w:t>
            </w:r>
          </w:p>
        </w:tc>
        <w:tc>
          <w:tcPr>
            <w:tcW w:w="5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220.1</w:t>
            </w:r>
          </w:p>
        </w:tc>
      </w:tr>
      <w:tr>
        <w:trPr>
          <w:trHeight w:val="32"/>
        </w:trPr>
        <w:tc>
          <w:tcPr>
            <w:tcW w:w="2960" w:type="dxa"/>
            <w:vAlign w:val="bottom"/>
            <w:gridSpan w:val="2"/>
          </w:tcPr>
          <w:p>
            <w:pPr>
              <w:spacing w:after="0"/>
              <w:rPr>
                <w:sz w:val="2"/>
                <w:szCs w:val="2"/>
                <w:color w:val="auto"/>
              </w:rPr>
            </w:pPr>
          </w:p>
        </w:tc>
        <w:tc>
          <w:tcPr>
            <w:tcW w:w="5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0"/>
                <w:szCs w:val="10"/>
                <w:color w:val="auto"/>
              </w:rPr>
              <w:t>Property, plant and equipment, net</w:t>
            </w:r>
          </w:p>
        </w:tc>
        <w:tc>
          <w:tcPr>
            <w:tcW w:w="550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523.1</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523.2</w:t>
            </w:r>
          </w:p>
        </w:tc>
      </w:tr>
      <w:tr>
        <w:trPr>
          <w:trHeight w:val="148"/>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Operating lease right-of-use assets</w:t>
            </w:r>
          </w:p>
        </w:tc>
        <w:tc>
          <w:tcPr>
            <w:tcW w:w="5500" w:type="dxa"/>
            <w:vAlign w:val="bottom"/>
          </w:tcPr>
          <w:p>
            <w:pPr>
              <w:spacing w:after="0"/>
              <w:rPr>
                <w:sz w:val="12"/>
                <w:szCs w:val="12"/>
                <w:color w:val="auto"/>
              </w:rPr>
            </w:pPr>
          </w:p>
        </w:tc>
        <w:tc>
          <w:tcPr>
            <w:tcW w:w="1000" w:type="dxa"/>
            <w:vAlign w:val="bottom"/>
          </w:tcPr>
          <w:p>
            <w:pPr>
              <w:jc w:val="right"/>
              <w:ind w:right="148"/>
              <w:spacing w:after="0"/>
              <w:rPr>
                <w:sz w:val="20"/>
                <w:szCs w:val="20"/>
                <w:color w:val="auto"/>
              </w:rPr>
            </w:pPr>
            <w:r>
              <w:rPr>
                <w:rFonts w:ascii="Arial" w:cs="Arial" w:eastAsia="Arial" w:hAnsi="Arial"/>
                <w:sz w:val="10"/>
                <w:szCs w:val="10"/>
                <w:color w:val="auto"/>
              </w:rPr>
              <w:t>70.1</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72.4</w:t>
            </w:r>
          </w:p>
        </w:tc>
      </w:tr>
      <w:tr>
        <w:trPr>
          <w:trHeight w:val="32"/>
        </w:trPr>
        <w:tc>
          <w:tcPr>
            <w:tcW w:w="2960" w:type="dxa"/>
            <w:vAlign w:val="bottom"/>
            <w:gridSpan w:val="2"/>
          </w:tcPr>
          <w:p>
            <w:pPr>
              <w:spacing w:after="0"/>
              <w:rPr>
                <w:sz w:val="2"/>
                <w:szCs w:val="2"/>
                <w:color w:val="auto"/>
              </w:rPr>
            </w:pPr>
          </w:p>
        </w:tc>
        <w:tc>
          <w:tcPr>
            <w:tcW w:w="5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0"/>
                <w:szCs w:val="10"/>
                <w:color w:val="auto"/>
              </w:rPr>
              <w:t>Equity method investees</w:t>
            </w:r>
          </w:p>
        </w:tc>
        <w:tc>
          <w:tcPr>
            <w:tcW w:w="550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29.6</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31.0</w:t>
            </w:r>
          </w:p>
        </w:tc>
      </w:tr>
      <w:tr>
        <w:trPr>
          <w:trHeight w:val="148"/>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Deferred income tax assets, net</w:t>
            </w:r>
          </w:p>
        </w:tc>
        <w:tc>
          <w:tcPr>
            <w:tcW w:w="5500" w:type="dxa"/>
            <w:vAlign w:val="bottom"/>
          </w:tcPr>
          <w:p>
            <w:pPr>
              <w:spacing w:after="0"/>
              <w:rPr>
                <w:sz w:val="12"/>
                <w:szCs w:val="12"/>
                <w:color w:val="auto"/>
              </w:rPr>
            </w:pPr>
          </w:p>
        </w:tc>
        <w:tc>
          <w:tcPr>
            <w:tcW w:w="1000" w:type="dxa"/>
            <w:vAlign w:val="bottom"/>
          </w:tcPr>
          <w:p>
            <w:pPr>
              <w:jc w:val="right"/>
              <w:ind w:right="148"/>
              <w:spacing w:after="0"/>
              <w:rPr>
                <w:sz w:val="20"/>
                <w:szCs w:val="20"/>
                <w:color w:val="auto"/>
              </w:rPr>
            </w:pPr>
            <w:r>
              <w:rPr>
                <w:rFonts w:ascii="Arial" w:cs="Arial" w:eastAsia="Arial" w:hAnsi="Arial"/>
                <w:sz w:val="10"/>
                <w:szCs w:val="10"/>
                <w:color w:val="auto"/>
              </w:rPr>
              <w:t>8.8</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8.5</w:t>
            </w:r>
          </w:p>
        </w:tc>
      </w:tr>
      <w:tr>
        <w:trPr>
          <w:trHeight w:val="32"/>
        </w:trPr>
        <w:tc>
          <w:tcPr>
            <w:tcW w:w="7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Goodwill</w:t>
            </w:r>
          </w:p>
        </w:tc>
        <w:tc>
          <w:tcPr>
            <w:tcW w:w="2180" w:type="dxa"/>
            <w:vAlign w:val="bottom"/>
            <w:tcBorders>
              <w:bottom w:val="single" w:sz="8" w:color="DBDBDB"/>
            </w:tcBorders>
            <w:shd w:val="clear" w:color="auto" w:fill="DBDBDB"/>
          </w:tcPr>
          <w:p>
            <w:pPr>
              <w:spacing w:after="0"/>
              <w:rPr>
                <w:sz w:val="13"/>
                <w:szCs w:val="13"/>
                <w:color w:val="auto"/>
              </w:rPr>
            </w:pPr>
          </w:p>
        </w:tc>
        <w:tc>
          <w:tcPr>
            <w:tcW w:w="550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39.4</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39.4</w:t>
            </w:r>
          </w:p>
        </w:tc>
      </w:tr>
      <w:tr>
        <w:trPr>
          <w:trHeight w:val="148"/>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Intangible asset, net</w:t>
            </w:r>
          </w:p>
        </w:tc>
        <w:tc>
          <w:tcPr>
            <w:tcW w:w="5500" w:type="dxa"/>
            <w:vAlign w:val="bottom"/>
          </w:tcPr>
          <w:p>
            <w:pPr>
              <w:spacing w:after="0"/>
              <w:rPr>
                <w:sz w:val="12"/>
                <w:szCs w:val="12"/>
                <w:color w:val="auto"/>
              </w:rPr>
            </w:pPr>
          </w:p>
        </w:tc>
        <w:tc>
          <w:tcPr>
            <w:tcW w:w="1000" w:type="dxa"/>
            <w:vAlign w:val="bottom"/>
          </w:tcPr>
          <w:p>
            <w:pPr>
              <w:jc w:val="right"/>
              <w:ind w:right="148"/>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0.5</w:t>
            </w:r>
          </w:p>
        </w:tc>
      </w:tr>
      <w:tr>
        <w:trPr>
          <w:trHeight w:val="32"/>
        </w:trPr>
        <w:tc>
          <w:tcPr>
            <w:tcW w:w="7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5"/>
        </w:trPr>
        <w:tc>
          <w:tcPr>
            <w:tcW w:w="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Other assets</w:t>
            </w:r>
          </w:p>
        </w:tc>
        <w:tc>
          <w:tcPr>
            <w:tcW w:w="2180" w:type="dxa"/>
            <w:vAlign w:val="bottom"/>
            <w:tcBorders>
              <w:bottom w:val="single" w:sz="8" w:color="DBDBDB"/>
            </w:tcBorders>
            <w:shd w:val="clear" w:color="auto" w:fill="DBDBDB"/>
          </w:tcPr>
          <w:p>
            <w:pPr>
              <w:spacing w:after="0"/>
              <w:rPr>
                <w:sz w:val="15"/>
                <w:szCs w:val="15"/>
                <w:color w:val="auto"/>
              </w:rPr>
            </w:pPr>
          </w:p>
        </w:tc>
        <w:tc>
          <w:tcPr>
            <w:tcW w:w="550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19.6</w:t>
            </w:r>
          </w:p>
        </w:tc>
        <w:tc>
          <w:tcPr>
            <w:tcW w:w="560" w:type="dxa"/>
            <w:vAlign w:val="bottom"/>
            <w:tcBorders>
              <w:bottom w:val="single" w:sz="8" w:color="DBDBDB"/>
            </w:tcBorders>
            <w:shd w:val="clear" w:color="auto" w:fill="DBDBDB"/>
          </w:tcPr>
          <w:p>
            <w:pPr>
              <w:spacing w:after="0"/>
              <w:rPr>
                <w:sz w:val="15"/>
                <w:szCs w:val="15"/>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19.7</w:t>
            </w:r>
          </w:p>
        </w:tc>
      </w:tr>
      <w:tr>
        <w:trPr>
          <w:trHeight w:val="141"/>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Total assets</w:t>
            </w:r>
          </w:p>
        </w:tc>
        <w:tc>
          <w:tcPr>
            <w:tcW w:w="2180" w:type="dxa"/>
            <w:vAlign w:val="bottom"/>
            <w:tcBorders>
              <w:top w:val="single" w:sz="8" w:color="auto"/>
            </w:tcBorders>
          </w:tcPr>
          <w:p>
            <w:pPr>
              <w:spacing w:after="0"/>
              <w:rPr>
                <w:sz w:val="12"/>
                <w:szCs w:val="12"/>
                <w:color w:val="auto"/>
              </w:rPr>
            </w:pPr>
          </w:p>
        </w:tc>
        <w:tc>
          <w:tcPr>
            <w:tcW w:w="5500" w:type="dxa"/>
            <w:vAlign w:val="bottom"/>
            <w:tcBorders>
              <w:top w:val="single" w:sz="8" w:color="auto"/>
            </w:tcBorders>
          </w:tcPr>
          <w:p>
            <w:pPr>
              <w:jc w:val="right"/>
              <w:ind w:right="652"/>
              <w:spacing w:after="0"/>
              <w:rPr>
                <w:sz w:val="20"/>
                <w:szCs w:val="20"/>
                <w:color w:val="auto"/>
              </w:rPr>
            </w:pPr>
            <w:r>
              <w:rPr>
                <w:rFonts w:ascii="Arial" w:cs="Arial" w:eastAsia="Arial" w:hAnsi="Arial"/>
                <w:sz w:val="10"/>
                <w:szCs w:val="10"/>
                <w:color w:val="auto"/>
              </w:rPr>
              <w:t>$</w:t>
            </w:r>
          </w:p>
        </w:tc>
        <w:tc>
          <w:tcPr>
            <w:tcW w:w="1000" w:type="dxa"/>
            <w:vAlign w:val="bottom"/>
            <w:tcBorders>
              <w:top w:val="single" w:sz="8" w:color="auto"/>
            </w:tcBorders>
          </w:tcPr>
          <w:p>
            <w:pPr>
              <w:jc w:val="right"/>
              <w:ind w:right="148"/>
              <w:spacing w:after="0"/>
              <w:rPr>
                <w:sz w:val="20"/>
                <w:szCs w:val="20"/>
                <w:color w:val="auto"/>
              </w:rPr>
            </w:pPr>
            <w:r>
              <w:rPr>
                <w:rFonts w:ascii="Arial" w:cs="Arial" w:eastAsia="Arial" w:hAnsi="Arial"/>
                <w:sz w:val="10"/>
                <w:szCs w:val="10"/>
                <w:color w:val="auto"/>
              </w:rPr>
              <w:t>966.9</w:t>
            </w:r>
          </w:p>
        </w:tc>
        <w:tc>
          <w:tcPr>
            <w:tcW w:w="560" w:type="dxa"/>
            <w:vAlign w:val="bottom"/>
            <w:tcBorders>
              <w:top w:val="single" w:sz="8" w:color="auto"/>
            </w:tcBorders>
          </w:tcPr>
          <w:p>
            <w:pPr>
              <w:jc w:val="right"/>
              <w:ind w:right="308"/>
              <w:spacing w:after="0"/>
              <w:rPr>
                <w:sz w:val="20"/>
                <w:szCs w:val="20"/>
                <w:color w:val="auto"/>
              </w:rPr>
            </w:pPr>
            <w:r>
              <w:rPr>
                <w:rFonts w:ascii="Arial" w:cs="Arial" w:eastAsia="Arial" w:hAnsi="Arial"/>
                <w:sz w:val="10"/>
                <w:szCs w:val="10"/>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914.8</w:t>
            </w:r>
          </w:p>
        </w:tc>
      </w:tr>
      <w:tr>
        <w:trPr>
          <w:trHeight w:val="32"/>
        </w:trPr>
        <w:tc>
          <w:tcPr>
            <w:tcW w:w="2960" w:type="dxa"/>
            <w:vAlign w:val="bottom"/>
            <w:tcBorders>
              <w:bottom w:val="single" w:sz="8" w:color="auto"/>
            </w:tcBorders>
            <w:gridSpan w:val="2"/>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83"/>
        </w:trPr>
        <w:tc>
          <w:tcPr>
            <w:tcW w:w="780" w:type="dxa"/>
            <w:vAlign w:val="bottom"/>
            <w:shd w:val="clear" w:color="auto" w:fill="DBDBDB"/>
          </w:tcPr>
          <w:p>
            <w:pPr>
              <w:spacing w:after="0"/>
              <w:rPr>
                <w:sz w:val="7"/>
                <w:szCs w:val="7"/>
                <w:color w:val="auto"/>
              </w:rPr>
            </w:pPr>
          </w:p>
        </w:tc>
        <w:tc>
          <w:tcPr>
            <w:tcW w:w="2180" w:type="dxa"/>
            <w:vAlign w:val="bottom"/>
            <w:shd w:val="clear" w:color="auto" w:fill="DBDBDB"/>
          </w:tcPr>
          <w:p>
            <w:pPr>
              <w:spacing w:after="0"/>
              <w:rPr>
                <w:sz w:val="7"/>
                <w:szCs w:val="7"/>
                <w:color w:val="auto"/>
              </w:rPr>
            </w:pPr>
          </w:p>
        </w:tc>
        <w:tc>
          <w:tcPr>
            <w:tcW w:w="5500" w:type="dxa"/>
            <w:vAlign w:val="bottom"/>
            <w:shd w:val="clear" w:color="auto" w:fill="DBDBDB"/>
          </w:tcPr>
          <w:p>
            <w:pPr>
              <w:spacing w:after="0"/>
              <w:rPr>
                <w:sz w:val="7"/>
                <w:szCs w:val="7"/>
                <w:color w:val="auto"/>
              </w:rPr>
            </w:pPr>
          </w:p>
        </w:tc>
        <w:tc>
          <w:tcPr>
            <w:tcW w:w="1000" w:type="dxa"/>
            <w:vAlign w:val="bottom"/>
            <w:shd w:val="clear" w:color="auto" w:fill="DBDBDB"/>
          </w:tcPr>
          <w:p>
            <w:pPr>
              <w:spacing w:after="0"/>
              <w:rPr>
                <w:sz w:val="7"/>
                <w:szCs w:val="7"/>
                <w:color w:val="auto"/>
              </w:rPr>
            </w:pPr>
          </w:p>
        </w:tc>
        <w:tc>
          <w:tcPr>
            <w:tcW w:w="560" w:type="dxa"/>
            <w:vAlign w:val="bottom"/>
            <w:shd w:val="clear" w:color="auto" w:fill="DBDBDB"/>
          </w:tcPr>
          <w:p>
            <w:pPr>
              <w:spacing w:after="0"/>
              <w:rPr>
                <w:sz w:val="7"/>
                <w:szCs w:val="7"/>
                <w:color w:val="auto"/>
              </w:rPr>
            </w:pPr>
          </w:p>
        </w:tc>
        <w:tc>
          <w:tcPr>
            <w:tcW w:w="1220" w:type="dxa"/>
            <w:vAlign w:val="bottom"/>
            <w:shd w:val="clear" w:color="auto" w:fill="DBDBDB"/>
          </w:tcPr>
          <w:p>
            <w:pPr>
              <w:spacing w:after="0"/>
              <w:rPr>
                <w:sz w:val="7"/>
                <w:szCs w:val="7"/>
                <w:color w:val="auto"/>
              </w:rPr>
            </w:pPr>
          </w:p>
        </w:tc>
      </w:tr>
      <w:tr>
        <w:trPr>
          <w:trHeight w:val="154"/>
        </w:trPr>
        <w:tc>
          <w:tcPr>
            <w:tcW w:w="2960" w:type="dxa"/>
            <w:vAlign w:val="bottom"/>
            <w:gridSpan w:val="2"/>
          </w:tcPr>
          <w:p>
            <w:pPr>
              <w:ind w:left="20"/>
              <w:spacing w:after="0"/>
              <w:rPr>
                <w:sz w:val="20"/>
                <w:szCs w:val="20"/>
                <w:color w:val="auto"/>
              </w:rPr>
            </w:pPr>
            <w:r>
              <w:rPr>
                <w:rFonts w:ascii="Arial" w:cs="Arial" w:eastAsia="Arial" w:hAnsi="Arial"/>
                <w:sz w:val="10"/>
                <w:szCs w:val="10"/>
                <w:b w:val="1"/>
                <w:bCs w:val="1"/>
                <w:color w:val="auto"/>
              </w:rPr>
              <w:t>Liabilities and Equity</w:t>
            </w:r>
          </w:p>
        </w:tc>
        <w:tc>
          <w:tcPr>
            <w:tcW w:w="5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6"/>
        </w:trPr>
        <w:tc>
          <w:tcPr>
            <w:tcW w:w="7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Liabilities</w:t>
            </w:r>
          </w:p>
        </w:tc>
        <w:tc>
          <w:tcPr>
            <w:tcW w:w="2180" w:type="dxa"/>
            <w:vAlign w:val="bottom"/>
            <w:tcBorders>
              <w:bottom w:val="single" w:sz="8" w:color="DBDBDB"/>
            </w:tcBorders>
            <w:shd w:val="clear" w:color="auto" w:fill="DBDBDB"/>
          </w:tcPr>
          <w:p>
            <w:pPr>
              <w:spacing w:after="0"/>
              <w:rPr>
                <w:sz w:val="13"/>
                <w:szCs w:val="13"/>
                <w:color w:val="auto"/>
              </w:rPr>
            </w:pPr>
          </w:p>
        </w:tc>
        <w:tc>
          <w:tcPr>
            <w:tcW w:w="550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spacing w:after="0"/>
              <w:rPr>
                <w:sz w:val="13"/>
                <w:szCs w:val="13"/>
                <w:color w:val="auto"/>
              </w:rPr>
            </w:pP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spacing w:after="0"/>
              <w:rPr>
                <w:sz w:val="13"/>
                <w:szCs w:val="13"/>
                <w:color w:val="auto"/>
              </w:rPr>
            </w:pPr>
          </w:p>
        </w:tc>
      </w:tr>
      <w:tr>
        <w:trPr>
          <w:trHeight w:val="148"/>
        </w:trPr>
        <w:tc>
          <w:tcPr>
            <w:tcW w:w="2960" w:type="dxa"/>
            <w:vAlign w:val="bottom"/>
            <w:gridSpan w:val="2"/>
          </w:tcPr>
          <w:p>
            <w:pPr>
              <w:ind w:left="220"/>
              <w:spacing w:after="0"/>
              <w:rPr>
                <w:sz w:val="20"/>
                <w:szCs w:val="20"/>
                <w:color w:val="auto"/>
              </w:rPr>
            </w:pPr>
            <w:r>
              <w:rPr>
                <w:rFonts w:ascii="Arial" w:cs="Arial" w:eastAsia="Arial" w:hAnsi="Arial"/>
                <w:sz w:val="10"/>
                <w:szCs w:val="10"/>
                <w:color w:val="auto"/>
              </w:rPr>
              <w:t>Accounts payable</w:t>
            </w:r>
          </w:p>
        </w:tc>
        <w:tc>
          <w:tcPr>
            <w:tcW w:w="5500" w:type="dxa"/>
            <w:vAlign w:val="bottom"/>
          </w:tcPr>
          <w:p>
            <w:pPr>
              <w:jc w:val="right"/>
              <w:ind w:right="65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48"/>
              <w:spacing w:after="0"/>
              <w:rPr>
                <w:sz w:val="20"/>
                <w:szCs w:val="20"/>
                <w:color w:val="auto"/>
              </w:rPr>
            </w:pPr>
            <w:r>
              <w:rPr>
                <w:rFonts w:ascii="Arial" w:cs="Arial" w:eastAsia="Arial" w:hAnsi="Arial"/>
                <w:sz w:val="10"/>
                <w:szCs w:val="10"/>
                <w:color w:val="auto"/>
              </w:rPr>
              <w:t>26.4</w:t>
            </w:r>
          </w:p>
        </w:tc>
        <w:tc>
          <w:tcPr>
            <w:tcW w:w="560" w:type="dxa"/>
            <w:vAlign w:val="bottom"/>
          </w:tcPr>
          <w:p>
            <w:pPr>
              <w:jc w:val="right"/>
              <w:ind w:right="308"/>
              <w:spacing w:after="0"/>
              <w:rPr>
                <w:sz w:val="20"/>
                <w:szCs w:val="20"/>
                <w:color w:val="auto"/>
              </w:rPr>
            </w:pPr>
            <w:r>
              <w:rPr>
                <w:rFonts w:ascii="Arial" w:cs="Arial" w:eastAsia="Arial" w:hAnsi="Arial"/>
                <w:sz w:val="10"/>
                <w:szCs w:val="10"/>
                <w:color w:val="auto"/>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27.2</w:t>
            </w:r>
          </w:p>
        </w:tc>
      </w:tr>
      <w:tr>
        <w:trPr>
          <w:trHeight w:val="32"/>
        </w:trPr>
        <w:tc>
          <w:tcPr>
            <w:tcW w:w="2960" w:type="dxa"/>
            <w:vAlign w:val="bottom"/>
            <w:gridSpan w:val="2"/>
          </w:tcPr>
          <w:p>
            <w:pPr>
              <w:spacing w:after="0"/>
              <w:rPr>
                <w:sz w:val="2"/>
                <w:szCs w:val="2"/>
                <w:color w:val="auto"/>
              </w:rPr>
            </w:pPr>
          </w:p>
        </w:tc>
        <w:tc>
          <w:tcPr>
            <w:tcW w:w="5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0"/>
                <w:szCs w:val="10"/>
                <w:color w:val="auto"/>
              </w:rPr>
              <w:t>Accrued expenses</w:t>
            </w:r>
          </w:p>
        </w:tc>
        <w:tc>
          <w:tcPr>
            <w:tcW w:w="550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32.6</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26.4</w:t>
            </w:r>
          </w:p>
        </w:tc>
      </w:tr>
      <w:tr>
        <w:trPr>
          <w:trHeight w:val="148"/>
        </w:trPr>
        <w:tc>
          <w:tcPr>
            <w:tcW w:w="2960" w:type="dxa"/>
            <w:vAlign w:val="bottom"/>
            <w:gridSpan w:val="2"/>
          </w:tcPr>
          <w:p>
            <w:pPr>
              <w:ind w:left="220"/>
              <w:spacing w:after="0"/>
              <w:rPr>
                <w:sz w:val="20"/>
                <w:szCs w:val="20"/>
                <w:color w:val="auto"/>
              </w:rPr>
            </w:pPr>
            <w:r>
              <w:rPr>
                <w:rFonts w:ascii="Arial" w:cs="Arial" w:eastAsia="Arial" w:hAnsi="Arial"/>
                <w:sz w:val="10"/>
                <w:szCs w:val="10"/>
                <w:color w:val="auto"/>
              </w:rPr>
              <w:t>Income taxes payable</w:t>
            </w:r>
          </w:p>
        </w:tc>
        <w:tc>
          <w:tcPr>
            <w:tcW w:w="5500" w:type="dxa"/>
            <w:vAlign w:val="bottom"/>
          </w:tcPr>
          <w:p>
            <w:pPr>
              <w:spacing w:after="0"/>
              <w:rPr>
                <w:sz w:val="12"/>
                <w:szCs w:val="12"/>
                <w:color w:val="auto"/>
              </w:rPr>
            </w:pPr>
          </w:p>
        </w:tc>
        <w:tc>
          <w:tcPr>
            <w:tcW w:w="1000" w:type="dxa"/>
            <w:vAlign w:val="bottom"/>
          </w:tcPr>
          <w:p>
            <w:pPr>
              <w:jc w:val="right"/>
              <w:ind w:right="148"/>
              <w:spacing w:after="0"/>
              <w:rPr>
                <w:sz w:val="20"/>
                <w:szCs w:val="20"/>
                <w:color w:val="auto"/>
              </w:rPr>
            </w:pPr>
            <w:r>
              <w:rPr>
                <w:rFonts w:ascii="Arial" w:cs="Arial" w:eastAsia="Arial" w:hAnsi="Arial"/>
                <w:sz w:val="10"/>
                <w:szCs w:val="10"/>
                <w:color w:val="auto"/>
              </w:rPr>
              <w:t>1.7</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1.6</w:t>
            </w:r>
          </w:p>
        </w:tc>
      </w:tr>
      <w:tr>
        <w:trPr>
          <w:trHeight w:val="32"/>
        </w:trPr>
        <w:tc>
          <w:tcPr>
            <w:tcW w:w="2960" w:type="dxa"/>
            <w:vAlign w:val="bottom"/>
            <w:gridSpan w:val="2"/>
          </w:tcPr>
          <w:p>
            <w:pPr>
              <w:spacing w:after="0"/>
              <w:rPr>
                <w:sz w:val="2"/>
                <w:szCs w:val="2"/>
                <w:color w:val="auto"/>
              </w:rPr>
            </w:pPr>
          </w:p>
        </w:tc>
        <w:tc>
          <w:tcPr>
            <w:tcW w:w="5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0"/>
                <w:szCs w:val="10"/>
                <w:color w:val="auto"/>
              </w:rPr>
              <w:t>Grower payables</w:t>
            </w:r>
          </w:p>
        </w:tc>
        <w:tc>
          <w:tcPr>
            <w:tcW w:w="550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49.2</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26.4</w:t>
            </w:r>
          </w:p>
        </w:tc>
      </w:tr>
      <w:tr>
        <w:trPr>
          <w:trHeight w:val="148"/>
        </w:trPr>
        <w:tc>
          <w:tcPr>
            <w:tcW w:w="2960" w:type="dxa"/>
            <w:vAlign w:val="bottom"/>
            <w:gridSpan w:val="2"/>
          </w:tcPr>
          <w:p>
            <w:pPr>
              <w:ind w:left="220"/>
              <w:spacing w:after="0"/>
              <w:rPr>
                <w:sz w:val="20"/>
                <w:szCs w:val="20"/>
                <w:color w:val="auto"/>
              </w:rPr>
            </w:pPr>
            <w:r>
              <w:rPr>
                <w:rFonts w:ascii="Arial" w:cs="Arial" w:eastAsia="Arial" w:hAnsi="Arial"/>
                <w:sz w:val="10"/>
                <w:szCs w:val="10"/>
                <w:color w:val="auto"/>
              </w:rPr>
              <w:t>Short-term borrowings</w:t>
            </w:r>
          </w:p>
        </w:tc>
        <w:tc>
          <w:tcPr>
            <w:tcW w:w="5500" w:type="dxa"/>
            <w:vAlign w:val="bottom"/>
          </w:tcPr>
          <w:p>
            <w:pPr>
              <w:spacing w:after="0"/>
              <w:rPr>
                <w:sz w:val="12"/>
                <w:szCs w:val="12"/>
                <w:color w:val="auto"/>
              </w:rPr>
            </w:pPr>
          </w:p>
        </w:tc>
        <w:tc>
          <w:tcPr>
            <w:tcW w:w="1000" w:type="dxa"/>
            <w:vAlign w:val="bottom"/>
          </w:tcPr>
          <w:p>
            <w:pPr>
              <w:jc w:val="right"/>
              <w:ind w:right="148"/>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2.8</w:t>
            </w:r>
          </w:p>
        </w:tc>
      </w:tr>
      <w:tr>
        <w:trPr>
          <w:trHeight w:val="32"/>
        </w:trPr>
        <w:tc>
          <w:tcPr>
            <w:tcW w:w="2960" w:type="dxa"/>
            <w:vAlign w:val="bottom"/>
            <w:gridSpan w:val="2"/>
          </w:tcPr>
          <w:p>
            <w:pPr>
              <w:spacing w:after="0"/>
              <w:rPr>
                <w:sz w:val="2"/>
                <w:szCs w:val="2"/>
                <w:color w:val="auto"/>
              </w:rPr>
            </w:pPr>
          </w:p>
        </w:tc>
        <w:tc>
          <w:tcPr>
            <w:tcW w:w="5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0"/>
                <w:szCs w:val="10"/>
                <w:color w:val="auto"/>
              </w:rPr>
              <w:t>Notes payable</w:t>
            </w:r>
          </w:p>
        </w:tc>
        <w:tc>
          <w:tcPr>
            <w:tcW w:w="550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0.5</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r>
      <w:tr>
        <w:trPr>
          <w:trHeight w:val="148"/>
        </w:trPr>
        <w:tc>
          <w:tcPr>
            <w:tcW w:w="2960" w:type="dxa"/>
            <w:vAlign w:val="bottom"/>
            <w:gridSpan w:val="2"/>
          </w:tcPr>
          <w:p>
            <w:pPr>
              <w:ind w:left="220"/>
              <w:spacing w:after="0"/>
              <w:rPr>
                <w:sz w:val="20"/>
                <w:szCs w:val="20"/>
                <w:color w:val="auto"/>
              </w:rPr>
            </w:pPr>
            <w:r>
              <w:rPr>
                <w:rFonts w:ascii="Arial" w:cs="Arial" w:eastAsia="Arial" w:hAnsi="Arial"/>
                <w:sz w:val="10"/>
                <w:szCs w:val="10"/>
                <w:color w:val="auto"/>
              </w:rPr>
              <w:t>Loans from noncontrolling interest holders—current portion</w:t>
            </w:r>
          </w:p>
        </w:tc>
        <w:tc>
          <w:tcPr>
            <w:tcW w:w="5500" w:type="dxa"/>
            <w:vAlign w:val="bottom"/>
          </w:tcPr>
          <w:p>
            <w:pPr>
              <w:spacing w:after="0"/>
              <w:rPr>
                <w:sz w:val="12"/>
                <w:szCs w:val="12"/>
                <w:color w:val="auto"/>
              </w:rPr>
            </w:pPr>
          </w:p>
        </w:tc>
        <w:tc>
          <w:tcPr>
            <w:tcW w:w="1000" w:type="dxa"/>
            <w:vAlign w:val="bottom"/>
          </w:tcPr>
          <w:p>
            <w:pPr>
              <w:jc w:val="right"/>
              <w:ind w:right="148"/>
              <w:spacing w:after="0"/>
              <w:rPr>
                <w:sz w:val="20"/>
                <w:szCs w:val="20"/>
                <w:color w:val="auto"/>
              </w:rPr>
            </w:pPr>
            <w:r>
              <w:rPr>
                <w:rFonts w:ascii="Arial" w:cs="Arial" w:eastAsia="Arial" w:hAnsi="Arial"/>
                <w:sz w:val="10"/>
                <w:szCs w:val="10"/>
                <w:color w:val="auto"/>
              </w:rPr>
              <w:t>0.2</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0.5</w:t>
            </w:r>
          </w:p>
        </w:tc>
      </w:tr>
      <w:tr>
        <w:trPr>
          <w:trHeight w:val="32"/>
        </w:trPr>
        <w:tc>
          <w:tcPr>
            <w:tcW w:w="2960" w:type="dxa"/>
            <w:vAlign w:val="bottom"/>
            <w:gridSpan w:val="2"/>
          </w:tcPr>
          <w:p>
            <w:pPr>
              <w:spacing w:after="0"/>
              <w:rPr>
                <w:sz w:val="2"/>
                <w:szCs w:val="2"/>
                <w:color w:val="auto"/>
              </w:rPr>
            </w:pPr>
          </w:p>
        </w:tc>
        <w:tc>
          <w:tcPr>
            <w:tcW w:w="5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0"/>
                <w:szCs w:val="10"/>
                <w:color w:val="auto"/>
              </w:rPr>
              <w:t>Long-term debt—current portion</w:t>
            </w:r>
          </w:p>
        </w:tc>
        <w:tc>
          <w:tcPr>
            <w:tcW w:w="550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3.1</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3.4</w:t>
            </w:r>
          </w:p>
        </w:tc>
      </w:tr>
      <w:tr>
        <w:trPr>
          <w:trHeight w:val="148"/>
        </w:trPr>
        <w:tc>
          <w:tcPr>
            <w:tcW w:w="2960" w:type="dxa"/>
            <w:vAlign w:val="bottom"/>
            <w:gridSpan w:val="2"/>
          </w:tcPr>
          <w:p>
            <w:pPr>
              <w:ind w:left="220"/>
              <w:spacing w:after="0"/>
              <w:rPr>
                <w:sz w:val="20"/>
                <w:szCs w:val="20"/>
                <w:color w:val="auto"/>
              </w:rPr>
            </w:pPr>
            <w:r>
              <w:rPr>
                <w:rFonts w:ascii="Arial" w:cs="Arial" w:eastAsia="Arial" w:hAnsi="Arial"/>
                <w:sz w:val="10"/>
                <w:szCs w:val="10"/>
                <w:color w:val="auto"/>
              </w:rPr>
              <w:t>Operating leases—current portion</w:t>
            </w:r>
          </w:p>
        </w:tc>
        <w:tc>
          <w:tcPr>
            <w:tcW w:w="5500" w:type="dxa"/>
            <w:vAlign w:val="bottom"/>
          </w:tcPr>
          <w:p>
            <w:pPr>
              <w:spacing w:after="0"/>
              <w:rPr>
                <w:sz w:val="12"/>
                <w:szCs w:val="12"/>
                <w:color w:val="auto"/>
              </w:rPr>
            </w:pPr>
          </w:p>
        </w:tc>
        <w:tc>
          <w:tcPr>
            <w:tcW w:w="1000" w:type="dxa"/>
            <w:vAlign w:val="bottom"/>
          </w:tcPr>
          <w:p>
            <w:pPr>
              <w:jc w:val="right"/>
              <w:ind w:right="148"/>
              <w:spacing w:after="0"/>
              <w:rPr>
                <w:sz w:val="20"/>
                <w:szCs w:val="20"/>
                <w:color w:val="auto"/>
              </w:rPr>
            </w:pPr>
            <w:r>
              <w:rPr>
                <w:rFonts w:ascii="Arial" w:cs="Arial" w:eastAsia="Arial" w:hAnsi="Arial"/>
                <w:sz w:val="10"/>
                <w:szCs w:val="10"/>
                <w:color w:val="auto"/>
              </w:rPr>
              <w:t>6.1</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6.6</w:t>
            </w:r>
          </w:p>
        </w:tc>
      </w:tr>
      <w:tr>
        <w:trPr>
          <w:trHeight w:val="32"/>
        </w:trPr>
        <w:tc>
          <w:tcPr>
            <w:tcW w:w="2960" w:type="dxa"/>
            <w:vAlign w:val="bottom"/>
            <w:gridSpan w:val="2"/>
          </w:tcPr>
          <w:p>
            <w:pPr>
              <w:spacing w:after="0"/>
              <w:rPr>
                <w:sz w:val="2"/>
                <w:szCs w:val="2"/>
                <w:color w:val="auto"/>
              </w:rPr>
            </w:pPr>
          </w:p>
        </w:tc>
        <w:tc>
          <w:tcPr>
            <w:tcW w:w="5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5"/>
        </w:trPr>
        <w:tc>
          <w:tcPr>
            <w:tcW w:w="296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0"/>
                <w:szCs w:val="10"/>
                <w:color w:val="auto"/>
              </w:rPr>
              <w:t>Finance leases—current portion</w:t>
            </w:r>
          </w:p>
        </w:tc>
        <w:tc>
          <w:tcPr>
            <w:tcW w:w="550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1.9</w:t>
            </w:r>
          </w:p>
        </w:tc>
        <w:tc>
          <w:tcPr>
            <w:tcW w:w="560" w:type="dxa"/>
            <w:vAlign w:val="bottom"/>
            <w:tcBorders>
              <w:bottom w:val="single" w:sz="8" w:color="DBDBDB"/>
            </w:tcBorders>
            <w:shd w:val="clear" w:color="auto" w:fill="DBDBDB"/>
          </w:tcPr>
          <w:p>
            <w:pPr>
              <w:spacing w:after="0"/>
              <w:rPr>
                <w:sz w:val="15"/>
                <w:szCs w:val="15"/>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2.6</w:t>
            </w:r>
          </w:p>
        </w:tc>
      </w:tr>
      <w:tr>
        <w:trPr>
          <w:trHeight w:val="141"/>
        </w:trPr>
        <w:tc>
          <w:tcPr>
            <w:tcW w:w="2960" w:type="dxa"/>
            <w:vAlign w:val="bottom"/>
            <w:tcBorders>
              <w:top w:val="single" w:sz="8" w:color="auto"/>
            </w:tcBorders>
            <w:gridSpan w:val="2"/>
          </w:tcPr>
          <w:p>
            <w:pPr>
              <w:ind w:left="20"/>
              <w:spacing w:after="0"/>
              <w:rPr>
                <w:sz w:val="20"/>
                <w:szCs w:val="20"/>
                <w:color w:val="auto"/>
              </w:rPr>
            </w:pPr>
            <w:r>
              <w:rPr>
                <w:rFonts w:ascii="Arial" w:cs="Arial" w:eastAsia="Arial" w:hAnsi="Arial"/>
                <w:sz w:val="10"/>
                <w:szCs w:val="10"/>
                <w:color w:val="auto"/>
              </w:rPr>
              <w:t>Total current liabilities</w:t>
            </w:r>
          </w:p>
        </w:tc>
        <w:tc>
          <w:tcPr>
            <w:tcW w:w="55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48"/>
              <w:spacing w:after="0"/>
              <w:rPr>
                <w:sz w:val="20"/>
                <w:szCs w:val="20"/>
                <w:color w:val="auto"/>
              </w:rPr>
            </w:pPr>
            <w:r>
              <w:rPr>
                <w:rFonts w:ascii="Arial" w:cs="Arial" w:eastAsia="Arial" w:hAnsi="Arial"/>
                <w:sz w:val="10"/>
                <w:szCs w:val="10"/>
                <w:color w:val="auto"/>
              </w:rPr>
              <w:t>121.7</w:t>
            </w:r>
          </w:p>
        </w:tc>
        <w:tc>
          <w:tcPr>
            <w:tcW w:w="5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97.5</w:t>
            </w:r>
          </w:p>
        </w:tc>
      </w:tr>
      <w:tr>
        <w:trPr>
          <w:trHeight w:val="32"/>
        </w:trPr>
        <w:tc>
          <w:tcPr>
            <w:tcW w:w="2960" w:type="dxa"/>
            <w:vAlign w:val="bottom"/>
            <w:gridSpan w:val="2"/>
          </w:tcPr>
          <w:p>
            <w:pPr>
              <w:spacing w:after="0"/>
              <w:rPr>
                <w:sz w:val="2"/>
                <w:szCs w:val="2"/>
                <w:color w:val="auto"/>
              </w:rPr>
            </w:pPr>
          </w:p>
        </w:tc>
        <w:tc>
          <w:tcPr>
            <w:tcW w:w="5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0"/>
                <w:szCs w:val="10"/>
                <w:color w:val="auto"/>
              </w:rPr>
              <w:t>Long-term debt, net of current portion</w:t>
            </w:r>
          </w:p>
        </w:tc>
        <w:tc>
          <w:tcPr>
            <w:tcW w:w="550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167.1</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148.6</w:t>
            </w:r>
          </w:p>
        </w:tc>
      </w:tr>
      <w:tr>
        <w:trPr>
          <w:trHeight w:val="148"/>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Loans from noncontrolling interest holders, net of current portion</w:t>
            </w:r>
          </w:p>
        </w:tc>
        <w:tc>
          <w:tcPr>
            <w:tcW w:w="5500" w:type="dxa"/>
            <w:vAlign w:val="bottom"/>
          </w:tcPr>
          <w:p>
            <w:pPr>
              <w:spacing w:after="0"/>
              <w:rPr>
                <w:sz w:val="12"/>
                <w:szCs w:val="12"/>
                <w:color w:val="auto"/>
              </w:rPr>
            </w:pPr>
          </w:p>
        </w:tc>
        <w:tc>
          <w:tcPr>
            <w:tcW w:w="1000" w:type="dxa"/>
            <w:vAlign w:val="bottom"/>
          </w:tcPr>
          <w:p>
            <w:pPr>
              <w:jc w:val="right"/>
              <w:ind w:right="148"/>
              <w:spacing w:after="0"/>
              <w:rPr>
                <w:sz w:val="20"/>
                <w:szCs w:val="20"/>
                <w:color w:val="auto"/>
              </w:rPr>
            </w:pPr>
            <w:r>
              <w:rPr>
                <w:rFonts w:ascii="Arial" w:cs="Arial" w:eastAsia="Arial" w:hAnsi="Arial"/>
                <w:sz w:val="10"/>
                <w:szCs w:val="10"/>
                <w:color w:val="auto"/>
              </w:rPr>
              <w:t>1.8</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2.5</w:t>
            </w:r>
          </w:p>
        </w:tc>
      </w:tr>
      <w:tr>
        <w:trPr>
          <w:trHeight w:val="32"/>
        </w:trPr>
        <w:tc>
          <w:tcPr>
            <w:tcW w:w="2960" w:type="dxa"/>
            <w:vAlign w:val="bottom"/>
            <w:gridSpan w:val="2"/>
          </w:tcPr>
          <w:p>
            <w:pPr>
              <w:spacing w:after="0"/>
              <w:rPr>
                <w:sz w:val="2"/>
                <w:szCs w:val="2"/>
                <w:color w:val="auto"/>
              </w:rPr>
            </w:pPr>
          </w:p>
        </w:tc>
        <w:tc>
          <w:tcPr>
            <w:tcW w:w="5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0"/>
                <w:szCs w:val="10"/>
                <w:color w:val="auto"/>
              </w:rPr>
              <w:t>Operating leases, net of current portion</w:t>
            </w:r>
          </w:p>
        </w:tc>
        <w:tc>
          <w:tcPr>
            <w:tcW w:w="550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69.1</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71.0</w:t>
            </w:r>
          </w:p>
        </w:tc>
      </w:tr>
      <w:tr>
        <w:trPr>
          <w:trHeight w:val="148"/>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Finance leases, net of current portion</w:t>
            </w:r>
          </w:p>
        </w:tc>
        <w:tc>
          <w:tcPr>
            <w:tcW w:w="5500" w:type="dxa"/>
            <w:vAlign w:val="bottom"/>
          </w:tcPr>
          <w:p>
            <w:pPr>
              <w:spacing w:after="0"/>
              <w:rPr>
                <w:sz w:val="12"/>
                <w:szCs w:val="12"/>
                <w:color w:val="auto"/>
              </w:rPr>
            </w:pPr>
          </w:p>
        </w:tc>
        <w:tc>
          <w:tcPr>
            <w:tcW w:w="1000" w:type="dxa"/>
            <w:vAlign w:val="bottom"/>
          </w:tcPr>
          <w:p>
            <w:pPr>
              <w:jc w:val="right"/>
              <w:ind w:right="148"/>
              <w:spacing w:after="0"/>
              <w:rPr>
                <w:sz w:val="20"/>
                <w:szCs w:val="20"/>
                <w:color w:val="auto"/>
              </w:rPr>
            </w:pPr>
            <w:r>
              <w:rPr>
                <w:rFonts w:ascii="Arial" w:cs="Arial" w:eastAsia="Arial" w:hAnsi="Arial"/>
                <w:sz w:val="10"/>
                <w:szCs w:val="10"/>
                <w:color w:val="auto"/>
              </w:rPr>
              <w:t>19.9</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14.7</w:t>
            </w:r>
          </w:p>
        </w:tc>
      </w:tr>
      <w:tr>
        <w:trPr>
          <w:trHeight w:val="32"/>
        </w:trPr>
        <w:tc>
          <w:tcPr>
            <w:tcW w:w="2960" w:type="dxa"/>
            <w:vAlign w:val="bottom"/>
            <w:gridSpan w:val="2"/>
          </w:tcPr>
          <w:p>
            <w:pPr>
              <w:spacing w:after="0"/>
              <w:rPr>
                <w:sz w:val="2"/>
                <w:szCs w:val="2"/>
                <w:color w:val="auto"/>
              </w:rPr>
            </w:pPr>
          </w:p>
        </w:tc>
        <w:tc>
          <w:tcPr>
            <w:tcW w:w="5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0"/>
                <w:szCs w:val="10"/>
                <w:color w:val="auto"/>
              </w:rPr>
              <w:t>Income taxes payable</w:t>
            </w:r>
          </w:p>
        </w:tc>
        <w:tc>
          <w:tcPr>
            <w:tcW w:w="550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1.3</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2.3</w:t>
            </w:r>
          </w:p>
        </w:tc>
      </w:tr>
      <w:tr>
        <w:trPr>
          <w:trHeight w:val="148"/>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Deferred income tax liabilities, net</w:t>
            </w:r>
          </w:p>
        </w:tc>
        <w:tc>
          <w:tcPr>
            <w:tcW w:w="5500" w:type="dxa"/>
            <w:vAlign w:val="bottom"/>
          </w:tcPr>
          <w:p>
            <w:pPr>
              <w:spacing w:after="0"/>
              <w:rPr>
                <w:sz w:val="12"/>
                <w:szCs w:val="12"/>
                <w:color w:val="auto"/>
              </w:rPr>
            </w:pPr>
          </w:p>
        </w:tc>
        <w:tc>
          <w:tcPr>
            <w:tcW w:w="1000" w:type="dxa"/>
            <w:vAlign w:val="bottom"/>
          </w:tcPr>
          <w:p>
            <w:pPr>
              <w:jc w:val="right"/>
              <w:ind w:right="148"/>
              <w:spacing w:after="0"/>
              <w:rPr>
                <w:sz w:val="20"/>
                <w:szCs w:val="20"/>
                <w:color w:val="auto"/>
              </w:rPr>
            </w:pPr>
            <w:r>
              <w:rPr>
                <w:rFonts w:ascii="Arial" w:cs="Arial" w:eastAsia="Arial" w:hAnsi="Arial"/>
                <w:sz w:val="10"/>
                <w:szCs w:val="10"/>
                <w:color w:val="auto"/>
              </w:rPr>
              <w:t>22.7</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23.5</w:t>
            </w:r>
          </w:p>
        </w:tc>
      </w:tr>
      <w:tr>
        <w:trPr>
          <w:trHeight w:val="32"/>
        </w:trPr>
        <w:tc>
          <w:tcPr>
            <w:tcW w:w="2960" w:type="dxa"/>
            <w:vAlign w:val="bottom"/>
            <w:gridSpan w:val="2"/>
          </w:tcPr>
          <w:p>
            <w:pPr>
              <w:spacing w:after="0"/>
              <w:rPr>
                <w:sz w:val="2"/>
                <w:szCs w:val="2"/>
                <w:color w:val="auto"/>
              </w:rPr>
            </w:pPr>
          </w:p>
        </w:tc>
        <w:tc>
          <w:tcPr>
            <w:tcW w:w="5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5"/>
        </w:trPr>
        <w:tc>
          <w:tcPr>
            <w:tcW w:w="29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0"/>
                <w:szCs w:val="10"/>
                <w:color w:val="auto"/>
              </w:rPr>
              <w:t>Other long-term liabilities</w:t>
            </w:r>
          </w:p>
        </w:tc>
        <w:tc>
          <w:tcPr>
            <w:tcW w:w="550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23.3</w:t>
            </w:r>
          </w:p>
        </w:tc>
        <w:tc>
          <w:tcPr>
            <w:tcW w:w="560" w:type="dxa"/>
            <w:vAlign w:val="bottom"/>
            <w:tcBorders>
              <w:bottom w:val="single" w:sz="8" w:color="DBDBDB"/>
            </w:tcBorders>
            <w:shd w:val="clear" w:color="auto" w:fill="DBDBDB"/>
          </w:tcPr>
          <w:p>
            <w:pPr>
              <w:spacing w:after="0"/>
              <w:rPr>
                <w:sz w:val="15"/>
                <w:szCs w:val="15"/>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26.4</w:t>
            </w:r>
          </w:p>
        </w:tc>
      </w:tr>
      <w:tr>
        <w:trPr>
          <w:trHeight w:val="141"/>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Total liabilities</w:t>
            </w:r>
          </w:p>
        </w:tc>
        <w:tc>
          <w:tcPr>
            <w:tcW w:w="2180" w:type="dxa"/>
            <w:vAlign w:val="bottom"/>
            <w:tcBorders>
              <w:top w:val="single" w:sz="8" w:color="auto"/>
            </w:tcBorders>
          </w:tcPr>
          <w:p>
            <w:pPr>
              <w:spacing w:after="0"/>
              <w:rPr>
                <w:sz w:val="12"/>
                <w:szCs w:val="12"/>
                <w:color w:val="auto"/>
              </w:rPr>
            </w:pPr>
          </w:p>
        </w:tc>
        <w:tc>
          <w:tcPr>
            <w:tcW w:w="55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48"/>
              <w:spacing w:after="0"/>
              <w:rPr>
                <w:sz w:val="20"/>
                <w:szCs w:val="20"/>
                <w:color w:val="auto"/>
              </w:rPr>
            </w:pPr>
            <w:r>
              <w:rPr>
                <w:rFonts w:ascii="Arial" w:cs="Arial" w:eastAsia="Arial" w:hAnsi="Arial"/>
                <w:sz w:val="10"/>
                <w:szCs w:val="10"/>
                <w:color w:val="auto"/>
              </w:rPr>
              <w:t>426.9</w:t>
            </w:r>
          </w:p>
        </w:tc>
        <w:tc>
          <w:tcPr>
            <w:tcW w:w="5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386.5</w:t>
            </w:r>
          </w:p>
        </w:tc>
      </w:tr>
      <w:tr>
        <w:trPr>
          <w:trHeight w:val="32"/>
        </w:trPr>
        <w:tc>
          <w:tcPr>
            <w:tcW w:w="2960" w:type="dxa"/>
            <w:vAlign w:val="bottom"/>
            <w:gridSpan w:val="2"/>
          </w:tcPr>
          <w:p>
            <w:pPr>
              <w:spacing w:after="0"/>
              <w:rPr>
                <w:sz w:val="2"/>
                <w:szCs w:val="2"/>
                <w:color w:val="auto"/>
              </w:rPr>
            </w:pPr>
          </w:p>
        </w:tc>
        <w:tc>
          <w:tcPr>
            <w:tcW w:w="5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0"/>
                <w:szCs w:val="10"/>
                <w:color w:val="auto"/>
              </w:rPr>
              <w:t>Commitments and contingencies (Note 7)</w:t>
            </w:r>
          </w:p>
        </w:tc>
        <w:tc>
          <w:tcPr>
            <w:tcW w:w="550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spacing w:after="0"/>
              <w:rPr>
                <w:sz w:val="13"/>
                <w:szCs w:val="13"/>
                <w:color w:val="auto"/>
              </w:rPr>
            </w:pP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spacing w:after="0"/>
              <w:rPr>
                <w:sz w:val="13"/>
                <w:szCs w:val="13"/>
                <w:color w:val="auto"/>
              </w:rPr>
            </w:pPr>
          </w:p>
        </w:tc>
      </w:tr>
      <w:tr>
        <w:trPr>
          <w:trHeight w:val="148"/>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Shareholders’ Equity</w:t>
            </w:r>
          </w:p>
        </w:tc>
        <w:tc>
          <w:tcPr>
            <w:tcW w:w="5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32"/>
        </w:trPr>
        <w:tc>
          <w:tcPr>
            <w:tcW w:w="8460" w:type="dxa"/>
            <w:vAlign w:val="bottom"/>
            <w:gridSpan w:val="3"/>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42"/>
        </w:trPr>
        <w:tc>
          <w:tcPr>
            <w:tcW w:w="8460" w:type="dxa"/>
            <w:vAlign w:val="bottom"/>
            <w:gridSpan w:val="3"/>
            <w:shd w:val="clear" w:color="auto" w:fill="DBDBDB"/>
          </w:tcPr>
          <w:p>
            <w:pPr>
              <w:ind w:left="220"/>
              <w:spacing w:after="0"/>
              <w:rPr>
                <w:sz w:val="20"/>
                <w:szCs w:val="20"/>
                <w:color w:val="auto"/>
              </w:rPr>
            </w:pPr>
            <w:r>
              <w:rPr>
                <w:rFonts w:ascii="Arial" w:cs="Arial" w:eastAsia="Arial" w:hAnsi="Arial"/>
                <w:sz w:val="10"/>
                <w:szCs w:val="10"/>
                <w:color w:val="auto"/>
              </w:rPr>
              <w:t>Common stock ($0.001 par value, 1,000,000,000 shares authorized; 70,909,467 and 70,728,404 shares issued and outstanding as of April 30, 2024 and October</w:t>
            </w:r>
          </w:p>
        </w:tc>
        <w:tc>
          <w:tcPr>
            <w:tcW w:w="1000" w:type="dxa"/>
            <w:vAlign w:val="bottom"/>
            <w:shd w:val="clear" w:color="auto" w:fill="DBDBDB"/>
          </w:tcPr>
          <w:p>
            <w:pPr>
              <w:jc w:val="right"/>
              <w:ind w:right="148"/>
              <w:spacing w:after="0"/>
              <w:rPr>
                <w:sz w:val="20"/>
                <w:szCs w:val="20"/>
                <w:color w:val="auto"/>
              </w:rPr>
            </w:pPr>
            <w:r>
              <w:rPr>
                <w:rFonts w:ascii="Arial" w:cs="Arial" w:eastAsia="Arial" w:hAnsi="Arial"/>
                <w:sz w:val="10"/>
                <w:szCs w:val="10"/>
                <w:color w:val="auto"/>
              </w:rPr>
              <w:t>0.1</w:t>
            </w:r>
          </w:p>
        </w:tc>
        <w:tc>
          <w:tcPr>
            <w:tcW w:w="560" w:type="dxa"/>
            <w:vAlign w:val="bottom"/>
            <w:shd w:val="clear" w:color="auto" w:fill="DBDBDB"/>
          </w:tcPr>
          <w:p>
            <w:pPr>
              <w:spacing w:after="0"/>
              <w:rPr>
                <w:sz w:val="12"/>
                <w:szCs w:val="12"/>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0.1</w:t>
            </w:r>
          </w:p>
        </w:tc>
      </w:tr>
      <w:tr>
        <w:trPr>
          <w:trHeight w:val="155"/>
        </w:trPr>
        <w:tc>
          <w:tcPr>
            <w:tcW w:w="2960" w:type="dxa"/>
            <w:vAlign w:val="bottom"/>
            <w:gridSpan w:val="2"/>
            <w:shd w:val="clear" w:color="auto" w:fill="DBDBDB"/>
          </w:tcPr>
          <w:p>
            <w:pPr>
              <w:ind w:left="380"/>
              <w:spacing w:after="0"/>
              <w:rPr>
                <w:sz w:val="20"/>
                <w:szCs w:val="20"/>
                <w:color w:val="auto"/>
              </w:rPr>
            </w:pPr>
            <w:r>
              <w:rPr>
                <w:rFonts w:ascii="Arial" w:cs="Arial" w:eastAsia="Arial" w:hAnsi="Arial"/>
                <w:sz w:val="10"/>
                <w:szCs w:val="10"/>
                <w:color w:val="auto"/>
              </w:rPr>
              <w:t>31, 2023, respectively)</w:t>
            </w:r>
          </w:p>
        </w:tc>
        <w:tc>
          <w:tcPr>
            <w:tcW w:w="55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1220" w:type="dxa"/>
            <w:vAlign w:val="bottom"/>
            <w:shd w:val="clear" w:color="auto" w:fill="DBDBDB"/>
          </w:tcPr>
          <w:p>
            <w:pPr>
              <w:spacing w:after="0"/>
              <w:rPr>
                <w:sz w:val="13"/>
                <w:szCs w:val="13"/>
                <w:color w:val="auto"/>
              </w:rPr>
            </w:pPr>
          </w:p>
        </w:tc>
      </w:tr>
      <w:tr>
        <w:trPr>
          <w:trHeight w:val="148"/>
        </w:trPr>
        <w:tc>
          <w:tcPr>
            <w:tcW w:w="2960" w:type="dxa"/>
            <w:vAlign w:val="bottom"/>
            <w:gridSpan w:val="2"/>
          </w:tcPr>
          <w:p>
            <w:pPr>
              <w:ind w:left="220"/>
              <w:spacing w:after="0"/>
              <w:rPr>
                <w:sz w:val="20"/>
                <w:szCs w:val="20"/>
                <w:color w:val="auto"/>
              </w:rPr>
            </w:pPr>
            <w:r>
              <w:rPr>
                <w:rFonts w:ascii="Arial" w:cs="Arial" w:eastAsia="Arial" w:hAnsi="Arial"/>
                <w:sz w:val="10"/>
                <w:szCs w:val="10"/>
                <w:color w:val="auto"/>
              </w:rPr>
              <w:t>Additional paid-in capital</w:t>
            </w:r>
          </w:p>
        </w:tc>
        <w:tc>
          <w:tcPr>
            <w:tcW w:w="5500" w:type="dxa"/>
            <w:vAlign w:val="bottom"/>
          </w:tcPr>
          <w:p>
            <w:pPr>
              <w:spacing w:after="0"/>
              <w:rPr>
                <w:sz w:val="12"/>
                <w:szCs w:val="12"/>
                <w:color w:val="auto"/>
              </w:rPr>
            </w:pPr>
          </w:p>
        </w:tc>
        <w:tc>
          <w:tcPr>
            <w:tcW w:w="1000" w:type="dxa"/>
            <w:vAlign w:val="bottom"/>
          </w:tcPr>
          <w:p>
            <w:pPr>
              <w:jc w:val="right"/>
              <w:ind w:right="148"/>
              <w:spacing w:after="0"/>
              <w:rPr>
                <w:sz w:val="20"/>
                <w:szCs w:val="20"/>
                <w:color w:val="auto"/>
              </w:rPr>
            </w:pPr>
            <w:r>
              <w:rPr>
                <w:rFonts w:ascii="Arial" w:cs="Arial" w:eastAsia="Arial" w:hAnsi="Arial"/>
                <w:sz w:val="10"/>
                <w:szCs w:val="10"/>
                <w:color w:val="auto"/>
              </w:rPr>
              <w:t>235.6</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233.4</w:t>
            </w:r>
          </w:p>
        </w:tc>
      </w:tr>
      <w:tr>
        <w:trPr>
          <w:trHeight w:val="32"/>
        </w:trPr>
        <w:tc>
          <w:tcPr>
            <w:tcW w:w="2960" w:type="dxa"/>
            <w:vAlign w:val="bottom"/>
            <w:gridSpan w:val="2"/>
          </w:tcPr>
          <w:p>
            <w:pPr>
              <w:spacing w:after="0"/>
              <w:rPr>
                <w:sz w:val="2"/>
                <w:szCs w:val="2"/>
                <w:color w:val="auto"/>
              </w:rPr>
            </w:pPr>
          </w:p>
        </w:tc>
        <w:tc>
          <w:tcPr>
            <w:tcW w:w="5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0"/>
        </w:trPr>
        <w:tc>
          <w:tcPr>
            <w:tcW w:w="296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0"/>
                <w:szCs w:val="10"/>
                <w:color w:val="auto"/>
              </w:rPr>
              <w:t>Accumulated other comprehensive loss</w:t>
            </w:r>
          </w:p>
        </w:tc>
        <w:tc>
          <w:tcPr>
            <w:tcW w:w="550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0"/>
                <w:szCs w:val="10"/>
                <w:color w:val="auto"/>
              </w:rPr>
              <w:t>(0.4)</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(0.9)</w:t>
            </w:r>
          </w:p>
        </w:tc>
      </w:tr>
      <w:tr>
        <w:trPr>
          <w:trHeight w:val="148"/>
        </w:trPr>
        <w:tc>
          <w:tcPr>
            <w:tcW w:w="2960" w:type="dxa"/>
            <w:vAlign w:val="bottom"/>
            <w:gridSpan w:val="2"/>
          </w:tcPr>
          <w:p>
            <w:pPr>
              <w:ind w:left="220"/>
              <w:spacing w:after="0"/>
              <w:rPr>
                <w:sz w:val="20"/>
                <w:szCs w:val="20"/>
                <w:color w:val="auto"/>
              </w:rPr>
            </w:pPr>
            <w:r>
              <w:rPr>
                <w:rFonts w:ascii="Arial" w:cs="Arial" w:eastAsia="Arial" w:hAnsi="Arial"/>
                <w:sz w:val="10"/>
                <w:szCs w:val="10"/>
                <w:color w:val="auto"/>
              </w:rPr>
              <w:t>Retained earnings</w:t>
            </w:r>
          </w:p>
        </w:tc>
        <w:tc>
          <w:tcPr>
            <w:tcW w:w="5500" w:type="dxa"/>
            <w:vAlign w:val="bottom"/>
          </w:tcPr>
          <w:p>
            <w:pPr>
              <w:spacing w:after="0"/>
              <w:rPr>
                <w:sz w:val="12"/>
                <w:szCs w:val="12"/>
                <w:color w:val="auto"/>
              </w:rPr>
            </w:pPr>
          </w:p>
        </w:tc>
        <w:tc>
          <w:tcPr>
            <w:tcW w:w="1000" w:type="dxa"/>
            <w:vAlign w:val="bottom"/>
          </w:tcPr>
          <w:p>
            <w:pPr>
              <w:jc w:val="right"/>
              <w:ind w:right="148"/>
              <w:spacing w:after="0"/>
              <w:rPr>
                <w:sz w:val="20"/>
                <w:szCs w:val="20"/>
                <w:color w:val="auto"/>
              </w:rPr>
            </w:pPr>
            <w:r>
              <w:rPr>
                <w:rFonts w:ascii="Arial" w:cs="Arial" w:eastAsia="Arial" w:hAnsi="Arial"/>
                <w:sz w:val="10"/>
                <w:szCs w:val="10"/>
                <w:color w:val="auto"/>
              </w:rPr>
              <w:t>278.0</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271.0</w:t>
            </w:r>
          </w:p>
        </w:tc>
      </w:tr>
      <w:tr>
        <w:trPr>
          <w:trHeight w:val="32"/>
        </w:trPr>
        <w:tc>
          <w:tcPr>
            <w:tcW w:w="2960" w:type="dxa"/>
            <w:vAlign w:val="bottom"/>
            <w:tcBorders>
              <w:bottom w:val="single" w:sz="8" w:color="auto"/>
            </w:tcBorders>
            <w:gridSpan w:val="2"/>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53"/>
        </w:trPr>
        <w:tc>
          <w:tcPr>
            <w:tcW w:w="29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0"/>
                <w:szCs w:val="10"/>
                <w:color w:val="auto"/>
              </w:rPr>
              <w:t>Mission Produce shareholders' equity</w:t>
            </w:r>
          </w:p>
        </w:tc>
        <w:tc>
          <w:tcPr>
            <w:tcW w:w="550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513.3</w:t>
            </w:r>
          </w:p>
        </w:tc>
        <w:tc>
          <w:tcPr>
            <w:tcW w:w="560" w:type="dxa"/>
            <w:vAlign w:val="bottom"/>
            <w:tcBorders>
              <w:bottom w:val="single" w:sz="8" w:color="DBDBDB"/>
            </w:tcBorders>
            <w:shd w:val="clear" w:color="auto" w:fill="DBDBDB"/>
          </w:tcPr>
          <w:p>
            <w:pPr>
              <w:spacing w:after="0"/>
              <w:rPr>
                <w:sz w:val="13"/>
                <w:szCs w:val="1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503.6</w:t>
            </w:r>
          </w:p>
        </w:tc>
      </w:tr>
      <w:tr>
        <w:trPr>
          <w:trHeight w:val="148"/>
        </w:trPr>
        <w:tc>
          <w:tcPr>
            <w:tcW w:w="2960" w:type="dxa"/>
            <w:vAlign w:val="bottom"/>
            <w:gridSpan w:val="2"/>
          </w:tcPr>
          <w:p>
            <w:pPr>
              <w:ind w:left="20"/>
              <w:spacing w:after="0"/>
              <w:rPr>
                <w:sz w:val="20"/>
                <w:szCs w:val="20"/>
                <w:color w:val="auto"/>
              </w:rPr>
            </w:pPr>
            <w:r>
              <w:rPr>
                <w:rFonts w:ascii="Arial" w:cs="Arial" w:eastAsia="Arial" w:hAnsi="Arial"/>
                <w:sz w:val="10"/>
                <w:szCs w:val="10"/>
                <w:color w:val="auto"/>
              </w:rPr>
              <w:t>Noncontrolling interest</w:t>
            </w:r>
          </w:p>
        </w:tc>
        <w:tc>
          <w:tcPr>
            <w:tcW w:w="5500" w:type="dxa"/>
            <w:vAlign w:val="bottom"/>
          </w:tcPr>
          <w:p>
            <w:pPr>
              <w:spacing w:after="0"/>
              <w:rPr>
                <w:sz w:val="12"/>
                <w:szCs w:val="12"/>
                <w:color w:val="auto"/>
              </w:rPr>
            </w:pPr>
          </w:p>
        </w:tc>
        <w:tc>
          <w:tcPr>
            <w:tcW w:w="1000" w:type="dxa"/>
            <w:vAlign w:val="bottom"/>
          </w:tcPr>
          <w:p>
            <w:pPr>
              <w:jc w:val="right"/>
              <w:ind w:right="148"/>
              <w:spacing w:after="0"/>
              <w:rPr>
                <w:sz w:val="20"/>
                <w:szCs w:val="20"/>
                <w:color w:val="auto"/>
              </w:rPr>
            </w:pPr>
            <w:r>
              <w:rPr>
                <w:rFonts w:ascii="Arial" w:cs="Arial" w:eastAsia="Arial" w:hAnsi="Arial"/>
                <w:sz w:val="10"/>
                <w:szCs w:val="10"/>
                <w:color w:val="auto"/>
              </w:rPr>
              <w:t>26.7</w:t>
            </w:r>
          </w:p>
        </w:tc>
        <w:tc>
          <w:tcPr>
            <w:tcW w:w="5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24.7</w:t>
            </w:r>
          </w:p>
        </w:tc>
      </w:tr>
      <w:tr>
        <w:trPr>
          <w:trHeight w:val="32"/>
        </w:trPr>
        <w:tc>
          <w:tcPr>
            <w:tcW w:w="7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78"/>
        </w:trPr>
        <w:tc>
          <w:tcPr>
            <w:tcW w:w="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Total equity</w:t>
            </w:r>
          </w:p>
        </w:tc>
        <w:tc>
          <w:tcPr>
            <w:tcW w:w="2180" w:type="dxa"/>
            <w:vAlign w:val="bottom"/>
            <w:tcBorders>
              <w:bottom w:val="single" w:sz="8" w:color="DBDBDB"/>
            </w:tcBorders>
            <w:shd w:val="clear" w:color="auto" w:fill="DBDBDB"/>
          </w:tcPr>
          <w:p>
            <w:pPr>
              <w:spacing w:after="0"/>
              <w:rPr>
                <w:sz w:val="15"/>
                <w:szCs w:val="15"/>
                <w:color w:val="auto"/>
              </w:rPr>
            </w:pPr>
          </w:p>
        </w:tc>
        <w:tc>
          <w:tcPr>
            <w:tcW w:w="550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0"/>
                <w:szCs w:val="10"/>
                <w:color w:val="auto"/>
              </w:rPr>
              <w:t>540.0</w:t>
            </w:r>
          </w:p>
        </w:tc>
        <w:tc>
          <w:tcPr>
            <w:tcW w:w="560" w:type="dxa"/>
            <w:vAlign w:val="bottom"/>
            <w:tcBorders>
              <w:bottom w:val="single" w:sz="8" w:color="DBDBDB"/>
            </w:tcBorders>
            <w:shd w:val="clear" w:color="auto" w:fill="DBDBDB"/>
          </w:tcPr>
          <w:p>
            <w:pPr>
              <w:spacing w:after="0"/>
              <w:rPr>
                <w:sz w:val="15"/>
                <w:szCs w:val="15"/>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528.3</w:t>
            </w:r>
          </w:p>
        </w:tc>
      </w:tr>
      <w:tr>
        <w:trPr>
          <w:trHeight w:val="141"/>
        </w:trPr>
        <w:tc>
          <w:tcPr>
            <w:tcW w:w="2960" w:type="dxa"/>
            <w:vAlign w:val="bottom"/>
            <w:tcBorders>
              <w:top w:val="single" w:sz="8" w:color="auto"/>
            </w:tcBorders>
            <w:gridSpan w:val="2"/>
          </w:tcPr>
          <w:p>
            <w:pPr>
              <w:ind w:left="20"/>
              <w:spacing w:after="0"/>
              <w:rPr>
                <w:sz w:val="20"/>
                <w:szCs w:val="20"/>
                <w:color w:val="auto"/>
              </w:rPr>
            </w:pPr>
            <w:r>
              <w:rPr>
                <w:rFonts w:ascii="Arial" w:cs="Arial" w:eastAsia="Arial" w:hAnsi="Arial"/>
                <w:sz w:val="10"/>
                <w:szCs w:val="10"/>
                <w:color w:val="auto"/>
              </w:rPr>
              <w:t>Total liabilities and equity</w:t>
            </w:r>
          </w:p>
        </w:tc>
        <w:tc>
          <w:tcPr>
            <w:tcW w:w="5500" w:type="dxa"/>
            <w:vAlign w:val="bottom"/>
            <w:tcBorders>
              <w:top w:val="single" w:sz="8" w:color="auto"/>
            </w:tcBorders>
          </w:tcPr>
          <w:p>
            <w:pPr>
              <w:jc w:val="right"/>
              <w:ind w:right="652"/>
              <w:spacing w:after="0"/>
              <w:rPr>
                <w:sz w:val="20"/>
                <w:szCs w:val="20"/>
                <w:color w:val="auto"/>
              </w:rPr>
            </w:pPr>
            <w:r>
              <w:rPr>
                <w:rFonts w:ascii="Arial" w:cs="Arial" w:eastAsia="Arial" w:hAnsi="Arial"/>
                <w:sz w:val="10"/>
                <w:szCs w:val="10"/>
                <w:color w:val="auto"/>
              </w:rPr>
              <w:t>$</w:t>
            </w:r>
          </w:p>
        </w:tc>
        <w:tc>
          <w:tcPr>
            <w:tcW w:w="1000" w:type="dxa"/>
            <w:vAlign w:val="bottom"/>
            <w:tcBorders>
              <w:top w:val="single" w:sz="8" w:color="auto"/>
            </w:tcBorders>
          </w:tcPr>
          <w:p>
            <w:pPr>
              <w:jc w:val="right"/>
              <w:ind w:right="148"/>
              <w:spacing w:after="0"/>
              <w:rPr>
                <w:sz w:val="20"/>
                <w:szCs w:val="20"/>
                <w:color w:val="auto"/>
              </w:rPr>
            </w:pPr>
            <w:r>
              <w:rPr>
                <w:rFonts w:ascii="Arial" w:cs="Arial" w:eastAsia="Arial" w:hAnsi="Arial"/>
                <w:sz w:val="10"/>
                <w:szCs w:val="10"/>
                <w:color w:val="auto"/>
              </w:rPr>
              <w:t>966.9</w:t>
            </w:r>
          </w:p>
        </w:tc>
        <w:tc>
          <w:tcPr>
            <w:tcW w:w="560" w:type="dxa"/>
            <w:vAlign w:val="bottom"/>
            <w:tcBorders>
              <w:top w:val="single" w:sz="8" w:color="auto"/>
            </w:tcBorders>
          </w:tcPr>
          <w:p>
            <w:pPr>
              <w:jc w:val="right"/>
              <w:ind w:right="308"/>
              <w:spacing w:after="0"/>
              <w:rPr>
                <w:sz w:val="20"/>
                <w:szCs w:val="20"/>
                <w:color w:val="auto"/>
              </w:rPr>
            </w:pPr>
            <w:r>
              <w:rPr>
                <w:rFonts w:ascii="Arial" w:cs="Arial" w:eastAsia="Arial" w:hAnsi="Arial"/>
                <w:sz w:val="10"/>
                <w:szCs w:val="10"/>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914.8</w:t>
            </w:r>
          </w:p>
        </w:tc>
      </w:tr>
      <w:tr>
        <w:trPr>
          <w:trHeight w:val="32"/>
        </w:trPr>
        <w:tc>
          <w:tcPr>
            <w:tcW w:w="7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5" w:name="page6"/>
    <w:bookmarkEnd w:id="5"/>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MISSION PRODUCE,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INCOME (LOSS) (UNAUDITED)</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00" w:type="dxa"/>
            <w:vAlign w:val="bottom"/>
            <w:gridSpan w:val="2"/>
          </w:tcPr>
          <w:p>
            <w:pPr>
              <w:jc w:val="right"/>
              <w:ind w:right="211"/>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0" w:type="dxa"/>
            <w:vAlign w:val="bottom"/>
            <w:gridSpan w:val="2"/>
          </w:tcPr>
          <w:p>
            <w:pPr>
              <w:jc w:val="right"/>
              <w:ind w:right="251"/>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14"/>
                <w:szCs w:val="14"/>
                <w:color w:val="auto"/>
              </w:rPr>
            </w:pPr>
          </w:p>
        </w:tc>
      </w:tr>
      <w:tr>
        <w:trPr>
          <w:trHeight w:val="196"/>
        </w:trPr>
        <w:tc>
          <w:tcPr>
            <w:tcW w:w="42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2"/>
          </w:tcPr>
          <w:p>
            <w:pPr>
              <w:jc w:val="right"/>
              <w:ind w:right="631"/>
              <w:spacing w:after="0"/>
              <w:rPr>
                <w:sz w:val="20"/>
                <w:szCs w:val="20"/>
                <w:color w:val="auto"/>
              </w:rPr>
            </w:pPr>
            <w:r>
              <w:rPr>
                <w:rFonts w:ascii="Arial" w:cs="Arial" w:eastAsia="Arial" w:hAnsi="Arial"/>
                <w:sz w:val="14"/>
                <w:szCs w:val="14"/>
                <w:b w:val="1"/>
                <w:bCs w:val="1"/>
                <w:color w:val="auto"/>
              </w:rPr>
              <w:t>April 30,</w:t>
            </w:r>
          </w:p>
        </w:tc>
        <w:tc>
          <w:tcPr>
            <w:tcW w:w="7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2"/>
          </w:tcPr>
          <w:p>
            <w:pPr>
              <w:jc w:val="right"/>
              <w:ind w:right="571"/>
              <w:spacing w:after="0"/>
              <w:rPr>
                <w:sz w:val="20"/>
                <w:szCs w:val="20"/>
                <w:color w:val="auto"/>
              </w:rPr>
            </w:pPr>
            <w:r>
              <w:rPr>
                <w:rFonts w:ascii="Arial" w:cs="Arial" w:eastAsia="Arial" w:hAnsi="Arial"/>
                <w:sz w:val="14"/>
                <w:szCs w:val="14"/>
                <w:b w:val="1"/>
                <w:bCs w:val="1"/>
                <w:color w:val="auto"/>
              </w:rPr>
              <w:t>April 30,</w:t>
            </w:r>
          </w:p>
        </w:tc>
        <w:tc>
          <w:tcPr>
            <w:tcW w:w="760" w:type="dxa"/>
            <w:vAlign w:val="bottom"/>
            <w:tcBorders>
              <w:bottom w:val="single" w:sz="8" w:color="auto"/>
            </w:tcBorders>
          </w:tcPr>
          <w:p>
            <w:pPr>
              <w:spacing w:after="0"/>
              <w:rPr>
                <w:sz w:val="17"/>
                <w:szCs w:val="17"/>
                <w:color w:val="auto"/>
              </w:rPr>
            </w:pPr>
          </w:p>
        </w:tc>
      </w:tr>
      <w:tr>
        <w:trPr>
          <w:trHeight w:val="212"/>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for per share amounts)</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9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9"/>
        </w:trPr>
        <w:tc>
          <w:tcPr>
            <w:tcW w:w="4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sales</w:t>
            </w:r>
          </w:p>
        </w:tc>
        <w:tc>
          <w:tcPr>
            <w:tcW w:w="540" w:type="dxa"/>
            <w:vAlign w:val="bottom"/>
            <w:tcBorders>
              <w:bottom w:val="single" w:sz="8" w:color="DBDBDB"/>
            </w:tcBorders>
            <w:shd w:val="clear" w:color="auto" w:fill="DBDBDB"/>
          </w:tcPr>
          <w:p>
            <w:pPr>
              <w:jc w:val="right"/>
              <w:ind w:right="391"/>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297.6</w:t>
            </w:r>
          </w:p>
        </w:tc>
        <w:tc>
          <w:tcPr>
            <w:tcW w:w="980" w:type="dxa"/>
            <w:vAlign w:val="bottom"/>
            <w:tcBorders>
              <w:bottom w:val="single" w:sz="8" w:color="DBDBDB"/>
            </w:tcBorders>
            <w:shd w:val="clear" w:color="auto" w:fill="DBDBDB"/>
          </w:tcPr>
          <w:p>
            <w:pPr>
              <w:jc w:val="right"/>
              <w:ind w:right="73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221.1</w:t>
            </w:r>
          </w:p>
        </w:tc>
        <w:tc>
          <w:tcPr>
            <w:tcW w:w="24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right"/>
              <w:ind w:right="43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556.3</w:t>
            </w:r>
          </w:p>
        </w:tc>
        <w:tc>
          <w:tcPr>
            <w:tcW w:w="920" w:type="dxa"/>
            <w:vAlign w:val="bottom"/>
            <w:tcBorders>
              <w:bottom w:val="single" w:sz="8" w:color="DBDBDB"/>
            </w:tcBorders>
            <w:shd w:val="clear" w:color="auto" w:fill="DBDBDB"/>
          </w:tcPr>
          <w:p>
            <w:pPr>
              <w:jc w:val="right"/>
              <w:ind w:right="69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434.6</w:t>
            </w:r>
          </w:p>
        </w:tc>
      </w:tr>
      <w:tr>
        <w:trPr>
          <w:trHeight w:val="199"/>
        </w:trPr>
        <w:tc>
          <w:tcPr>
            <w:tcW w:w="428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540" w:type="dxa"/>
            <w:vAlign w:val="bottom"/>
          </w:tcPr>
          <w:p>
            <w:pPr>
              <w:spacing w:after="0"/>
              <w:rPr>
                <w:sz w:val="17"/>
                <w:szCs w:val="17"/>
                <w:color w:val="auto"/>
              </w:rPr>
            </w:pP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266.6</w:t>
            </w:r>
          </w:p>
        </w:tc>
        <w:tc>
          <w:tcPr>
            <w:tcW w:w="9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203.0</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496.6</w:t>
            </w:r>
          </w:p>
        </w:tc>
        <w:tc>
          <w:tcPr>
            <w:tcW w:w="9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407.5</w:t>
            </w: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2"/>
        </w:trPr>
        <w:tc>
          <w:tcPr>
            <w:tcW w:w="4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Gross profit</w:t>
            </w:r>
          </w:p>
        </w:tc>
        <w:tc>
          <w:tcPr>
            <w:tcW w:w="54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31.0</w:t>
            </w:r>
          </w:p>
        </w:tc>
        <w:tc>
          <w:tcPr>
            <w:tcW w:w="98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18.1</w:t>
            </w:r>
          </w:p>
        </w:tc>
        <w:tc>
          <w:tcPr>
            <w:tcW w:w="240" w:type="dxa"/>
            <w:vAlign w:val="bottom"/>
            <w:tcBorders>
              <w:bottom w:val="single" w:sz="8" w:color="DBDBDB"/>
            </w:tcBorders>
            <w:shd w:val="clear" w:color="auto" w:fill="DBDBDB"/>
          </w:tcPr>
          <w:p>
            <w:pPr>
              <w:spacing w:after="0"/>
              <w:rPr>
                <w:sz w:val="16"/>
                <w:szCs w:val="16"/>
                <w:color w:val="auto"/>
              </w:rPr>
            </w:pPr>
          </w:p>
        </w:tc>
        <w:tc>
          <w:tcPr>
            <w:tcW w:w="600" w:type="dxa"/>
            <w:vAlign w:val="bottom"/>
            <w:tcBorders>
              <w:bottom w:val="single" w:sz="8" w:color="DBDBDB"/>
            </w:tcBorders>
            <w:shd w:val="clear" w:color="auto" w:fill="DBDBDB"/>
          </w:tcPr>
          <w:p>
            <w:pPr>
              <w:spacing w:after="0"/>
              <w:rPr>
                <w:sz w:val="16"/>
                <w:szCs w:val="16"/>
                <w:color w:val="auto"/>
              </w:rPr>
            </w:pPr>
          </w:p>
        </w:tc>
        <w:tc>
          <w:tcPr>
            <w:tcW w:w="10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59.7</w:t>
            </w:r>
          </w:p>
        </w:tc>
        <w:tc>
          <w:tcPr>
            <w:tcW w:w="92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27.1</w:t>
            </w:r>
          </w:p>
        </w:tc>
      </w:tr>
      <w:tr>
        <w:trPr>
          <w:trHeight w:val="199"/>
        </w:trPr>
        <w:tc>
          <w:tcPr>
            <w:tcW w:w="428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540" w:type="dxa"/>
            <w:vAlign w:val="bottom"/>
          </w:tcPr>
          <w:p>
            <w:pPr>
              <w:spacing w:after="0"/>
              <w:rPr>
                <w:sz w:val="17"/>
                <w:szCs w:val="17"/>
                <w:color w:val="auto"/>
              </w:rPr>
            </w:pP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18.7</w:t>
            </w:r>
          </w:p>
        </w:tc>
        <w:tc>
          <w:tcPr>
            <w:tcW w:w="9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19.3</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39.4</w:t>
            </w:r>
          </w:p>
        </w:tc>
        <w:tc>
          <w:tcPr>
            <w:tcW w:w="9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38.4</w:t>
            </w: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2"/>
        </w:trPr>
        <w:tc>
          <w:tcPr>
            <w:tcW w:w="4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Operating income (loss)</w:t>
            </w:r>
          </w:p>
        </w:tc>
        <w:tc>
          <w:tcPr>
            <w:tcW w:w="54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12.3</w:t>
            </w:r>
          </w:p>
        </w:tc>
        <w:tc>
          <w:tcPr>
            <w:tcW w:w="98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(1.2)</w:t>
            </w:r>
          </w:p>
        </w:tc>
        <w:tc>
          <w:tcPr>
            <w:tcW w:w="240" w:type="dxa"/>
            <w:vAlign w:val="bottom"/>
            <w:tcBorders>
              <w:bottom w:val="single" w:sz="8" w:color="DBDBDB"/>
            </w:tcBorders>
            <w:shd w:val="clear" w:color="auto" w:fill="DBDBDB"/>
          </w:tcPr>
          <w:p>
            <w:pPr>
              <w:spacing w:after="0"/>
              <w:rPr>
                <w:sz w:val="16"/>
                <w:szCs w:val="16"/>
                <w:color w:val="auto"/>
              </w:rPr>
            </w:pPr>
          </w:p>
        </w:tc>
        <w:tc>
          <w:tcPr>
            <w:tcW w:w="600" w:type="dxa"/>
            <w:vAlign w:val="bottom"/>
            <w:tcBorders>
              <w:bottom w:val="single" w:sz="8" w:color="DBDBDB"/>
            </w:tcBorders>
            <w:shd w:val="clear" w:color="auto" w:fill="DBDBDB"/>
          </w:tcPr>
          <w:p>
            <w:pPr>
              <w:spacing w:after="0"/>
              <w:rPr>
                <w:sz w:val="16"/>
                <w:szCs w:val="16"/>
                <w:color w:val="auto"/>
              </w:rPr>
            </w:pPr>
          </w:p>
        </w:tc>
        <w:tc>
          <w:tcPr>
            <w:tcW w:w="10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20.3</w:t>
            </w:r>
          </w:p>
        </w:tc>
        <w:tc>
          <w:tcPr>
            <w:tcW w:w="92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(11.3)</w:t>
            </w:r>
          </w:p>
        </w:tc>
      </w:tr>
      <w:tr>
        <w:trPr>
          <w:trHeight w:val="199"/>
        </w:trPr>
        <w:tc>
          <w:tcPr>
            <w:tcW w:w="42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540" w:type="dxa"/>
            <w:vAlign w:val="bottom"/>
          </w:tcPr>
          <w:p>
            <w:pPr>
              <w:spacing w:after="0"/>
              <w:rPr>
                <w:sz w:val="17"/>
                <w:szCs w:val="17"/>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(3.4)</w:t>
            </w:r>
          </w:p>
        </w:tc>
        <w:tc>
          <w:tcPr>
            <w:tcW w:w="9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(6.7)</w:t>
            </w:r>
          </w:p>
        </w:tc>
        <w:tc>
          <w:tcPr>
            <w:tcW w:w="9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0"/>
        </w:trPr>
        <w:tc>
          <w:tcPr>
            <w:tcW w:w="4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9"/>
        </w:trPr>
        <w:tc>
          <w:tcPr>
            <w:tcW w:w="4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Equity method income</w:t>
            </w:r>
          </w:p>
        </w:tc>
        <w:tc>
          <w:tcPr>
            <w:tcW w:w="54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0.5</w:t>
            </w:r>
          </w:p>
        </w:tc>
        <w:tc>
          <w:tcPr>
            <w:tcW w:w="98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0.4</w:t>
            </w:r>
          </w:p>
        </w:tc>
        <w:tc>
          <w:tcPr>
            <w:tcW w:w="24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0.9</w:t>
            </w:r>
          </w:p>
        </w:tc>
        <w:tc>
          <w:tcPr>
            <w:tcW w:w="92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1.4</w:t>
            </w:r>
          </w:p>
        </w:tc>
      </w:tr>
      <w:tr>
        <w:trPr>
          <w:trHeight w:val="199"/>
        </w:trPr>
        <w:tc>
          <w:tcPr>
            <w:tcW w:w="428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540" w:type="dxa"/>
            <w:vAlign w:val="bottom"/>
          </w:tcPr>
          <w:p>
            <w:pPr>
              <w:spacing w:after="0"/>
              <w:rPr>
                <w:sz w:val="17"/>
                <w:szCs w:val="17"/>
                <w:color w:val="auto"/>
              </w:rPr>
            </w:pP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1.0</w:t>
            </w:r>
          </w:p>
        </w:tc>
        <w:tc>
          <w:tcPr>
            <w:tcW w:w="9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0.6</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2"/>
        </w:trPr>
        <w:tc>
          <w:tcPr>
            <w:tcW w:w="4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Income (loss) before income taxes</w:t>
            </w:r>
          </w:p>
        </w:tc>
        <w:tc>
          <w:tcPr>
            <w:tcW w:w="54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10.4</w:t>
            </w:r>
          </w:p>
        </w:tc>
        <w:tc>
          <w:tcPr>
            <w:tcW w:w="98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(2.9)</w:t>
            </w:r>
          </w:p>
        </w:tc>
        <w:tc>
          <w:tcPr>
            <w:tcW w:w="240" w:type="dxa"/>
            <w:vAlign w:val="bottom"/>
            <w:tcBorders>
              <w:bottom w:val="single" w:sz="8" w:color="DBDBDB"/>
            </w:tcBorders>
            <w:shd w:val="clear" w:color="auto" w:fill="DBDBDB"/>
          </w:tcPr>
          <w:p>
            <w:pPr>
              <w:spacing w:after="0"/>
              <w:rPr>
                <w:sz w:val="16"/>
                <w:szCs w:val="16"/>
                <w:color w:val="auto"/>
              </w:rPr>
            </w:pPr>
          </w:p>
        </w:tc>
        <w:tc>
          <w:tcPr>
            <w:tcW w:w="600" w:type="dxa"/>
            <w:vAlign w:val="bottom"/>
            <w:tcBorders>
              <w:bottom w:val="single" w:sz="8" w:color="DBDBDB"/>
            </w:tcBorders>
            <w:shd w:val="clear" w:color="auto" w:fill="DBDBDB"/>
          </w:tcPr>
          <w:p>
            <w:pPr>
              <w:spacing w:after="0"/>
              <w:rPr>
                <w:sz w:val="16"/>
                <w:szCs w:val="16"/>
                <w:color w:val="auto"/>
              </w:rPr>
            </w:pPr>
          </w:p>
        </w:tc>
        <w:tc>
          <w:tcPr>
            <w:tcW w:w="10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14.5</w:t>
            </w:r>
          </w:p>
        </w:tc>
        <w:tc>
          <w:tcPr>
            <w:tcW w:w="92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(15.2)</w:t>
            </w:r>
          </w:p>
        </w:tc>
      </w:tr>
      <w:tr>
        <w:trPr>
          <w:trHeight w:val="199"/>
        </w:trPr>
        <w:tc>
          <w:tcPr>
            <w:tcW w:w="428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540" w:type="dxa"/>
            <w:vAlign w:val="bottom"/>
          </w:tcPr>
          <w:p>
            <w:pPr>
              <w:spacing w:after="0"/>
              <w:rPr>
                <w:sz w:val="17"/>
                <w:szCs w:val="17"/>
                <w:color w:val="auto"/>
              </w:rPr>
            </w:pP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3.4</w:t>
            </w:r>
          </w:p>
        </w:tc>
        <w:tc>
          <w:tcPr>
            <w:tcW w:w="9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5.5</w:t>
            </w:r>
          </w:p>
        </w:tc>
        <w:tc>
          <w:tcPr>
            <w:tcW w:w="9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2"/>
        </w:trPr>
        <w:tc>
          <w:tcPr>
            <w:tcW w:w="4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income (loss)</w:t>
            </w:r>
          </w:p>
        </w:tc>
        <w:tc>
          <w:tcPr>
            <w:tcW w:w="540" w:type="dxa"/>
            <w:vAlign w:val="bottom"/>
            <w:tcBorders>
              <w:bottom w:val="single" w:sz="8" w:color="DBDBDB"/>
            </w:tcBorders>
            <w:shd w:val="clear" w:color="auto" w:fill="DBDBDB"/>
          </w:tcPr>
          <w:p>
            <w:pPr>
              <w:jc w:val="right"/>
              <w:ind w:right="391"/>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7.0</w:t>
            </w:r>
          </w:p>
        </w:tc>
        <w:tc>
          <w:tcPr>
            <w:tcW w:w="980" w:type="dxa"/>
            <w:vAlign w:val="bottom"/>
            <w:tcBorders>
              <w:bottom w:val="single" w:sz="8" w:color="DBDBDB"/>
            </w:tcBorders>
            <w:shd w:val="clear" w:color="auto" w:fill="DBDBDB"/>
          </w:tcPr>
          <w:p>
            <w:pPr>
              <w:jc w:val="right"/>
              <w:ind w:right="73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(4.7)</w:t>
            </w:r>
          </w:p>
        </w:tc>
        <w:tc>
          <w:tcPr>
            <w:tcW w:w="240" w:type="dxa"/>
            <w:vAlign w:val="bottom"/>
            <w:tcBorders>
              <w:bottom w:val="single" w:sz="8" w:color="DBDBDB"/>
            </w:tcBorders>
            <w:shd w:val="clear" w:color="auto" w:fill="DBDBDB"/>
          </w:tcPr>
          <w:p>
            <w:pPr>
              <w:spacing w:after="0"/>
              <w:rPr>
                <w:sz w:val="16"/>
                <w:szCs w:val="16"/>
                <w:color w:val="auto"/>
              </w:rPr>
            </w:pPr>
          </w:p>
        </w:tc>
        <w:tc>
          <w:tcPr>
            <w:tcW w:w="600" w:type="dxa"/>
            <w:vAlign w:val="bottom"/>
            <w:tcBorders>
              <w:bottom w:val="single" w:sz="8" w:color="DBDBDB"/>
            </w:tcBorders>
            <w:shd w:val="clear" w:color="auto" w:fill="DBDBDB"/>
          </w:tcPr>
          <w:p>
            <w:pPr>
              <w:jc w:val="right"/>
              <w:ind w:right="43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9.0</w:t>
            </w:r>
          </w:p>
        </w:tc>
        <w:tc>
          <w:tcPr>
            <w:tcW w:w="920" w:type="dxa"/>
            <w:vAlign w:val="bottom"/>
            <w:tcBorders>
              <w:bottom w:val="single" w:sz="8" w:color="DBDBDB"/>
            </w:tcBorders>
            <w:shd w:val="clear" w:color="auto" w:fill="DBDBDB"/>
          </w:tcPr>
          <w:p>
            <w:pPr>
              <w:jc w:val="right"/>
              <w:ind w:right="69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(15.3)</w:t>
            </w:r>
          </w:p>
        </w:tc>
      </w:tr>
      <w:tr>
        <w:trPr>
          <w:trHeight w:val="186"/>
        </w:trPr>
        <w:tc>
          <w:tcPr>
            <w:tcW w:w="4280" w:type="dxa"/>
            <w:vAlign w:val="bottom"/>
          </w:tcPr>
          <w:p>
            <w:pPr>
              <w:ind w:left="20"/>
              <w:spacing w:after="0"/>
              <w:rPr>
                <w:sz w:val="20"/>
                <w:szCs w:val="20"/>
                <w:color w:val="auto"/>
              </w:rPr>
            </w:pPr>
            <w:r>
              <w:rPr>
                <w:rFonts w:ascii="Arial" w:cs="Arial" w:eastAsia="Arial" w:hAnsi="Arial"/>
                <w:sz w:val="14"/>
                <w:szCs w:val="14"/>
                <w:color w:val="auto"/>
              </w:rPr>
              <w:t>Less:</w:t>
            </w: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0"/>
        </w:trPr>
        <w:tc>
          <w:tcPr>
            <w:tcW w:w="4280" w:type="dxa"/>
            <w:vAlign w:val="bottom"/>
          </w:tcPr>
          <w:p>
            <w:pPr>
              <w:ind w:left="140"/>
              <w:spacing w:after="0"/>
              <w:rPr>
                <w:sz w:val="20"/>
                <w:szCs w:val="20"/>
                <w:color w:val="auto"/>
              </w:rPr>
            </w:pPr>
            <w:r>
              <w:rPr>
                <w:rFonts w:ascii="Arial" w:cs="Arial" w:eastAsia="Arial" w:hAnsi="Arial"/>
                <w:sz w:val="14"/>
                <w:szCs w:val="14"/>
                <w:color w:val="auto"/>
              </w:rPr>
              <w:t>Net (loss) income attributable to noncontrolling interest</w:t>
            </w:r>
          </w:p>
        </w:tc>
        <w:tc>
          <w:tcPr>
            <w:tcW w:w="540" w:type="dxa"/>
            <w:vAlign w:val="bottom"/>
          </w:tcPr>
          <w:p>
            <w:pPr>
              <w:spacing w:after="0"/>
              <w:rPr>
                <w:sz w:val="15"/>
                <w:szCs w:val="15"/>
                <w:color w:val="auto"/>
              </w:rPr>
            </w:pP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2.0</w:t>
            </w:r>
          </w:p>
        </w:tc>
        <w:tc>
          <w:tcPr>
            <w:tcW w:w="9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2"/>
        </w:trPr>
        <w:tc>
          <w:tcPr>
            <w:tcW w:w="4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loss attributable to Mission Produce</w:t>
            </w:r>
          </w:p>
        </w:tc>
        <w:tc>
          <w:tcPr>
            <w:tcW w:w="540" w:type="dxa"/>
            <w:vAlign w:val="bottom"/>
            <w:tcBorders>
              <w:bottom w:val="single" w:sz="8" w:color="DBDBDB"/>
            </w:tcBorders>
            <w:shd w:val="clear" w:color="auto" w:fill="DBDBDB"/>
          </w:tcPr>
          <w:p>
            <w:pPr>
              <w:jc w:val="right"/>
              <w:ind w:right="391"/>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7.0</w:t>
            </w:r>
          </w:p>
        </w:tc>
        <w:tc>
          <w:tcPr>
            <w:tcW w:w="980" w:type="dxa"/>
            <w:vAlign w:val="bottom"/>
            <w:tcBorders>
              <w:bottom w:val="single" w:sz="8" w:color="DBDBDB"/>
            </w:tcBorders>
            <w:shd w:val="clear" w:color="auto" w:fill="DBDBDB"/>
          </w:tcPr>
          <w:p>
            <w:pPr>
              <w:jc w:val="right"/>
              <w:ind w:right="73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(4.6)</w:t>
            </w:r>
          </w:p>
        </w:tc>
        <w:tc>
          <w:tcPr>
            <w:tcW w:w="240" w:type="dxa"/>
            <w:vAlign w:val="bottom"/>
            <w:tcBorders>
              <w:bottom w:val="single" w:sz="8" w:color="DBDBDB"/>
            </w:tcBorders>
            <w:shd w:val="clear" w:color="auto" w:fill="DBDBDB"/>
          </w:tcPr>
          <w:p>
            <w:pPr>
              <w:spacing w:after="0"/>
              <w:rPr>
                <w:sz w:val="16"/>
                <w:szCs w:val="16"/>
                <w:color w:val="auto"/>
              </w:rPr>
            </w:pPr>
          </w:p>
        </w:tc>
        <w:tc>
          <w:tcPr>
            <w:tcW w:w="600" w:type="dxa"/>
            <w:vAlign w:val="bottom"/>
            <w:tcBorders>
              <w:bottom w:val="single" w:sz="8" w:color="DBDBDB"/>
            </w:tcBorders>
            <w:shd w:val="clear" w:color="auto" w:fill="DBDBDB"/>
          </w:tcPr>
          <w:p>
            <w:pPr>
              <w:jc w:val="right"/>
              <w:ind w:right="43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7.0</w:t>
            </w:r>
          </w:p>
        </w:tc>
        <w:tc>
          <w:tcPr>
            <w:tcW w:w="920" w:type="dxa"/>
            <w:vAlign w:val="bottom"/>
            <w:tcBorders>
              <w:bottom w:val="single" w:sz="8" w:color="DBDBDB"/>
            </w:tcBorders>
            <w:shd w:val="clear" w:color="auto" w:fill="DBDBDB"/>
          </w:tcPr>
          <w:p>
            <w:pPr>
              <w:jc w:val="right"/>
              <w:ind w:right="69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(13.4)</w:t>
            </w:r>
          </w:p>
        </w:tc>
      </w:tr>
      <w:tr>
        <w:trPr>
          <w:trHeight w:val="258"/>
        </w:trPr>
        <w:tc>
          <w:tcPr>
            <w:tcW w:w="4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199"/>
        </w:trPr>
        <w:tc>
          <w:tcPr>
            <w:tcW w:w="4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loss per share attributable to Mission Produce:</w:t>
            </w:r>
          </w:p>
        </w:tc>
        <w:tc>
          <w:tcPr>
            <w:tcW w:w="54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r>
      <w:tr>
        <w:trPr>
          <w:trHeight w:val="199"/>
        </w:trPr>
        <w:tc>
          <w:tcPr>
            <w:tcW w:w="4280" w:type="dxa"/>
            <w:vAlign w:val="bottom"/>
          </w:tcPr>
          <w:p>
            <w:pPr>
              <w:ind w:left="320"/>
              <w:spacing w:after="0"/>
              <w:rPr>
                <w:sz w:val="20"/>
                <w:szCs w:val="20"/>
                <w:color w:val="auto"/>
              </w:rPr>
            </w:pPr>
            <w:r>
              <w:rPr>
                <w:rFonts w:ascii="Arial" w:cs="Arial" w:eastAsia="Arial" w:hAnsi="Arial"/>
                <w:sz w:val="14"/>
                <w:szCs w:val="14"/>
                <w:color w:val="auto"/>
              </w:rPr>
              <w:t>Basic</w:t>
            </w:r>
          </w:p>
        </w:tc>
        <w:tc>
          <w:tcPr>
            <w:tcW w:w="540" w:type="dxa"/>
            <w:vAlign w:val="bottom"/>
          </w:tcPr>
          <w:p>
            <w:pPr>
              <w:jc w:val="right"/>
              <w:ind w:right="391"/>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0.10</w:t>
            </w:r>
          </w:p>
        </w:tc>
        <w:tc>
          <w:tcPr>
            <w:tcW w:w="980" w:type="dxa"/>
            <w:vAlign w:val="bottom"/>
          </w:tcPr>
          <w:p>
            <w:pPr>
              <w:jc w:val="right"/>
              <w:ind w:right="73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(0.07)</w:t>
            </w:r>
          </w:p>
        </w:tc>
        <w:tc>
          <w:tcPr>
            <w:tcW w:w="240" w:type="dxa"/>
            <w:vAlign w:val="bottom"/>
          </w:tcPr>
          <w:p>
            <w:pPr>
              <w:spacing w:after="0"/>
              <w:rPr>
                <w:sz w:val="17"/>
                <w:szCs w:val="17"/>
                <w:color w:val="auto"/>
              </w:rPr>
            </w:pPr>
          </w:p>
        </w:tc>
        <w:tc>
          <w:tcPr>
            <w:tcW w:w="600" w:type="dxa"/>
            <w:vAlign w:val="bottom"/>
          </w:tcPr>
          <w:p>
            <w:pPr>
              <w:jc w:val="right"/>
              <w:ind w:right="43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0.10</w:t>
            </w:r>
          </w:p>
        </w:tc>
        <w:tc>
          <w:tcPr>
            <w:tcW w:w="920" w:type="dxa"/>
            <w:vAlign w:val="bottom"/>
          </w:tcPr>
          <w:p>
            <w:pPr>
              <w:jc w:val="right"/>
              <w:ind w:right="691"/>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(0.19)</w:t>
            </w:r>
          </w:p>
        </w:tc>
      </w:tr>
      <w:tr>
        <w:trPr>
          <w:trHeight w:val="20"/>
        </w:trPr>
        <w:tc>
          <w:tcPr>
            <w:tcW w:w="4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9"/>
        </w:trPr>
        <w:tc>
          <w:tcPr>
            <w:tcW w:w="428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4"/>
                <w:szCs w:val="14"/>
                <w:color w:val="auto"/>
              </w:rPr>
              <w:t>Diluted</w:t>
            </w:r>
          </w:p>
        </w:tc>
        <w:tc>
          <w:tcPr>
            <w:tcW w:w="540" w:type="dxa"/>
            <w:vAlign w:val="bottom"/>
            <w:tcBorders>
              <w:bottom w:val="single" w:sz="8" w:color="DBDBDB"/>
            </w:tcBorders>
            <w:shd w:val="clear" w:color="auto" w:fill="DBDBDB"/>
          </w:tcPr>
          <w:p>
            <w:pPr>
              <w:jc w:val="right"/>
              <w:ind w:right="391"/>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0.10</w:t>
            </w:r>
          </w:p>
        </w:tc>
        <w:tc>
          <w:tcPr>
            <w:tcW w:w="980" w:type="dxa"/>
            <w:vAlign w:val="bottom"/>
            <w:tcBorders>
              <w:bottom w:val="single" w:sz="8" w:color="DBDBDB"/>
            </w:tcBorders>
            <w:shd w:val="clear" w:color="auto" w:fill="DBDBDB"/>
          </w:tcPr>
          <w:p>
            <w:pPr>
              <w:jc w:val="right"/>
              <w:ind w:right="73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(0.07)</w:t>
            </w:r>
          </w:p>
        </w:tc>
        <w:tc>
          <w:tcPr>
            <w:tcW w:w="24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right"/>
              <w:ind w:right="43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0.10</w:t>
            </w:r>
          </w:p>
        </w:tc>
        <w:tc>
          <w:tcPr>
            <w:tcW w:w="920" w:type="dxa"/>
            <w:vAlign w:val="bottom"/>
            <w:tcBorders>
              <w:bottom w:val="single" w:sz="8" w:color="DBDBDB"/>
            </w:tcBorders>
            <w:shd w:val="clear" w:color="auto" w:fill="DBDBDB"/>
          </w:tcPr>
          <w:p>
            <w:pPr>
              <w:jc w:val="right"/>
              <w:ind w:right="69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(0.19)</w:t>
            </w:r>
          </w:p>
        </w:tc>
      </w:tr>
      <w:tr>
        <w:trPr>
          <w:trHeight w:val="20"/>
        </w:trPr>
        <w:tc>
          <w:tcPr>
            <w:tcW w:w="4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MISSION PRODUCE,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 (LOSS) (UNAUDITED)</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40" w:type="dxa"/>
            <w:vAlign w:val="bottom"/>
            <w:gridSpan w:val="2"/>
          </w:tcPr>
          <w:p>
            <w:pPr>
              <w:jc w:val="right"/>
              <w:ind w:right="251"/>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40" w:type="dxa"/>
            <w:vAlign w:val="bottom"/>
            <w:gridSpan w:val="2"/>
          </w:tcPr>
          <w:p>
            <w:pPr>
              <w:jc w:val="right"/>
              <w:ind w:right="271"/>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2"/>
          </w:tcPr>
          <w:p>
            <w:pPr>
              <w:jc w:val="right"/>
              <w:ind w:right="651"/>
              <w:spacing w:after="0"/>
              <w:rPr>
                <w:sz w:val="20"/>
                <w:szCs w:val="20"/>
                <w:color w:val="auto"/>
              </w:rPr>
            </w:pPr>
            <w:r>
              <w:rPr>
                <w:rFonts w:ascii="Arial" w:cs="Arial" w:eastAsia="Arial" w:hAnsi="Arial"/>
                <w:sz w:val="14"/>
                <w:szCs w:val="14"/>
                <w:b w:val="1"/>
                <w:bCs w:val="1"/>
                <w:color w:val="auto"/>
              </w:rPr>
              <w:t>April 30,</w:t>
            </w:r>
          </w:p>
        </w:tc>
        <w:tc>
          <w:tcPr>
            <w:tcW w:w="7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tcPr>
          <w:p>
            <w:pPr>
              <w:jc w:val="right"/>
              <w:ind w:right="591"/>
              <w:spacing w:after="0"/>
              <w:rPr>
                <w:sz w:val="20"/>
                <w:szCs w:val="20"/>
                <w:color w:val="auto"/>
              </w:rPr>
            </w:pPr>
            <w:r>
              <w:rPr>
                <w:rFonts w:ascii="Arial" w:cs="Arial" w:eastAsia="Arial" w:hAnsi="Arial"/>
                <w:sz w:val="14"/>
                <w:szCs w:val="14"/>
                <w:b w:val="1"/>
                <w:bCs w:val="1"/>
                <w:color w:val="auto"/>
              </w:rPr>
              <w:t>April 30,</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1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2024</w:t>
            </w:r>
          </w:p>
        </w:tc>
        <w:tc>
          <w:tcPr>
            <w:tcW w:w="9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9"/>
        </w:trPr>
        <w:tc>
          <w:tcPr>
            <w:tcW w:w="4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income (loss)</w:t>
            </w:r>
          </w:p>
        </w:tc>
        <w:tc>
          <w:tcPr>
            <w:tcW w:w="56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7.0</w:t>
            </w:r>
          </w:p>
        </w:tc>
        <w:tc>
          <w:tcPr>
            <w:tcW w:w="1000" w:type="dxa"/>
            <w:vAlign w:val="bottom"/>
            <w:tcBorders>
              <w:bottom w:val="single" w:sz="8" w:color="DBDBDB"/>
            </w:tcBorders>
            <w:shd w:val="clear" w:color="auto" w:fill="DBDBDB"/>
          </w:tcPr>
          <w:p>
            <w:pPr>
              <w:jc w:val="right"/>
              <w:ind w:right="77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BDBDB"/>
            </w:tcBorders>
            <w:shd w:val="clear" w:color="auto" w:fill="DBDBDB"/>
          </w:tcPr>
          <w:p>
            <w:pPr>
              <w:jc w:val="center"/>
              <w:ind w:left="331"/>
              <w:spacing w:after="0"/>
              <w:rPr>
                <w:sz w:val="20"/>
                <w:szCs w:val="20"/>
                <w:color w:val="auto"/>
              </w:rPr>
            </w:pPr>
            <w:r>
              <w:rPr>
                <w:rFonts w:ascii="Arial" w:cs="Arial" w:eastAsia="Arial" w:hAnsi="Arial"/>
                <w:sz w:val="14"/>
                <w:szCs w:val="14"/>
                <w:color w:val="auto"/>
                <w:w w:val="97"/>
              </w:rPr>
              <w:t>(4.7)</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ind w:right="45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9.0</w:t>
            </w:r>
          </w:p>
        </w:tc>
        <w:tc>
          <w:tcPr>
            <w:tcW w:w="960" w:type="dxa"/>
            <w:vAlign w:val="bottom"/>
            <w:tcBorders>
              <w:bottom w:val="single" w:sz="8" w:color="DBDBDB"/>
            </w:tcBorders>
            <w:shd w:val="clear" w:color="auto" w:fill="DBDBDB"/>
          </w:tcPr>
          <w:p>
            <w:pPr>
              <w:jc w:val="right"/>
              <w:ind w:right="71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99"/>
        </w:trPr>
        <w:tc>
          <w:tcPr>
            <w:tcW w:w="412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4"/>
                <w:szCs w:val="14"/>
                <w:color w:val="auto"/>
              </w:rPr>
              <w:t>Foreign currency translation adjustments</w:t>
            </w:r>
          </w:p>
        </w:tc>
        <w:tc>
          <w:tcPr>
            <w:tcW w:w="560" w:type="dxa"/>
            <w:vAlign w:val="bottom"/>
            <w:tcBorders>
              <w:bottom w:val="single" w:sz="8" w:color="DBDBDB"/>
            </w:tcBorders>
            <w:shd w:val="clear" w:color="auto" w:fill="DBDBDB"/>
          </w:tcPr>
          <w:p>
            <w:pPr>
              <w:spacing w:after="0"/>
              <w:rPr>
                <w:sz w:val="19"/>
                <w:szCs w:val="19"/>
                <w:color w:val="auto"/>
              </w:rPr>
            </w:pPr>
          </w:p>
        </w:tc>
        <w:tc>
          <w:tcPr>
            <w:tcW w:w="114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(0.3)</w:t>
            </w:r>
          </w:p>
        </w:tc>
        <w:tc>
          <w:tcPr>
            <w:tcW w:w="1000" w:type="dxa"/>
            <w:vAlign w:val="bottom"/>
            <w:tcBorders>
              <w:bottom w:val="single" w:sz="8" w:color="DBDBDB"/>
            </w:tcBorders>
            <w:shd w:val="clear" w:color="auto" w:fill="DBDBDB"/>
          </w:tcPr>
          <w:p>
            <w:pPr>
              <w:spacing w:after="0"/>
              <w:rPr>
                <w:sz w:val="19"/>
                <w:szCs w:val="19"/>
                <w:color w:val="auto"/>
              </w:rPr>
            </w:pPr>
          </w:p>
        </w:tc>
        <w:tc>
          <w:tcPr>
            <w:tcW w:w="720" w:type="dxa"/>
            <w:vAlign w:val="bottom"/>
            <w:tcBorders>
              <w:bottom w:val="single" w:sz="8" w:color="DBDBDB"/>
            </w:tcBorders>
            <w:shd w:val="clear" w:color="auto" w:fill="DBDBDB"/>
          </w:tcPr>
          <w:p>
            <w:pPr>
              <w:jc w:val="center"/>
              <w:ind w:left="351"/>
              <w:spacing w:after="0"/>
              <w:rPr>
                <w:sz w:val="20"/>
                <w:szCs w:val="20"/>
                <w:color w:val="auto"/>
              </w:rPr>
            </w:pPr>
            <w:r>
              <w:rPr>
                <w:rFonts w:ascii="Arial" w:cs="Arial" w:eastAsia="Arial" w:hAnsi="Arial"/>
                <w:sz w:val="14"/>
                <w:szCs w:val="14"/>
                <w:color w:val="auto"/>
                <w:w w:val="92"/>
              </w:rPr>
              <w:t>0.3</w:t>
            </w:r>
          </w:p>
        </w:tc>
        <w:tc>
          <w:tcPr>
            <w:tcW w:w="260" w:type="dxa"/>
            <w:vAlign w:val="bottom"/>
            <w:tcBorders>
              <w:bottom w:val="single" w:sz="8" w:color="DBDBDB"/>
            </w:tcBorders>
            <w:shd w:val="clear" w:color="auto" w:fill="DBDBDB"/>
          </w:tcPr>
          <w:p>
            <w:pPr>
              <w:spacing w:after="0"/>
              <w:rPr>
                <w:sz w:val="19"/>
                <w:szCs w:val="19"/>
                <w:color w:val="auto"/>
              </w:rPr>
            </w:pPr>
          </w:p>
        </w:tc>
        <w:tc>
          <w:tcPr>
            <w:tcW w:w="620" w:type="dxa"/>
            <w:vAlign w:val="bottom"/>
            <w:tcBorders>
              <w:bottom w:val="single" w:sz="8" w:color="DBDBDB"/>
            </w:tcBorders>
            <w:shd w:val="clear" w:color="auto" w:fill="DBDBDB"/>
          </w:tcPr>
          <w:p>
            <w:pPr>
              <w:spacing w:after="0"/>
              <w:rPr>
                <w:sz w:val="19"/>
                <w:szCs w:val="19"/>
                <w:color w:val="auto"/>
              </w:rPr>
            </w:pPr>
          </w:p>
        </w:tc>
        <w:tc>
          <w:tcPr>
            <w:tcW w:w="108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0.5</w:t>
            </w:r>
          </w:p>
        </w:tc>
        <w:tc>
          <w:tcPr>
            <w:tcW w:w="960" w:type="dxa"/>
            <w:vAlign w:val="bottom"/>
            <w:tcBorders>
              <w:bottom w:val="single" w:sz="8" w:color="DBDBDB"/>
            </w:tcBorders>
            <w:shd w:val="clear" w:color="auto" w:fill="DBDBDB"/>
          </w:tcPr>
          <w:p>
            <w:pPr>
              <w:spacing w:after="0"/>
              <w:rPr>
                <w:sz w:val="19"/>
                <w:szCs w:val="19"/>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92"/>
        </w:trPr>
        <w:tc>
          <w:tcPr>
            <w:tcW w:w="4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comprehensive income (loss), net of tax</w:t>
            </w:r>
          </w:p>
        </w:tc>
        <w:tc>
          <w:tcPr>
            <w:tcW w:w="5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6.7</w:t>
            </w:r>
          </w:p>
        </w:tc>
        <w:tc>
          <w:tcPr>
            <w:tcW w:w="10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center"/>
              <w:ind w:left="331"/>
              <w:spacing w:after="0"/>
              <w:rPr>
                <w:sz w:val="20"/>
                <w:szCs w:val="20"/>
                <w:color w:val="auto"/>
              </w:rPr>
            </w:pPr>
            <w:r>
              <w:rPr>
                <w:rFonts w:ascii="Arial" w:cs="Arial" w:eastAsia="Arial" w:hAnsi="Arial"/>
                <w:sz w:val="14"/>
                <w:szCs w:val="14"/>
                <w:color w:val="auto"/>
                <w:w w:val="97"/>
              </w:rPr>
              <w:t>(4.4)</w:t>
            </w:r>
          </w:p>
        </w:tc>
        <w:tc>
          <w:tcPr>
            <w:tcW w:w="2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9.5</w:t>
            </w:r>
          </w:p>
        </w:tc>
        <w:tc>
          <w:tcPr>
            <w:tcW w:w="9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120" w:type="dxa"/>
            <w:vAlign w:val="bottom"/>
            <w:shd w:val="clear" w:color="auto" w:fill="DBDBDB"/>
          </w:tcPr>
          <w:p>
            <w:pPr>
              <w:ind w:left="20"/>
              <w:spacing w:after="0"/>
              <w:rPr>
                <w:sz w:val="20"/>
                <w:szCs w:val="20"/>
                <w:color w:val="auto"/>
              </w:rPr>
            </w:pPr>
            <w:r>
              <w:rPr>
                <w:rFonts w:ascii="Arial" w:cs="Arial" w:eastAsia="Arial" w:hAnsi="Arial"/>
                <w:sz w:val="14"/>
                <w:szCs w:val="14"/>
                <w:color w:val="auto"/>
              </w:rPr>
              <w:t>Less:</w:t>
            </w:r>
          </w:p>
        </w:tc>
        <w:tc>
          <w:tcPr>
            <w:tcW w:w="560" w:type="dxa"/>
            <w:vAlign w:val="bottom"/>
            <w:shd w:val="clear" w:color="auto" w:fill="DBDBDB"/>
          </w:tcPr>
          <w:p>
            <w:pPr>
              <w:spacing w:after="0"/>
              <w:rPr>
                <w:sz w:val="16"/>
                <w:szCs w:val="16"/>
                <w:color w:val="auto"/>
              </w:rPr>
            </w:pPr>
          </w:p>
        </w:tc>
        <w:tc>
          <w:tcPr>
            <w:tcW w:w="114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62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120" w:type="dxa"/>
            <w:vAlign w:val="bottom"/>
            <w:shd w:val="clear" w:color="auto" w:fill="DBDBDB"/>
          </w:tcPr>
          <w:p>
            <w:pPr>
              <w:ind w:left="180"/>
              <w:spacing w:after="0"/>
              <w:rPr>
                <w:sz w:val="20"/>
                <w:szCs w:val="20"/>
                <w:color w:val="auto"/>
              </w:rPr>
            </w:pPr>
            <w:r>
              <w:rPr>
                <w:rFonts w:ascii="Arial" w:cs="Arial" w:eastAsia="Arial" w:hAnsi="Arial"/>
                <w:sz w:val="14"/>
                <w:szCs w:val="14"/>
                <w:color w:val="auto"/>
              </w:rPr>
              <w:t>Comprehensive income (loss) attributable to noncontrolling</w:t>
            </w:r>
          </w:p>
        </w:tc>
        <w:tc>
          <w:tcPr>
            <w:tcW w:w="560" w:type="dxa"/>
            <w:vAlign w:val="bottom"/>
            <w:shd w:val="clear" w:color="auto" w:fill="DBDBDB"/>
          </w:tcPr>
          <w:p>
            <w:pPr>
              <w:spacing w:after="0"/>
              <w:rPr>
                <w:sz w:val="14"/>
                <w:szCs w:val="14"/>
                <w:color w:val="auto"/>
              </w:rPr>
            </w:pPr>
          </w:p>
        </w:tc>
        <w:tc>
          <w:tcPr>
            <w:tcW w:w="1140" w:type="dxa"/>
            <w:vAlign w:val="bottom"/>
            <w:vMerge w:val="restart"/>
            <w:shd w:val="clear" w:color="auto" w:fill="DBDBDB"/>
          </w:tcPr>
          <w:p>
            <w:pPr>
              <w:jc w:val="right"/>
              <w:ind w:right="71"/>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spacing w:after="0"/>
              <w:rPr>
                <w:sz w:val="14"/>
                <w:szCs w:val="14"/>
                <w:color w:val="auto"/>
              </w:rPr>
            </w:pPr>
          </w:p>
        </w:tc>
        <w:tc>
          <w:tcPr>
            <w:tcW w:w="720" w:type="dxa"/>
            <w:vAlign w:val="bottom"/>
            <w:vMerge w:val="restart"/>
            <w:shd w:val="clear" w:color="auto" w:fill="DBDBDB"/>
          </w:tcPr>
          <w:p>
            <w:pPr>
              <w:jc w:val="center"/>
              <w:ind w:left="331"/>
              <w:spacing w:after="0"/>
              <w:rPr>
                <w:sz w:val="20"/>
                <w:szCs w:val="20"/>
                <w:color w:val="auto"/>
              </w:rPr>
            </w:pPr>
            <w:r>
              <w:rPr>
                <w:rFonts w:ascii="Arial" w:cs="Arial" w:eastAsia="Arial" w:hAnsi="Arial"/>
                <w:sz w:val="14"/>
                <w:szCs w:val="14"/>
                <w:color w:val="auto"/>
                <w:w w:val="97"/>
              </w:rPr>
              <w:t>(0.1)</w:t>
            </w:r>
          </w:p>
        </w:tc>
        <w:tc>
          <w:tcPr>
            <w:tcW w:w="26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1080" w:type="dxa"/>
            <w:vAlign w:val="bottom"/>
            <w:vMerge w:val="restart"/>
            <w:shd w:val="clear" w:color="auto" w:fill="DBDBDB"/>
          </w:tcPr>
          <w:p>
            <w:pPr>
              <w:jc w:val="right"/>
              <w:ind w:right="51"/>
              <w:spacing w:after="0"/>
              <w:rPr>
                <w:sz w:val="20"/>
                <w:szCs w:val="20"/>
                <w:color w:val="auto"/>
              </w:rPr>
            </w:pPr>
            <w:r>
              <w:rPr>
                <w:rFonts w:ascii="Arial" w:cs="Arial" w:eastAsia="Arial" w:hAnsi="Arial"/>
                <w:sz w:val="14"/>
                <w:szCs w:val="14"/>
                <w:color w:val="auto"/>
              </w:rPr>
              <w:t>2.0</w:t>
            </w:r>
          </w:p>
        </w:tc>
        <w:tc>
          <w:tcPr>
            <w:tcW w:w="960" w:type="dxa"/>
            <w:vAlign w:val="bottom"/>
            <w:shd w:val="clear" w:color="auto" w:fill="DBDBDB"/>
          </w:tcPr>
          <w:p>
            <w:pPr>
              <w:spacing w:after="0"/>
              <w:rPr>
                <w:sz w:val="14"/>
                <w:szCs w:val="14"/>
                <w:color w:val="auto"/>
              </w:rPr>
            </w:pP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4"/>
        </w:trPr>
        <w:tc>
          <w:tcPr>
            <w:tcW w:w="4120" w:type="dxa"/>
            <w:vAlign w:val="bottom"/>
            <w:tcBorders>
              <w:bottom w:val="single" w:sz="8" w:color="auto"/>
            </w:tcBorders>
            <w:shd w:val="clear" w:color="auto" w:fill="DBDBDB"/>
          </w:tcPr>
          <w:p>
            <w:pPr>
              <w:ind w:left="320"/>
              <w:spacing w:after="0"/>
              <w:rPr>
                <w:sz w:val="20"/>
                <w:szCs w:val="20"/>
                <w:color w:val="auto"/>
              </w:rPr>
            </w:pPr>
            <w:r>
              <w:rPr>
                <w:rFonts w:ascii="Arial" w:cs="Arial" w:eastAsia="Arial" w:hAnsi="Arial"/>
                <w:sz w:val="14"/>
                <w:szCs w:val="14"/>
                <w:color w:val="auto"/>
              </w:rPr>
              <w:t>interest</w:t>
            </w:r>
          </w:p>
        </w:tc>
        <w:tc>
          <w:tcPr>
            <w:tcW w:w="560" w:type="dxa"/>
            <w:vAlign w:val="bottom"/>
            <w:tcBorders>
              <w:bottom w:val="single" w:sz="8" w:color="auto"/>
            </w:tcBorders>
            <w:shd w:val="clear" w:color="auto" w:fill="DBDBDB"/>
          </w:tcPr>
          <w:p>
            <w:pPr>
              <w:spacing w:after="0"/>
              <w:rPr>
                <w:sz w:val="16"/>
                <w:szCs w:val="16"/>
                <w:color w:val="auto"/>
              </w:rPr>
            </w:pPr>
          </w:p>
        </w:tc>
        <w:tc>
          <w:tcPr>
            <w:tcW w:w="1140" w:type="dxa"/>
            <w:vAlign w:val="bottom"/>
            <w:tcBorders>
              <w:bottom w:val="single" w:sz="8" w:color="auto"/>
            </w:tcBorders>
            <w:vMerge w:val="continue"/>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spacing w:after="0"/>
              <w:rPr>
                <w:sz w:val="16"/>
                <w:szCs w:val="16"/>
                <w:color w:val="auto"/>
              </w:rPr>
            </w:pPr>
          </w:p>
        </w:tc>
        <w:tc>
          <w:tcPr>
            <w:tcW w:w="720" w:type="dxa"/>
            <w:vAlign w:val="bottom"/>
            <w:tcBorders>
              <w:bottom w:val="single" w:sz="8" w:color="auto"/>
            </w:tcBorders>
            <w:vMerge w:val="continue"/>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62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vMerge w:val="continue"/>
            <w:shd w:val="clear" w:color="auto" w:fill="DBDBDB"/>
          </w:tcPr>
          <w:p>
            <w:pPr>
              <w:spacing w:after="0"/>
              <w:rPr>
                <w:sz w:val="16"/>
                <w:szCs w:val="16"/>
                <w:color w:val="auto"/>
              </w:rPr>
            </w:pPr>
          </w:p>
        </w:tc>
        <w:tc>
          <w:tcPr>
            <w:tcW w:w="960" w:type="dxa"/>
            <w:vAlign w:val="bottom"/>
            <w:tcBorders>
              <w:bottom w:val="single" w:sz="8" w:color="auto"/>
            </w:tcBorders>
            <w:shd w:val="clear" w:color="auto" w:fill="DBDBDB"/>
          </w:tcPr>
          <w:p>
            <w:pPr>
              <w:spacing w:after="0"/>
              <w:rPr>
                <w:sz w:val="16"/>
                <w:szCs w:val="16"/>
                <w:color w:val="auto"/>
              </w:rPr>
            </w:pPr>
          </w:p>
        </w:tc>
        <w:tc>
          <w:tcPr>
            <w:tcW w:w="780" w:type="dxa"/>
            <w:vAlign w:val="bottom"/>
            <w:tcBorders>
              <w:bottom w:val="single" w:sz="8" w:color="auto"/>
            </w:tcBorders>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Arial" w:cs="Arial" w:eastAsia="Arial" w:hAnsi="Arial"/>
                <w:sz w:val="14"/>
                <w:szCs w:val="14"/>
                <w:color w:val="auto"/>
              </w:rPr>
              <w:t>Comprehensive income (loss)</w:t>
            </w:r>
          </w:p>
        </w:tc>
        <w:tc>
          <w:tcPr>
            <w:tcW w:w="560" w:type="dxa"/>
            <w:vAlign w:val="bottom"/>
          </w:tcPr>
          <w:p>
            <w:pPr>
              <w:jc w:val="right"/>
              <w:ind w:right="411"/>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6.7</w:t>
            </w:r>
          </w:p>
        </w:tc>
        <w:tc>
          <w:tcPr>
            <w:tcW w:w="1000" w:type="dxa"/>
            <w:vAlign w:val="bottom"/>
          </w:tcPr>
          <w:p>
            <w:pPr>
              <w:jc w:val="right"/>
              <w:ind w:right="771"/>
              <w:spacing w:after="0"/>
              <w:rPr>
                <w:sz w:val="20"/>
                <w:szCs w:val="20"/>
                <w:color w:val="auto"/>
              </w:rPr>
            </w:pPr>
            <w:r>
              <w:rPr>
                <w:rFonts w:ascii="Arial" w:cs="Arial" w:eastAsia="Arial" w:hAnsi="Arial"/>
                <w:sz w:val="14"/>
                <w:szCs w:val="14"/>
                <w:color w:val="auto"/>
              </w:rPr>
              <w:t>$</w:t>
            </w:r>
          </w:p>
        </w:tc>
        <w:tc>
          <w:tcPr>
            <w:tcW w:w="720" w:type="dxa"/>
            <w:vAlign w:val="bottom"/>
          </w:tcPr>
          <w:p>
            <w:pPr>
              <w:jc w:val="center"/>
              <w:ind w:left="331"/>
              <w:spacing w:after="0"/>
              <w:rPr>
                <w:sz w:val="20"/>
                <w:szCs w:val="20"/>
                <w:color w:val="auto"/>
              </w:rPr>
            </w:pPr>
            <w:r>
              <w:rPr>
                <w:rFonts w:ascii="Arial" w:cs="Arial" w:eastAsia="Arial" w:hAnsi="Arial"/>
                <w:sz w:val="14"/>
                <w:szCs w:val="14"/>
                <w:color w:val="auto"/>
                <w:w w:val="97"/>
              </w:rPr>
              <w:t>(4.3)</w:t>
            </w:r>
          </w:p>
        </w:tc>
        <w:tc>
          <w:tcPr>
            <w:tcW w:w="260" w:type="dxa"/>
            <w:vAlign w:val="bottom"/>
          </w:tcPr>
          <w:p>
            <w:pPr>
              <w:spacing w:after="0"/>
              <w:rPr>
                <w:sz w:val="16"/>
                <w:szCs w:val="16"/>
                <w:color w:val="auto"/>
              </w:rPr>
            </w:pPr>
          </w:p>
        </w:tc>
        <w:tc>
          <w:tcPr>
            <w:tcW w:w="620" w:type="dxa"/>
            <w:vAlign w:val="bottom"/>
          </w:tcPr>
          <w:p>
            <w:pPr>
              <w:jc w:val="right"/>
              <w:ind w:right="45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7.5</w:t>
            </w:r>
          </w:p>
        </w:tc>
        <w:tc>
          <w:tcPr>
            <w:tcW w:w="960" w:type="dxa"/>
            <w:vAlign w:val="bottom"/>
          </w:tcPr>
          <w:p>
            <w:pPr>
              <w:jc w:val="right"/>
              <w:ind w:right="71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MISSION PRODUCE,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CHANGES IN EQUITY (UNAUDITED)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660" w:type="dxa"/>
            <w:vAlign w:val="bottom"/>
          </w:tcPr>
          <w:p>
            <w:pPr>
              <w:spacing w:after="0"/>
              <w:rPr>
                <w:sz w:val="14"/>
                <w:szCs w:val="1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Common stock</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Additional paid-in</w:t>
            </w:r>
          </w:p>
        </w:tc>
        <w:tc>
          <w:tcPr>
            <w:tcW w:w="1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Accumulated other</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(In millions, except for shares)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Shares</w:t>
            </w:r>
          </w:p>
        </w:tc>
        <w:tc>
          <w:tcPr>
            <w:tcW w:w="4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capital</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comprehensive loss</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Retained earnings</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Noncontrolling interest</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 equity</w:t>
            </w:r>
          </w:p>
        </w:tc>
        <w:tc>
          <w:tcPr>
            <w:tcW w:w="0" w:type="dxa"/>
            <w:vAlign w:val="bottom"/>
          </w:tcPr>
          <w:p>
            <w:pPr>
              <w:spacing w:after="0"/>
              <w:rPr>
                <w:sz w:val="1"/>
                <w:szCs w:val="1"/>
                <w:color w:val="auto"/>
              </w:rPr>
            </w:pPr>
          </w:p>
        </w:tc>
      </w:tr>
      <w:tr>
        <w:trPr>
          <w:trHeight w:val="173"/>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Balance at October 31, 2022</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70,669,535</w:t>
            </w:r>
          </w:p>
        </w:tc>
        <w:tc>
          <w:tcPr>
            <w:tcW w:w="460" w:type="dxa"/>
            <w:vAlign w:val="bottom"/>
            <w:tcBorders>
              <w:bottom w:val="single" w:sz="8" w:color="DBDBDB"/>
            </w:tcBorders>
            <w:shd w:val="clear" w:color="auto" w:fill="DBDBDB"/>
          </w:tcPr>
          <w:p>
            <w:pPr>
              <w:jc w:val="right"/>
              <w:ind w:right="320"/>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0.1</w:t>
            </w:r>
          </w:p>
        </w:tc>
        <w:tc>
          <w:tcPr>
            <w:tcW w:w="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229.3</w:t>
            </w:r>
          </w:p>
        </w:tc>
        <w:tc>
          <w:tcPr>
            <w:tcW w:w="180" w:type="dxa"/>
            <w:vAlign w:val="bottom"/>
            <w:tcBorders>
              <w:bottom w:val="single" w:sz="8" w:color="DBDBDB"/>
            </w:tcBorders>
            <w:shd w:val="clear" w:color="auto" w:fill="DBDBDB"/>
          </w:tcPr>
          <w:p>
            <w:pPr>
              <w:jc w:val="right"/>
              <w:ind w:right="4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(1.7)</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274.4</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20.8</w:t>
            </w:r>
          </w:p>
        </w:tc>
        <w:tc>
          <w:tcPr>
            <w:tcW w:w="300" w:type="dxa"/>
            <w:vAlign w:val="bottom"/>
            <w:tcBorders>
              <w:bottom w:val="single" w:sz="8" w:color="DBDBDB"/>
            </w:tcBorders>
            <w:shd w:val="clear" w:color="auto" w:fill="DBDBDB"/>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522.9</w:t>
            </w: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0.7</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Exercise of stock options</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8,500</w:t>
            </w:r>
          </w:p>
        </w:tc>
        <w:tc>
          <w:tcPr>
            <w:tcW w:w="460" w:type="dxa"/>
            <w:vAlign w:val="bottom"/>
            <w:tcBorders>
              <w:bottom w:val="single" w:sz="8" w:color="DBDBDB"/>
            </w:tcBorders>
            <w:shd w:val="clear" w:color="auto" w:fill="DBDBDB"/>
          </w:tcPr>
          <w:p>
            <w:pPr>
              <w:spacing w:after="0"/>
              <w:rPr>
                <w:sz w:val="15"/>
                <w:szCs w:val="15"/>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DBDBDB"/>
            </w:tcBorders>
            <w:shd w:val="clear" w:color="auto" w:fill="DBDBDB"/>
          </w:tcPr>
          <w:p>
            <w:pPr>
              <w:spacing w:after="0"/>
              <w:rPr>
                <w:sz w:val="15"/>
                <w:szCs w:val="15"/>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2660" w:type="dxa"/>
            <w:vAlign w:val="bottom"/>
          </w:tcPr>
          <w:p>
            <w:pPr>
              <w:ind w:left="20"/>
              <w:spacing w:after="0"/>
              <w:rPr>
                <w:sz w:val="20"/>
                <w:szCs w:val="20"/>
                <w:color w:val="auto"/>
              </w:rPr>
            </w:pPr>
            <w:r>
              <w:rPr>
                <w:rFonts w:ascii="Arial" w:cs="Arial" w:eastAsia="Arial" w:hAnsi="Arial"/>
                <w:sz w:val="12"/>
                <w:szCs w:val="12"/>
                <w:color w:val="auto"/>
              </w:rPr>
              <w:t>Issuance of common stock for equity awards, net</w:t>
            </w:r>
          </w:p>
        </w:tc>
        <w:tc>
          <w:tcPr>
            <w:tcW w:w="1200" w:type="dxa"/>
            <w:vAlign w:val="bottom"/>
          </w:tcPr>
          <w:p>
            <w:pPr>
              <w:jc w:val="right"/>
              <w:spacing w:after="0"/>
              <w:rPr>
                <w:sz w:val="20"/>
                <w:szCs w:val="20"/>
                <w:color w:val="auto"/>
              </w:rPr>
            </w:pPr>
            <w:r>
              <w:rPr>
                <w:rFonts w:ascii="Arial" w:cs="Arial" w:eastAsia="Arial" w:hAnsi="Arial"/>
                <w:sz w:val="12"/>
                <w:szCs w:val="12"/>
                <w:color w:val="auto"/>
              </w:rPr>
              <w:t>55,055</w:t>
            </w:r>
          </w:p>
        </w:tc>
        <w:tc>
          <w:tcPr>
            <w:tcW w:w="4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(0.4)</w:t>
            </w: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159"/>
        </w:trPr>
        <w:tc>
          <w:tcPr>
            <w:tcW w:w="2660" w:type="dxa"/>
            <w:vAlign w:val="bottom"/>
          </w:tcPr>
          <w:p>
            <w:pPr>
              <w:ind w:left="180"/>
              <w:spacing w:after="0"/>
              <w:rPr>
                <w:sz w:val="20"/>
                <w:szCs w:val="20"/>
                <w:color w:val="auto"/>
              </w:rPr>
            </w:pPr>
            <w:r>
              <w:rPr>
                <w:rFonts w:ascii="Arial" w:cs="Arial" w:eastAsia="Arial" w:hAnsi="Arial"/>
                <w:sz w:val="12"/>
                <w:szCs w:val="12"/>
                <w:color w:val="auto"/>
              </w:rPr>
              <w:t>of shares withheld for the settlement of taxes</w:t>
            </w: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Contributions from noncontrolling interest holders</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DBDBDB"/>
            </w:tcBorders>
            <w:shd w:val="clear" w:color="auto" w:fill="DBDBDB"/>
          </w:tcPr>
          <w:p>
            <w:pPr>
              <w:spacing w:after="0"/>
              <w:rPr>
                <w:sz w:val="15"/>
                <w:szCs w:val="15"/>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DBDBDB"/>
            </w:tcBorders>
            <w:shd w:val="clear" w:color="auto" w:fill="DBDBDB"/>
          </w:tcPr>
          <w:p>
            <w:pPr>
              <w:spacing w:after="0"/>
              <w:rPr>
                <w:sz w:val="15"/>
                <w:szCs w:val="15"/>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1.0</w:t>
            </w:r>
          </w:p>
        </w:tc>
        <w:tc>
          <w:tcPr>
            <w:tcW w:w="30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Net loss</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(8.8)</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(1.8)</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(10.6)</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Other comprehensive income</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DBDBDB"/>
            </w:tcBorders>
            <w:shd w:val="clear" w:color="auto" w:fill="DBDBDB"/>
          </w:tcPr>
          <w:p>
            <w:pPr>
              <w:spacing w:after="0"/>
              <w:rPr>
                <w:sz w:val="16"/>
                <w:szCs w:val="16"/>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6"/>
                <w:szCs w:val="16"/>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0.5</w:t>
            </w:r>
          </w:p>
        </w:tc>
        <w:tc>
          <w:tcPr>
            <w:tcW w:w="12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BDB"/>
            </w:tcBorders>
            <w:shd w:val="clear" w:color="auto" w:fill="DBDBDB"/>
          </w:tcPr>
          <w:p>
            <w:pPr>
              <w:spacing w:after="0"/>
              <w:rPr>
                <w:sz w:val="16"/>
                <w:szCs w:val="16"/>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60"/>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Balance at January 31, 2023</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70,733,090</w:t>
            </w:r>
          </w:p>
        </w:tc>
        <w:tc>
          <w:tcPr>
            <w:tcW w:w="460" w:type="dxa"/>
            <w:vAlign w:val="bottom"/>
            <w:tcBorders>
              <w:top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229.6</w:t>
            </w:r>
          </w:p>
        </w:tc>
        <w:tc>
          <w:tcPr>
            <w:tcW w:w="18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265.6</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20.0</w:t>
            </w:r>
          </w:p>
        </w:tc>
        <w:tc>
          <w:tcPr>
            <w:tcW w:w="300" w:type="dxa"/>
            <w:vAlign w:val="bottom"/>
            <w:tcBorders>
              <w:top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514.1</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Stock-based compensation</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DBDBDB"/>
            </w:tcBorders>
            <w:shd w:val="clear" w:color="auto" w:fill="DBDBDB"/>
          </w:tcPr>
          <w:p>
            <w:pPr>
              <w:spacing w:after="0"/>
              <w:rPr>
                <w:sz w:val="15"/>
                <w:szCs w:val="15"/>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1.3</w:t>
            </w:r>
          </w:p>
        </w:tc>
        <w:tc>
          <w:tcPr>
            <w:tcW w:w="180" w:type="dxa"/>
            <w:vAlign w:val="bottom"/>
            <w:tcBorders>
              <w:bottom w:val="single" w:sz="8" w:color="DBDBDB"/>
            </w:tcBorders>
            <w:shd w:val="clear" w:color="auto" w:fill="DBDBDB"/>
          </w:tcPr>
          <w:p>
            <w:pPr>
              <w:spacing w:after="0"/>
              <w:rPr>
                <w:sz w:val="15"/>
                <w:szCs w:val="15"/>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Exercise of stock options</w:t>
            </w:r>
          </w:p>
        </w:tc>
        <w:tc>
          <w:tcPr>
            <w:tcW w:w="1200" w:type="dxa"/>
            <w:vAlign w:val="bottom"/>
          </w:tcPr>
          <w:p>
            <w:pPr>
              <w:jc w:val="right"/>
              <w:spacing w:after="0"/>
              <w:rPr>
                <w:sz w:val="20"/>
                <w:szCs w:val="20"/>
                <w:color w:val="auto"/>
              </w:rPr>
            </w:pPr>
            <w:r>
              <w:rPr>
                <w:rFonts w:ascii="Arial" w:cs="Arial" w:eastAsia="Arial" w:hAnsi="Arial"/>
                <w:sz w:val="12"/>
                <w:szCs w:val="12"/>
                <w:color w:val="auto"/>
              </w:rPr>
              <w:t>5,000</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660" w:type="dxa"/>
            <w:vAlign w:val="bottom"/>
            <w:shd w:val="clear" w:color="auto" w:fill="DBDBDB"/>
          </w:tcPr>
          <w:p>
            <w:pPr>
              <w:ind w:left="20"/>
              <w:spacing w:after="0"/>
              <w:rPr>
                <w:sz w:val="20"/>
                <w:szCs w:val="20"/>
                <w:color w:val="auto"/>
              </w:rPr>
            </w:pPr>
            <w:r>
              <w:rPr>
                <w:rFonts w:ascii="Arial" w:cs="Arial" w:eastAsia="Arial" w:hAnsi="Arial"/>
                <w:sz w:val="12"/>
                <w:szCs w:val="12"/>
                <w:color w:val="auto"/>
              </w:rPr>
              <w:t>Issuance of common stock for equity awards, net</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47,592</w:t>
            </w:r>
          </w:p>
        </w:tc>
        <w:tc>
          <w:tcPr>
            <w:tcW w:w="460" w:type="dxa"/>
            <w:vAlign w:val="bottom"/>
            <w:shd w:val="clear" w:color="auto" w:fill="DBDBDB"/>
          </w:tcPr>
          <w:p>
            <w:pPr>
              <w:spacing w:after="0"/>
              <w:rPr>
                <w:sz w:val="13"/>
                <w:szCs w:val="13"/>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DBDBDB"/>
          </w:tcPr>
          <w:p>
            <w:pPr>
              <w:spacing w:after="0"/>
              <w:rPr>
                <w:sz w:val="13"/>
                <w:szCs w:val="13"/>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DBDBDB"/>
          </w:tcPr>
          <w:p>
            <w:pPr>
              <w:spacing w:after="0"/>
              <w:rPr>
                <w:sz w:val="13"/>
                <w:szCs w:val="13"/>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DBDBDB"/>
          </w:tcPr>
          <w:p>
            <w:pPr>
              <w:spacing w:after="0"/>
              <w:rPr>
                <w:sz w:val="13"/>
                <w:szCs w:val="13"/>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DBDBDB"/>
          </w:tcPr>
          <w:p>
            <w:pPr>
              <w:spacing w:after="0"/>
              <w:rPr>
                <w:sz w:val="13"/>
                <w:szCs w:val="13"/>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DBDBDB"/>
          </w:tcPr>
          <w:p>
            <w:pPr>
              <w:spacing w:after="0"/>
              <w:rPr>
                <w:sz w:val="13"/>
                <w:szCs w:val="13"/>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26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2"/>
                <w:szCs w:val="12"/>
                <w:color w:val="auto"/>
              </w:rPr>
              <w:t>of shares withheld for the settlement of taxes</w:t>
            </w:r>
          </w:p>
        </w:tc>
        <w:tc>
          <w:tcPr>
            <w:tcW w:w="1200" w:type="dxa"/>
            <w:vAlign w:val="bottom"/>
            <w:tcBorders>
              <w:bottom w:val="single" w:sz="8" w:color="DBDBDB"/>
            </w:tcBorders>
            <w:shd w:val="clear" w:color="auto" w:fill="DBDBDB"/>
          </w:tcPr>
          <w:p>
            <w:pPr>
              <w:spacing w:after="0"/>
              <w:rPr>
                <w:sz w:val="14"/>
                <w:szCs w:val="14"/>
                <w:color w:val="auto"/>
              </w:rPr>
            </w:pPr>
          </w:p>
        </w:tc>
        <w:tc>
          <w:tcPr>
            <w:tcW w:w="460" w:type="dxa"/>
            <w:vAlign w:val="bottom"/>
            <w:tcBorders>
              <w:bottom w:val="single" w:sz="8" w:color="DBDBDB"/>
            </w:tcBorders>
            <w:shd w:val="clear" w:color="auto" w:fill="DBDBDB"/>
          </w:tcPr>
          <w:p>
            <w:pPr>
              <w:spacing w:after="0"/>
              <w:rPr>
                <w:sz w:val="14"/>
                <w:szCs w:val="14"/>
                <w:color w:val="auto"/>
              </w:rPr>
            </w:pPr>
          </w:p>
        </w:tc>
        <w:tc>
          <w:tcPr>
            <w:tcW w:w="560" w:type="dxa"/>
            <w:vAlign w:val="bottom"/>
            <w:tcBorders>
              <w:bottom w:val="single" w:sz="8" w:color="DBDBDB"/>
            </w:tcBorders>
            <w:shd w:val="clear" w:color="auto" w:fill="DBDBDB"/>
          </w:tcPr>
          <w:p>
            <w:pPr>
              <w:spacing w:after="0"/>
              <w:rPr>
                <w:sz w:val="14"/>
                <w:szCs w:val="14"/>
                <w:color w:val="auto"/>
              </w:rPr>
            </w:pPr>
          </w:p>
        </w:tc>
        <w:tc>
          <w:tcPr>
            <w:tcW w:w="260" w:type="dxa"/>
            <w:vAlign w:val="bottom"/>
            <w:tcBorders>
              <w:bottom w:val="single" w:sz="8" w:color="DBDBDB"/>
            </w:tcBorders>
            <w:shd w:val="clear" w:color="auto" w:fill="DBDBDB"/>
          </w:tcPr>
          <w:p>
            <w:pPr>
              <w:spacing w:after="0"/>
              <w:rPr>
                <w:sz w:val="14"/>
                <w:szCs w:val="14"/>
                <w:color w:val="auto"/>
              </w:rPr>
            </w:pPr>
          </w:p>
        </w:tc>
        <w:tc>
          <w:tcPr>
            <w:tcW w:w="1080" w:type="dxa"/>
            <w:vAlign w:val="bottom"/>
            <w:tcBorders>
              <w:bottom w:val="single" w:sz="8" w:color="DBDBDB"/>
            </w:tcBorders>
            <w:shd w:val="clear" w:color="auto" w:fill="DBDBDB"/>
          </w:tcPr>
          <w:p>
            <w:pPr>
              <w:spacing w:after="0"/>
              <w:rPr>
                <w:sz w:val="14"/>
                <w:szCs w:val="14"/>
                <w:color w:val="auto"/>
              </w:rPr>
            </w:pPr>
          </w:p>
        </w:tc>
        <w:tc>
          <w:tcPr>
            <w:tcW w:w="180" w:type="dxa"/>
            <w:vAlign w:val="bottom"/>
            <w:tcBorders>
              <w:bottom w:val="single" w:sz="8" w:color="DBDBDB"/>
            </w:tcBorders>
            <w:shd w:val="clear" w:color="auto" w:fill="DBDBDB"/>
          </w:tcPr>
          <w:p>
            <w:pPr>
              <w:spacing w:after="0"/>
              <w:rPr>
                <w:sz w:val="14"/>
                <w:szCs w:val="14"/>
                <w:color w:val="auto"/>
              </w:rPr>
            </w:pPr>
          </w:p>
        </w:tc>
        <w:tc>
          <w:tcPr>
            <w:tcW w:w="1120" w:type="dxa"/>
            <w:vAlign w:val="bottom"/>
            <w:tcBorders>
              <w:bottom w:val="single" w:sz="8" w:color="DBDBDB"/>
            </w:tcBorders>
            <w:shd w:val="clear" w:color="auto" w:fill="DBDBDB"/>
          </w:tcPr>
          <w:p>
            <w:pPr>
              <w:spacing w:after="0"/>
              <w:rPr>
                <w:sz w:val="14"/>
                <w:szCs w:val="14"/>
                <w:color w:val="auto"/>
              </w:rPr>
            </w:pPr>
          </w:p>
        </w:tc>
        <w:tc>
          <w:tcPr>
            <w:tcW w:w="120" w:type="dxa"/>
            <w:vAlign w:val="bottom"/>
            <w:tcBorders>
              <w:bottom w:val="single" w:sz="8" w:color="DBDBDB"/>
            </w:tcBorders>
            <w:shd w:val="clear" w:color="auto" w:fill="DBDBDB"/>
          </w:tcPr>
          <w:p>
            <w:pPr>
              <w:spacing w:after="0"/>
              <w:rPr>
                <w:sz w:val="14"/>
                <w:szCs w:val="14"/>
                <w:color w:val="auto"/>
              </w:rPr>
            </w:pPr>
          </w:p>
        </w:tc>
        <w:tc>
          <w:tcPr>
            <w:tcW w:w="110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1200" w:type="dxa"/>
            <w:vAlign w:val="bottom"/>
            <w:tcBorders>
              <w:bottom w:val="single" w:sz="8" w:color="DBDBDB"/>
            </w:tcBorders>
            <w:shd w:val="clear" w:color="auto" w:fill="DBDBDB"/>
          </w:tcPr>
          <w:p>
            <w:pPr>
              <w:spacing w:after="0"/>
              <w:rPr>
                <w:sz w:val="14"/>
                <w:szCs w:val="14"/>
                <w:color w:val="auto"/>
              </w:rPr>
            </w:pPr>
          </w:p>
        </w:tc>
        <w:tc>
          <w:tcPr>
            <w:tcW w:w="30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Contributions from noncontrolling interest holders</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0.4</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Net loss</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DBDBDB"/>
            </w:tcBorders>
            <w:shd w:val="clear" w:color="auto" w:fill="DBDBDB"/>
          </w:tcPr>
          <w:p>
            <w:pPr>
              <w:spacing w:after="0"/>
              <w:rPr>
                <w:sz w:val="15"/>
                <w:szCs w:val="15"/>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DBDBDB"/>
            </w:tcBorders>
            <w:shd w:val="clear" w:color="auto" w:fill="DBDBDB"/>
          </w:tcPr>
          <w:p>
            <w:pPr>
              <w:spacing w:after="0"/>
              <w:rPr>
                <w:sz w:val="15"/>
                <w:szCs w:val="15"/>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(4.6)</w:t>
            </w:r>
          </w:p>
        </w:tc>
        <w:tc>
          <w:tcPr>
            <w:tcW w:w="10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(0.1)</w:t>
            </w:r>
          </w:p>
        </w:tc>
        <w:tc>
          <w:tcPr>
            <w:tcW w:w="30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Other comprehensive income</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0.3</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Balance at April 30, 2023</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70,785,682</w:t>
            </w:r>
          </w:p>
        </w:tc>
        <w:tc>
          <w:tcPr>
            <w:tcW w:w="460" w:type="dxa"/>
            <w:vAlign w:val="bottom"/>
            <w:tcBorders>
              <w:bottom w:val="single" w:sz="8" w:color="DBDBDB"/>
            </w:tcBorders>
            <w:shd w:val="clear" w:color="auto" w:fill="DBDBDB"/>
          </w:tcPr>
          <w:p>
            <w:pPr>
              <w:jc w:val="right"/>
              <w:ind w:right="320"/>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0.1</w:t>
            </w:r>
          </w:p>
        </w:tc>
        <w:tc>
          <w:tcPr>
            <w:tcW w:w="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230.9</w:t>
            </w:r>
          </w:p>
        </w:tc>
        <w:tc>
          <w:tcPr>
            <w:tcW w:w="180" w:type="dxa"/>
            <w:vAlign w:val="bottom"/>
            <w:tcBorders>
              <w:bottom w:val="single" w:sz="8" w:color="DBDBDB"/>
            </w:tcBorders>
            <w:shd w:val="clear" w:color="auto" w:fill="DBDBDB"/>
          </w:tcPr>
          <w:p>
            <w:pPr>
              <w:jc w:val="right"/>
              <w:ind w:right="4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(0.9)</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261.0</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20.3</w:t>
            </w:r>
          </w:p>
        </w:tc>
        <w:tc>
          <w:tcPr>
            <w:tcW w:w="300" w:type="dxa"/>
            <w:vAlign w:val="bottom"/>
            <w:tcBorders>
              <w:bottom w:val="single" w:sz="8" w:color="DBDBDB"/>
            </w:tcBorders>
            <w:shd w:val="clear" w:color="auto" w:fill="DBDBDB"/>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511.4</w:t>
            </w:r>
          </w:p>
        </w:tc>
        <w:tc>
          <w:tcPr>
            <w:tcW w:w="0" w:type="dxa"/>
            <w:vAlign w:val="bottom"/>
          </w:tcPr>
          <w:p>
            <w:pPr>
              <w:spacing w:after="0"/>
              <w:rPr>
                <w:sz w:val="1"/>
                <w:szCs w:val="1"/>
                <w:color w:val="auto"/>
              </w:rPr>
            </w:pPr>
          </w:p>
        </w:tc>
      </w:tr>
      <w:tr>
        <w:trPr>
          <w:trHeight w:val="186"/>
        </w:trPr>
        <w:tc>
          <w:tcPr>
            <w:tcW w:w="26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Balance at October 31, 2023</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70,728,404</w:t>
            </w:r>
          </w:p>
        </w:tc>
        <w:tc>
          <w:tcPr>
            <w:tcW w:w="460" w:type="dxa"/>
            <w:vAlign w:val="bottom"/>
            <w:tcBorders>
              <w:bottom w:val="single" w:sz="8" w:color="DBDBDB"/>
            </w:tcBorders>
            <w:shd w:val="clear" w:color="auto" w:fill="DBDBDB"/>
          </w:tcPr>
          <w:p>
            <w:pPr>
              <w:jc w:val="right"/>
              <w:ind w:right="320"/>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0.1</w:t>
            </w:r>
          </w:p>
        </w:tc>
        <w:tc>
          <w:tcPr>
            <w:tcW w:w="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233.4</w:t>
            </w:r>
          </w:p>
        </w:tc>
        <w:tc>
          <w:tcPr>
            <w:tcW w:w="180" w:type="dxa"/>
            <w:vAlign w:val="bottom"/>
            <w:tcBorders>
              <w:bottom w:val="single" w:sz="8" w:color="DBDBDB"/>
            </w:tcBorders>
            <w:shd w:val="clear" w:color="auto" w:fill="DBDBDB"/>
          </w:tcPr>
          <w:p>
            <w:pPr>
              <w:jc w:val="right"/>
              <w:ind w:right="4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(0.9)</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271.0</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24.7</w:t>
            </w:r>
          </w:p>
        </w:tc>
        <w:tc>
          <w:tcPr>
            <w:tcW w:w="300" w:type="dxa"/>
            <w:vAlign w:val="bottom"/>
            <w:tcBorders>
              <w:bottom w:val="single" w:sz="8" w:color="DBDBDB"/>
            </w:tcBorders>
            <w:shd w:val="clear" w:color="auto" w:fill="DBDBDB"/>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528.3</w:t>
            </w: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1.4</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660" w:type="dxa"/>
            <w:vAlign w:val="bottom"/>
            <w:shd w:val="clear" w:color="auto" w:fill="DBDBDB"/>
          </w:tcPr>
          <w:p>
            <w:pPr>
              <w:ind w:left="20"/>
              <w:spacing w:after="0"/>
              <w:rPr>
                <w:sz w:val="20"/>
                <w:szCs w:val="20"/>
                <w:color w:val="auto"/>
              </w:rPr>
            </w:pPr>
            <w:r>
              <w:rPr>
                <w:rFonts w:ascii="Arial" w:cs="Arial" w:eastAsia="Arial" w:hAnsi="Arial"/>
                <w:sz w:val="12"/>
                <w:szCs w:val="12"/>
                <w:color w:val="auto"/>
              </w:rPr>
              <w:t>Issuance of common stock for equity awards, net</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112,899</w:t>
            </w:r>
          </w:p>
        </w:tc>
        <w:tc>
          <w:tcPr>
            <w:tcW w:w="460" w:type="dxa"/>
            <w:vAlign w:val="bottom"/>
            <w:shd w:val="clear" w:color="auto" w:fill="DBDBDB"/>
          </w:tcPr>
          <w:p>
            <w:pPr>
              <w:spacing w:after="0"/>
              <w:rPr>
                <w:sz w:val="13"/>
                <w:szCs w:val="13"/>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DBDBDB"/>
          </w:tcPr>
          <w:p>
            <w:pPr>
              <w:spacing w:after="0"/>
              <w:rPr>
                <w:sz w:val="13"/>
                <w:szCs w:val="13"/>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(0.7)</w:t>
            </w:r>
          </w:p>
        </w:tc>
        <w:tc>
          <w:tcPr>
            <w:tcW w:w="180" w:type="dxa"/>
            <w:vAlign w:val="bottom"/>
            <w:shd w:val="clear" w:color="auto" w:fill="DBDBDB"/>
          </w:tcPr>
          <w:p>
            <w:pPr>
              <w:spacing w:after="0"/>
              <w:rPr>
                <w:sz w:val="13"/>
                <w:szCs w:val="13"/>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DBDBDB"/>
          </w:tcPr>
          <w:p>
            <w:pPr>
              <w:spacing w:after="0"/>
              <w:rPr>
                <w:sz w:val="13"/>
                <w:szCs w:val="13"/>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DBDBDB"/>
          </w:tcPr>
          <w:p>
            <w:pPr>
              <w:spacing w:after="0"/>
              <w:rPr>
                <w:sz w:val="13"/>
                <w:szCs w:val="13"/>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DBDBDB"/>
          </w:tcPr>
          <w:p>
            <w:pPr>
              <w:spacing w:after="0"/>
              <w:rPr>
                <w:sz w:val="13"/>
                <w:szCs w:val="13"/>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165"/>
        </w:trPr>
        <w:tc>
          <w:tcPr>
            <w:tcW w:w="26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2"/>
                <w:szCs w:val="12"/>
                <w:color w:val="auto"/>
              </w:rPr>
              <w:t>of shares withheld for the settlement of taxes</w:t>
            </w:r>
          </w:p>
        </w:tc>
        <w:tc>
          <w:tcPr>
            <w:tcW w:w="1200" w:type="dxa"/>
            <w:vAlign w:val="bottom"/>
            <w:tcBorders>
              <w:bottom w:val="single" w:sz="8" w:color="DBDBDB"/>
            </w:tcBorders>
            <w:shd w:val="clear" w:color="auto" w:fill="DBDBDB"/>
          </w:tcPr>
          <w:p>
            <w:pPr>
              <w:spacing w:after="0"/>
              <w:rPr>
                <w:sz w:val="14"/>
                <w:szCs w:val="14"/>
                <w:color w:val="auto"/>
              </w:rPr>
            </w:pPr>
          </w:p>
        </w:tc>
        <w:tc>
          <w:tcPr>
            <w:tcW w:w="460" w:type="dxa"/>
            <w:vAlign w:val="bottom"/>
            <w:tcBorders>
              <w:bottom w:val="single" w:sz="8" w:color="DBDBDB"/>
            </w:tcBorders>
            <w:shd w:val="clear" w:color="auto" w:fill="DBDBDB"/>
          </w:tcPr>
          <w:p>
            <w:pPr>
              <w:spacing w:after="0"/>
              <w:rPr>
                <w:sz w:val="14"/>
                <w:szCs w:val="14"/>
                <w:color w:val="auto"/>
              </w:rPr>
            </w:pPr>
          </w:p>
        </w:tc>
        <w:tc>
          <w:tcPr>
            <w:tcW w:w="560" w:type="dxa"/>
            <w:vAlign w:val="bottom"/>
            <w:tcBorders>
              <w:bottom w:val="single" w:sz="8" w:color="DBDBDB"/>
            </w:tcBorders>
            <w:shd w:val="clear" w:color="auto" w:fill="DBDBDB"/>
          </w:tcPr>
          <w:p>
            <w:pPr>
              <w:spacing w:after="0"/>
              <w:rPr>
                <w:sz w:val="14"/>
                <w:szCs w:val="14"/>
                <w:color w:val="auto"/>
              </w:rPr>
            </w:pPr>
          </w:p>
        </w:tc>
        <w:tc>
          <w:tcPr>
            <w:tcW w:w="260" w:type="dxa"/>
            <w:vAlign w:val="bottom"/>
            <w:tcBorders>
              <w:bottom w:val="single" w:sz="8" w:color="DBDBDB"/>
            </w:tcBorders>
            <w:shd w:val="clear" w:color="auto" w:fill="DBDBDB"/>
          </w:tcPr>
          <w:p>
            <w:pPr>
              <w:spacing w:after="0"/>
              <w:rPr>
                <w:sz w:val="14"/>
                <w:szCs w:val="14"/>
                <w:color w:val="auto"/>
              </w:rPr>
            </w:pPr>
          </w:p>
        </w:tc>
        <w:tc>
          <w:tcPr>
            <w:tcW w:w="1080" w:type="dxa"/>
            <w:vAlign w:val="bottom"/>
            <w:tcBorders>
              <w:bottom w:val="single" w:sz="8" w:color="DBDBDB"/>
            </w:tcBorders>
            <w:shd w:val="clear" w:color="auto" w:fill="DBDBDB"/>
          </w:tcPr>
          <w:p>
            <w:pPr>
              <w:spacing w:after="0"/>
              <w:rPr>
                <w:sz w:val="14"/>
                <w:szCs w:val="14"/>
                <w:color w:val="auto"/>
              </w:rPr>
            </w:pPr>
          </w:p>
        </w:tc>
        <w:tc>
          <w:tcPr>
            <w:tcW w:w="180" w:type="dxa"/>
            <w:vAlign w:val="bottom"/>
            <w:tcBorders>
              <w:bottom w:val="single" w:sz="8" w:color="DBDBDB"/>
            </w:tcBorders>
            <w:shd w:val="clear" w:color="auto" w:fill="DBDBDB"/>
          </w:tcPr>
          <w:p>
            <w:pPr>
              <w:spacing w:after="0"/>
              <w:rPr>
                <w:sz w:val="14"/>
                <w:szCs w:val="14"/>
                <w:color w:val="auto"/>
              </w:rPr>
            </w:pPr>
          </w:p>
        </w:tc>
        <w:tc>
          <w:tcPr>
            <w:tcW w:w="1120" w:type="dxa"/>
            <w:vAlign w:val="bottom"/>
            <w:tcBorders>
              <w:bottom w:val="single" w:sz="8" w:color="DBDBDB"/>
            </w:tcBorders>
            <w:shd w:val="clear" w:color="auto" w:fill="DBDBDB"/>
          </w:tcPr>
          <w:p>
            <w:pPr>
              <w:spacing w:after="0"/>
              <w:rPr>
                <w:sz w:val="14"/>
                <w:szCs w:val="14"/>
                <w:color w:val="auto"/>
              </w:rPr>
            </w:pPr>
          </w:p>
        </w:tc>
        <w:tc>
          <w:tcPr>
            <w:tcW w:w="120" w:type="dxa"/>
            <w:vAlign w:val="bottom"/>
            <w:tcBorders>
              <w:bottom w:val="single" w:sz="8" w:color="DBDBDB"/>
            </w:tcBorders>
            <w:shd w:val="clear" w:color="auto" w:fill="DBDBDB"/>
          </w:tcPr>
          <w:p>
            <w:pPr>
              <w:spacing w:after="0"/>
              <w:rPr>
                <w:sz w:val="14"/>
                <w:szCs w:val="14"/>
                <w:color w:val="auto"/>
              </w:rPr>
            </w:pPr>
          </w:p>
        </w:tc>
        <w:tc>
          <w:tcPr>
            <w:tcW w:w="110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1200" w:type="dxa"/>
            <w:vAlign w:val="bottom"/>
            <w:tcBorders>
              <w:bottom w:val="single" w:sz="8" w:color="DBDBDB"/>
            </w:tcBorders>
            <w:shd w:val="clear" w:color="auto" w:fill="DBDBDB"/>
          </w:tcPr>
          <w:p>
            <w:pPr>
              <w:spacing w:after="0"/>
              <w:rPr>
                <w:sz w:val="14"/>
                <w:szCs w:val="14"/>
                <w:color w:val="auto"/>
              </w:rPr>
            </w:pPr>
          </w:p>
        </w:tc>
        <w:tc>
          <w:tcPr>
            <w:tcW w:w="30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2.0</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Other comprehensive income</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DBDBDB"/>
            </w:tcBorders>
            <w:shd w:val="clear" w:color="auto" w:fill="DBDBDB"/>
          </w:tcPr>
          <w:p>
            <w:pPr>
              <w:spacing w:after="0"/>
              <w:rPr>
                <w:sz w:val="16"/>
                <w:szCs w:val="16"/>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6"/>
                <w:szCs w:val="16"/>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0.8</w:t>
            </w:r>
          </w:p>
        </w:tc>
        <w:tc>
          <w:tcPr>
            <w:tcW w:w="12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BDB"/>
            </w:tcBorders>
            <w:shd w:val="clear" w:color="auto" w:fill="DBDBDB"/>
          </w:tcPr>
          <w:p>
            <w:pPr>
              <w:spacing w:after="0"/>
              <w:rPr>
                <w:sz w:val="16"/>
                <w:szCs w:val="16"/>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0.8</w:t>
            </w:r>
          </w:p>
        </w:tc>
        <w:tc>
          <w:tcPr>
            <w:tcW w:w="0" w:type="dxa"/>
            <w:vAlign w:val="bottom"/>
          </w:tcPr>
          <w:p>
            <w:pPr>
              <w:spacing w:after="0"/>
              <w:rPr>
                <w:sz w:val="1"/>
                <w:szCs w:val="1"/>
                <w:color w:val="auto"/>
              </w:rPr>
            </w:pPr>
          </w:p>
        </w:tc>
      </w:tr>
      <w:tr>
        <w:trPr>
          <w:trHeight w:val="160"/>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Balance at January 31, 2024</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70,841,303</w:t>
            </w:r>
          </w:p>
        </w:tc>
        <w:tc>
          <w:tcPr>
            <w:tcW w:w="460" w:type="dxa"/>
            <w:vAlign w:val="bottom"/>
            <w:tcBorders>
              <w:top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234.1</w:t>
            </w:r>
          </w:p>
        </w:tc>
        <w:tc>
          <w:tcPr>
            <w:tcW w:w="18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271.0</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26.7</w:t>
            </w:r>
          </w:p>
        </w:tc>
        <w:tc>
          <w:tcPr>
            <w:tcW w:w="300" w:type="dxa"/>
            <w:vAlign w:val="bottom"/>
            <w:tcBorders>
              <w:top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531.8</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Stock-based compensation</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DBDBDB"/>
            </w:tcBorders>
            <w:shd w:val="clear" w:color="auto" w:fill="DBDBDB"/>
          </w:tcPr>
          <w:p>
            <w:pPr>
              <w:spacing w:after="0"/>
              <w:rPr>
                <w:sz w:val="15"/>
                <w:szCs w:val="15"/>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1.6</w:t>
            </w:r>
          </w:p>
        </w:tc>
        <w:tc>
          <w:tcPr>
            <w:tcW w:w="180" w:type="dxa"/>
            <w:vAlign w:val="bottom"/>
            <w:tcBorders>
              <w:bottom w:val="single" w:sz="8" w:color="DBDBDB"/>
            </w:tcBorders>
            <w:shd w:val="clear" w:color="auto" w:fill="DBDBDB"/>
          </w:tcPr>
          <w:p>
            <w:pPr>
              <w:spacing w:after="0"/>
              <w:rPr>
                <w:sz w:val="15"/>
                <w:szCs w:val="15"/>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50"/>
        </w:trPr>
        <w:tc>
          <w:tcPr>
            <w:tcW w:w="2660" w:type="dxa"/>
            <w:vAlign w:val="bottom"/>
          </w:tcPr>
          <w:p>
            <w:pPr>
              <w:ind w:left="20"/>
              <w:spacing w:after="0"/>
              <w:rPr>
                <w:sz w:val="20"/>
                <w:szCs w:val="20"/>
                <w:color w:val="auto"/>
              </w:rPr>
            </w:pPr>
            <w:r>
              <w:rPr>
                <w:rFonts w:ascii="Arial" w:cs="Arial" w:eastAsia="Arial" w:hAnsi="Arial"/>
                <w:sz w:val="12"/>
                <w:szCs w:val="12"/>
                <w:color w:val="auto"/>
              </w:rPr>
              <w:t>Issuance of common stock for equity awards, net</w:t>
            </w:r>
          </w:p>
        </w:tc>
        <w:tc>
          <w:tcPr>
            <w:tcW w:w="1200" w:type="dxa"/>
            <w:vAlign w:val="bottom"/>
          </w:tcPr>
          <w:p>
            <w:pPr>
              <w:jc w:val="right"/>
              <w:spacing w:after="0"/>
              <w:rPr>
                <w:sz w:val="20"/>
                <w:szCs w:val="20"/>
                <w:color w:val="auto"/>
              </w:rPr>
            </w:pPr>
            <w:r>
              <w:rPr>
                <w:rFonts w:ascii="Arial" w:cs="Arial" w:eastAsia="Arial" w:hAnsi="Arial"/>
                <w:sz w:val="12"/>
                <w:szCs w:val="12"/>
                <w:color w:val="auto"/>
              </w:rPr>
              <w:t>68,164</w:t>
            </w:r>
          </w:p>
        </w:tc>
        <w:tc>
          <w:tcPr>
            <w:tcW w:w="4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(0.1)</w:t>
            </w: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59"/>
        </w:trPr>
        <w:tc>
          <w:tcPr>
            <w:tcW w:w="2660" w:type="dxa"/>
            <w:vAlign w:val="bottom"/>
          </w:tcPr>
          <w:p>
            <w:pPr>
              <w:ind w:left="180"/>
              <w:spacing w:after="0"/>
              <w:rPr>
                <w:sz w:val="20"/>
                <w:szCs w:val="20"/>
                <w:color w:val="auto"/>
              </w:rPr>
            </w:pPr>
            <w:r>
              <w:rPr>
                <w:rFonts w:ascii="Arial" w:cs="Arial" w:eastAsia="Arial" w:hAnsi="Arial"/>
                <w:sz w:val="12"/>
                <w:szCs w:val="12"/>
                <w:color w:val="auto"/>
              </w:rPr>
              <w:t>of shares withheld for the settlement of taxes</w:t>
            </w: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Net income</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DBDBDB"/>
            </w:tcBorders>
            <w:shd w:val="clear" w:color="auto" w:fill="DBDBDB"/>
          </w:tcPr>
          <w:p>
            <w:pPr>
              <w:spacing w:after="0"/>
              <w:rPr>
                <w:sz w:val="15"/>
                <w:szCs w:val="15"/>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DBDBDB"/>
            </w:tcBorders>
            <w:shd w:val="clear" w:color="auto" w:fill="DBDBDB"/>
          </w:tcPr>
          <w:p>
            <w:pPr>
              <w:spacing w:after="0"/>
              <w:rPr>
                <w:sz w:val="15"/>
                <w:szCs w:val="15"/>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7.0</w:t>
            </w:r>
          </w:p>
        </w:tc>
        <w:tc>
          <w:tcPr>
            <w:tcW w:w="10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Other comprehensive income</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(0.3)</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Balance at April 30, 2024</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70,909,467</w:t>
            </w:r>
          </w:p>
        </w:tc>
        <w:tc>
          <w:tcPr>
            <w:tcW w:w="460" w:type="dxa"/>
            <w:vAlign w:val="bottom"/>
            <w:tcBorders>
              <w:bottom w:val="single" w:sz="8" w:color="DBDBDB"/>
            </w:tcBorders>
            <w:shd w:val="clear" w:color="auto" w:fill="DBDBDB"/>
          </w:tcPr>
          <w:p>
            <w:pPr>
              <w:jc w:val="right"/>
              <w:ind w:right="320"/>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0.1</w:t>
            </w:r>
          </w:p>
        </w:tc>
        <w:tc>
          <w:tcPr>
            <w:tcW w:w="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235.6</w:t>
            </w:r>
          </w:p>
        </w:tc>
        <w:tc>
          <w:tcPr>
            <w:tcW w:w="180" w:type="dxa"/>
            <w:vAlign w:val="bottom"/>
            <w:tcBorders>
              <w:bottom w:val="single" w:sz="8" w:color="DBDBDB"/>
            </w:tcBorders>
            <w:shd w:val="clear" w:color="auto" w:fill="DBDBDB"/>
          </w:tcPr>
          <w:p>
            <w:pPr>
              <w:jc w:val="right"/>
              <w:ind w:right="4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(0.4)</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278.0</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26.7</w:t>
            </w:r>
          </w:p>
        </w:tc>
        <w:tc>
          <w:tcPr>
            <w:tcW w:w="300" w:type="dxa"/>
            <w:vAlign w:val="bottom"/>
            <w:tcBorders>
              <w:bottom w:val="single" w:sz="8" w:color="DBDBDB"/>
            </w:tcBorders>
            <w:shd w:val="clear" w:color="auto" w:fill="DBDBDB"/>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540.0</w:t>
            </w:r>
          </w:p>
        </w:tc>
        <w:tc>
          <w:tcPr>
            <w:tcW w:w="0" w:type="dxa"/>
            <w:vAlign w:val="bottom"/>
          </w:tcPr>
          <w:p>
            <w:pPr>
              <w:spacing w:after="0"/>
              <w:rPr>
                <w:sz w:val="1"/>
                <w:szCs w:val="1"/>
                <w:color w:val="auto"/>
              </w:rPr>
            </w:pPr>
          </w:p>
        </w:tc>
      </w:tr>
      <w:tr>
        <w:trPr>
          <w:trHeight w:val="20"/>
        </w:trPr>
        <w:tc>
          <w:tcPr>
            <w:tcW w:w="26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ind w:right="-119"/>
        <w:spacing w:after="0"/>
        <w:rPr>
          <w:sz w:val="20"/>
          <w:szCs w:val="20"/>
          <w:color w:val="auto"/>
        </w:rPr>
      </w:pPr>
      <w:r>
        <w:rPr>
          <w:rFonts w:ascii="Arial" w:cs="Arial" w:eastAsia="Arial" w:hAnsi="Arial"/>
          <w:sz w:val="17"/>
          <w:szCs w:val="17"/>
          <w:b w:val="1"/>
          <w:bCs w:val="1"/>
          <w:color w:val="auto"/>
        </w:rPr>
        <w:t>MISSION PRODUCE, INC.</w:t>
      </w:r>
    </w:p>
    <w:p>
      <w:pPr>
        <w:spacing w:after="0" w:line="6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CONDENSED CONSOLIDATED STATEMENTS OF CASH FLOW (UNAUDITED)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6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Six Months Ended</w:t>
            </w:r>
          </w:p>
        </w:tc>
        <w:tc>
          <w:tcPr>
            <w:tcW w:w="880" w:type="dxa"/>
            <w:vAlign w:val="bottom"/>
          </w:tcPr>
          <w:p>
            <w:pPr>
              <w:spacing w:after="0"/>
              <w:rPr>
                <w:sz w:val="12"/>
                <w:szCs w:val="12"/>
                <w:color w:val="auto"/>
              </w:rPr>
            </w:pPr>
          </w:p>
        </w:tc>
      </w:tr>
      <w:tr>
        <w:trPr>
          <w:trHeight w:val="165"/>
        </w:trPr>
        <w:tc>
          <w:tcPr>
            <w:tcW w:w="7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April 30,</w:t>
            </w:r>
          </w:p>
        </w:tc>
        <w:tc>
          <w:tcPr>
            <w:tcW w:w="880" w:type="dxa"/>
            <w:vAlign w:val="bottom"/>
          </w:tcPr>
          <w:p>
            <w:pPr>
              <w:spacing w:after="0"/>
              <w:rPr>
                <w:sz w:val="14"/>
                <w:szCs w:val="14"/>
                <w:color w:val="auto"/>
              </w:rPr>
            </w:pPr>
          </w:p>
        </w:tc>
      </w:tr>
      <w:tr>
        <w:trPr>
          <w:trHeight w:val="20"/>
        </w:trPr>
        <w:tc>
          <w:tcPr>
            <w:tcW w:w="7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6"/>
        </w:trPr>
        <w:tc>
          <w:tcPr>
            <w:tcW w:w="7400" w:type="dxa"/>
            <w:vAlign w:val="bottom"/>
          </w:tcPr>
          <w:p>
            <w:pPr>
              <w:ind w:left="20"/>
              <w:spacing w:after="0"/>
              <w:rPr>
                <w:sz w:val="20"/>
                <w:szCs w:val="20"/>
                <w:color w:val="auto"/>
              </w:rPr>
            </w:pPr>
            <w:r>
              <w:rPr>
                <w:rFonts w:ascii="Calibri" w:cs="Calibri" w:eastAsia="Calibri" w:hAnsi="Calibri"/>
                <w:sz w:val="12"/>
                <w:szCs w:val="12"/>
                <w:color w:val="auto"/>
              </w:rPr>
              <w:t>(In millions)</w:t>
            </w:r>
          </w:p>
        </w:tc>
        <w:tc>
          <w:tcPr>
            <w:tcW w:w="680" w:type="dxa"/>
            <w:vAlign w:val="bottom"/>
          </w:tcPr>
          <w:p>
            <w:pPr>
              <w:spacing w:after="0"/>
              <w:rPr>
                <w:sz w:val="14"/>
                <w:szCs w:val="14"/>
                <w:color w:val="auto"/>
              </w:rPr>
            </w:pPr>
          </w:p>
        </w:tc>
        <w:tc>
          <w:tcPr>
            <w:tcW w:w="1180" w:type="dxa"/>
            <w:vAlign w:val="bottom"/>
          </w:tcPr>
          <w:p>
            <w:pPr>
              <w:jc w:val="right"/>
              <w:ind w:right="240"/>
              <w:spacing w:after="0"/>
              <w:rPr>
                <w:sz w:val="20"/>
                <w:szCs w:val="20"/>
                <w:color w:val="auto"/>
              </w:rPr>
            </w:pPr>
            <w:r>
              <w:rPr>
                <w:rFonts w:ascii="Arial" w:cs="Arial" w:eastAsia="Arial" w:hAnsi="Arial"/>
                <w:sz w:val="12"/>
                <w:szCs w:val="12"/>
                <w:b w:val="1"/>
                <w:bCs w:val="1"/>
                <w:color w:val="auto"/>
              </w:rPr>
              <w:t>2024</w:t>
            </w:r>
          </w:p>
        </w:tc>
        <w:tc>
          <w:tcPr>
            <w:tcW w:w="98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b w:val="1"/>
                <w:bCs w:val="1"/>
                <w:color w:val="auto"/>
              </w:rPr>
              <w:t>2023</w:t>
            </w: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6"/>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Operating Activities</w:t>
            </w:r>
          </w:p>
        </w:tc>
        <w:tc>
          <w:tcPr>
            <w:tcW w:w="680" w:type="dxa"/>
            <w:vAlign w:val="bottom"/>
            <w:tcBorders>
              <w:bottom w:val="single" w:sz="8" w:color="DBDBDB"/>
            </w:tcBorders>
            <w:shd w:val="clear" w:color="auto" w:fill="DBDBDB"/>
          </w:tcPr>
          <w:p>
            <w:pPr>
              <w:spacing w:after="0"/>
              <w:rPr>
                <w:sz w:val="14"/>
                <w:szCs w:val="14"/>
                <w:color w:val="auto"/>
              </w:rPr>
            </w:pPr>
          </w:p>
        </w:tc>
        <w:tc>
          <w:tcPr>
            <w:tcW w:w="1180" w:type="dxa"/>
            <w:vAlign w:val="bottom"/>
            <w:tcBorders>
              <w:bottom w:val="single" w:sz="8" w:color="DBDBDB"/>
            </w:tcBorders>
            <w:shd w:val="clear" w:color="auto" w:fill="DBDBDB"/>
          </w:tcPr>
          <w:p>
            <w:pPr>
              <w:spacing w:after="0"/>
              <w:rPr>
                <w:sz w:val="14"/>
                <w:szCs w:val="14"/>
                <w:color w:val="auto"/>
              </w:rPr>
            </w:pPr>
          </w:p>
        </w:tc>
        <w:tc>
          <w:tcPr>
            <w:tcW w:w="98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r>
      <w:tr>
        <w:trPr>
          <w:trHeight w:val="167"/>
        </w:trPr>
        <w:tc>
          <w:tcPr>
            <w:tcW w:w="740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680" w:type="dxa"/>
            <w:vAlign w:val="bottom"/>
          </w:tcPr>
          <w:p>
            <w:pPr>
              <w:jc w:val="right"/>
              <w:ind w:right="54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9.0</w:t>
            </w:r>
          </w:p>
        </w:tc>
        <w:tc>
          <w:tcPr>
            <w:tcW w:w="980" w:type="dxa"/>
            <w:vAlign w:val="bottom"/>
          </w:tcPr>
          <w:p>
            <w:pPr>
              <w:jc w:val="right"/>
              <w:ind w:right="66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(15.3)</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Adjustments to reconcile net income (loss) to net cash provided by (used in) operating activities</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spacing w:after="0"/>
              <w:rPr>
                <w:sz w:val="15"/>
                <w:szCs w:val="15"/>
                <w:color w:val="auto"/>
              </w:rPr>
            </w:pPr>
          </w:p>
        </w:tc>
      </w:tr>
      <w:tr>
        <w:trPr>
          <w:trHeight w:val="167"/>
        </w:trPr>
        <w:tc>
          <w:tcPr>
            <w:tcW w:w="7400" w:type="dxa"/>
            <w:vAlign w:val="bottom"/>
          </w:tcPr>
          <w:p>
            <w:pPr>
              <w:ind w:left="440"/>
              <w:spacing w:after="0"/>
              <w:rPr>
                <w:sz w:val="20"/>
                <w:szCs w:val="20"/>
                <w:color w:val="auto"/>
              </w:rPr>
            </w:pPr>
            <w:r>
              <w:rPr>
                <w:rFonts w:ascii="Arial" w:cs="Arial" w:eastAsia="Arial" w:hAnsi="Arial"/>
                <w:sz w:val="12"/>
                <w:szCs w:val="12"/>
                <w:color w:val="auto"/>
              </w:rPr>
              <w:t>Depreciation and amortization</w:t>
            </w:r>
          </w:p>
        </w:tc>
        <w:tc>
          <w:tcPr>
            <w:tcW w:w="680" w:type="dxa"/>
            <w:vAlign w:val="bottom"/>
          </w:tcPr>
          <w:p>
            <w:pPr>
              <w:spacing w:after="0"/>
              <w:rPr>
                <w:sz w:val="14"/>
                <w:szCs w:val="14"/>
                <w:color w:val="auto"/>
              </w:rPr>
            </w:pP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18.6</w:t>
            </w:r>
          </w:p>
        </w:tc>
        <w:tc>
          <w:tcPr>
            <w:tcW w:w="9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15.2</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2"/>
                <w:szCs w:val="12"/>
                <w:color w:val="auto"/>
              </w:rPr>
              <w:t>Amortization of debt issuance costs</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2"/>
                <w:szCs w:val="12"/>
                <w:color w:val="auto"/>
              </w:rPr>
              <w:t>0.1</w:t>
            </w:r>
          </w:p>
        </w:tc>
        <w:tc>
          <w:tcPr>
            <w:tcW w:w="98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0.1</w:t>
            </w:r>
          </w:p>
        </w:tc>
      </w:tr>
      <w:tr>
        <w:trPr>
          <w:trHeight w:val="167"/>
        </w:trPr>
        <w:tc>
          <w:tcPr>
            <w:tcW w:w="7400" w:type="dxa"/>
            <w:vAlign w:val="bottom"/>
          </w:tcPr>
          <w:p>
            <w:pPr>
              <w:ind w:left="440"/>
              <w:spacing w:after="0"/>
              <w:rPr>
                <w:sz w:val="20"/>
                <w:szCs w:val="20"/>
                <w:color w:val="auto"/>
              </w:rPr>
            </w:pPr>
            <w:r>
              <w:rPr>
                <w:rFonts w:ascii="Arial" w:cs="Arial" w:eastAsia="Arial" w:hAnsi="Arial"/>
                <w:sz w:val="12"/>
                <w:szCs w:val="12"/>
                <w:color w:val="auto"/>
              </w:rPr>
              <w:t>Equity method income</w:t>
            </w:r>
          </w:p>
        </w:tc>
        <w:tc>
          <w:tcPr>
            <w:tcW w:w="680" w:type="dxa"/>
            <w:vAlign w:val="bottom"/>
          </w:tcPr>
          <w:p>
            <w:pPr>
              <w:spacing w:after="0"/>
              <w:rPr>
                <w:sz w:val="14"/>
                <w:szCs w:val="14"/>
                <w:color w:val="auto"/>
              </w:rPr>
            </w:pPr>
          </w:p>
        </w:tc>
        <w:tc>
          <w:tcPr>
            <w:tcW w:w="1180" w:type="dxa"/>
            <w:vAlign w:val="bottom"/>
          </w:tcPr>
          <w:p>
            <w:pPr>
              <w:jc w:val="right"/>
              <w:ind w:right="140"/>
              <w:spacing w:after="0"/>
              <w:rPr>
                <w:sz w:val="20"/>
                <w:szCs w:val="20"/>
                <w:color w:val="auto"/>
              </w:rPr>
            </w:pPr>
            <w:r>
              <w:rPr>
                <w:rFonts w:ascii="Arial" w:cs="Arial" w:eastAsia="Arial" w:hAnsi="Arial"/>
                <w:sz w:val="12"/>
                <w:szCs w:val="12"/>
                <w:color w:val="auto"/>
              </w:rPr>
              <w:t>(0.9)</w:t>
            </w:r>
          </w:p>
        </w:tc>
        <w:tc>
          <w:tcPr>
            <w:tcW w:w="9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2"/>
                <w:szCs w:val="12"/>
                <w:color w:val="auto"/>
              </w:rPr>
              <w:t>Noncash lease expense</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2"/>
                <w:szCs w:val="12"/>
                <w:color w:val="auto"/>
              </w:rPr>
              <w:t>3.1</w:t>
            </w:r>
          </w:p>
        </w:tc>
        <w:tc>
          <w:tcPr>
            <w:tcW w:w="98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2.9</w:t>
            </w:r>
          </w:p>
        </w:tc>
      </w:tr>
      <w:tr>
        <w:trPr>
          <w:trHeight w:val="167"/>
        </w:trPr>
        <w:tc>
          <w:tcPr>
            <w:tcW w:w="7400" w:type="dxa"/>
            <w:vAlign w:val="bottom"/>
          </w:tcPr>
          <w:p>
            <w:pPr>
              <w:ind w:left="440"/>
              <w:spacing w:after="0"/>
              <w:rPr>
                <w:sz w:val="20"/>
                <w:szCs w:val="20"/>
                <w:color w:val="auto"/>
              </w:rPr>
            </w:pPr>
            <w:r>
              <w:rPr>
                <w:rFonts w:ascii="Arial" w:cs="Arial" w:eastAsia="Arial" w:hAnsi="Arial"/>
                <w:sz w:val="12"/>
                <w:szCs w:val="12"/>
                <w:color w:val="auto"/>
              </w:rPr>
              <w:t>Stock-based compensation</w:t>
            </w:r>
          </w:p>
        </w:tc>
        <w:tc>
          <w:tcPr>
            <w:tcW w:w="680" w:type="dxa"/>
            <w:vAlign w:val="bottom"/>
          </w:tcPr>
          <w:p>
            <w:pPr>
              <w:spacing w:after="0"/>
              <w:rPr>
                <w:sz w:val="14"/>
                <w:szCs w:val="14"/>
                <w:color w:val="auto"/>
              </w:rPr>
            </w:pP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3.0</w:t>
            </w:r>
          </w:p>
        </w:tc>
        <w:tc>
          <w:tcPr>
            <w:tcW w:w="9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2.0</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2"/>
                <w:szCs w:val="12"/>
                <w:color w:val="auto"/>
              </w:rPr>
              <w:t>Dividends received from equity method investees</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2"/>
                <w:szCs w:val="12"/>
                <w:color w:val="auto"/>
              </w:rPr>
              <w:t>3.2</w:t>
            </w:r>
          </w:p>
        </w:tc>
        <w:tc>
          <w:tcPr>
            <w:tcW w:w="98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2.7</w:t>
            </w:r>
          </w:p>
        </w:tc>
      </w:tr>
      <w:tr>
        <w:trPr>
          <w:trHeight w:val="167"/>
        </w:trPr>
        <w:tc>
          <w:tcPr>
            <w:tcW w:w="7400" w:type="dxa"/>
            <w:vAlign w:val="bottom"/>
          </w:tcPr>
          <w:p>
            <w:pPr>
              <w:ind w:left="440"/>
              <w:spacing w:after="0"/>
              <w:rPr>
                <w:sz w:val="20"/>
                <w:szCs w:val="20"/>
                <w:color w:val="auto"/>
              </w:rPr>
            </w:pPr>
            <w:r>
              <w:rPr>
                <w:rFonts w:ascii="Arial" w:cs="Arial" w:eastAsia="Arial" w:hAnsi="Arial"/>
                <w:sz w:val="12"/>
                <w:szCs w:val="12"/>
                <w:color w:val="auto"/>
              </w:rPr>
              <w:t>Losses on asset impairment, disposals and sales, net of insurance recoveries</w:t>
            </w:r>
          </w:p>
        </w:tc>
        <w:tc>
          <w:tcPr>
            <w:tcW w:w="680" w:type="dxa"/>
            <w:vAlign w:val="bottom"/>
          </w:tcPr>
          <w:p>
            <w:pPr>
              <w:spacing w:after="0"/>
              <w:rPr>
                <w:sz w:val="14"/>
                <w:szCs w:val="14"/>
                <w:color w:val="auto"/>
              </w:rPr>
            </w:pP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0.4</w:t>
            </w:r>
          </w:p>
        </w:tc>
        <w:tc>
          <w:tcPr>
            <w:tcW w:w="9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0.8</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2"/>
                <w:szCs w:val="12"/>
                <w:color w:val="auto"/>
              </w:rPr>
              <w:t>Deferred income taxes</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(1.0)</w:t>
            </w:r>
          </w:p>
        </w:tc>
        <w:tc>
          <w:tcPr>
            <w:tcW w:w="98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(0.9)</w:t>
            </w:r>
          </w:p>
        </w:tc>
      </w:tr>
      <w:tr>
        <w:trPr>
          <w:trHeight w:val="167"/>
        </w:trPr>
        <w:tc>
          <w:tcPr>
            <w:tcW w:w="7400" w:type="dxa"/>
            <w:vAlign w:val="bottom"/>
          </w:tcPr>
          <w:p>
            <w:pPr>
              <w:ind w:left="440"/>
              <w:spacing w:after="0"/>
              <w:rPr>
                <w:sz w:val="20"/>
                <w:szCs w:val="20"/>
                <w:color w:val="auto"/>
              </w:rPr>
            </w:pPr>
            <w:r>
              <w:rPr>
                <w:rFonts w:ascii="Arial" w:cs="Arial" w:eastAsia="Arial" w:hAnsi="Arial"/>
                <w:sz w:val="12"/>
                <w:szCs w:val="12"/>
                <w:color w:val="auto"/>
              </w:rPr>
              <w:t>Other</w:t>
            </w:r>
          </w:p>
        </w:tc>
        <w:tc>
          <w:tcPr>
            <w:tcW w:w="680" w:type="dxa"/>
            <w:vAlign w:val="bottom"/>
          </w:tcPr>
          <w:p>
            <w:pPr>
              <w:spacing w:after="0"/>
              <w:rPr>
                <w:sz w:val="14"/>
                <w:szCs w:val="14"/>
                <w:color w:val="auto"/>
              </w:rPr>
            </w:pP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1.1</w:t>
            </w:r>
          </w:p>
        </w:tc>
        <w:tc>
          <w:tcPr>
            <w:tcW w:w="9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Effect on cash of changes in operating assets and liabilities:</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spacing w:after="0"/>
              <w:rPr>
                <w:sz w:val="15"/>
                <w:szCs w:val="15"/>
                <w:color w:val="auto"/>
              </w:rPr>
            </w:pPr>
          </w:p>
        </w:tc>
      </w:tr>
      <w:tr>
        <w:trPr>
          <w:trHeight w:val="167"/>
        </w:trPr>
        <w:tc>
          <w:tcPr>
            <w:tcW w:w="7400" w:type="dxa"/>
            <w:vAlign w:val="bottom"/>
          </w:tcPr>
          <w:p>
            <w:pPr>
              <w:ind w:left="440"/>
              <w:spacing w:after="0"/>
              <w:rPr>
                <w:sz w:val="20"/>
                <w:szCs w:val="20"/>
                <w:color w:val="auto"/>
              </w:rPr>
            </w:pPr>
            <w:r>
              <w:rPr>
                <w:rFonts w:ascii="Arial" w:cs="Arial" w:eastAsia="Arial" w:hAnsi="Arial"/>
                <w:sz w:val="12"/>
                <w:szCs w:val="12"/>
                <w:color w:val="auto"/>
              </w:rPr>
              <w:t>Trade accounts receivable</w:t>
            </w:r>
          </w:p>
        </w:tc>
        <w:tc>
          <w:tcPr>
            <w:tcW w:w="680" w:type="dxa"/>
            <w:vAlign w:val="bottom"/>
          </w:tcPr>
          <w:p>
            <w:pPr>
              <w:spacing w:after="0"/>
              <w:rPr>
                <w:sz w:val="14"/>
                <w:szCs w:val="14"/>
                <w:color w:val="auto"/>
              </w:rPr>
            </w:pPr>
          </w:p>
        </w:tc>
        <w:tc>
          <w:tcPr>
            <w:tcW w:w="1180" w:type="dxa"/>
            <w:vAlign w:val="bottom"/>
          </w:tcPr>
          <w:p>
            <w:pPr>
              <w:jc w:val="right"/>
              <w:ind w:right="140"/>
              <w:spacing w:after="0"/>
              <w:rPr>
                <w:sz w:val="20"/>
                <w:szCs w:val="20"/>
                <w:color w:val="auto"/>
              </w:rPr>
            </w:pPr>
            <w:r>
              <w:rPr>
                <w:rFonts w:ascii="Arial" w:cs="Arial" w:eastAsia="Arial" w:hAnsi="Arial"/>
                <w:sz w:val="12"/>
                <w:szCs w:val="12"/>
                <w:color w:val="auto"/>
              </w:rPr>
              <w:t>(25.2)</w:t>
            </w:r>
          </w:p>
        </w:tc>
        <w:tc>
          <w:tcPr>
            <w:tcW w:w="9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(15.8)</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2"/>
                <w:szCs w:val="12"/>
                <w:color w:val="auto"/>
              </w:rPr>
              <w:t>Grower fruit advances</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(2.3)</w:t>
            </w:r>
          </w:p>
        </w:tc>
        <w:tc>
          <w:tcPr>
            <w:tcW w:w="98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(2.5)</w:t>
            </w:r>
          </w:p>
        </w:tc>
      </w:tr>
      <w:tr>
        <w:trPr>
          <w:trHeight w:val="167"/>
        </w:trPr>
        <w:tc>
          <w:tcPr>
            <w:tcW w:w="7400" w:type="dxa"/>
            <w:vAlign w:val="bottom"/>
          </w:tcPr>
          <w:p>
            <w:pPr>
              <w:ind w:left="440"/>
              <w:spacing w:after="0"/>
              <w:rPr>
                <w:sz w:val="20"/>
                <w:szCs w:val="20"/>
                <w:color w:val="auto"/>
              </w:rPr>
            </w:pPr>
            <w:r>
              <w:rPr>
                <w:rFonts w:ascii="Arial" w:cs="Arial" w:eastAsia="Arial" w:hAnsi="Arial"/>
                <w:sz w:val="12"/>
                <w:szCs w:val="12"/>
                <w:color w:val="auto"/>
              </w:rPr>
              <w:t>Other receivables</w:t>
            </w:r>
          </w:p>
        </w:tc>
        <w:tc>
          <w:tcPr>
            <w:tcW w:w="680" w:type="dxa"/>
            <w:vAlign w:val="bottom"/>
          </w:tcPr>
          <w:p>
            <w:pPr>
              <w:spacing w:after="0"/>
              <w:rPr>
                <w:sz w:val="14"/>
                <w:szCs w:val="14"/>
                <w:color w:val="auto"/>
              </w:rPr>
            </w:pPr>
          </w:p>
        </w:tc>
        <w:tc>
          <w:tcPr>
            <w:tcW w:w="1180" w:type="dxa"/>
            <w:vAlign w:val="bottom"/>
          </w:tcPr>
          <w:p>
            <w:pPr>
              <w:jc w:val="right"/>
              <w:ind w:right="140"/>
              <w:spacing w:after="0"/>
              <w:rPr>
                <w:sz w:val="20"/>
                <w:szCs w:val="20"/>
                <w:color w:val="auto"/>
              </w:rPr>
            </w:pPr>
            <w:r>
              <w:rPr>
                <w:rFonts w:ascii="Arial" w:cs="Arial" w:eastAsia="Arial" w:hAnsi="Arial"/>
                <w:sz w:val="12"/>
                <w:szCs w:val="12"/>
                <w:color w:val="auto"/>
              </w:rPr>
              <w:t>(0.5)</w:t>
            </w:r>
          </w:p>
        </w:tc>
        <w:tc>
          <w:tcPr>
            <w:tcW w:w="9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2"/>
                <w:szCs w:val="12"/>
                <w:color w:val="auto"/>
              </w:rPr>
              <w:t>Inventory</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(20.8)</w:t>
            </w:r>
          </w:p>
        </w:tc>
        <w:tc>
          <w:tcPr>
            <w:tcW w:w="98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(21.1)</w:t>
            </w:r>
          </w:p>
        </w:tc>
      </w:tr>
      <w:tr>
        <w:trPr>
          <w:trHeight w:val="167"/>
        </w:trPr>
        <w:tc>
          <w:tcPr>
            <w:tcW w:w="7400" w:type="dxa"/>
            <w:vAlign w:val="bottom"/>
          </w:tcPr>
          <w:p>
            <w:pPr>
              <w:ind w:left="440"/>
              <w:spacing w:after="0"/>
              <w:rPr>
                <w:sz w:val="20"/>
                <w:szCs w:val="20"/>
                <w:color w:val="auto"/>
              </w:rPr>
            </w:pPr>
            <w:r>
              <w:rPr>
                <w:rFonts w:ascii="Arial" w:cs="Arial" w:eastAsia="Arial" w:hAnsi="Arial"/>
                <w:sz w:val="12"/>
                <w:szCs w:val="12"/>
                <w:color w:val="auto"/>
              </w:rPr>
              <w:t>Prepaid expenses and other current assets</w:t>
            </w:r>
          </w:p>
        </w:tc>
        <w:tc>
          <w:tcPr>
            <w:tcW w:w="680" w:type="dxa"/>
            <w:vAlign w:val="bottom"/>
          </w:tcPr>
          <w:p>
            <w:pPr>
              <w:spacing w:after="0"/>
              <w:rPr>
                <w:sz w:val="14"/>
                <w:szCs w:val="14"/>
                <w:color w:val="auto"/>
              </w:rPr>
            </w:pP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0.9</w:t>
            </w:r>
          </w:p>
        </w:tc>
        <w:tc>
          <w:tcPr>
            <w:tcW w:w="9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2"/>
                <w:szCs w:val="12"/>
                <w:color w:val="auto"/>
              </w:rPr>
              <w:t>Income taxes receivable</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(0.9)</w:t>
            </w:r>
          </w:p>
        </w:tc>
        <w:tc>
          <w:tcPr>
            <w:tcW w:w="98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(4.4)</w:t>
            </w:r>
          </w:p>
        </w:tc>
      </w:tr>
      <w:tr>
        <w:trPr>
          <w:trHeight w:val="167"/>
        </w:trPr>
        <w:tc>
          <w:tcPr>
            <w:tcW w:w="7400" w:type="dxa"/>
            <w:vAlign w:val="bottom"/>
          </w:tcPr>
          <w:p>
            <w:pPr>
              <w:ind w:left="440"/>
              <w:spacing w:after="0"/>
              <w:rPr>
                <w:sz w:val="20"/>
                <w:szCs w:val="20"/>
                <w:color w:val="auto"/>
              </w:rPr>
            </w:pPr>
            <w:r>
              <w:rPr>
                <w:rFonts w:ascii="Arial" w:cs="Arial" w:eastAsia="Arial" w:hAnsi="Arial"/>
                <w:sz w:val="12"/>
                <w:szCs w:val="12"/>
                <w:color w:val="auto"/>
              </w:rPr>
              <w:t>Other assets</w:t>
            </w:r>
          </w:p>
        </w:tc>
        <w:tc>
          <w:tcPr>
            <w:tcW w:w="680" w:type="dxa"/>
            <w:vAlign w:val="bottom"/>
          </w:tcPr>
          <w:p>
            <w:pPr>
              <w:spacing w:after="0"/>
              <w:rPr>
                <w:sz w:val="14"/>
                <w:szCs w:val="14"/>
                <w:color w:val="auto"/>
              </w:rPr>
            </w:pP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0.3</w:t>
            </w:r>
          </w:p>
        </w:tc>
        <w:tc>
          <w:tcPr>
            <w:tcW w:w="9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2"/>
                <w:szCs w:val="12"/>
                <w:color w:val="auto"/>
              </w:rPr>
              <w:t>Accounts payable and accrued expenses</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2"/>
                <w:szCs w:val="12"/>
                <w:color w:val="auto"/>
              </w:rPr>
              <w:t>11.2</w:t>
            </w:r>
          </w:p>
        </w:tc>
        <w:tc>
          <w:tcPr>
            <w:tcW w:w="98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(2.0)</w:t>
            </w:r>
          </w:p>
        </w:tc>
      </w:tr>
      <w:tr>
        <w:trPr>
          <w:trHeight w:val="167"/>
        </w:trPr>
        <w:tc>
          <w:tcPr>
            <w:tcW w:w="7400" w:type="dxa"/>
            <w:vAlign w:val="bottom"/>
          </w:tcPr>
          <w:p>
            <w:pPr>
              <w:ind w:left="440"/>
              <w:spacing w:after="0"/>
              <w:rPr>
                <w:sz w:val="20"/>
                <w:szCs w:val="20"/>
                <w:color w:val="auto"/>
              </w:rPr>
            </w:pPr>
            <w:r>
              <w:rPr>
                <w:rFonts w:ascii="Arial" w:cs="Arial" w:eastAsia="Arial" w:hAnsi="Arial"/>
                <w:sz w:val="12"/>
                <w:szCs w:val="12"/>
                <w:color w:val="auto"/>
              </w:rPr>
              <w:t>Income taxes payable</w:t>
            </w:r>
          </w:p>
        </w:tc>
        <w:tc>
          <w:tcPr>
            <w:tcW w:w="680" w:type="dxa"/>
            <w:vAlign w:val="bottom"/>
          </w:tcPr>
          <w:p>
            <w:pPr>
              <w:spacing w:after="0"/>
              <w:rPr>
                <w:sz w:val="14"/>
                <w:szCs w:val="14"/>
                <w:color w:val="auto"/>
              </w:rPr>
            </w:pPr>
          </w:p>
        </w:tc>
        <w:tc>
          <w:tcPr>
            <w:tcW w:w="1180" w:type="dxa"/>
            <w:vAlign w:val="bottom"/>
          </w:tcPr>
          <w:p>
            <w:pPr>
              <w:jc w:val="right"/>
              <w:ind w:right="140"/>
              <w:spacing w:after="0"/>
              <w:rPr>
                <w:sz w:val="20"/>
                <w:szCs w:val="20"/>
                <w:color w:val="auto"/>
              </w:rPr>
            </w:pPr>
            <w:r>
              <w:rPr>
                <w:rFonts w:ascii="Arial" w:cs="Arial" w:eastAsia="Arial" w:hAnsi="Arial"/>
                <w:sz w:val="12"/>
                <w:szCs w:val="12"/>
                <w:color w:val="auto"/>
              </w:rPr>
              <w:t>(0.9)</w:t>
            </w:r>
          </w:p>
        </w:tc>
        <w:tc>
          <w:tcPr>
            <w:tcW w:w="9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2"/>
                <w:szCs w:val="12"/>
                <w:color w:val="auto"/>
              </w:rPr>
              <w:t>Grower payables</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2"/>
                <w:szCs w:val="12"/>
                <w:color w:val="auto"/>
              </w:rPr>
              <w:t>22.5</w:t>
            </w:r>
          </w:p>
        </w:tc>
        <w:tc>
          <w:tcPr>
            <w:tcW w:w="98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8.2</w:t>
            </w:r>
          </w:p>
        </w:tc>
      </w:tr>
      <w:tr>
        <w:trPr>
          <w:trHeight w:val="167"/>
        </w:trPr>
        <w:tc>
          <w:tcPr>
            <w:tcW w:w="7400" w:type="dxa"/>
            <w:vAlign w:val="bottom"/>
          </w:tcPr>
          <w:p>
            <w:pPr>
              <w:ind w:left="440"/>
              <w:spacing w:after="0"/>
              <w:rPr>
                <w:sz w:val="20"/>
                <w:szCs w:val="20"/>
                <w:color w:val="auto"/>
              </w:rPr>
            </w:pPr>
            <w:r>
              <w:rPr>
                <w:rFonts w:ascii="Arial" w:cs="Arial" w:eastAsia="Arial" w:hAnsi="Arial"/>
                <w:sz w:val="12"/>
                <w:szCs w:val="12"/>
                <w:color w:val="auto"/>
              </w:rPr>
              <w:t>Operating lease liabilities</w:t>
            </w:r>
          </w:p>
        </w:tc>
        <w:tc>
          <w:tcPr>
            <w:tcW w:w="680" w:type="dxa"/>
            <w:vAlign w:val="bottom"/>
          </w:tcPr>
          <w:p>
            <w:pPr>
              <w:spacing w:after="0"/>
              <w:rPr>
                <w:sz w:val="14"/>
                <w:szCs w:val="14"/>
                <w:color w:val="auto"/>
              </w:rPr>
            </w:pPr>
          </w:p>
        </w:tc>
        <w:tc>
          <w:tcPr>
            <w:tcW w:w="1180" w:type="dxa"/>
            <w:vAlign w:val="bottom"/>
          </w:tcPr>
          <w:p>
            <w:pPr>
              <w:jc w:val="right"/>
              <w:ind w:right="140"/>
              <w:spacing w:after="0"/>
              <w:rPr>
                <w:sz w:val="20"/>
                <w:szCs w:val="20"/>
                <w:color w:val="auto"/>
              </w:rPr>
            </w:pPr>
            <w:r>
              <w:rPr>
                <w:rFonts w:ascii="Arial" w:cs="Arial" w:eastAsia="Arial" w:hAnsi="Arial"/>
                <w:sz w:val="12"/>
                <w:szCs w:val="12"/>
                <w:color w:val="auto"/>
              </w:rPr>
              <w:t>(3.0)</w:t>
            </w:r>
          </w:p>
        </w:tc>
        <w:tc>
          <w:tcPr>
            <w:tcW w:w="9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8"/>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2"/>
                <w:szCs w:val="12"/>
                <w:color w:val="auto"/>
              </w:rPr>
              <w:t>Other long-term liabilities</w:t>
            </w:r>
          </w:p>
        </w:tc>
        <w:tc>
          <w:tcPr>
            <w:tcW w:w="68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(5.0)</w:t>
            </w:r>
          </w:p>
        </w:tc>
        <w:tc>
          <w:tcPr>
            <w:tcW w:w="98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2.9</w:t>
            </w:r>
          </w:p>
        </w:tc>
      </w:tr>
      <w:tr>
        <w:trPr>
          <w:trHeight w:val="160"/>
        </w:trPr>
        <w:tc>
          <w:tcPr>
            <w:tcW w:w="74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Net cash provided by (used in) operating activities</w:t>
            </w:r>
          </w:p>
        </w:tc>
        <w:tc>
          <w:tcPr>
            <w:tcW w:w="680" w:type="dxa"/>
            <w:vAlign w:val="bottom"/>
            <w:tcBorders>
              <w:top w:val="single" w:sz="8" w:color="auto"/>
            </w:tcBorders>
          </w:tcPr>
          <w:p>
            <w:pPr>
              <w:jc w:val="right"/>
              <w:ind w:right="5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tcPr>
          <w:p>
            <w:pPr>
              <w:jc w:val="right"/>
              <w:ind w:right="180"/>
              <w:spacing w:after="0"/>
              <w:rPr>
                <w:sz w:val="20"/>
                <w:szCs w:val="20"/>
                <w:color w:val="auto"/>
              </w:rPr>
            </w:pPr>
            <w:r>
              <w:rPr>
                <w:rFonts w:ascii="Arial" w:cs="Arial" w:eastAsia="Arial" w:hAnsi="Arial"/>
                <w:sz w:val="12"/>
                <w:szCs w:val="12"/>
                <w:color w:val="auto"/>
              </w:rPr>
              <w:t>12.9</w:t>
            </w:r>
          </w:p>
        </w:tc>
        <w:tc>
          <w:tcPr>
            <w:tcW w:w="980" w:type="dxa"/>
            <w:vAlign w:val="bottom"/>
            <w:tcBorders>
              <w:top w:val="single" w:sz="8" w:color="auto"/>
            </w:tcBorders>
          </w:tcPr>
          <w:p>
            <w:pPr>
              <w:jc w:val="right"/>
              <w:ind w:right="660"/>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(26.1)</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Investing Activities</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spacing w:after="0"/>
              <w:rPr>
                <w:sz w:val="15"/>
                <w:szCs w:val="15"/>
                <w:color w:val="auto"/>
              </w:rPr>
            </w:pPr>
          </w:p>
        </w:tc>
      </w:tr>
      <w:tr>
        <w:trPr>
          <w:trHeight w:val="167"/>
        </w:trPr>
        <w:tc>
          <w:tcPr>
            <w:tcW w:w="7400" w:type="dxa"/>
            <w:vAlign w:val="bottom"/>
          </w:tcPr>
          <w:p>
            <w:pPr>
              <w:ind w:left="20"/>
              <w:spacing w:after="0"/>
              <w:rPr>
                <w:sz w:val="20"/>
                <w:szCs w:val="20"/>
                <w:color w:val="auto"/>
              </w:rPr>
            </w:pPr>
            <w:r>
              <w:rPr>
                <w:rFonts w:ascii="Arial" w:cs="Arial" w:eastAsia="Arial" w:hAnsi="Arial"/>
                <w:sz w:val="12"/>
                <w:szCs w:val="12"/>
                <w:color w:val="auto"/>
              </w:rPr>
              <w:t>Purchases of property, plant and equipment</w:t>
            </w:r>
          </w:p>
        </w:tc>
        <w:tc>
          <w:tcPr>
            <w:tcW w:w="680" w:type="dxa"/>
            <w:vAlign w:val="bottom"/>
          </w:tcPr>
          <w:p>
            <w:pPr>
              <w:spacing w:after="0"/>
              <w:rPr>
                <w:sz w:val="14"/>
                <w:szCs w:val="14"/>
                <w:color w:val="auto"/>
              </w:rPr>
            </w:pPr>
          </w:p>
        </w:tc>
        <w:tc>
          <w:tcPr>
            <w:tcW w:w="1180" w:type="dxa"/>
            <w:vAlign w:val="bottom"/>
          </w:tcPr>
          <w:p>
            <w:pPr>
              <w:jc w:val="right"/>
              <w:ind w:right="140"/>
              <w:spacing w:after="0"/>
              <w:rPr>
                <w:sz w:val="20"/>
                <w:szCs w:val="20"/>
                <w:color w:val="auto"/>
              </w:rPr>
            </w:pPr>
            <w:r>
              <w:rPr>
                <w:rFonts w:ascii="Arial" w:cs="Arial" w:eastAsia="Arial" w:hAnsi="Arial"/>
                <w:sz w:val="12"/>
                <w:szCs w:val="12"/>
                <w:color w:val="auto"/>
              </w:rPr>
              <w:t>(17.7)</w:t>
            </w:r>
          </w:p>
        </w:tc>
        <w:tc>
          <w:tcPr>
            <w:tcW w:w="9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(34.9)</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Proceeds from sale of property, plant and equipment</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0.1</w:t>
            </w:r>
          </w:p>
        </w:tc>
      </w:tr>
      <w:tr>
        <w:trPr>
          <w:trHeight w:val="167"/>
        </w:trPr>
        <w:tc>
          <w:tcPr>
            <w:tcW w:w="7400" w:type="dxa"/>
            <w:vAlign w:val="bottom"/>
          </w:tcPr>
          <w:p>
            <w:pPr>
              <w:ind w:left="20"/>
              <w:spacing w:after="0"/>
              <w:rPr>
                <w:sz w:val="20"/>
                <w:szCs w:val="20"/>
                <w:color w:val="auto"/>
              </w:rPr>
            </w:pPr>
            <w:r>
              <w:rPr>
                <w:rFonts w:ascii="Arial" w:cs="Arial" w:eastAsia="Arial" w:hAnsi="Arial"/>
                <w:sz w:val="12"/>
                <w:szCs w:val="12"/>
                <w:color w:val="auto"/>
              </w:rPr>
              <w:t>Investment in equity method investees</w:t>
            </w:r>
          </w:p>
        </w:tc>
        <w:tc>
          <w:tcPr>
            <w:tcW w:w="680" w:type="dxa"/>
            <w:vAlign w:val="bottom"/>
          </w:tcPr>
          <w:p>
            <w:pPr>
              <w:spacing w:after="0"/>
              <w:rPr>
                <w:sz w:val="14"/>
                <w:szCs w:val="14"/>
                <w:color w:val="auto"/>
              </w:rPr>
            </w:pPr>
          </w:p>
        </w:tc>
        <w:tc>
          <w:tcPr>
            <w:tcW w:w="1180" w:type="dxa"/>
            <w:vAlign w:val="bottom"/>
          </w:tcPr>
          <w:p>
            <w:pPr>
              <w:jc w:val="right"/>
              <w:ind w:right="140"/>
              <w:spacing w:after="0"/>
              <w:rPr>
                <w:sz w:val="20"/>
                <w:szCs w:val="20"/>
                <w:color w:val="auto"/>
              </w:rPr>
            </w:pPr>
            <w:r>
              <w:rPr>
                <w:rFonts w:ascii="Arial" w:cs="Arial" w:eastAsia="Arial" w:hAnsi="Arial"/>
                <w:sz w:val="12"/>
                <w:szCs w:val="12"/>
                <w:color w:val="auto"/>
              </w:rPr>
              <w:t>(0.6)</w:t>
            </w:r>
          </w:p>
        </w:tc>
        <w:tc>
          <w:tcPr>
            <w:tcW w:w="9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(0.3)</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Purchase of other investment</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(2.3)</w:t>
            </w:r>
          </w:p>
        </w:tc>
      </w:tr>
      <w:tr>
        <w:trPr>
          <w:trHeight w:val="167"/>
        </w:trPr>
        <w:tc>
          <w:tcPr>
            <w:tcW w:w="7400" w:type="dxa"/>
            <w:vAlign w:val="bottom"/>
          </w:tcPr>
          <w:p>
            <w:pPr>
              <w:ind w:left="20"/>
              <w:spacing w:after="0"/>
              <w:rPr>
                <w:sz w:val="20"/>
                <w:szCs w:val="20"/>
                <w:color w:val="auto"/>
              </w:rPr>
            </w:pPr>
            <w:r>
              <w:rPr>
                <w:rFonts w:ascii="Arial" w:cs="Arial" w:eastAsia="Arial" w:hAnsi="Arial"/>
                <w:sz w:val="12"/>
                <w:szCs w:val="12"/>
                <w:color w:val="auto"/>
              </w:rPr>
              <w:t>Other</w:t>
            </w:r>
          </w:p>
        </w:tc>
        <w:tc>
          <w:tcPr>
            <w:tcW w:w="680" w:type="dxa"/>
            <w:vAlign w:val="bottom"/>
          </w:tcPr>
          <w:p>
            <w:pPr>
              <w:spacing w:after="0"/>
              <w:rPr>
                <w:sz w:val="14"/>
                <w:szCs w:val="14"/>
                <w:color w:val="auto"/>
              </w:rPr>
            </w:pP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(0.1)</w:t>
            </w:r>
          </w:p>
        </w:tc>
      </w:tr>
      <w:tr>
        <w:trPr>
          <w:trHeight w:val="26"/>
        </w:trPr>
        <w:tc>
          <w:tcPr>
            <w:tcW w:w="7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66"/>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Net cash used in investing activities</w:t>
            </w:r>
          </w:p>
        </w:tc>
        <w:tc>
          <w:tcPr>
            <w:tcW w:w="680" w:type="dxa"/>
            <w:vAlign w:val="bottom"/>
            <w:tcBorders>
              <w:bottom w:val="single" w:sz="8" w:color="DBDBDB"/>
            </w:tcBorders>
            <w:shd w:val="clear" w:color="auto" w:fill="DBDBDB"/>
          </w:tcPr>
          <w:p>
            <w:pPr>
              <w:jc w:val="right"/>
              <w:ind w:right="54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(18.3)</w:t>
            </w:r>
          </w:p>
        </w:tc>
        <w:tc>
          <w:tcPr>
            <w:tcW w:w="980" w:type="dxa"/>
            <w:vAlign w:val="bottom"/>
            <w:tcBorders>
              <w:bottom w:val="single" w:sz="8" w:color="DBDBDB"/>
            </w:tcBorders>
            <w:shd w:val="clear" w:color="auto" w:fill="DBDBDB"/>
          </w:tcPr>
          <w:p>
            <w:pPr>
              <w:jc w:val="right"/>
              <w:ind w:right="66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(37.5)</w:t>
            </w:r>
          </w:p>
        </w:tc>
      </w:tr>
      <w:tr>
        <w:trPr>
          <w:trHeight w:val="173"/>
        </w:trPr>
        <w:tc>
          <w:tcPr>
            <w:tcW w:w="7400" w:type="dxa"/>
            <w:vAlign w:val="bottom"/>
          </w:tcPr>
          <w:p>
            <w:pPr>
              <w:ind w:left="20"/>
              <w:spacing w:after="0"/>
              <w:rPr>
                <w:sz w:val="20"/>
                <w:szCs w:val="20"/>
                <w:color w:val="auto"/>
              </w:rPr>
            </w:pPr>
            <w:r>
              <w:rPr>
                <w:rFonts w:ascii="Arial" w:cs="Arial" w:eastAsia="Arial" w:hAnsi="Arial"/>
                <w:sz w:val="12"/>
                <w:szCs w:val="12"/>
                <w:b w:val="1"/>
                <w:bCs w:val="1"/>
                <w:color w:val="auto"/>
              </w:rPr>
              <w:t>Financing Activities</w:t>
            </w:r>
          </w:p>
        </w:tc>
        <w:tc>
          <w:tcPr>
            <w:tcW w:w="6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3"/>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Borrowings on revolving credit facility</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2"/>
                <w:szCs w:val="12"/>
                <w:color w:val="auto"/>
              </w:rPr>
              <w:t>40.0</w:t>
            </w:r>
          </w:p>
        </w:tc>
        <w:tc>
          <w:tcPr>
            <w:tcW w:w="98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135.0</w:t>
            </w:r>
          </w:p>
        </w:tc>
      </w:tr>
      <w:tr>
        <w:trPr>
          <w:trHeight w:val="167"/>
        </w:trPr>
        <w:tc>
          <w:tcPr>
            <w:tcW w:w="7400" w:type="dxa"/>
            <w:vAlign w:val="bottom"/>
          </w:tcPr>
          <w:p>
            <w:pPr>
              <w:ind w:left="20"/>
              <w:spacing w:after="0"/>
              <w:rPr>
                <w:sz w:val="20"/>
                <w:szCs w:val="20"/>
                <w:color w:val="auto"/>
              </w:rPr>
            </w:pPr>
            <w:r>
              <w:rPr>
                <w:rFonts w:ascii="Arial" w:cs="Arial" w:eastAsia="Arial" w:hAnsi="Arial"/>
                <w:sz w:val="12"/>
                <w:szCs w:val="12"/>
                <w:color w:val="auto"/>
              </w:rPr>
              <w:t>Payments on revolving credit facility</w:t>
            </w:r>
          </w:p>
        </w:tc>
        <w:tc>
          <w:tcPr>
            <w:tcW w:w="680" w:type="dxa"/>
            <w:vAlign w:val="bottom"/>
          </w:tcPr>
          <w:p>
            <w:pPr>
              <w:spacing w:after="0"/>
              <w:rPr>
                <w:sz w:val="14"/>
                <w:szCs w:val="14"/>
                <w:color w:val="auto"/>
              </w:rPr>
            </w:pPr>
          </w:p>
        </w:tc>
        <w:tc>
          <w:tcPr>
            <w:tcW w:w="1180" w:type="dxa"/>
            <w:vAlign w:val="bottom"/>
          </w:tcPr>
          <w:p>
            <w:pPr>
              <w:jc w:val="right"/>
              <w:ind w:right="140"/>
              <w:spacing w:after="0"/>
              <w:rPr>
                <w:sz w:val="20"/>
                <w:szCs w:val="20"/>
                <w:color w:val="auto"/>
              </w:rPr>
            </w:pPr>
            <w:r>
              <w:rPr>
                <w:rFonts w:ascii="Arial" w:cs="Arial" w:eastAsia="Arial" w:hAnsi="Arial"/>
                <w:sz w:val="12"/>
                <w:szCs w:val="12"/>
                <w:color w:val="auto"/>
              </w:rPr>
              <w:t>(20.0)</w:t>
            </w:r>
          </w:p>
        </w:tc>
        <w:tc>
          <w:tcPr>
            <w:tcW w:w="9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(100.0)</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Repayment of short-term borrowings</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(2.8)</w:t>
            </w:r>
          </w:p>
        </w:tc>
        <w:tc>
          <w:tcPr>
            <w:tcW w:w="98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(2.5)</w:t>
            </w:r>
          </w:p>
        </w:tc>
      </w:tr>
      <w:tr>
        <w:trPr>
          <w:trHeight w:val="167"/>
        </w:trPr>
        <w:tc>
          <w:tcPr>
            <w:tcW w:w="7400" w:type="dxa"/>
            <w:vAlign w:val="bottom"/>
          </w:tcPr>
          <w:p>
            <w:pPr>
              <w:ind w:left="20"/>
              <w:spacing w:after="0"/>
              <w:rPr>
                <w:sz w:val="20"/>
                <w:szCs w:val="20"/>
                <w:color w:val="auto"/>
              </w:rPr>
            </w:pPr>
            <w:r>
              <w:rPr>
                <w:rFonts w:ascii="Arial" w:cs="Arial" w:eastAsia="Arial" w:hAnsi="Arial"/>
                <w:sz w:val="12"/>
                <w:szCs w:val="12"/>
                <w:color w:val="auto"/>
              </w:rPr>
              <w:t>Principal payments on long-term debt obligations</w:t>
            </w:r>
          </w:p>
        </w:tc>
        <w:tc>
          <w:tcPr>
            <w:tcW w:w="680" w:type="dxa"/>
            <w:vAlign w:val="bottom"/>
          </w:tcPr>
          <w:p>
            <w:pPr>
              <w:spacing w:after="0"/>
              <w:rPr>
                <w:sz w:val="14"/>
                <w:szCs w:val="14"/>
                <w:color w:val="auto"/>
              </w:rPr>
            </w:pPr>
          </w:p>
        </w:tc>
        <w:tc>
          <w:tcPr>
            <w:tcW w:w="1180" w:type="dxa"/>
            <w:vAlign w:val="bottom"/>
          </w:tcPr>
          <w:p>
            <w:pPr>
              <w:jc w:val="right"/>
              <w:ind w:right="140"/>
              <w:spacing w:after="0"/>
              <w:rPr>
                <w:sz w:val="20"/>
                <w:szCs w:val="20"/>
                <w:color w:val="auto"/>
              </w:rPr>
            </w:pPr>
            <w:r>
              <w:rPr>
                <w:rFonts w:ascii="Arial" w:cs="Arial" w:eastAsia="Arial" w:hAnsi="Arial"/>
                <w:sz w:val="12"/>
                <w:szCs w:val="12"/>
                <w:color w:val="auto"/>
              </w:rPr>
              <w:t>(1.8)</w:t>
            </w:r>
          </w:p>
        </w:tc>
        <w:tc>
          <w:tcPr>
            <w:tcW w:w="9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Principal payments on finance lease obligations</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(2.6)</w:t>
            </w:r>
          </w:p>
        </w:tc>
        <w:tc>
          <w:tcPr>
            <w:tcW w:w="98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(2.0)</w:t>
            </w:r>
          </w:p>
        </w:tc>
      </w:tr>
      <w:tr>
        <w:trPr>
          <w:trHeight w:val="167"/>
        </w:trPr>
        <w:tc>
          <w:tcPr>
            <w:tcW w:w="7400" w:type="dxa"/>
            <w:vAlign w:val="bottom"/>
          </w:tcPr>
          <w:p>
            <w:pPr>
              <w:ind w:left="20"/>
              <w:spacing w:after="0"/>
              <w:rPr>
                <w:sz w:val="20"/>
                <w:szCs w:val="20"/>
                <w:color w:val="auto"/>
              </w:rPr>
            </w:pPr>
            <w:r>
              <w:rPr>
                <w:rFonts w:ascii="Arial" w:cs="Arial" w:eastAsia="Arial" w:hAnsi="Arial"/>
                <w:sz w:val="12"/>
                <w:szCs w:val="12"/>
                <w:color w:val="auto"/>
              </w:rPr>
              <w:t>Payments for long-term supplier financing</w:t>
            </w:r>
          </w:p>
        </w:tc>
        <w:tc>
          <w:tcPr>
            <w:tcW w:w="680" w:type="dxa"/>
            <w:vAlign w:val="bottom"/>
          </w:tcPr>
          <w:p>
            <w:pPr>
              <w:spacing w:after="0"/>
              <w:rPr>
                <w:sz w:val="14"/>
                <w:szCs w:val="14"/>
                <w:color w:val="auto"/>
              </w:rPr>
            </w:pPr>
          </w:p>
        </w:tc>
        <w:tc>
          <w:tcPr>
            <w:tcW w:w="1180" w:type="dxa"/>
            <w:vAlign w:val="bottom"/>
          </w:tcPr>
          <w:p>
            <w:pPr>
              <w:jc w:val="right"/>
              <w:ind w:right="140"/>
              <w:spacing w:after="0"/>
              <w:rPr>
                <w:sz w:val="20"/>
                <w:szCs w:val="20"/>
                <w:color w:val="auto"/>
              </w:rPr>
            </w:pPr>
            <w:r>
              <w:rPr>
                <w:rFonts w:ascii="Arial" w:cs="Arial" w:eastAsia="Arial" w:hAnsi="Arial"/>
                <w:sz w:val="12"/>
                <w:szCs w:val="12"/>
                <w:color w:val="auto"/>
              </w:rPr>
              <w:t>(0.3)</w:t>
            </w:r>
          </w:p>
        </w:tc>
        <w:tc>
          <w:tcPr>
            <w:tcW w:w="9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Payments to noncontrolling interest holder for long-term supply financing</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(1.9)</w:t>
            </w:r>
          </w:p>
        </w:tc>
        <w:tc>
          <w:tcPr>
            <w:tcW w:w="98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r>
      <w:tr>
        <w:trPr>
          <w:trHeight w:val="167"/>
        </w:trPr>
        <w:tc>
          <w:tcPr>
            <w:tcW w:w="7400" w:type="dxa"/>
            <w:vAlign w:val="bottom"/>
          </w:tcPr>
          <w:p>
            <w:pPr>
              <w:ind w:left="20"/>
              <w:spacing w:after="0"/>
              <w:rPr>
                <w:sz w:val="20"/>
                <w:szCs w:val="20"/>
                <w:color w:val="auto"/>
              </w:rPr>
            </w:pPr>
            <w:r>
              <w:rPr>
                <w:rFonts w:ascii="Arial" w:cs="Arial" w:eastAsia="Arial" w:hAnsi="Arial"/>
                <w:sz w:val="12"/>
                <w:szCs w:val="12"/>
                <w:color w:val="auto"/>
              </w:rPr>
              <w:t>Principal payments on loans due to noncontrolling interest holder</w:t>
            </w:r>
          </w:p>
        </w:tc>
        <w:tc>
          <w:tcPr>
            <w:tcW w:w="680" w:type="dxa"/>
            <w:vAlign w:val="bottom"/>
          </w:tcPr>
          <w:p>
            <w:pPr>
              <w:spacing w:after="0"/>
              <w:rPr>
                <w:sz w:val="14"/>
                <w:szCs w:val="14"/>
                <w:color w:val="auto"/>
              </w:rPr>
            </w:pPr>
          </w:p>
        </w:tc>
        <w:tc>
          <w:tcPr>
            <w:tcW w:w="1180" w:type="dxa"/>
            <w:vAlign w:val="bottom"/>
          </w:tcPr>
          <w:p>
            <w:pPr>
              <w:jc w:val="right"/>
              <w:ind w:right="140"/>
              <w:spacing w:after="0"/>
              <w:rPr>
                <w:sz w:val="20"/>
                <w:szCs w:val="20"/>
                <w:color w:val="auto"/>
              </w:rPr>
            </w:pPr>
            <w:r>
              <w:rPr>
                <w:rFonts w:ascii="Arial" w:cs="Arial" w:eastAsia="Arial" w:hAnsi="Arial"/>
                <w:sz w:val="12"/>
                <w:szCs w:val="12"/>
                <w:color w:val="auto"/>
              </w:rPr>
              <w:t>(0.5)</w:t>
            </w:r>
          </w:p>
        </w:tc>
        <w:tc>
          <w:tcPr>
            <w:tcW w:w="9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3"/>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Payments of minimum withholding taxes on net share settlement of equity awards</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(0.8)</w:t>
            </w:r>
          </w:p>
        </w:tc>
        <w:tc>
          <w:tcPr>
            <w:tcW w:w="98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(0.4)</w:t>
            </w:r>
          </w:p>
        </w:tc>
      </w:tr>
      <w:tr>
        <w:trPr>
          <w:trHeight w:val="167"/>
        </w:trPr>
        <w:tc>
          <w:tcPr>
            <w:tcW w:w="7400" w:type="dxa"/>
            <w:vAlign w:val="bottom"/>
          </w:tcPr>
          <w:p>
            <w:pPr>
              <w:ind w:left="20"/>
              <w:spacing w:after="0"/>
              <w:rPr>
                <w:sz w:val="20"/>
                <w:szCs w:val="20"/>
                <w:color w:val="auto"/>
              </w:rPr>
            </w:pPr>
            <w:r>
              <w:rPr>
                <w:rFonts w:ascii="Arial" w:cs="Arial" w:eastAsia="Arial" w:hAnsi="Arial"/>
                <w:sz w:val="12"/>
                <w:szCs w:val="12"/>
                <w:color w:val="auto"/>
              </w:rPr>
              <w:t>Proceeds from loan from noncontrolling interest holder</w:t>
            </w:r>
          </w:p>
        </w:tc>
        <w:tc>
          <w:tcPr>
            <w:tcW w:w="680" w:type="dxa"/>
            <w:vAlign w:val="bottom"/>
          </w:tcPr>
          <w:p>
            <w:pPr>
              <w:spacing w:after="0"/>
              <w:rPr>
                <w:sz w:val="14"/>
                <w:szCs w:val="14"/>
                <w:color w:val="auto"/>
              </w:rPr>
            </w:pP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8"/>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Equity contributions from noncontrolling interest holders</w:t>
            </w:r>
          </w:p>
        </w:tc>
        <w:tc>
          <w:tcPr>
            <w:tcW w:w="68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1.4</w:t>
            </w:r>
          </w:p>
        </w:tc>
      </w:tr>
      <w:tr>
        <w:trPr>
          <w:trHeight w:val="160"/>
        </w:trPr>
        <w:tc>
          <w:tcPr>
            <w:tcW w:w="74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Net cash provided by financing activities</w:t>
            </w:r>
          </w:p>
        </w:tc>
        <w:tc>
          <w:tcPr>
            <w:tcW w:w="680" w:type="dxa"/>
            <w:vAlign w:val="bottom"/>
            <w:tcBorders>
              <w:top w:val="single" w:sz="8" w:color="auto"/>
            </w:tcBorders>
          </w:tcPr>
          <w:p>
            <w:pPr>
              <w:jc w:val="right"/>
              <w:ind w:right="5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tcPr>
          <w:p>
            <w:pPr>
              <w:jc w:val="right"/>
              <w:ind w:right="180"/>
              <w:spacing w:after="0"/>
              <w:rPr>
                <w:sz w:val="20"/>
                <w:szCs w:val="20"/>
                <w:color w:val="auto"/>
              </w:rPr>
            </w:pPr>
            <w:r>
              <w:rPr>
                <w:rFonts w:ascii="Arial" w:cs="Arial" w:eastAsia="Arial" w:hAnsi="Arial"/>
                <w:sz w:val="12"/>
                <w:szCs w:val="12"/>
                <w:color w:val="auto"/>
              </w:rPr>
              <w:t>9.3</w:t>
            </w:r>
          </w:p>
        </w:tc>
        <w:tc>
          <w:tcPr>
            <w:tcW w:w="980" w:type="dxa"/>
            <w:vAlign w:val="bottom"/>
            <w:tcBorders>
              <w:top w:val="single" w:sz="8" w:color="auto"/>
            </w:tcBorders>
          </w:tcPr>
          <w:p>
            <w:pPr>
              <w:jc w:val="right"/>
              <w:ind w:right="660"/>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32.1</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8"/>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Effect of exchange rate changes on cash</w:t>
            </w:r>
          </w:p>
        </w:tc>
        <w:tc>
          <w:tcPr>
            <w:tcW w:w="68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2"/>
                <w:szCs w:val="12"/>
                <w:color w:val="auto"/>
              </w:rPr>
              <w:t>0.1</w:t>
            </w:r>
          </w:p>
        </w:tc>
        <w:tc>
          <w:tcPr>
            <w:tcW w:w="98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(0.2)</w:t>
            </w:r>
          </w:p>
        </w:tc>
      </w:tr>
      <w:tr>
        <w:trPr>
          <w:trHeight w:val="160"/>
        </w:trPr>
        <w:tc>
          <w:tcPr>
            <w:tcW w:w="74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Net increase (decrease) in cash, cash equivalents and restricted cash</w:t>
            </w:r>
          </w:p>
        </w:tc>
        <w:tc>
          <w:tcPr>
            <w:tcW w:w="6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180"/>
              <w:spacing w:after="0"/>
              <w:rPr>
                <w:sz w:val="20"/>
                <w:szCs w:val="20"/>
                <w:color w:val="auto"/>
              </w:rPr>
            </w:pPr>
            <w:r>
              <w:rPr>
                <w:rFonts w:ascii="Arial" w:cs="Arial" w:eastAsia="Arial" w:hAnsi="Arial"/>
                <w:sz w:val="12"/>
                <w:szCs w:val="12"/>
                <w:color w:val="auto"/>
              </w:rPr>
              <w:t>4.0</w:t>
            </w:r>
          </w:p>
        </w:tc>
        <w:tc>
          <w:tcPr>
            <w:tcW w:w="9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(31.7)</w:t>
            </w:r>
          </w:p>
        </w:tc>
      </w:tr>
      <w:tr>
        <w:trPr>
          <w:trHeight w:val="26"/>
        </w:trPr>
        <w:tc>
          <w:tcPr>
            <w:tcW w:w="7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8"/>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Cash, cash equivalents and restricted cash, beginning of period</w:t>
            </w:r>
          </w:p>
        </w:tc>
        <w:tc>
          <w:tcPr>
            <w:tcW w:w="68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2"/>
                <w:szCs w:val="12"/>
                <w:color w:val="auto"/>
              </w:rPr>
              <w:t>43.2</w:t>
            </w:r>
          </w:p>
        </w:tc>
        <w:tc>
          <w:tcPr>
            <w:tcW w:w="98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53.9</w:t>
            </w:r>
          </w:p>
        </w:tc>
      </w:tr>
      <w:tr>
        <w:trPr>
          <w:trHeight w:val="160"/>
        </w:trPr>
        <w:tc>
          <w:tcPr>
            <w:tcW w:w="74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Cash, cash equivalents and restricted cash, end of period</w:t>
            </w:r>
          </w:p>
        </w:tc>
        <w:tc>
          <w:tcPr>
            <w:tcW w:w="680" w:type="dxa"/>
            <w:vAlign w:val="bottom"/>
            <w:tcBorders>
              <w:top w:val="single" w:sz="8" w:color="auto"/>
            </w:tcBorders>
          </w:tcPr>
          <w:p>
            <w:pPr>
              <w:jc w:val="right"/>
              <w:ind w:right="5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tcPr>
          <w:p>
            <w:pPr>
              <w:jc w:val="right"/>
              <w:ind w:right="180"/>
              <w:spacing w:after="0"/>
              <w:rPr>
                <w:sz w:val="20"/>
                <w:szCs w:val="20"/>
                <w:color w:val="auto"/>
              </w:rPr>
            </w:pPr>
            <w:r>
              <w:rPr>
                <w:rFonts w:ascii="Arial" w:cs="Arial" w:eastAsia="Arial" w:hAnsi="Arial"/>
                <w:sz w:val="12"/>
                <w:szCs w:val="12"/>
                <w:color w:val="auto"/>
              </w:rPr>
              <w:t>47.2</w:t>
            </w:r>
          </w:p>
        </w:tc>
        <w:tc>
          <w:tcPr>
            <w:tcW w:w="980" w:type="dxa"/>
            <w:vAlign w:val="bottom"/>
            <w:tcBorders>
              <w:top w:val="single" w:sz="8" w:color="auto"/>
            </w:tcBorders>
          </w:tcPr>
          <w:p>
            <w:pPr>
              <w:jc w:val="right"/>
              <w:ind w:right="660"/>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22.2</w:t>
            </w:r>
          </w:p>
        </w:tc>
      </w:tr>
      <w:tr>
        <w:trPr>
          <w:trHeight w:val="26"/>
        </w:trPr>
        <w:tc>
          <w:tcPr>
            <w:tcW w:w="7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7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3"/>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Summary of cash, cash equivalents and restricted cash reported within the condensed consolidated balance sheets:</w:t>
            </w:r>
          </w:p>
        </w:tc>
        <w:tc>
          <w:tcPr>
            <w:tcW w:w="6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spacing w:after="0"/>
              <w:rPr>
                <w:sz w:val="15"/>
                <w:szCs w:val="15"/>
                <w:color w:val="auto"/>
              </w:rPr>
            </w:pPr>
          </w:p>
        </w:tc>
      </w:tr>
      <w:tr>
        <w:trPr>
          <w:trHeight w:val="167"/>
        </w:trPr>
        <w:tc>
          <w:tcPr>
            <w:tcW w:w="7400" w:type="dxa"/>
            <w:vAlign w:val="bottom"/>
          </w:tcPr>
          <w:p>
            <w:pPr>
              <w:ind w:left="20"/>
              <w:spacing w:after="0"/>
              <w:rPr>
                <w:sz w:val="20"/>
                <w:szCs w:val="20"/>
                <w:color w:val="auto"/>
              </w:rPr>
            </w:pPr>
            <w:r>
              <w:rPr>
                <w:rFonts w:ascii="Arial" w:cs="Arial" w:eastAsia="Arial" w:hAnsi="Arial"/>
                <w:sz w:val="12"/>
                <w:szCs w:val="12"/>
                <w:color w:val="auto"/>
              </w:rPr>
              <w:t>Cash and cash equivalents</w:t>
            </w:r>
          </w:p>
        </w:tc>
        <w:tc>
          <w:tcPr>
            <w:tcW w:w="680" w:type="dxa"/>
            <w:vAlign w:val="bottom"/>
          </w:tcPr>
          <w:p>
            <w:pPr>
              <w:jc w:val="right"/>
              <w:ind w:right="54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180"/>
              <w:spacing w:after="0"/>
              <w:rPr>
                <w:sz w:val="20"/>
                <w:szCs w:val="20"/>
                <w:color w:val="auto"/>
              </w:rPr>
            </w:pPr>
            <w:r>
              <w:rPr>
                <w:rFonts w:ascii="Arial" w:cs="Arial" w:eastAsia="Arial" w:hAnsi="Arial"/>
                <w:sz w:val="12"/>
                <w:szCs w:val="12"/>
                <w:color w:val="auto"/>
              </w:rPr>
              <w:t>46.2</w:t>
            </w:r>
          </w:p>
        </w:tc>
        <w:tc>
          <w:tcPr>
            <w:tcW w:w="980" w:type="dxa"/>
            <w:vAlign w:val="bottom"/>
          </w:tcPr>
          <w:p>
            <w:pPr>
              <w:jc w:val="right"/>
              <w:ind w:right="66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20.9</w:t>
            </w:r>
          </w:p>
        </w:tc>
      </w:tr>
    </w:tbl>
    <w:p>
      <w:pPr>
        <w:spacing w:after="0" w:line="200" w:lineRule="exact"/>
        <w:rPr>
          <w:sz w:val="20"/>
          <w:szCs w:val="20"/>
          <w:color w:val="auto"/>
        </w:rPr>
      </w:pPr>
    </w:p>
    <w:p>
      <w:pPr>
        <w:sectPr>
          <w:pgSz w:w="11900" w:h="16838" w:orient="portrait"/>
          <w:cols w:equalWidth="0" w:num="1">
            <w:col w:w="11120"/>
          </w:cols>
          <w:pgMar w:left="320" w:top="104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049" w:right="45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42"/>
        </w:trPr>
        <w:tc>
          <w:tcPr>
            <w:tcW w:w="7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80" w:type="dxa"/>
            <w:vAlign w:val="bottom"/>
            <w:gridSpan w:val="2"/>
          </w:tcPr>
          <w:p>
            <w:pPr>
              <w:jc w:val="center"/>
              <w:ind w:left="120"/>
              <w:spacing w:after="0"/>
              <w:rPr>
                <w:sz w:val="20"/>
                <w:szCs w:val="20"/>
                <w:color w:val="auto"/>
              </w:rPr>
            </w:pPr>
            <w:r>
              <w:rPr>
                <w:rFonts w:ascii="Arial" w:cs="Arial" w:eastAsia="Arial" w:hAnsi="Arial"/>
                <w:sz w:val="12"/>
                <w:szCs w:val="12"/>
                <w:b w:val="1"/>
                <w:bCs w:val="1"/>
                <w:color w:val="auto"/>
                <w:w w:val="99"/>
              </w:rPr>
              <w:t>Six Months Ended</w:t>
            </w:r>
          </w:p>
        </w:tc>
        <w:tc>
          <w:tcPr>
            <w:tcW w:w="860" w:type="dxa"/>
            <w:vAlign w:val="bottom"/>
          </w:tcPr>
          <w:p>
            <w:pPr>
              <w:spacing w:after="0"/>
              <w:rPr>
                <w:sz w:val="12"/>
                <w:szCs w:val="12"/>
                <w:color w:val="auto"/>
              </w:rPr>
            </w:pPr>
          </w:p>
        </w:tc>
      </w:tr>
      <w:tr>
        <w:trPr>
          <w:trHeight w:val="165"/>
        </w:trPr>
        <w:tc>
          <w:tcPr>
            <w:tcW w:w="7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jc w:val="center"/>
              <w:ind w:right="700"/>
              <w:spacing w:after="0"/>
              <w:rPr>
                <w:sz w:val="20"/>
                <w:szCs w:val="20"/>
                <w:color w:val="auto"/>
              </w:rPr>
            </w:pPr>
            <w:r>
              <w:rPr>
                <w:rFonts w:ascii="Arial" w:cs="Arial" w:eastAsia="Arial" w:hAnsi="Arial"/>
                <w:sz w:val="12"/>
                <w:szCs w:val="12"/>
                <w:b w:val="1"/>
                <w:bCs w:val="1"/>
                <w:color w:val="auto"/>
              </w:rPr>
              <w:t>April 30,</w:t>
            </w:r>
          </w:p>
        </w:tc>
        <w:tc>
          <w:tcPr>
            <w:tcW w:w="860" w:type="dxa"/>
            <w:vAlign w:val="bottom"/>
          </w:tcPr>
          <w:p>
            <w:pPr>
              <w:spacing w:after="0"/>
              <w:rPr>
                <w:sz w:val="14"/>
                <w:szCs w:val="14"/>
                <w:color w:val="auto"/>
              </w:rPr>
            </w:pPr>
          </w:p>
        </w:tc>
      </w:tr>
      <w:tr>
        <w:trPr>
          <w:trHeight w:val="20"/>
        </w:trPr>
        <w:tc>
          <w:tcPr>
            <w:tcW w:w="7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6"/>
        </w:trPr>
        <w:tc>
          <w:tcPr>
            <w:tcW w:w="7400" w:type="dxa"/>
            <w:vAlign w:val="bottom"/>
          </w:tcPr>
          <w:p>
            <w:pPr>
              <w:ind w:left="20"/>
              <w:spacing w:after="0"/>
              <w:rPr>
                <w:sz w:val="20"/>
                <w:szCs w:val="20"/>
                <w:color w:val="auto"/>
              </w:rPr>
            </w:pPr>
            <w:r>
              <w:rPr>
                <w:rFonts w:ascii="Calibri" w:cs="Calibri" w:eastAsia="Calibri" w:hAnsi="Calibri"/>
                <w:sz w:val="12"/>
                <w:szCs w:val="12"/>
                <w:color w:val="auto"/>
              </w:rPr>
              <w:t>(In millions)</w:t>
            </w:r>
          </w:p>
        </w:tc>
        <w:tc>
          <w:tcPr>
            <w:tcW w:w="6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2024</w:t>
            </w:r>
          </w:p>
        </w:tc>
        <w:tc>
          <w:tcPr>
            <w:tcW w:w="1240" w:type="dxa"/>
            <w:vAlign w:val="bottom"/>
          </w:tcPr>
          <w:p>
            <w:pPr>
              <w:spacing w:after="0"/>
              <w:rPr>
                <w:sz w:val="14"/>
                <w:szCs w:val="14"/>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b w:val="1"/>
                <w:bCs w:val="1"/>
                <w:color w:val="auto"/>
              </w:rPr>
              <w:t>2023</w:t>
            </w: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1"/>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Restricted cash</w:t>
            </w:r>
          </w:p>
        </w:tc>
        <w:tc>
          <w:tcPr>
            <w:tcW w:w="680" w:type="dxa"/>
            <w:vAlign w:val="bottom"/>
            <w:tcBorders>
              <w:bottom w:val="single" w:sz="8" w:color="DBDBDB"/>
            </w:tcBorders>
            <w:shd w:val="clear" w:color="auto" w:fill="DBDBDB"/>
          </w:tcPr>
          <w:p>
            <w:pPr>
              <w:spacing w:after="0"/>
              <w:rPr>
                <w:sz w:val="16"/>
                <w:szCs w:val="16"/>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1.0</w:t>
            </w:r>
          </w:p>
        </w:tc>
        <w:tc>
          <w:tcPr>
            <w:tcW w:w="1240" w:type="dxa"/>
            <w:vAlign w:val="bottom"/>
            <w:tcBorders>
              <w:bottom w:val="single" w:sz="8" w:color="DBDBDB"/>
            </w:tcBorders>
            <w:shd w:val="clear" w:color="auto" w:fill="DBDBDB"/>
          </w:tcPr>
          <w:p>
            <w:pPr>
              <w:spacing w:after="0"/>
              <w:rPr>
                <w:sz w:val="16"/>
                <w:szCs w:val="16"/>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1.3</w:t>
            </w:r>
          </w:p>
        </w:tc>
      </w:tr>
      <w:tr>
        <w:trPr>
          <w:trHeight w:val="160"/>
        </w:trPr>
        <w:tc>
          <w:tcPr>
            <w:tcW w:w="74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Total cash, cash equivalents, and restricted cash shown in the condensed consolidated statements of cash flows</w:t>
            </w:r>
          </w:p>
        </w:tc>
        <w:tc>
          <w:tcPr>
            <w:tcW w:w="680" w:type="dxa"/>
            <w:vAlign w:val="bottom"/>
            <w:tcBorders>
              <w:top w:val="single" w:sz="8" w:color="auto"/>
            </w:tcBorders>
          </w:tcPr>
          <w:p>
            <w:pPr>
              <w:jc w:val="right"/>
              <w:ind w:right="54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47.2</w:t>
            </w:r>
          </w:p>
        </w:tc>
        <w:tc>
          <w:tcPr>
            <w:tcW w:w="1240" w:type="dxa"/>
            <w:vAlign w:val="bottom"/>
            <w:tcBorders>
              <w:top w:val="single" w:sz="8" w:color="auto"/>
            </w:tcBorders>
          </w:tcPr>
          <w:p>
            <w:pPr>
              <w:jc w:val="right"/>
              <w:ind w:right="680"/>
              <w:spacing w:after="0"/>
              <w:rPr>
                <w:sz w:val="20"/>
                <w:szCs w:val="20"/>
                <w:color w:val="auto"/>
              </w:rPr>
            </w:pPr>
            <w:r>
              <w:rPr>
                <w:rFonts w:ascii="Arial" w:cs="Arial" w:eastAsia="Arial" w:hAnsi="Arial"/>
                <w:sz w:val="12"/>
                <w:szCs w:val="12"/>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22.2</w:t>
            </w:r>
          </w:p>
        </w:tc>
      </w:tr>
      <w:tr>
        <w:trPr>
          <w:trHeight w:val="26"/>
        </w:trPr>
        <w:tc>
          <w:tcPr>
            <w:tcW w:w="7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102" w:right="459" w:bottom="1440" w:gutter="0" w:footer="0" w:header="0"/>
        </w:sectPr>
      </w:pPr>
    </w:p>
    <w:bookmarkStart w:id="10" w:name="page11"/>
    <w:bookmarkEnd w:id="10"/>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80" w:hanging="377"/>
        <w:spacing w:after="0"/>
        <w:tabs>
          <w:tab w:leader="none" w:pos="38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General</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21" w:lineRule="exact"/>
        <w:rPr>
          <w:sz w:val="20"/>
          <w:szCs w:val="20"/>
          <w:color w:val="auto"/>
        </w:rPr>
      </w:pPr>
    </w:p>
    <w:p>
      <w:pPr>
        <w:ind w:right="220" w:firstLine="619"/>
        <w:spacing w:after="0" w:line="285" w:lineRule="auto"/>
        <w:rPr>
          <w:sz w:val="20"/>
          <w:szCs w:val="20"/>
          <w:color w:val="auto"/>
        </w:rPr>
      </w:pPr>
      <w:r>
        <w:rPr>
          <w:rFonts w:ascii="Arial" w:cs="Arial" w:eastAsia="Arial" w:hAnsi="Arial"/>
          <w:sz w:val="13"/>
          <w:szCs w:val="13"/>
          <w:color w:val="auto"/>
        </w:rPr>
        <w:t>Mission Produce, Inc. together with its consolidated subsidiaries (“Mission,” “the Company,” “we,” “us” or “our”), is a global leader in the avocado industry. The Company’s expertise lies in the farming, packaging, marketing and distribution of avocados to food retailers, distributors and produce wholesalers worldwide. The Company procures avocados principally from California, Mexico and Peru. Through our various operating facilities, we grow, sort, pack, bag and ripen avocados and a small amount of other fruits for distribution to domestic and international markets. We report our results of operations in three operating segments: Marketing and Distribution, International Farming and Blueberries (see Note 12).</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 and consolidation</w:t>
      </w:r>
    </w:p>
    <w:p>
      <w:pPr>
        <w:spacing w:after="0" w:line="221" w:lineRule="exact"/>
        <w:rPr>
          <w:sz w:val="20"/>
          <w:szCs w:val="20"/>
          <w:color w:val="auto"/>
        </w:rPr>
      </w:pPr>
    </w:p>
    <w:p>
      <w:pPr>
        <w:ind w:firstLine="619"/>
        <w:spacing w:after="0" w:line="251" w:lineRule="auto"/>
        <w:rPr>
          <w:sz w:val="20"/>
          <w:szCs w:val="20"/>
          <w:color w:val="auto"/>
        </w:rPr>
      </w:pPr>
      <w:r>
        <w:rPr>
          <w:rFonts w:ascii="Arial" w:cs="Arial" w:eastAsia="Arial" w:hAnsi="Arial"/>
          <w:sz w:val="14"/>
          <w:szCs w:val="14"/>
          <w:color w:val="auto"/>
        </w:rPr>
        <w:t>The unaudited interim condensed consolidated financial statements are presented in accordance with accounting principles generally accepted in the United States of America (“U.S. GAAP”) for interim financial information and include the Company’s consolidated domestic and international subsidiaries and variable interest entity (“VIE”) for which we are the primary beneficiary and have a controlling interest. Certain information and disclosures normally included in annual consolidated financial statements prepared in accordance with U.S. GAAP have been condensed or omitted. Accordingly, these unaudited interim condensed consolidated financial statements and accompanying footnotes should be read in conjunction with the Company’s Annual Report for the year ended October 31, 2023. In the opinion of management, all adjustments, of a normal recurring nature, considered necessary for a fair statement have been included in the unaudited condensed consolidated financial statements. Interim results of operations are not necessarily indicative of future results, including results that may be expected for the twelve months ended October 31, 2024.</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and disclosure standards</w:t>
      </w:r>
    </w:p>
    <w:p>
      <w:pPr>
        <w:spacing w:after="0" w:line="221" w:lineRule="exact"/>
        <w:rPr>
          <w:sz w:val="20"/>
          <w:szCs w:val="20"/>
          <w:color w:val="auto"/>
        </w:rPr>
      </w:pPr>
    </w:p>
    <w:p>
      <w:pPr>
        <w:ind w:right="180" w:firstLine="619"/>
        <w:spacing w:after="0" w:line="252" w:lineRule="auto"/>
        <w:rPr>
          <w:sz w:val="20"/>
          <w:szCs w:val="20"/>
          <w:color w:val="auto"/>
        </w:rPr>
      </w:pPr>
      <w:r>
        <w:rPr>
          <w:rFonts w:ascii="Arial" w:cs="Arial" w:eastAsia="Arial" w:hAnsi="Arial"/>
          <w:sz w:val="14"/>
          <w:szCs w:val="14"/>
          <w:color w:val="auto"/>
        </w:rPr>
        <w:t>In March 2024, the Securities and Exchange Commission ("SEC") adopted final climate-related disclosure rules that will require registrants to disclose (subject to materiality conditions): climate-related risks, material direct greenhouse gas emissions, and the effects of severe weather events and other natural conditions. Adoption is required on a phase-in basis with respect to annual periods beginning in calendar year 2025 (the Company's fiscal year 2026). In April 2024, the SEC issued a stay on the rules, pending the completion of judicial review of the U.S. Court of Appeals of the Eighth Circuit. We are currently monitoring the status of the judicial review and we are evaluating the impact of the rules on our financial disclosures.</w:t>
      </w:r>
    </w:p>
    <w:p>
      <w:pPr>
        <w:spacing w:after="0" w:line="186" w:lineRule="exact"/>
        <w:rPr>
          <w:sz w:val="20"/>
          <w:szCs w:val="20"/>
          <w:color w:val="auto"/>
        </w:rPr>
      </w:pPr>
    </w:p>
    <w:p>
      <w:pPr>
        <w:ind w:right="20" w:firstLine="619"/>
        <w:spacing w:after="0" w:line="276" w:lineRule="auto"/>
        <w:rPr>
          <w:sz w:val="20"/>
          <w:szCs w:val="20"/>
          <w:color w:val="auto"/>
        </w:rPr>
      </w:pPr>
      <w:r>
        <w:rPr>
          <w:rFonts w:ascii="Arial" w:cs="Arial" w:eastAsia="Arial" w:hAnsi="Arial"/>
          <w:sz w:val="13"/>
          <w:szCs w:val="13"/>
          <w:color w:val="auto"/>
        </w:rPr>
        <w:t>In December 2023, the Financial Accounting Standards Board (“FASB”) issued Accounting Standards Update (“ASU”) 2023-09, Income Taxes (Topic 740)—Improvements to Income Tax Disclosures. The ASU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amendments in this ASU are required to be adopted for fiscal years beginning after December 15, 2024. Early adoption is permitted for annual financial statements that have not yet been issued. The amendments should be applied on a prospective basis although retrospective application is permitted. We are currently evaluating the impact of adoption on our financial disclosures.</w:t>
      </w:r>
    </w:p>
    <w:p>
      <w:pPr>
        <w:spacing w:after="0" w:line="172" w:lineRule="exact"/>
        <w:rPr>
          <w:sz w:val="20"/>
          <w:szCs w:val="20"/>
          <w:color w:val="auto"/>
        </w:rPr>
      </w:pPr>
    </w:p>
    <w:p>
      <w:pPr>
        <w:ind w:right="20" w:firstLine="619"/>
        <w:spacing w:after="0" w:line="252" w:lineRule="auto"/>
        <w:rPr>
          <w:sz w:val="20"/>
          <w:szCs w:val="20"/>
          <w:color w:val="auto"/>
        </w:rPr>
      </w:pPr>
      <w:r>
        <w:rPr>
          <w:rFonts w:ascii="Arial" w:cs="Arial" w:eastAsia="Arial" w:hAnsi="Arial"/>
          <w:sz w:val="14"/>
          <w:szCs w:val="14"/>
          <w:color w:val="auto"/>
        </w:rPr>
        <w:t>In November 2023, the FASB issued ASU 2023-07, Segment Reporting (Topic 280)—Improvements to Reportable Segment Disclosures. The ASU requires that an entity disclose significant segment expenses impacting profit and loss that are regularly provided to the chief operating decision maker. The update is required to be applied retrospectively to prior periods presented, based on the significant segment expense categories identified and disclosed in the period of adoption. The amendments in this ASU are required to be adopted for fiscal years beginning after December 15, 2023, and interim periods within fiscal years beginning after December 15, 2024. Early adoption is permitted. We are currently evaluating the impact of adoption on our financial disclosures.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r>
              <w:rPr>
                <w:rFonts w:ascii="Arial" w:cs="Arial" w:eastAsia="Arial" w:hAnsi="Arial"/>
                <w:sz w:val="17"/>
                <w:szCs w:val="17"/>
                <w:b w:val="1"/>
                <w:bCs w:val="1"/>
                <w:color w:val="auto"/>
              </w:rPr>
              <w:t>2.</w:t>
            </w:r>
          </w:p>
        </w:tc>
        <w:tc>
          <w:tcPr>
            <w:tcW w:w="5180" w:type="dxa"/>
            <w:vAlign w:val="bottom"/>
          </w:tcPr>
          <w:p>
            <w:pPr>
              <w:ind w:left="120"/>
              <w:spacing w:after="0"/>
              <w:rPr>
                <w:sz w:val="20"/>
                <w:szCs w:val="20"/>
                <w:color w:val="auto"/>
              </w:rPr>
            </w:pPr>
            <w:r>
              <w:rPr>
                <w:rFonts w:ascii="Arial" w:cs="Arial" w:eastAsia="Arial" w:hAnsi="Arial"/>
                <w:sz w:val="17"/>
                <w:szCs w:val="17"/>
                <w:b w:val="1"/>
                <w:bCs w:val="1"/>
                <w:color w:val="auto"/>
              </w:rPr>
              <w:t>Inventory</w:t>
            </w:r>
          </w:p>
        </w:tc>
        <w:tc>
          <w:tcPr>
            <w:tcW w:w="26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67"/>
        </w:trPr>
        <w:tc>
          <w:tcPr>
            <w:tcW w:w="260" w:type="dxa"/>
            <w:vAlign w:val="bottom"/>
          </w:tcPr>
          <w:p>
            <w:pPr>
              <w:spacing w:after="0"/>
              <w:rPr>
                <w:sz w:val="24"/>
                <w:szCs w:val="24"/>
                <w:color w:val="auto"/>
              </w:rPr>
            </w:pPr>
          </w:p>
        </w:tc>
        <w:tc>
          <w:tcPr>
            <w:tcW w:w="5180" w:type="dxa"/>
            <w:vAlign w:val="bottom"/>
          </w:tcPr>
          <w:p>
            <w:pPr>
              <w:ind w:left="360"/>
              <w:spacing w:after="0"/>
              <w:rPr>
                <w:sz w:val="20"/>
                <w:szCs w:val="20"/>
                <w:color w:val="auto"/>
              </w:rPr>
            </w:pPr>
            <w:r>
              <w:rPr>
                <w:rFonts w:ascii="Arial" w:cs="Arial" w:eastAsia="Arial" w:hAnsi="Arial"/>
                <w:sz w:val="14"/>
                <w:szCs w:val="14"/>
                <w:color w:val="auto"/>
              </w:rPr>
              <w:t>Major classes of inventory were as follows:</w:t>
            </w:r>
          </w:p>
        </w:tc>
        <w:tc>
          <w:tcPr>
            <w:tcW w:w="2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68"/>
        </w:trPr>
        <w:tc>
          <w:tcPr>
            <w:tcW w:w="5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w:t>
            </w:r>
          </w:p>
        </w:tc>
        <w:tc>
          <w:tcPr>
            <w:tcW w:w="2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April 30, 2024</w:t>
            </w:r>
          </w:p>
        </w:tc>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2023</w:t>
            </w:r>
          </w:p>
        </w:tc>
      </w:tr>
      <w:tr>
        <w:trPr>
          <w:trHeight w:val="196"/>
        </w:trPr>
        <w:tc>
          <w:tcPr>
            <w:tcW w:w="54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Finished goods</w:t>
            </w:r>
          </w:p>
        </w:tc>
        <w:tc>
          <w:tcPr>
            <w:tcW w:w="262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38.4</w:t>
            </w:r>
          </w:p>
        </w:tc>
        <w:tc>
          <w:tcPr>
            <w:tcW w:w="4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29.5</w:t>
            </w:r>
          </w:p>
        </w:tc>
      </w:tr>
      <w:tr>
        <w:trPr>
          <w:trHeight w:val="199"/>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Crop growing costs</w:t>
            </w:r>
          </w:p>
        </w:tc>
        <w:tc>
          <w:tcPr>
            <w:tcW w:w="2620" w:type="dxa"/>
            <w:vAlign w:val="bottom"/>
          </w:tcPr>
          <w:p>
            <w:pPr>
              <w:spacing w:after="0"/>
              <w:rPr>
                <w:sz w:val="17"/>
                <w:szCs w:val="17"/>
                <w:color w:val="auto"/>
              </w:rPr>
            </w:pPr>
          </w:p>
        </w:tc>
        <w:tc>
          <w:tcPr>
            <w:tcW w:w="1380" w:type="dxa"/>
            <w:vAlign w:val="bottom"/>
          </w:tcPr>
          <w:p>
            <w:pPr>
              <w:jc w:val="right"/>
              <w:ind w:right="131"/>
              <w:spacing w:after="0"/>
              <w:rPr>
                <w:sz w:val="20"/>
                <w:szCs w:val="20"/>
                <w:color w:val="auto"/>
              </w:rPr>
            </w:pPr>
            <w:r>
              <w:rPr>
                <w:rFonts w:ascii="Arial" w:cs="Arial" w:eastAsia="Arial" w:hAnsi="Arial"/>
                <w:sz w:val="14"/>
                <w:szCs w:val="14"/>
                <w:color w:val="auto"/>
              </w:rPr>
              <w:t>38.3</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21.5</w:t>
            </w:r>
          </w:p>
        </w:tc>
      </w:tr>
      <w:tr>
        <w:trPr>
          <w:trHeight w:val="20"/>
        </w:trPr>
        <w:tc>
          <w:tcPr>
            <w:tcW w:w="544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4"/>
        </w:trPr>
        <w:tc>
          <w:tcPr>
            <w:tcW w:w="54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Packaging and supplies</w:t>
            </w:r>
          </w:p>
        </w:tc>
        <w:tc>
          <w:tcPr>
            <w:tcW w:w="2620" w:type="dxa"/>
            <w:vAlign w:val="bottom"/>
            <w:tcBorders>
              <w:bottom w:val="single" w:sz="8" w:color="DBDBDB"/>
            </w:tcBorders>
            <w:shd w:val="clear" w:color="auto" w:fill="DBDBDB"/>
          </w:tcPr>
          <w:p>
            <w:pPr>
              <w:spacing w:after="0"/>
              <w:rPr>
                <w:sz w:val="19"/>
                <w:szCs w:val="19"/>
                <w:color w:val="auto"/>
              </w:rPr>
            </w:pPr>
          </w:p>
        </w:tc>
        <w:tc>
          <w:tcPr>
            <w:tcW w:w="13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18.2</w:t>
            </w:r>
          </w:p>
        </w:tc>
        <w:tc>
          <w:tcPr>
            <w:tcW w:w="460" w:type="dxa"/>
            <w:vAlign w:val="bottom"/>
            <w:tcBorders>
              <w:bottom w:val="single" w:sz="8" w:color="DBDBDB"/>
            </w:tcBorders>
            <w:shd w:val="clear" w:color="auto" w:fill="DBDBDB"/>
          </w:tcPr>
          <w:p>
            <w:pPr>
              <w:spacing w:after="0"/>
              <w:rPr>
                <w:sz w:val="19"/>
                <w:szCs w:val="19"/>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19.8</w:t>
            </w:r>
          </w:p>
        </w:tc>
      </w:tr>
      <w:tr>
        <w:trPr>
          <w:trHeight w:val="192"/>
        </w:trPr>
        <w:tc>
          <w:tcPr>
            <w:tcW w:w="54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Inventory</w:t>
            </w:r>
          </w:p>
        </w:tc>
        <w:tc>
          <w:tcPr>
            <w:tcW w:w="2620" w:type="dxa"/>
            <w:vAlign w:val="bottom"/>
            <w:tcBorders>
              <w:top w:val="single" w:sz="8" w:color="auto"/>
            </w:tcBorders>
          </w:tcPr>
          <w:p>
            <w:pPr>
              <w:jc w:val="right"/>
              <w:ind w:right="271"/>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rPr>
              <w:t>94.9</w:t>
            </w:r>
          </w:p>
        </w:tc>
        <w:tc>
          <w:tcPr>
            <w:tcW w:w="46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70.8</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hanging="337"/>
        <w:spacing w:after="0"/>
        <w:tabs>
          <w:tab w:leader="none" w:pos="34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Goodwill and Intangible Asset, net</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Goodwill</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5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International Farming</w:t>
            </w:r>
          </w:p>
        </w:tc>
        <w:tc>
          <w:tcPr>
            <w:tcW w:w="5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Blueberries</w:t>
            </w:r>
          </w:p>
        </w:tc>
        <w:tc>
          <w:tcPr>
            <w:tcW w:w="7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w w:val="95"/>
              </w:rPr>
              <w:t>Total</w:t>
            </w:r>
          </w:p>
        </w:tc>
      </w:tr>
      <w:tr>
        <w:trPr>
          <w:trHeight w:val="196"/>
        </w:trPr>
        <w:tc>
          <w:tcPr>
            <w:tcW w:w="4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Goodwill as of April 30, 2024 and October 31, 2023</w:t>
            </w:r>
          </w:p>
        </w:tc>
        <w:tc>
          <w:tcPr>
            <w:tcW w:w="154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26.9</w:t>
            </w:r>
          </w:p>
        </w:tc>
        <w:tc>
          <w:tcPr>
            <w:tcW w:w="580" w:type="dxa"/>
            <w:vAlign w:val="bottom"/>
            <w:tcBorders>
              <w:bottom w:val="single" w:sz="8" w:color="DBDBDB"/>
            </w:tcBorders>
            <w:shd w:val="clear" w:color="auto" w:fill="DBDBDB"/>
          </w:tcPr>
          <w:p>
            <w:pPr>
              <w:jc w:val="right"/>
              <w:ind w:right="33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12.5</w:t>
            </w:r>
          </w:p>
        </w:tc>
        <w:tc>
          <w:tcPr>
            <w:tcW w:w="780" w:type="dxa"/>
            <w:vAlign w:val="bottom"/>
            <w:tcBorders>
              <w:bottom w:val="single" w:sz="8" w:color="DBDBDB"/>
            </w:tcBorders>
            <w:shd w:val="clear" w:color="auto" w:fill="DBDBDB"/>
          </w:tcPr>
          <w:p>
            <w:pPr>
              <w:jc w:val="right"/>
              <w:ind w:right="55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ind w:left="640"/>
              <w:spacing w:after="0"/>
              <w:rPr>
                <w:sz w:val="20"/>
                <w:szCs w:val="20"/>
                <w:color w:val="auto"/>
              </w:rPr>
            </w:pPr>
            <w:r>
              <w:rPr>
                <w:rFonts w:ascii="Arial" w:cs="Arial" w:eastAsia="Arial" w:hAnsi="Arial"/>
                <w:sz w:val="14"/>
                <w:szCs w:val="14"/>
                <w:color w:val="auto"/>
              </w:rPr>
              <w:t>39.4</w:t>
            </w:r>
          </w:p>
        </w:tc>
      </w:tr>
      <w:tr>
        <w:trPr>
          <w:trHeight w:val="20"/>
        </w:trPr>
        <w:tc>
          <w:tcPr>
            <w:tcW w:w="45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63" w:lineRule="exact"/>
        <w:rPr>
          <w:sz w:val="20"/>
          <w:szCs w:val="20"/>
          <w:color w:val="auto"/>
        </w:rPr>
      </w:pPr>
    </w:p>
    <w:p>
      <w:pPr>
        <w:ind w:right="200" w:firstLine="619"/>
        <w:spacing w:after="0" w:line="264" w:lineRule="auto"/>
        <w:rPr>
          <w:sz w:val="20"/>
          <w:szCs w:val="20"/>
          <w:color w:val="auto"/>
        </w:rPr>
      </w:pPr>
      <w:r>
        <w:rPr>
          <w:rFonts w:ascii="Arial" w:cs="Arial" w:eastAsia="Arial" w:hAnsi="Arial"/>
          <w:sz w:val="14"/>
          <w:szCs w:val="14"/>
          <w:color w:val="auto"/>
        </w:rPr>
        <w:t>The carrying amounts of goodwill as of April 30, 2024 and October 31, 2023 were net of accumulated impairment losses of $49.5 million, attributable to the International Farming segment. Goodwill is tested for impairment on an annual basis in the fourth quarter, or when an event or changes in circumstances indicate that its carrying value may not be recoverable.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Intangible asset, net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April 30, 2024</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w w:val="98"/>
              </w:rPr>
              <w:t>October 31, 2023</w:t>
            </w:r>
          </w:p>
        </w:tc>
      </w:tr>
      <w:tr>
        <w:trPr>
          <w:trHeight w:val="196"/>
        </w:trPr>
        <w:tc>
          <w:tcPr>
            <w:tcW w:w="4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Intangible asset, gross</w:t>
            </w:r>
          </w:p>
        </w:tc>
        <w:tc>
          <w:tcPr>
            <w:tcW w:w="344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2.8</w:t>
            </w:r>
          </w:p>
        </w:tc>
        <w:tc>
          <w:tcPr>
            <w:tcW w:w="4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center"/>
              <w:ind w:left="971"/>
              <w:spacing w:after="0"/>
              <w:rPr>
                <w:sz w:val="20"/>
                <w:szCs w:val="20"/>
                <w:color w:val="auto"/>
              </w:rPr>
            </w:pPr>
            <w:r>
              <w:rPr>
                <w:rFonts w:ascii="Arial" w:cs="Arial" w:eastAsia="Arial" w:hAnsi="Arial"/>
                <w:sz w:val="14"/>
                <w:szCs w:val="14"/>
                <w:color w:val="auto"/>
                <w:w w:val="92"/>
              </w:rPr>
              <w:t>2.8</w:t>
            </w:r>
          </w:p>
        </w:tc>
      </w:tr>
      <w:tr>
        <w:trPr>
          <w:trHeight w:val="199"/>
        </w:trPr>
        <w:tc>
          <w:tcPr>
            <w:tcW w:w="4620" w:type="dxa"/>
            <w:vAlign w:val="bottom"/>
          </w:tcPr>
          <w:p>
            <w:pPr>
              <w:ind w:left="20"/>
              <w:spacing w:after="0"/>
              <w:rPr>
                <w:sz w:val="20"/>
                <w:szCs w:val="20"/>
                <w:color w:val="auto"/>
              </w:rPr>
            </w:pPr>
            <w:r>
              <w:rPr>
                <w:rFonts w:ascii="Arial" w:cs="Arial" w:eastAsia="Arial" w:hAnsi="Arial"/>
                <w:sz w:val="14"/>
                <w:szCs w:val="14"/>
                <w:color w:val="auto"/>
              </w:rPr>
              <w:t>Accumulated amortization</w:t>
            </w:r>
          </w:p>
        </w:tc>
        <w:tc>
          <w:tcPr>
            <w:tcW w:w="3440" w:type="dxa"/>
            <w:vAlign w:val="bottom"/>
          </w:tcPr>
          <w:p>
            <w:pPr>
              <w:spacing w:after="0"/>
              <w:rPr>
                <w:sz w:val="17"/>
                <w:szCs w:val="17"/>
                <w:color w:val="auto"/>
              </w:rPr>
            </w:pPr>
          </w:p>
        </w:tc>
        <w:tc>
          <w:tcPr>
            <w:tcW w:w="1380" w:type="dxa"/>
            <w:vAlign w:val="bottom"/>
          </w:tcPr>
          <w:p>
            <w:pPr>
              <w:jc w:val="right"/>
              <w:ind w:right="91"/>
              <w:spacing w:after="0"/>
              <w:rPr>
                <w:sz w:val="20"/>
                <w:szCs w:val="20"/>
                <w:color w:val="auto"/>
              </w:rPr>
            </w:pPr>
            <w:r>
              <w:rPr>
                <w:rFonts w:ascii="Arial" w:cs="Arial" w:eastAsia="Arial" w:hAnsi="Arial"/>
                <w:sz w:val="14"/>
                <w:szCs w:val="14"/>
                <w:color w:val="auto"/>
              </w:rPr>
              <w:t>(2.8)</w:t>
            </w:r>
          </w:p>
        </w:tc>
        <w:tc>
          <w:tcPr>
            <w:tcW w:w="460" w:type="dxa"/>
            <w:vAlign w:val="bottom"/>
          </w:tcPr>
          <w:p>
            <w:pPr>
              <w:spacing w:after="0"/>
              <w:rPr>
                <w:sz w:val="17"/>
                <w:szCs w:val="17"/>
                <w:color w:val="auto"/>
              </w:rPr>
            </w:pPr>
          </w:p>
        </w:tc>
        <w:tc>
          <w:tcPr>
            <w:tcW w:w="1340" w:type="dxa"/>
            <w:vAlign w:val="bottom"/>
          </w:tcPr>
          <w:p>
            <w:pPr>
              <w:jc w:val="center"/>
              <w:ind w:left="951"/>
              <w:spacing w:after="0"/>
              <w:rPr>
                <w:sz w:val="20"/>
                <w:szCs w:val="20"/>
                <w:color w:val="auto"/>
              </w:rPr>
            </w:pPr>
            <w:r>
              <w:rPr>
                <w:rFonts w:ascii="Arial" w:cs="Arial" w:eastAsia="Arial" w:hAnsi="Arial"/>
                <w:sz w:val="14"/>
                <w:szCs w:val="14"/>
                <w:color w:val="auto"/>
                <w:w w:val="97"/>
              </w:rPr>
              <w:t>(2.3)</w:t>
            </w: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2"/>
        </w:trPr>
        <w:tc>
          <w:tcPr>
            <w:tcW w:w="4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Intangible asset, net</w:t>
            </w:r>
          </w:p>
        </w:tc>
        <w:tc>
          <w:tcPr>
            <w:tcW w:w="344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center"/>
              <w:ind w:left="971"/>
              <w:spacing w:after="0"/>
              <w:rPr>
                <w:sz w:val="20"/>
                <w:szCs w:val="20"/>
                <w:color w:val="auto"/>
              </w:rPr>
            </w:pPr>
            <w:r>
              <w:rPr>
                <w:rFonts w:ascii="Arial" w:cs="Arial" w:eastAsia="Arial" w:hAnsi="Arial"/>
                <w:sz w:val="14"/>
                <w:szCs w:val="14"/>
                <w:color w:val="auto"/>
                <w:w w:val="92"/>
              </w:rPr>
              <w:t>0.5</w:t>
            </w:r>
          </w:p>
        </w:tc>
      </w:tr>
      <w:tr>
        <w:trPr>
          <w:trHeight w:val="20"/>
        </w:trPr>
        <w:tc>
          <w:tcPr>
            <w:tcW w:w="4620" w:type="dxa"/>
            <w:vAlign w:val="bottom"/>
            <w:shd w:val="clear" w:color="auto" w:fill="000000"/>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89" w:lineRule="exact"/>
        <w:rPr>
          <w:sz w:val="20"/>
          <w:szCs w:val="20"/>
          <w:color w:val="auto"/>
        </w:rPr>
      </w:pPr>
    </w:p>
    <w:p>
      <w:pPr>
        <w:ind w:right="480" w:firstLine="619"/>
        <w:spacing w:after="0" w:line="268" w:lineRule="auto"/>
        <w:rPr>
          <w:sz w:val="20"/>
          <w:szCs w:val="20"/>
          <w:color w:val="auto"/>
        </w:rPr>
      </w:pPr>
      <w:r>
        <w:rPr>
          <w:rFonts w:ascii="Arial" w:cs="Arial" w:eastAsia="Arial" w:hAnsi="Arial"/>
          <w:sz w:val="13"/>
          <w:szCs w:val="13"/>
          <w:color w:val="auto"/>
        </w:rPr>
        <w:t>The intangible asset, net consisted of a distributor relationship entirely attributed to the business combination with Moruga on May 1, 2022. The intangible asset had an amortizable life of 2 years, and was recognized in selling, general and administrative expenses coinciding with the timing of the estimated revenues. Amortization expense was</w:t>
      </w:r>
    </w:p>
    <w:p>
      <w:pPr>
        <w:spacing w:after="0"/>
        <w:rPr>
          <w:sz w:val="20"/>
          <w:szCs w:val="20"/>
          <w:color w:val="auto"/>
        </w:rPr>
      </w:pPr>
      <w:r>
        <w:rPr>
          <w:rFonts w:ascii="Arial" w:cs="Arial" w:eastAsia="Arial" w:hAnsi="Arial"/>
          <w:sz w:val="13"/>
          <w:szCs w:val="13"/>
          <w:color w:val="auto"/>
        </w:rPr>
        <w:t>$0.2 million and zero for the three months ended April 30, 2024 and 2023, respectively, and $0.5 million and $1.2 million for the six months ended April 30, 2024 and 2023, respectively.</w:t>
      </w:r>
    </w:p>
    <w:p>
      <w:pPr>
        <w:spacing w:after="0" w:line="253"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4.</w:t>
        <w:tab/>
        <w:t>Details of Certain Account Balances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Accrued expenses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April 30, 2024</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2023</w:t>
            </w:r>
          </w:p>
        </w:tc>
      </w:tr>
      <w:tr>
        <w:trPr>
          <w:trHeight w:val="196"/>
        </w:trPr>
        <w:tc>
          <w:tcPr>
            <w:tcW w:w="4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Employee-related</w:t>
            </w:r>
          </w:p>
        </w:tc>
        <w:tc>
          <w:tcPr>
            <w:tcW w:w="336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14.2</w:t>
            </w:r>
          </w:p>
        </w:tc>
        <w:tc>
          <w:tcPr>
            <w:tcW w:w="4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12.8</w:t>
            </w:r>
          </w:p>
        </w:tc>
      </w:tr>
      <w:tr>
        <w:trPr>
          <w:trHeight w:val="199"/>
        </w:trPr>
        <w:tc>
          <w:tcPr>
            <w:tcW w:w="4700" w:type="dxa"/>
            <w:vAlign w:val="bottom"/>
          </w:tcPr>
          <w:p>
            <w:pPr>
              <w:ind w:left="20"/>
              <w:spacing w:after="0"/>
              <w:rPr>
                <w:sz w:val="20"/>
                <w:szCs w:val="20"/>
                <w:color w:val="auto"/>
              </w:rPr>
            </w:pPr>
            <w:r>
              <w:rPr>
                <w:rFonts w:ascii="Arial" w:cs="Arial" w:eastAsia="Arial" w:hAnsi="Arial"/>
                <w:sz w:val="14"/>
                <w:szCs w:val="14"/>
                <w:color w:val="auto"/>
              </w:rPr>
              <w:t>Freight</w:t>
            </w:r>
          </w:p>
        </w:tc>
        <w:tc>
          <w:tcPr>
            <w:tcW w:w="3360" w:type="dxa"/>
            <w:vAlign w:val="bottom"/>
          </w:tcPr>
          <w:p>
            <w:pPr>
              <w:spacing w:after="0"/>
              <w:rPr>
                <w:sz w:val="17"/>
                <w:szCs w:val="17"/>
                <w:color w:val="auto"/>
              </w:rPr>
            </w:pPr>
          </w:p>
        </w:tc>
        <w:tc>
          <w:tcPr>
            <w:tcW w:w="1380" w:type="dxa"/>
            <w:vAlign w:val="bottom"/>
          </w:tcPr>
          <w:p>
            <w:pPr>
              <w:jc w:val="right"/>
              <w:ind w:right="131"/>
              <w:spacing w:after="0"/>
              <w:rPr>
                <w:sz w:val="20"/>
                <w:szCs w:val="20"/>
                <w:color w:val="auto"/>
              </w:rPr>
            </w:pPr>
            <w:r>
              <w:rPr>
                <w:rFonts w:ascii="Arial" w:cs="Arial" w:eastAsia="Arial" w:hAnsi="Arial"/>
                <w:sz w:val="14"/>
                <w:szCs w:val="14"/>
                <w:color w:val="auto"/>
              </w:rPr>
              <w:t>5.0</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0"/>
        </w:trPr>
        <w:tc>
          <w:tcPr>
            <w:tcW w:w="4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9"/>
        </w:trPr>
        <w:tc>
          <w:tcPr>
            <w:tcW w:w="4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Outside fruit purchase</w:t>
            </w:r>
          </w:p>
        </w:tc>
        <w:tc>
          <w:tcPr>
            <w:tcW w:w="3360" w:type="dxa"/>
            <w:vAlign w:val="bottom"/>
            <w:tcBorders>
              <w:bottom w:val="single" w:sz="8" w:color="DBDBDB"/>
            </w:tcBorders>
            <w:shd w:val="clear" w:color="auto" w:fill="DBDBDB"/>
          </w:tcPr>
          <w:p>
            <w:pPr>
              <w:spacing w:after="0"/>
              <w:rPr>
                <w:sz w:val="17"/>
                <w:szCs w:val="17"/>
                <w:color w:val="auto"/>
              </w:rPr>
            </w:pPr>
          </w:p>
        </w:tc>
        <w:tc>
          <w:tcPr>
            <w:tcW w:w="13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5.9</w:t>
            </w:r>
          </w:p>
        </w:tc>
        <w:tc>
          <w:tcPr>
            <w:tcW w:w="460" w:type="dxa"/>
            <w:vAlign w:val="bottom"/>
            <w:tcBorders>
              <w:bottom w:val="single" w:sz="8" w:color="DBDBDB"/>
            </w:tcBorders>
            <w:shd w:val="clear" w:color="auto" w:fill="DBDBDB"/>
          </w:tcPr>
          <w:p>
            <w:pPr>
              <w:spacing w:after="0"/>
              <w:rPr>
                <w:sz w:val="17"/>
                <w:szCs w:val="17"/>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2.7</w:t>
            </w:r>
          </w:p>
        </w:tc>
      </w:tr>
      <w:tr>
        <w:trPr>
          <w:trHeight w:val="199"/>
        </w:trPr>
        <w:tc>
          <w:tcPr>
            <w:tcW w:w="4700" w:type="dxa"/>
            <w:vAlign w:val="bottom"/>
          </w:tcPr>
          <w:p>
            <w:pPr>
              <w:ind w:left="20"/>
              <w:spacing w:after="0"/>
              <w:rPr>
                <w:sz w:val="20"/>
                <w:szCs w:val="20"/>
                <w:color w:val="auto"/>
              </w:rPr>
            </w:pPr>
            <w:r>
              <w:rPr>
                <w:rFonts w:ascii="Arial" w:cs="Arial" w:eastAsia="Arial" w:hAnsi="Arial"/>
                <w:sz w:val="14"/>
                <w:szCs w:val="14"/>
                <w:color w:val="auto"/>
              </w:rPr>
              <w:t>VAT and local taxes payable</w:t>
            </w:r>
          </w:p>
        </w:tc>
        <w:tc>
          <w:tcPr>
            <w:tcW w:w="3360" w:type="dxa"/>
            <w:vAlign w:val="bottom"/>
          </w:tcPr>
          <w:p>
            <w:pPr>
              <w:spacing w:after="0"/>
              <w:rPr>
                <w:sz w:val="17"/>
                <w:szCs w:val="17"/>
                <w:color w:val="auto"/>
              </w:rPr>
            </w:pPr>
          </w:p>
        </w:tc>
        <w:tc>
          <w:tcPr>
            <w:tcW w:w="13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0"/>
        </w:trPr>
        <w:tc>
          <w:tcPr>
            <w:tcW w:w="4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9"/>
        </w:trPr>
        <w:tc>
          <w:tcPr>
            <w:tcW w:w="4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Legal settlement</w:t>
            </w:r>
          </w:p>
        </w:tc>
        <w:tc>
          <w:tcPr>
            <w:tcW w:w="3360" w:type="dxa"/>
            <w:vAlign w:val="bottom"/>
            <w:tcBorders>
              <w:bottom w:val="single" w:sz="8" w:color="DBDBDB"/>
            </w:tcBorders>
            <w:shd w:val="clear" w:color="auto" w:fill="DBDBDB"/>
          </w:tcPr>
          <w:p>
            <w:pPr>
              <w:spacing w:after="0"/>
              <w:rPr>
                <w:sz w:val="17"/>
                <w:szCs w:val="17"/>
                <w:color w:val="auto"/>
              </w:rPr>
            </w:pPr>
          </w:p>
        </w:tc>
        <w:tc>
          <w:tcPr>
            <w:tcW w:w="13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1.5</w:t>
            </w:r>
          </w:p>
        </w:tc>
        <w:tc>
          <w:tcPr>
            <w:tcW w:w="460" w:type="dxa"/>
            <w:vAlign w:val="bottom"/>
            <w:tcBorders>
              <w:bottom w:val="single" w:sz="8" w:color="DBDBDB"/>
            </w:tcBorders>
            <w:shd w:val="clear" w:color="auto" w:fill="DBDBDB"/>
          </w:tcPr>
          <w:p>
            <w:pPr>
              <w:spacing w:after="0"/>
              <w:rPr>
                <w:sz w:val="17"/>
                <w:szCs w:val="17"/>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0.8</w:t>
            </w:r>
          </w:p>
        </w:tc>
      </w:tr>
      <w:tr>
        <w:trPr>
          <w:trHeight w:val="199"/>
        </w:trPr>
        <w:tc>
          <w:tcPr>
            <w:tcW w:w="4700" w:type="dxa"/>
            <w:vAlign w:val="bottom"/>
          </w:tcPr>
          <w:p>
            <w:pPr>
              <w:ind w:left="20"/>
              <w:spacing w:after="0"/>
              <w:rPr>
                <w:sz w:val="20"/>
                <w:szCs w:val="20"/>
                <w:color w:val="auto"/>
              </w:rPr>
            </w:pPr>
            <w:r>
              <w:rPr>
                <w:rFonts w:ascii="Arial" w:cs="Arial" w:eastAsia="Arial" w:hAnsi="Arial"/>
                <w:sz w:val="14"/>
                <w:szCs w:val="14"/>
                <w:color w:val="auto"/>
              </w:rPr>
              <w:t>Other</w:t>
            </w:r>
          </w:p>
        </w:tc>
        <w:tc>
          <w:tcPr>
            <w:tcW w:w="3360" w:type="dxa"/>
            <w:vAlign w:val="bottom"/>
          </w:tcPr>
          <w:p>
            <w:pPr>
              <w:spacing w:after="0"/>
              <w:rPr>
                <w:sz w:val="17"/>
                <w:szCs w:val="17"/>
                <w:color w:val="auto"/>
              </w:rPr>
            </w:pPr>
          </w:p>
        </w:tc>
        <w:tc>
          <w:tcPr>
            <w:tcW w:w="1380" w:type="dxa"/>
            <w:vAlign w:val="bottom"/>
          </w:tcPr>
          <w:p>
            <w:pPr>
              <w:jc w:val="right"/>
              <w:ind w:right="131"/>
              <w:spacing w:after="0"/>
              <w:rPr>
                <w:sz w:val="20"/>
                <w:szCs w:val="20"/>
                <w:color w:val="auto"/>
              </w:rPr>
            </w:pPr>
            <w:r>
              <w:rPr>
                <w:rFonts w:ascii="Arial" w:cs="Arial" w:eastAsia="Arial" w:hAnsi="Arial"/>
                <w:sz w:val="14"/>
                <w:szCs w:val="14"/>
                <w:color w:val="auto"/>
              </w:rPr>
              <w:t>6.0</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2"/>
        </w:trPr>
        <w:tc>
          <w:tcPr>
            <w:tcW w:w="4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Accrued expenses</w:t>
            </w:r>
          </w:p>
        </w:tc>
        <w:tc>
          <w:tcPr>
            <w:tcW w:w="336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32.6</w:t>
            </w:r>
          </w:p>
        </w:tc>
        <w:tc>
          <w:tcPr>
            <w:tcW w:w="4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26.4</w:t>
            </w:r>
          </w:p>
        </w:tc>
      </w:tr>
      <w:tr>
        <w:trPr>
          <w:trHeight w:val="20"/>
        </w:trPr>
        <w:tc>
          <w:tcPr>
            <w:tcW w:w="4700" w:type="dxa"/>
            <w:vAlign w:val="bottom"/>
            <w:shd w:val="clear" w:color="auto" w:fill="000000"/>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long-term liabilities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7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April 30, 2024</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2023</w:t>
            </w:r>
          </w:p>
        </w:tc>
      </w:tr>
      <w:tr>
        <w:trPr>
          <w:trHeight w:val="216"/>
        </w:trPr>
        <w:tc>
          <w:tcPr>
            <w:tcW w:w="5320" w:type="dxa"/>
            <w:vAlign w:val="bottom"/>
            <w:shd w:val="clear" w:color="auto" w:fill="DBDBDB"/>
          </w:tcPr>
          <w:p>
            <w:pPr>
              <w:ind w:left="20"/>
              <w:spacing w:after="0"/>
              <w:rPr>
                <w:sz w:val="20"/>
                <w:szCs w:val="20"/>
                <w:color w:val="auto"/>
              </w:rPr>
            </w:pPr>
            <w:r>
              <w:rPr>
                <w:rFonts w:ascii="Arial" w:cs="Arial" w:eastAsia="Arial" w:hAnsi="Arial"/>
                <w:sz w:val="14"/>
                <w:szCs w:val="14"/>
                <w:color w:val="auto"/>
              </w:rPr>
              <w:t>Uncertain tax positions</w:t>
            </w:r>
            <w:r>
              <w:rPr>
                <w:rFonts w:ascii="Arial" w:cs="Arial" w:eastAsia="Arial" w:hAnsi="Arial"/>
                <w:sz w:val="17"/>
                <w:szCs w:val="17"/>
                <w:color w:val="auto"/>
                <w:vertAlign w:val="superscript"/>
              </w:rPr>
              <w:t>(1)</w:t>
            </w:r>
          </w:p>
        </w:tc>
        <w:tc>
          <w:tcPr>
            <w:tcW w:w="2740" w:type="dxa"/>
            <w:vAlign w:val="bottom"/>
            <w:shd w:val="clear" w:color="auto" w:fill="DBDBDB"/>
          </w:tcPr>
          <w:p>
            <w:pPr>
              <w:jc w:val="right"/>
              <w:ind w:right="271"/>
              <w:spacing w:after="0"/>
              <w:rPr>
                <w:sz w:val="20"/>
                <w:szCs w:val="20"/>
                <w:color w:val="auto"/>
              </w:rPr>
            </w:pPr>
            <w:r>
              <w:rPr>
                <w:rFonts w:ascii="Arial" w:cs="Arial" w:eastAsia="Arial" w:hAnsi="Arial"/>
                <w:sz w:val="14"/>
                <w:szCs w:val="14"/>
                <w:color w:val="auto"/>
              </w:rPr>
              <w:t>$</w:t>
            </w:r>
          </w:p>
        </w:tc>
        <w:tc>
          <w:tcPr>
            <w:tcW w:w="1380" w:type="dxa"/>
            <w:vAlign w:val="bottom"/>
            <w:shd w:val="clear" w:color="auto" w:fill="DBDBDB"/>
          </w:tcPr>
          <w:p>
            <w:pPr>
              <w:jc w:val="right"/>
              <w:ind w:right="131"/>
              <w:spacing w:after="0"/>
              <w:rPr>
                <w:sz w:val="20"/>
                <w:szCs w:val="20"/>
                <w:color w:val="auto"/>
              </w:rPr>
            </w:pPr>
            <w:r>
              <w:rPr>
                <w:rFonts w:ascii="Arial" w:cs="Arial" w:eastAsia="Arial" w:hAnsi="Arial"/>
                <w:sz w:val="14"/>
                <w:szCs w:val="14"/>
                <w:color w:val="auto"/>
              </w:rPr>
              <w:t>20.9</w:t>
            </w:r>
          </w:p>
        </w:tc>
        <w:tc>
          <w:tcPr>
            <w:tcW w:w="460" w:type="dxa"/>
            <w:vAlign w:val="bottom"/>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19.4</w:t>
            </w:r>
          </w:p>
        </w:tc>
      </w:tr>
      <w:tr>
        <w:trPr>
          <w:trHeight w:val="199"/>
        </w:trPr>
        <w:tc>
          <w:tcPr>
            <w:tcW w:w="5320" w:type="dxa"/>
            <w:vAlign w:val="bottom"/>
          </w:tcPr>
          <w:p>
            <w:pPr>
              <w:ind w:left="20"/>
              <w:spacing w:after="0"/>
              <w:rPr>
                <w:sz w:val="20"/>
                <w:szCs w:val="20"/>
                <w:color w:val="auto"/>
              </w:rPr>
            </w:pPr>
            <w:r>
              <w:rPr>
                <w:rFonts w:ascii="Arial" w:cs="Arial" w:eastAsia="Arial" w:hAnsi="Arial"/>
                <w:sz w:val="14"/>
                <w:szCs w:val="14"/>
                <w:color w:val="auto"/>
              </w:rPr>
              <w:t>Employee-related</w:t>
            </w:r>
          </w:p>
        </w:tc>
        <w:tc>
          <w:tcPr>
            <w:tcW w:w="2740" w:type="dxa"/>
            <w:vAlign w:val="bottom"/>
          </w:tcPr>
          <w:p>
            <w:pPr>
              <w:spacing w:after="0"/>
              <w:rPr>
                <w:sz w:val="17"/>
                <w:szCs w:val="17"/>
                <w:color w:val="auto"/>
              </w:rPr>
            </w:pPr>
          </w:p>
        </w:tc>
        <w:tc>
          <w:tcPr>
            <w:tcW w:w="1380" w:type="dxa"/>
            <w:vAlign w:val="bottom"/>
          </w:tcPr>
          <w:p>
            <w:pPr>
              <w:jc w:val="right"/>
              <w:ind w:right="131"/>
              <w:spacing w:after="0"/>
              <w:rPr>
                <w:sz w:val="20"/>
                <w:szCs w:val="20"/>
                <w:color w:val="auto"/>
              </w:rPr>
            </w:pPr>
            <w:r>
              <w:rPr>
                <w:rFonts w:ascii="Arial" w:cs="Arial" w:eastAsia="Arial" w:hAnsi="Arial"/>
                <w:sz w:val="14"/>
                <w:szCs w:val="14"/>
                <w:color w:val="auto"/>
              </w:rPr>
              <w:t>1.8</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
        </w:trPr>
        <w:tc>
          <w:tcPr>
            <w:tcW w:w="5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9"/>
        </w:trPr>
        <w:tc>
          <w:tcPr>
            <w:tcW w:w="5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Trade payables to noncontrolling interest holders</w:t>
            </w:r>
          </w:p>
        </w:tc>
        <w:tc>
          <w:tcPr>
            <w:tcW w:w="2740" w:type="dxa"/>
            <w:vAlign w:val="bottom"/>
            <w:tcBorders>
              <w:bottom w:val="single" w:sz="8" w:color="DBDBDB"/>
            </w:tcBorders>
            <w:shd w:val="clear" w:color="auto" w:fill="DBDBDB"/>
          </w:tcPr>
          <w:p>
            <w:pPr>
              <w:spacing w:after="0"/>
              <w:rPr>
                <w:sz w:val="17"/>
                <w:szCs w:val="17"/>
                <w:color w:val="auto"/>
              </w:rPr>
            </w:pPr>
          </w:p>
        </w:tc>
        <w:tc>
          <w:tcPr>
            <w:tcW w:w="13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DBDBDB"/>
            </w:tcBorders>
            <w:shd w:val="clear" w:color="auto" w:fill="DBDBDB"/>
          </w:tcPr>
          <w:p>
            <w:pPr>
              <w:spacing w:after="0"/>
              <w:rPr>
                <w:sz w:val="17"/>
                <w:szCs w:val="17"/>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4.5</w:t>
            </w:r>
          </w:p>
        </w:tc>
      </w:tr>
      <w:tr>
        <w:trPr>
          <w:trHeight w:val="199"/>
        </w:trPr>
        <w:tc>
          <w:tcPr>
            <w:tcW w:w="5320" w:type="dxa"/>
            <w:vAlign w:val="bottom"/>
          </w:tcPr>
          <w:p>
            <w:pPr>
              <w:ind w:left="20"/>
              <w:spacing w:after="0"/>
              <w:rPr>
                <w:sz w:val="20"/>
                <w:szCs w:val="20"/>
                <w:color w:val="auto"/>
              </w:rPr>
            </w:pPr>
            <w:r>
              <w:rPr>
                <w:rFonts w:ascii="Arial" w:cs="Arial" w:eastAsia="Arial" w:hAnsi="Arial"/>
                <w:sz w:val="14"/>
                <w:szCs w:val="14"/>
                <w:color w:val="auto"/>
              </w:rPr>
              <w:t>Other</w:t>
            </w:r>
          </w:p>
        </w:tc>
        <w:tc>
          <w:tcPr>
            <w:tcW w:w="2740" w:type="dxa"/>
            <w:vAlign w:val="bottom"/>
          </w:tcPr>
          <w:p>
            <w:pPr>
              <w:spacing w:after="0"/>
              <w:rPr>
                <w:sz w:val="17"/>
                <w:szCs w:val="17"/>
                <w:color w:val="auto"/>
              </w:rPr>
            </w:pPr>
          </w:p>
        </w:tc>
        <w:tc>
          <w:tcPr>
            <w:tcW w:w="1380" w:type="dxa"/>
            <w:vAlign w:val="bottom"/>
          </w:tcPr>
          <w:p>
            <w:pPr>
              <w:jc w:val="right"/>
              <w:ind w:right="131"/>
              <w:spacing w:after="0"/>
              <w:rPr>
                <w:sz w:val="20"/>
                <w:szCs w:val="20"/>
                <w:color w:val="auto"/>
              </w:rPr>
            </w:pPr>
            <w:r>
              <w:rPr>
                <w:rFonts w:ascii="Arial" w:cs="Arial" w:eastAsia="Arial" w:hAnsi="Arial"/>
                <w:sz w:val="14"/>
                <w:szCs w:val="14"/>
                <w:color w:val="auto"/>
              </w:rPr>
              <w:t>0.6</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2"/>
        </w:trPr>
        <w:tc>
          <w:tcPr>
            <w:tcW w:w="5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 long-term liabilities</w:t>
            </w:r>
          </w:p>
        </w:tc>
        <w:tc>
          <w:tcPr>
            <w:tcW w:w="274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23.3</w:t>
            </w:r>
          </w:p>
        </w:tc>
        <w:tc>
          <w:tcPr>
            <w:tcW w:w="4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26.4</w:t>
            </w:r>
          </w:p>
        </w:tc>
      </w:tr>
      <w:tr>
        <w:trPr>
          <w:trHeight w:val="20"/>
        </w:trPr>
        <w:tc>
          <w:tcPr>
            <w:tcW w:w="532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(1)Includes uncertain tax positions related to both income taxes and other statutory tax reserves, plus related penalties and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income (expense), net</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60" w:type="dxa"/>
            <w:vAlign w:val="bottom"/>
            <w:gridSpan w:val="2"/>
          </w:tcPr>
          <w:p>
            <w:pPr>
              <w:jc w:val="right"/>
              <w:ind w:right="231"/>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80" w:type="dxa"/>
            <w:vAlign w:val="bottom"/>
            <w:gridSpan w:val="2"/>
          </w:tcPr>
          <w:p>
            <w:pPr>
              <w:jc w:val="right"/>
              <w:ind w:right="291"/>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4"/>
                <w:szCs w:val="14"/>
                <w:color w:val="auto"/>
              </w:rPr>
            </w:pPr>
          </w:p>
        </w:tc>
      </w:tr>
      <w:tr>
        <w:trPr>
          <w:trHeight w:val="196"/>
        </w:trPr>
        <w:tc>
          <w:tcPr>
            <w:tcW w:w="40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right"/>
              <w:ind w:right="651"/>
              <w:spacing w:after="0"/>
              <w:rPr>
                <w:sz w:val="20"/>
                <w:szCs w:val="20"/>
                <w:color w:val="auto"/>
              </w:rPr>
            </w:pPr>
            <w:r>
              <w:rPr>
                <w:rFonts w:ascii="Arial" w:cs="Arial" w:eastAsia="Arial" w:hAnsi="Arial"/>
                <w:sz w:val="14"/>
                <w:szCs w:val="14"/>
                <w:b w:val="1"/>
                <w:bCs w:val="1"/>
                <w:color w:val="auto"/>
              </w:rPr>
              <w:t>April 30,</w:t>
            </w: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right"/>
              <w:ind w:right="631"/>
              <w:spacing w:after="0"/>
              <w:rPr>
                <w:sz w:val="20"/>
                <w:szCs w:val="20"/>
                <w:color w:val="auto"/>
              </w:rPr>
            </w:pPr>
            <w:r>
              <w:rPr>
                <w:rFonts w:ascii="Arial" w:cs="Arial" w:eastAsia="Arial" w:hAnsi="Arial"/>
                <w:sz w:val="14"/>
                <w:szCs w:val="14"/>
                <w:b w:val="1"/>
                <w:bCs w:val="1"/>
                <w:color w:val="auto"/>
              </w:rPr>
              <w:t>April 30,</w:t>
            </w:r>
          </w:p>
        </w:tc>
        <w:tc>
          <w:tcPr>
            <w:tcW w:w="780" w:type="dxa"/>
            <w:vAlign w:val="bottom"/>
            <w:tcBorders>
              <w:bottom w:val="single" w:sz="8" w:color="auto"/>
            </w:tcBorders>
          </w:tcPr>
          <w:p>
            <w:pPr>
              <w:spacing w:after="0"/>
              <w:rPr>
                <w:sz w:val="17"/>
                <w:szCs w:val="17"/>
                <w:color w:val="auto"/>
              </w:rPr>
            </w:pPr>
          </w:p>
        </w:tc>
      </w:tr>
      <w:tr>
        <w:trPr>
          <w:trHeight w:val="215"/>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10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9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6"/>
        </w:trPr>
        <w:tc>
          <w:tcPr>
            <w:tcW w:w="4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Gains on derivative financial instruments</w:t>
            </w:r>
          </w:p>
        </w:tc>
        <w:tc>
          <w:tcPr>
            <w:tcW w:w="56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0.1</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ind w:right="47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4020" w:type="dxa"/>
            <w:vAlign w:val="bottom"/>
          </w:tcPr>
          <w:p>
            <w:pPr>
              <w:ind w:left="20"/>
              <w:spacing w:after="0"/>
              <w:rPr>
                <w:sz w:val="20"/>
                <w:szCs w:val="20"/>
                <w:color w:val="auto"/>
              </w:rPr>
            </w:pPr>
            <w:r>
              <w:rPr>
                <w:rFonts w:ascii="Arial" w:cs="Arial" w:eastAsia="Arial" w:hAnsi="Arial"/>
                <w:sz w:val="14"/>
                <w:szCs w:val="14"/>
                <w:color w:val="auto"/>
              </w:rPr>
              <w:t>Foreign currency transaction gain (loss)</w:t>
            </w:r>
          </w:p>
        </w:tc>
        <w:tc>
          <w:tcPr>
            <w:tcW w:w="560" w:type="dxa"/>
            <w:vAlign w:val="bottom"/>
          </w:tcPr>
          <w:p>
            <w:pPr>
              <w:spacing w:after="0"/>
              <w:rPr>
                <w:sz w:val="17"/>
                <w:szCs w:val="17"/>
                <w:color w:val="auto"/>
              </w:rPr>
            </w:pP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0.1</w:t>
            </w:r>
          </w:p>
        </w:tc>
        <w:tc>
          <w:tcPr>
            <w:tcW w:w="10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(0.4)</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(1.3)</w:t>
            </w:r>
          </w:p>
        </w:tc>
        <w:tc>
          <w:tcPr>
            <w:tcW w:w="9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4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Interest income</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1.0</w:t>
            </w:r>
          </w:p>
        </w:tc>
        <w:tc>
          <w:tcPr>
            <w:tcW w:w="100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0.9</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1.3</w:t>
            </w:r>
          </w:p>
        </w:tc>
        <w:tc>
          <w:tcPr>
            <w:tcW w:w="98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1.1</w:t>
            </w:r>
          </w:p>
        </w:tc>
      </w:tr>
      <w:tr>
        <w:trPr>
          <w:trHeight w:val="199"/>
        </w:trPr>
        <w:tc>
          <w:tcPr>
            <w:tcW w:w="4020" w:type="dxa"/>
            <w:vAlign w:val="bottom"/>
          </w:tcPr>
          <w:p>
            <w:pPr>
              <w:ind w:left="20"/>
              <w:spacing w:after="0"/>
              <w:rPr>
                <w:sz w:val="20"/>
                <w:szCs w:val="20"/>
                <w:color w:val="auto"/>
              </w:rPr>
            </w:pPr>
            <w:r>
              <w:rPr>
                <w:rFonts w:ascii="Arial" w:cs="Arial" w:eastAsia="Arial" w:hAnsi="Arial"/>
                <w:sz w:val="14"/>
                <w:szCs w:val="14"/>
                <w:color w:val="auto"/>
              </w:rPr>
              <w:t>Other</w:t>
            </w:r>
          </w:p>
        </w:tc>
        <w:tc>
          <w:tcPr>
            <w:tcW w:w="560" w:type="dxa"/>
            <w:vAlign w:val="bottom"/>
          </w:tcPr>
          <w:p>
            <w:pPr>
              <w:spacing w:after="0"/>
              <w:rPr>
                <w:sz w:val="17"/>
                <w:szCs w:val="17"/>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(0.1)</w:t>
            </w:r>
          </w:p>
        </w:tc>
        <w:tc>
          <w:tcPr>
            <w:tcW w:w="100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2"/>
        </w:trPr>
        <w:tc>
          <w:tcPr>
            <w:tcW w:w="4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 income (expense), net</w:t>
            </w:r>
          </w:p>
        </w:tc>
        <w:tc>
          <w:tcPr>
            <w:tcW w:w="56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1.0</w:t>
            </w:r>
          </w:p>
        </w:tc>
        <w:tc>
          <w:tcPr>
            <w:tcW w:w="1000" w:type="dxa"/>
            <w:vAlign w:val="bottom"/>
            <w:tcBorders>
              <w:bottom w:val="single" w:sz="8" w:color="DBDBDB"/>
            </w:tcBorders>
            <w:shd w:val="clear" w:color="auto" w:fill="DBDBDB"/>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0.6</w:t>
            </w:r>
          </w:p>
        </w:tc>
        <w:tc>
          <w:tcPr>
            <w:tcW w:w="260" w:type="dxa"/>
            <w:vAlign w:val="bottom"/>
            <w:tcBorders>
              <w:bottom w:val="single" w:sz="8" w:color="DBDBDB"/>
            </w:tcBorders>
            <w:shd w:val="clear" w:color="auto" w:fill="DBDBDB"/>
          </w:tcPr>
          <w:p>
            <w:pPr>
              <w:spacing w:after="0"/>
              <w:rPr>
                <w:sz w:val="16"/>
                <w:szCs w:val="16"/>
                <w:color w:val="auto"/>
              </w:rPr>
            </w:pPr>
          </w:p>
        </w:tc>
        <w:tc>
          <w:tcPr>
            <w:tcW w:w="620" w:type="dxa"/>
            <w:vAlign w:val="bottom"/>
            <w:tcBorders>
              <w:bottom w:val="single" w:sz="8" w:color="DBDBDB"/>
            </w:tcBorders>
            <w:shd w:val="clear" w:color="auto" w:fill="DBDBDB"/>
          </w:tcPr>
          <w:p>
            <w:pPr>
              <w:jc w:val="right"/>
              <w:ind w:right="47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(0.2)</w:t>
            </w:r>
          </w:p>
        </w:tc>
      </w:tr>
      <w:tr>
        <w:trPr>
          <w:trHeight w:val="20"/>
        </w:trPr>
        <w:tc>
          <w:tcPr>
            <w:tcW w:w="4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amounts attributable to noncontrolling interest holders</w:t>
      </w:r>
    </w:p>
    <w:p>
      <w:pPr>
        <w:spacing w:after="0" w:line="234" w:lineRule="exact"/>
        <w:rPr>
          <w:sz w:val="20"/>
          <w:szCs w:val="20"/>
          <w:color w:val="auto"/>
        </w:rPr>
      </w:pPr>
    </w:p>
    <w:p>
      <w:pPr>
        <w:ind w:right="620" w:firstLine="619"/>
        <w:spacing w:after="0" w:line="254" w:lineRule="auto"/>
        <w:rPr>
          <w:sz w:val="20"/>
          <w:szCs w:val="20"/>
          <w:color w:val="auto"/>
        </w:rPr>
      </w:pPr>
      <w:r>
        <w:rPr>
          <w:rFonts w:ascii="Arial" w:cs="Arial" w:eastAsia="Arial" w:hAnsi="Arial"/>
          <w:sz w:val="14"/>
          <w:szCs w:val="14"/>
          <w:color w:val="auto"/>
        </w:rPr>
        <w:t>Amounts included in trade accounts receivable due from noncontrolling interest holders were $0.1 million and $5.7 million as of April 30, 2024 and October 31, 2023, respectively. Amounts included in trade accounts payable due to noncontrolling interest holders were $4.7 million and $3.2 million as of April 30, 2024 and October 31, 2023, respectively.</w:t>
      </w:r>
    </w:p>
    <w:p>
      <w:pPr>
        <w:spacing w:after="0" w:line="225" w:lineRule="exact"/>
        <w:rPr>
          <w:sz w:val="20"/>
          <w:szCs w:val="20"/>
          <w:color w:val="auto"/>
        </w:rPr>
      </w:pPr>
    </w:p>
    <w:p>
      <w:pPr>
        <w:ind w:left="440" w:hanging="437"/>
        <w:spacing w:after="0"/>
        <w:tabs>
          <w:tab w:leader="none" w:pos="44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Variable Interest Entity</w:t>
      </w:r>
    </w:p>
    <w:p>
      <w:pPr>
        <w:spacing w:after="0" w:line="228" w:lineRule="exact"/>
        <w:rPr>
          <w:sz w:val="20"/>
          <w:szCs w:val="20"/>
          <w:color w:val="auto"/>
        </w:rPr>
      </w:pPr>
    </w:p>
    <w:p>
      <w:pPr>
        <w:ind w:right="240" w:firstLine="619"/>
        <w:spacing w:after="0" w:line="278" w:lineRule="auto"/>
        <w:rPr>
          <w:sz w:val="20"/>
          <w:szCs w:val="20"/>
          <w:color w:val="auto"/>
        </w:rPr>
      </w:pPr>
      <w:r>
        <w:rPr>
          <w:rFonts w:ascii="Arial" w:cs="Arial" w:eastAsia="Arial" w:hAnsi="Arial"/>
          <w:sz w:val="14"/>
          <w:szCs w:val="14"/>
          <w:color w:val="auto"/>
        </w:rPr>
        <w:t>Assets of our variable interest in Moruga may only be used to settle its own liabilities and creditors of Moruga only have recourse for the liabilities of Moruga. A summary of these balances, which are wholly included in our condensed consolidated balance sheets,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5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April 30, 2024</w:t>
            </w:r>
          </w:p>
        </w:tc>
        <w:tc>
          <w:tcPr>
            <w:tcW w:w="5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2023</w:t>
            </w:r>
          </w:p>
        </w:tc>
      </w:tr>
      <w:tr>
        <w:trPr>
          <w:trHeight w:val="199"/>
        </w:trPr>
        <w:tc>
          <w:tcPr>
            <w:tcW w:w="4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Current assets</w:t>
            </w:r>
          </w:p>
        </w:tc>
        <w:tc>
          <w:tcPr>
            <w:tcW w:w="3580" w:type="dxa"/>
            <w:vAlign w:val="bottom"/>
            <w:tcBorders>
              <w:bottom w:val="single" w:sz="8" w:color="DBDBDB"/>
            </w:tcBorders>
            <w:shd w:val="clear" w:color="auto" w:fill="DBDBDB"/>
          </w:tcPr>
          <w:p>
            <w:pPr>
              <w:jc w:val="right"/>
              <w:ind w:right="291"/>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DBDBDB"/>
            </w:tcBorders>
            <w:shd w:val="clear" w:color="auto" w:fill="DBDBDB"/>
          </w:tcPr>
          <w:p>
            <w:pPr>
              <w:jc w:val="right"/>
              <w:ind w:right="151"/>
              <w:spacing w:after="0"/>
              <w:rPr>
                <w:sz w:val="20"/>
                <w:szCs w:val="20"/>
                <w:color w:val="auto"/>
              </w:rPr>
            </w:pPr>
            <w:r>
              <w:rPr>
                <w:rFonts w:ascii="Arial" w:cs="Arial" w:eastAsia="Arial" w:hAnsi="Arial"/>
                <w:sz w:val="14"/>
                <w:szCs w:val="14"/>
                <w:color w:val="auto"/>
              </w:rPr>
              <w:t>18.7</w:t>
            </w:r>
          </w:p>
        </w:tc>
        <w:tc>
          <w:tcPr>
            <w:tcW w:w="50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30.0</w:t>
            </w:r>
          </w:p>
        </w:tc>
      </w:tr>
      <w:tr>
        <w:trPr>
          <w:trHeight w:val="199"/>
        </w:trPr>
        <w:tc>
          <w:tcPr>
            <w:tcW w:w="4360" w:type="dxa"/>
            <w:vAlign w:val="bottom"/>
          </w:tcPr>
          <w:p>
            <w:pPr>
              <w:ind w:left="20"/>
              <w:spacing w:after="0"/>
              <w:rPr>
                <w:sz w:val="20"/>
                <w:szCs w:val="20"/>
                <w:color w:val="auto"/>
              </w:rPr>
            </w:pPr>
            <w:r>
              <w:rPr>
                <w:rFonts w:ascii="Arial" w:cs="Arial" w:eastAsia="Arial" w:hAnsi="Arial"/>
                <w:sz w:val="14"/>
                <w:szCs w:val="14"/>
                <w:color w:val="auto"/>
              </w:rPr>
              <w:t>Long-term assets</w:t>
            </w:r>
          </w:p>
        </w:tc>
        <w:tc>
          <w:tcPr>
            <w:tcW w:w="3580" w:type="dxa"/>
            <w:vAlign w:val="bottom"/>
          </w:tcPr>
          <w:p>
            <w:pPr>
              <w:spacing w:after="0"/>
              <w:rPr>
                <w:sz w:val="17"/>
                <w:szCs w:val="17"/>
                <w:color w:val="auto"/>
              </w:rPr>
            </w:pPr>
          </w:p>
        </w:tc>
        <w:tc>
          <w:tcPr>
            <w:tcW w:w="1420" w:type="dxa"/>
            <w:vAlign w:val="bottom"/>
          </w:tcPr>
          <w:p>
            <w:pPr>
              <w:jc w:val="right"/>
              <w:ind w:right="151"/>
              <w:spacing w:after="0"/>
              <w:rPr>
                <w:sz w:val="20"/>
                <w:szCs w:val="20"/>
                <w:color w:val="auto"/>
              </w:rPr>
            </w:pPr>
            <w:r>
              <w:rPr>
                <w:rFonts w:ascii="Arial" w:cs="Arial" w:eastAsia="Arial" w:hAnsi="Arial"/>
                <w:sz w:val="14"/>
                <w:szCs w:val="14"/>
                <w:color w:val="auto"/>
              </w:rPr>
              <w:t>70.7</w:t>
            </w:r>
          </w:p>
        </w:tc>
        <w:tc>
          <w:tcPr>
            <w:tcW w:w="5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69.9</w:t>
            </w:r>
          </w:p>
        </w:tc>
      </w:tr>
      <w:tr>
        <w:trPr>
          <w:trHeight w:val="20"/>
        </w:trPr>
        <w:tc>
          <w:tcPr>
            <w:tcW w:w="43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9"/>
        </w:trPr>
        <w:tc>
          <w:tcPr>
            <w:tcW w:w="4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Current liabilities</w:t>
            </w:r>
          </w:p>
        </w:tc>
        <w:tc>
          <w:tcPr>
            <w:tcW w:w="3580" w:type="dxa"/>
            <w:vAlign w:val="bottom"/>
            <w:tcBorders>
              <w:bottom w:val="single" w:sz="8" w:color="DBDBDB"/>
            </w:tcBorders>
            <w:shd w:val="clear" w:color="auto" w:fill="DBDBDB"/>
          </w:tcPr>
          <w:p>
            <w:pPr>
              <w:spacing w:after="0"/>
              <w:rPr>
                <w:sz w:val="17"/>
                <w:szCs w:val="17"/>
                <w:color w:val="auto"/>
              </w:rPr>
            </w:pPr>
          </w:p>
        </w:tc>
        <w:tc>
          <w:tcPr>
            <w:tcW w:w="1420" w:type="dxa"/>
            <w:vAlign w:val="bottom"/>
            <w:tcBorders>
              <w:bottom w:val="single" w:sz="8" w:color="DBDBDB"/>
            </w:tcBorders>
            <w:shd w:val="clear" w:color="auto" w:fill="DBDBDB"/>
          </w:tcPr>
          <w:p>
            <w:pPr>
              <w:jc w:val="right"/>
              <w:ind w:right="151"/>
              <w:spacing w:after="0"/>
              <w:rPr>
                <w:sz w:val="20"/>
                <w:szCs w:val="20"/>
                <w:color w:val="auto"/>
              </w:rPr>
            </w:pPr>
            <w:r>
              <w:rPr>
                <w:rFonts w:ascii="Arial" w:cs="Arial" w:eastAsia="Arial" w:hAnsi="Arial"/>
                <w:sz w:val="14"/>
                <w:szCs w:val="14"/>
                <w:color w:val="auto"/>
              </w:rPr>
              <w:t>10.4</w:t>
            </w:r>
          </w:p>
        </w:tc>
        <w:tc>
          <w:tcPr>
            <w:tcW w:w="500" w:type="dxa"/>
            <w:vAlign w:val="bottom"/>
            <w:tcBorders>
              <w:bottom w:val="single" w:sz="8" w:color="DBDBDB"/>
            </w:tcBorders>
            <w:shd w:val="clear" w:color="auto" w:fill="DBDBDB"/>
          </w:tcPr>
          <w:p>
            <w:pPr>
              <w:spacing w:after="0"/>
              <w:rPr>
                <w:sz w:val="17"/>
                <w:szCs w:val="17"/>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17.0</w:t>
            </w:r>
          </w:p>
        </w:tc>
      </w:tr>
      <w:tr>
        <w:trPr>
          <w:trHeight w:val="199"/>
        </w:trPr>
        <w:tc>
          <w:tcPr>
            <w:tcW w:w="4360" w:type="dxa"/>
            <w:vAlign w:val="bottom"/>
          </w:tcPr>
          <w:p>
            <w:pPr>
              <w:ind w:left="20"/>
              <w:spacing w:after="0"/>
              <w:rPr>
                <w:sz w:val="20"/>
                <w:szCs w:val="20"/>
                <w:color w:val="auto"/>
              </w:rPr>
            </w:pPr>
            <w:r>
              <w:rPr>
                <w:rFonts w:ascii="Arial" w:cs="Arial" w:eastAsia="Arial" w:hAnsi="Arial"/>
                <w:sz w:val="14"/>
                <w:szCs w:val="14"/>
                <w:color w:val="auto"/>
              </w:rPr>
              <w:t>Long-term liabilities</w:t>
            </w:r>
          </w:p>
        </w:tc>
        <w:tc>
          <w:tcPr>
            <w:tcW w:w="3580" w:type="dxa"/>
            <w:vAlign w:val="bottom"/>
          </w:tcPr>
          <w:p>
            <w:pPr>
              <w:spacing w:after="0"/>
              <w:rPr>
                <w:sz w:val="17"/>
                <w:szCs w:val="17"/>
                <w:color w:val="auto"/>
              </w:rPr>
            </w:pPr>
          </w:p>
        </w:tc>
        <w:tc>
          <w:tcPr>
            <w:tcW w:w="1420" w:type="dxa"/>
            <w:vAlign w:val="bottom"/>
          </w:tcPr>
          <w:p>
            <w:pPr>
              <w:jc w:val="right"/>
              <w:ind w:right="151"/>
              <w:spacing w:after="0"/>
              <w:rPr>
                <w:sz w:val="20"/>
                <w:szCs w:val="20"/>
                <w:color w:val="auto"/>
              </w:rPr>
            </w:pPr>
            <w:r>
              <w:rPr>
                <w:rFonts w:ascii="Arial" w:cs="Arial" w:eastAsia="Arial" w:hAnsi="Arial"/>
                <w:sz w:val="14"/>
                <w:szCs w:val="14"/>
                <w:color w:val="auto"/>
              </w:rPr>
              <w:t>24.9</w:t>
            </w:r>
          </w:p>
        </w:tc>
        <w:tc>
          <w:tcPr>
            <w:tcW w:w="5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25.4</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ind w:left="380" w:hanging="377"/>
        <w:spacing w:after="0"/>
        <w:tabs>
          <w:tab w:leader="none" w:pos="38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Credit facility</w:t>
      </w:r>
    </w:p>
    <w:p>
      <w:pPr>
        <w:spacing w:after="0" w:line="23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Long-term debt under our syndicated credit facility with Bank of America (“BoA”) Merrill Lynch consisted of the following:</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2024</w:t>
            </w: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2023</w:t>
            </w:r>
          </w:p>
        </w:tc>
      </w:tr>
      <w:tr>
        <w:trPr>
          <w:trHeight w:val="170"/>
        </w:trPr>
        <w:tc>
          <w:tcPr>
            <w:tcW w:w="7680" w:type="dxa"/>
            <w:vAlign w:val="bottom"/>
            <w:shd w:val="clear" w:color="auto" w:fill="DBDBDB"/>
          </w:tcPr>
          <w:p>
            <w:pPr>
              <w:ind w:left="20"/>
              <w:spacing w:after="0"/>
              <w:rPr>
                <w:sz w:val="20"/>
                <w:szCs w:val="20"/>
                <w:color w:val="auto"/>
              </w:rPr>
            </w:pPr>
            <w:r>
              <w:rPr>
                <w:rFonts w:ascii="Arial" w:cs="Arial" w:eastAsia="Arial" w:hAnsi="Arial"/>
                <w:sz w:val="14"/>
                <w:szCs w:val="14"/>
                <w:color w:val="auto"/>
                <w:w w:val="99"/>
              </w:rPr>
              <w:t>Revolving line of credit. The interest rate is variable, based on SOFR plus a spread that varies with the Company’s leverage</w:t>
            </w:r>
          </w:p>
        </w:tc>
        <w:tc>
          <w:tcPr>
            <w:tcW w:w="560" w:type="dxa"/>
            <w:vAlign w:val="bottom"/>
            <w:shd w:val="clear" w:color="auto" w:fill="DBDBDB"/>
          </w:tcPr>
          <w:p>
            <w:pPr>
              <w:jc w:val="right"/>
              <w:ind w:right="271"/>
              <w:spacing w:after="0"/>
              <w:rPr>
                <w:sz w:val="20"/>
                <w:szCs w:val="20"/>
                <w:color w:val="auto"/>
              </w:rPr>
            </w:pPr>
            <w:r>
              <w:rPr>
                <w:rFonts w:ascii="Arial" w:cs="Arial" w:eastAsia="Arial" w:hAnsi="Arial"/>
                <w:sz w:val="14"/>
                <w:szCs w:val="14"/>
                <w:color w:val="auto"/>
              </w:rPr>
              <w:t>$</w:t>
            </w:r>
          </w:p>
        </w:tc>
        <w:tc>
          <w:tcPr>
            <w:tcW w:w="1280" w:type="dxa"/>
            <w:vAlign w:val="bottom"/>
            <w:shd w:val="clear" w:color="auto" w:fill="DBDBDB"/>
          </w:tcPr>
          <w:p>
            <w:pPr>
              <w:jc w:val="right"/>
              <w:ind w:right="31"/>
              <w:spacing w:after="0"/>
              <w:rPr>
                <w:sz w:val="20"/>
                <w:szCs w:val="20"/>
                <w:color w:val="auto"/>
              </w:rPr>
            </w:pPr>
            <w:r>
              <w:rPr>
                <w:rFonts w:ascii="Arial" w:cs="Arial" w:eastAsia="Arial" w:hAnsi="Arial"/>
                <w:sz w:val="14"/>
                <w:szCs w:val="14"/>
                <w:color w:val="auto"/>
              </w:rPr>
              <w:t>75.0</w:t>
            </w:r>
          </w:p>
        </w:tc>
        <w:tc>
          <w:tcPr>
            <w:tcW w:w="380" w:type="dxa"/>
            <w:vAlign w:val="bottom"/>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55.0</w:t>
            </w:r>
          </w:p>
        </w:tc>
      </w:tr>
      <w:tr>
        <w:trPr>
          <w:trHeight w:val="168"/>
        </w:trPr>
        <w:tc>
          <w:tcPr>
            <w:tcW w:w="7680" w:type="dxa"/>
            <w:vAlign w:val="bottom"/>
            <w:shd w:val="clear" w:color="auto" w:fill="DBDBDB"/>
          </w:tcPr>
          <w:p>
            <w:pPr>
              <w:ind w:left="20"/>
              <w:spacing w:after="0"/>
              <w:rPr>
                <w:sz w:val="20"/>
                <w:szCs w:val="20"/>
                <w:color w:val="auto"/>
              </w:rPr>
            </w:pPr>
            <w:r>
              <w:rPr>
                <w:rFonts w:ascii="Arial" w:cs="Arial" w:eastAsia="Arial" w:hAnsi="Arial"/>
                <w:sz w:val="14"/>
                <w:szCs w:val="14"/>
                <w:color w:val="auto"/>
              </w:rPr>
              <w:t>ratio. As of April 30, 2024 and October 31, 2023, the interest rate was 7.42% and 7.42%, respectively. Interest is payable</w:t>
            </w:r>
          </w:p>
        </w:tc>
        <w:tc>
          <w:tcPr>
            <w:tcW w:w="56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340" w:type="dxa"/>
            <w:vAlign w:val="bottom"/>
            <w:shd w:val="clear" w:color="auto" w:fill="DBDBDB"/>
          </w:tcPr>
          <w:p>
            <w:pPr>
              <w:spacing w:after="0"/>
              <w:rPr>
                <w:sz w:val="14"/>
                <w:szCs w:val="14"/>
                <w:color w:val="auto"/>
              </w:rPr>
            </w:pPr>
          </w:p>
        </w:tc>
      </w:tr>
      <w:tr>
        <w:trPr>
          <w:trHeight w:val="181"/>
        </w:trPr>
        <w:tc>
          <w:tcPr>
            <w:tcW w:w="7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monthly and principal is due in full in October 2027</w:t>
            </w:r>
          </w:p>
        </w:tc>
        <w:tc>
          <w:tcPr>
            <w:tcW w:w="56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c>
          <w:tcPr>
            <w:tcW w:w="380" w:type="dxa"/>
            <w:vAlign w:val="bottom"/>
            <w:tcBorders>
              <w:bottom w:val="single" w:sz="8" w:color="DBDBDB"/>
            </w:tcBorders>
            <w:shd w:val="clear" w:color="auto" w:fill="DBDBDB"/>
          </w:tcPr>
          <w:p>
            <w:pPr>
              <w:spacing w:after="0"/>
              <w:rPr>
                <w:sz w:val="15"/>
                <w:szCs w:val="15"/>
                <w:color w:val="auto"/>
              </w:rPr>
            </w:pPr>
          </w:p>
        </w:tc>
        <w:tc>
          <w:tcPr>
            <w:tcW w:w="1340" w:type="dxa"/>
            <w:vAlign w:val="bottom"/>
            <w:tcBorders>
              <w:bottom w:val="single" w:sz="8" w:color="DBDBDB"/>
            </w:tcBorders>
            <w:shd w:val="clear" w:color="auto" w:fill="DBDBDB"/>
          </w:tcPr>
          <w:p>
            <w:pPr>
              <w:spacing w:after="0"/>
              <w:rPr>
                <w:sz w:val="15"/>
                <w:szCs w:val="15"/>
                <w:color w:val="auto"/>
              </w:rPr>
            </w:pPr>
          </w:p>
        </w:tc>
      </w:tr>
      <w:tr>
        <w:trPr>
          <w:trHeight w:val="173"/>
        </w:trPr>
        <w:tc>
          <w:tcPr>
            <w:tcW w:w="7680" w:type="dxa"/>
            <w:vAlign w:val="bottom"/>
          </w:tcPr>
          <w:p>
            <w:pPr>
              <w:ind w:left="20"/>
              <w:spacing w:after="0"/>
              <w:rPr>
                <w:sz w:val="20"/>
                <w:szCs w:val="20"/>
                <w:color w:val="auto"/>
              </w:rPr>
            </w:pPr>
            <w:r>
              <w:rPr>
                <w:rFonts w:ascii="Arial" w:cs="Arial" w:eastAsia="Arial" w:hAnsi="Arial"/>
                <w:sz w:val="14"/>
                <w:szCs w:val="14"/>
                <w:color w:val="auto"/>
              </w:rPr>
              <w:t>Senior term loan (A-1). The interest rate is variable, based on SOFR plus a spread that varies with the Company’s leverage</w:t>
            </w:r>
          </w:p>
        </w:tc>
        <w:tc>
          <w:tcPr>
            <w:tcW w:w="560" w:type="dxa"/>
            <w:vAlign w:val="bottom"/>
          </w:tcPr>
          <w:p>
            <w:pPr>
              <w:spacing w:after="0"/>
              <w:rPr>
                <w:sz w:val="15"/>
                <w:szCs w:val="15"/>
                <w:color w:val="auto"/>
              </w:rPr>
            </w:pPr>
          </w:p>
        </w:tc>
        <w:tc>
          <w:tcPr>
            <w:tcW w:w="1280" w:type="dxa"/>
            <w:vAlign w:val="bottom"/>
          </w:tcPr>
          <w:p>
            <w:pPr>
              <w:jc w:val="right"/>
              <w:ind w:right="31"/>
              <w:spacing w:after="0"/>
              <w:rPr>
                <w:sz w:val="20"/>
                <w:szCs w:val="20"/>
                <w:color w:val="auto"/>
              </w:rPr>
            </w:pPr>
            <w:r>
              <w:rPr>
                <w:rFonts w:ascii="Arial" w:cs="Arial" w:eastAsia="Arial" w:hAnsi="Arial"/>
                <w:sz w:val="14"/>
                <w:szCs w:val="14"/>
                <w:color w:val="auto"/>
              </w:rPr>
              <w:t>46.3</w:t>
            </w: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47.5</w:t>
            </w:r>
          </w:p>
        </w:tc>
      </w:tr>
      <w:tr>
        <w:trPr>
          <w:trHeight w:val="168"/>
        </w:trPr>
        <w:tc>
          <w:tcPr>
            <w:tcW w:w="7680" w:type="dxa"/>
            <w:vAlign w:val="bottom"/>
          </w:tcPr>
          <w:p>
            <w:pPr>
              <w:ind w:left="20"/>
              <w:spacing w:after="0"/>
              <w:rPr>
                <w:sz w:val="20"/>
                <w:szCs w:val="20"/>
                <w:color w:val="auto"/>
              </w:rPr>
            </w:pPr>
            <w:r>
              <w:rPr>
                <w:rFonts w:ascii="Arial" w:cs="Arial" w:eastAsia="Arial" w:hAnsi="Arial"/>
                <w:sz w:val="14"/>
                <w:szCs w:val="14"/>
                <w:color w:val="auto"/>
              </w:rPr>
              <w:t>ratio. As of April 30, 2024 and October 31, 2023, the interest rate was 7.42% and 7.42%, respectively. Interest is payable</w:t>
            </w: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80"/>
        </w:trPr>
        <w:tc>
          <w:tcPr>
            <w:tcW w:w="7680" w:type="dxa"/>
            <w:vAlign w:val="bottom"/>
          </w:tcPr>
          <w:p>
            <w:pPr>
              <w:ind w:left="20"/>
              <w:spacing w:after="0"/>
              <w:rPr>
                <w:sz w:val="20"/>
                <w:szCs w:val="20"/>
                <w:color w:val="auto"/>
              </w:rPr>
            </w:pPr>
            <w:r>
              <w:rPr>
                <w:rFonts w:ascii="Arial" w:cs="Arial" w:eastAsia="Arial" w:hAnsi="Arial"/>
                <w:sz w:val="14"/>
                <w:szCs w:val="14"/>
                <w:color w:val="auto"/>
              </w:rPr>
              <w:t>monthly, principal is payable quarterly and due in full in October 2027.</w:t>
            </w: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
        </w:trPr>
        <w:tc>
          <w:tcPr>
            <w:tcW w:w="7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3"/>
        </w:trPr>
        <w:tc>
          <w:tcPr>
            <w:tcW w:w="7680" w:type="dxa"/>
            <w:vAlign w:val="bottom"/>
            <w:shd w:val="clear" w:color="auto" w:fill="DBDBDB"/>
          </w:tcPr>
          <w:p>
            <w:pPr>
              <w:ind w:left="20"/>
              <w:spacing w:after="0"/>
              <w:rPr>
                <w:sz w:val="20"/>
                <w:szCs w:val="20"/>
                <w:color w:val="auto"/>
              </w:rPr>
            </w:pPr>
            <w:r>
              <w:rPr>
                <w:rFonts w:ascii="Arial" w:cs="Arial" w:eastAsia="Arial" w:hAnsi="Arial"/>
                <w:sz w:val="14"/>
                <w:szCs w:val="14"/>
                <w:color w:val="auto"/>
              </w:rPr>
              <w:t>Senior term loan (A-2). The interest rate is variable, based on SOFR plus a spread that varies with the Company’s leverage</w:t>
            </w:r>
          </w:p>
        </w:tc>
        <w:tc>
          <w:tcPr>
            <w:tcW w:w="560" w:type="dxa"/>
            <w:vAlign w:val="bottom"/>
            <w:shd w:val="clear" w:color="auto" w:fill="DBDBDB"/>
          </w:tcPr>
          <w:p>
            <w:pPr>
              <w:spacing w:after="0"/>
              <w:rPr>
                <w:sz w:val="15"/>
                <w:szCs w:val="15"/>
                <w:color w:val="auto"/>
              </w:rPr>
            </w:pPr>
          </w:p>
        </w:tc>
        <w:tc>
          <w:tcPr>
            <w:tcW w:w="1280" w:type="dxa"/>
            <w:vAlign w:val="bottom"/>
            <w:shd w:val="clear" w:color="auto" w:fill="DBDBDB"/>
          </w:tcPr>
          <w:p>
            <w:pPr>
              <w:jc w:val="right"/>
              <w:ind w:right="31"/>
              <w:spacing w:after="0"/>
              <w:rPr>
                <w:sz w:val="20"/>
                <w:szCs w:val="20"/>
                <w:color w:val="auto"/>
              </w:rPr>
            </w:pPr>
            <w:r>
              <w:rPr>
                <w:rFonts w:ascii="Arial" w:cs="Arial" w:eastAsia="Arial" w:hAnsi="Arial"/>
                <w:sz w:val="14"/>
                <w:szCs w:val="14"/>
                <w:color w:val="auto"/>
              </w:rPr>
              <w:t>49.2</w:t>
            </w:r>
          </w:p>
        </w:tc>
        <w:tc>
          <w:tcPr>
            <w:tcW w:w="38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49.5</w:t>
            </w:r>
          </w:p>
        </w:tc>
      </w:tr>
      <w:tr>
        <w:trPr>
          <w:trHeight w:val="168"/>
        </w:trPr>
        <w:tc>
          <w:tcPr>
            <w:tcW w:w="7680" w:type="dxa"/>
            <w:vAlign w:val="bottom"/>
            <w:shd w:val="clear" w:color="auto" w:fill="DBDBDB"/>
          </w:tcPr>
          <w:p>
            <w:pPr>
              <w:ind w:left="20"/>
              <w:spacing w:after="0"/>
              <w:rPr>
                <w:sz w:val="20"/>
                <w:szCs w:val="20"/>
                <w:color w:val="auto"/>
              </w:rPr>
            </w:pPr>
            <w:r>
              <w:rPr>
                <w:rFonts w:ascii="Arial" w:cs="Arial" w:eastAsia="Arial" w:hAnsi="Arial"/>
                <w:sz w:val="14"/>
                <w:szCs w:val="14"/>
                <w:color w:val="auto"/>
              </w:rPr>
              <w:t>ratio. As of April 30, 2024 and October 31, 2023, the interest rate was 7.67% and 7.67% respectively. Interest is payable</w:t>
            </w:r>
          </w:p>
        </w:tc>
        <w:tc>
          <w:tcPr>
            <w:tcW w:w="56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340" w:type="dxa"/>
            <w:vAlign w:val="bottom"/>
            <w:shd w:val="clear" w:color="auto" w:fill="DBDBDB"/>
          </w:tcPr>
          <w:p>
            <w:pPr>
              <w:spacing w:after="0"/>
              <w:rPr>
                <w:sz w:val="14"/>
                <w:szCs w:val="14"/>
                <w:color w:val="auto"/>
              </w:rPr>
            </w:pPr>
          </w:p>
        </w:tc>
      </w:tr>
      <w:tr>
        <w:trPr>
          <w:trHeight w:val="181"/>
        </w:trPr>
        <w:tc>
          <w:tcPr>
            <w:tcW w:w="7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monthly, principal is payable quarterly and due in full in October 2029.</w:t>
            </w:r>
          </w:p>
        </w:tc>
        <w:tc>
          <w:tcPr>
            <w:tcW w:w="56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c>
          <w:tcPr>
            <w:tcW w:w="380" w:type="dxa"/>
            <w:vAlign w:val="bottom"/>
            <w:tcBorders>
              <w:bottom w:val="single" w:sz="8" w:color="DBDBDB"/>
            </w:tcBorders>
            <w:shd w:val="clear" w:color="auto" w:fill="DBDBDB"/>
          </w:tcPr>
          <w:p>
            <w:pPr>
              <w:spacing w:after="0"/>
              <w:rPr>
                <w:sz w:val="15"/>
                <w:szCs w:val="15"/>
                <w:color w:val="auto"/>
              </w:rPr>
            </w:pPr>
          </w:p>
        </w:tc>
        <w:tc>
          <w:tcPr>
            <w:tcW w:w="1340" w:type="dxa"/>
            <w:vAlign w:val="bottom"/>
            <w:tcBorders>
              <w:bottom w:val="single" w:sz="8" w:color="DBDBDB"/>
            </w:tcBorders>
            <w:shd w:val="clear" w:color="auto" w:fill="DBDBDB"/>
          </w:tcPr>
          <w:p>
            <w:pPr>
              <w:spacing w:after="0"/>
              <w:rPr>
                <w:sz w:val="15"/>
                <w:szCs w:val="15"/>
                <w:color w:val="auto"/>
              </w:rPr>
            </w:pPr>
          </w:p>
        </w:tc>
      </w:tr>
      <w:tr>
        <w:trPr>
          <w:trHeight w:val="173"/>
        </w:trPr>
        <w:tc>
          <w:tcPr>
            <w:tcW w:w="7680" w:type="dxa"/>
            <w:vAlign w:val="bottom"/>
          </w:tcPr>
          <w:p>
            <w:pPr>
              <w:ind w:left="20"/>
              <w:spacing w:after="0"/>
              <w:rPr>
                <w:sz w:val="20"/>
                <w:szCs w:val="20"/>
                <w:color w:val="auto"/>
              </w:rPr>
            </w:pPr>
            <w:r>
              <w:rPr>
                <w:rFonts w:ascii="Arial" w:cs="Arial" w:eastAsia="Arial" w:hAnsi="Arial"/>
                <w:sz w:val="14"/>
                <w:szCs w:val="14"/>
                <w:color w:val="auto"/>
              </w:rPr>
              <w:t>Note payable to BoA. Payable in monthly installments including interest at a rate of 3.96% as of both April 30, 2024 and</w:t>
            </w:r>
          </w:p>
        </w:tc>
        <w:tc>
          <w:tcPr>
            <w:tcW w:w="560" w:type="dxa"/>
            <w:vAlign w:val="bottom"/>
          </w:tcPr>
          <w:p>
            <w:pPr>
              <w:spacing w:after="0"/>
              <w:rPr>
                <w:sz w:val="15"/>
                <w:szCs w:val="15"/>
                <w:color w:val="auto"/>
              </w:rPr>
            </w:pPr>
          </w:p>
        </w:tc>
        <w:tc>
          <w:tcPr>
            <w:tcW w:w="1280" w:type="dxa"/>
            <w:vAlign w:val="bottom"/>
          </w:tcPr>
          <w:p>
            <w:pPr>
              <w:jc w:val="right"/>
              <w:ind w:right="31"/>
              <w:spacing w:after="0"/>
              <w:rPr>
                <w:sz w:val="20"/>
                <w:szCs w:val="20"/>
                <w:color w:val="auto"/>
              </w:rPr>
            </w:pPr>
            <w:r>
              <w:rPr>
                <w:rFonts w:ascii="Arial" w:cs="Arial" w:eastAsia="Arial" w:hAnsi="Arial"/>
                <w:sz w:val="14"/>
                <w:szCs w:val="14"/>
                <w:color w:val="auto"/>
              </w:rPr>
              <w:t>0.1</w:t>
            </w: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180"/>
        </w:trPr>
        <w:tc>
          <w:tcPr>
            <w:tcW w:w="7680" w:type="dxa"/>
            <w:vAlign w:val="bottom"/>
          </w:tcPr>
          <w:p>
            <w:pPr>
              <w:ind w:left="20"/>
              <w:spacing w:after="0"/>
              <w:rPr>
                <w:sz w:val="20"/>
                <w:szCs w:val="20"/>
                <w:color w:val="auto"/>
              </w:rPr>
            </w:pPr>
            <w:r>
              <w:rPr>
                <w:rFonts w:ascii="Arial" w:cs="Arial" w:eastAsia="Arial" w:hAnsi="Arial"/>
                <w:sz w:val="14"/>
                <w:szCs w:val="14"/>
                <w:color w:val="auto"/>
              </w:rPr>
              <w:t>October 31, 2023. Principal is due July 2024.</w:t>
            </w: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3"/>
        </w:trPr>
        <w:tc>
          <w:tcPr>
            <w:tcW w:w="7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2"/>
        </w:trPr>
        <w:tc>
          <w:tcPr>
            <w:tcW w:w="7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long-term debt</w:t>
            </w:r>
          </w:p>
        </w:tc>
        <w:tc>
          <w:tcPr>
            <w:tcW w:w="560" w:type="dxa"/>
            <w:vAlign w:val="bottom"/>
            <w:tcBorders>
              <w:bottom w:val="single" w:sz="8" w:color="DBDBDB"/>
            </w:tcBorders>
            <w:shd w:val="clear" w:color="auto" w:fill="DBDBDB"/>
          </w:tcPr>
          <w:p>
            <w:pPr>
              <w:spacing w:after="0"/>
              <w:rPr>
                <w:sz w:val="16"/>
                <w:szCs w:val="16"/>
                <w:color w:val="auto"/>
              </w:rPr>
            </w:pPr>
          </w:p>
        </w:tc>
        <w:tc>
          <w:tcPr>
            <w:tcW w:w="128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170.6</w:t>
            </w:r>
          </w:p>
        </w:tc>
        <w:tc>
          <w:tcPr>
            <w:tcW w:w="380" w:type="dxa"/>
            <w:vAlign w:val="bottom"/>
            <w:tcBorders>
              <w:bottom w:val="single" w:sz="8" w:color="DBDBDB"/>
            </w:tcBorders>
            <w:shd w:val="clear" w:color="auto" w:fill="DBDBDB"/>
          </w:tcPr>
          <w:p>
            <w:pPr>
              <w:spacing w:after="0"/>
              <w:rPr>
                <w:sz w:val="16"/>
                <w:szCs w:val="16"/>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152.4</w:t>
            </w:r>
          </w:p>
        </w:tc>
      </w:tr>
      <w:tr>
        <w:trPr>
          <w:trHeight w:val="199"/>
        </w:trPr>
        <w:tc>
          <w:tcPr>
            <w:tcW w:w="7680" w:type="dxa"/>
            <w:vAlign w:val="bottom"/>
          </w:tcPr>
          <w:p>
            <w:pPr>
              <w:ind w:left="20"/>
              <w:spacing w:after="0"/>
              <w:rPr>
                <w:sz w:val="20"/>
                <w:szCs w:val="20"/>
                <w:color w:val="auto"/>
              </w:rPr>
            </w:pPr>
            <w:r>
              <w:rPr>
                <w:rFonts w:ascii="Arial" w:cs="Arial" w:eastAsia="Arial" w:hAnsi="Arial"/>
                <w:sz w:val="14"/>
                <w:szCs w:val="14"/>
                <w:color w:val="auto"/>
              </w:rPr>
              <w:t>Less debt issuance costs</w:t>
            </w:r>
          </w:p>
        </w:tc>
        <w:tc>
          <w:tcPr>
            <w:tcW w:w="5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(0.4)</w:t>
            </w: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0"/>
        </w:trPr>
        <w:tc>
          <w:tcPr>
            <w:tcW w:w="7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2"/>
        </w:trPr>
        <w:tc>
          <w:tcPr>
            <w:tcW w:w="7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Long-term debt, net of debt issuance costs</w:t>
            </w:r>
          </w:p>
        </w:tc>
        <w:tc>
          <w:tcPr>
            <w:tcW w:w="560" w:type="dxa"/>
            <w:vAlign w:val="bottom"/>
            <w:tcBorders>
              <w:bottom w:val="single" w:sz="8" w:color="DBDBDB"/>
            </w:tcBorders>
            <w:shd w:val="clear" w:color="auto" w:fill="DBDBDB"/>
          </w:tcPr>
          <w:p>
            <w:pPr>
              <w:spacing w:after="0"/>
              <w:rPr>
                <w:sz w:val="16"/>
                <w:szCs w:val="16"/>
                <w:color w:val="auto"/>
              </w:rPr>
            </w:pPr>
          </w:p>
        </w:tc>
        <w:tc>
          <w:tcPr>
            <w:tcW w:w="128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170.2</w:t>
            </w:r>
          </w:p>
        </w:tc>
        <w:tc>
          <w:tcPr>
            <w:tcW w:w="380" w:type="dxa"/>
            <w:vAlign w:val="bottom"/>
            <w:tcBorders>
              <w:bottom w:val="single" w:sz="8" w:color="DBDBDB"/>
            </w:tcBorders>
            <w:shd w:val="clear" w:color="auto" w:fill="DBDBDB"/>
          </w:tcPr>
          <w:p>
            <w:pPr>
              <w:spacing w:after="0"/>
              <w:rPr>
                <w:sz w:val="16"/>
                <w:szCs w:val="16"/>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152.0</w:t>
            </w:r>
          </w:p>
        </w:tc>
      </w:tr>
      <w:tr>
        <w:trPr>
          <w:trHeight w:val="199"/>
        </w:trPr>
        <w:tc>
          <w:tcPr>
            <w:tcW w:w="7680" w:type="dxa"/>
            <w:vAlign w:val="bottom"/>
          </w:tcPr>
          <w:p>
            <w:pPr>
              <w:ind w:left="20"/>
              <w:spacing w:after="0"/>
              <w:rPr>
                <w:sz w:val="20"/>
                <w:szCs w:val="20"/>
                <w:color w:val="auto"/>
              </w:rPr>
            </w:pPr>
            <w:r>
              <w:rPr>
                <w:rFonts w:ascii="Arial" w:cs="Arial" w:eastAsia="Arial" w:hAnsi="Arial"/>
                <w:sz w:val="14"/>
                <w:szCs w:val="14"/>
                <w:color w:val="auto"/>
              </w:rPr>
              <w:t>Less current portion of long-term debt</w:t>
            </w:r>
          </w:p>
        </w:tc>
        <w:tc>
          <w:tcPr>
            <w:tcW w:w="5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w:t>
            </w: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0"/>
        </w:trPr>
        <w:tc>
          <w:tcPr>
            <w:tcW w:w="7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2"/>
        </w:trPr>
        <w:tc>
          <w:tcPr>
            <w:tcW w:w="7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Long-term debt, net of current portion</w:t>
            </w:r>
          </w:p>
        </w:tc>
        <w:tc>
          <w:tcPr>
            <w:tcW w:w="56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167.1</w:t>
            </w:r>
          </w:p>
        </w:tc>
        <w:tc>
          <w:tcPr>
            <w:tcW w:w="38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148.6</w:t>
            </w:r>
          </w:p>
        </w:tc>
      </w:tr>
      <w:tr>
        <w:trPr>
          <w:trHeight w:val="20"/>
        </w:trPr>
        <w:tc>
          <w:tcPr>
            <w:tcW w:w="7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120" w:firstLine="619"/>
        <w:spacing w:after="0" w:line="264" w:lineRule="auto"/>
        <w:rPr>
          <w:sz w:val="20"/>
          <w:szCs w:val="20"/>
          <w:color w:val="auto"/>
        </w:rPr>
      </w:pPr>
      <w:r>
        <w:rPr>
          <w:rFonts w:ascii="Arial" w:cs="Arial" w:eastAsia="Arial" w:hAnsi="Arial"/>
          <w:sz w:val="14"/>
          <w:szCs w:val="14"/>
          <w:color w:val="auto"/>
        </w:rPr>
        <w:t>The credit facility requires the Company to comply with financial and other covenants, including limitations on investments, capital expenditures, dividend payments, amounts and types of liens and indebtedness, and material asset sales. The Company is also required to maintain certain leverage and fixed charge coverage ratios. As of April 30, 2024, the Company was in compliance with all financial covenants of the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w:t>
      </w:r>
    </w:p>
    <w:p>
      <w:pPr>
        <w:spacing w:after="0" w:line="221" w:lineRule="exact"/>
        <w:rPr>
          <w:sz w:val="20"/>
          <w:szCs w:val="20"/>
          <w:color w:val="auto"/>
        </w:rPr>
      </w:pPr>
    </w:p>
    <w:p>
      <w:pPr>
        <w:ind w:right="40" w:firstLine="619"/>
        <w:spacing w:after="0" w:line="293" w:lineRule="auto"/>
        <w:rPr>
          <w:sz w:val="20"/>
          <w:szCs w:val="20"/>
          <w:color w:val="auto"/>
        </w:rPr>
      </w:pPr>
      <w:r>
        <w:rPr>
          <w:rFonts w:ascii="Arial" w:cs="Arial" w:eastAsia="Arial" w:hAnsi="Arial"/>
          <w:sz w:val="13"/>
          <w:szCs w:val="13"/>
          <w:color w:val="auto"/>
        </w:rPr>
        <w:t>Certain of our consolidated subsidiaries may also enter into short-term bank borrowings from time to time. As of April 30, 2024,zero short-term borrowings were outstanding and as of October 31, 2023, $2.8 million were outstanding with a weighted average variable interest rate of 10.46%. Our Blueberries business also obtains loans from shareholders from time to time, which accrue interest at rates ranging from 5.0 to 6.5%. Amounts outstanding as of April 30, 2024 are expected to be repaid by the end of fiscal 2026.</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Company may issue standby letters of credit through banking institutions. As of April 30, 2024, total letters of credit outstanding were $0.7 million.</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rate swaps</w:t>
      </w:r>
    </w:p>
    <w:p>
      <w:pPr>
        <w:spacing w:after="0" w:line="234" w:lineRule="exact"/>
        <w:rPr>
          <w:sz w:val="20"/>
          <w:szCs w:val="20"/>
          <w:color w:val="auto"/>
        </w:rPr>
      </w:pPr>
    </w:p>
    <w:p>
      <w:pPr>
        <w:ind w:firstLine="619"/>
        <w:spacing w:after="0" w:line="248" w:lineRule="auto"/>
        <w:rPr>
          <w:sz w:val="20"/>
          <w:szCs w:val="20"/>
          <w:color w:val="auto"/>
        </w:rPr>
      </w:pPr>
      <w:r>
        <w:rPr>
          <w:rFonts w:ascii="Arial" w:cs="Arial" w:eastAsia="Arial" w:hAnsi="Arial"/>
          <w:sz w:val="14"/>
          <w:szCs w:val="14"/>
          <w:color w:val="auto"/>
        </w:rPr>
        <w:t>From time to time, the Company may enter into interest rate swap contracts to hedge changes in variable interest rates on the principal value of the Company’s term loans. We account for interest rate swaps in accordance with ASC 815, Derivatives and Hedging, as amended, which requires the recognition of all derivative instruments as either assets or liabilities in the condensed consolidated balance sheets and measurement of those instruments at fair value. The Company did not designate the interest rate swaps as cash flow hedges, and as a result under the accounting guidance, changes in the fair value of the interest rate swaps were recorded in other income (expense), net in the condensed consolidated statements of income (loss) and changes in the assets are presented in net cash provided by (used in) operating activities in the condensed consolidated statements of cash flow. As of April 30, 2024, no interest rate swaps were outstanding. As of October 31, 2023, a notional amount of $25 million was outstanding, carrying a fixed SOFR rate of 2.3%. Refer to Note 9 for more details.</w:t>
      </w:r>
    </w:p>
    <w:p>
      <w:pPr>
        <w:spacing w:after="0" w:line="229" w:lineRule="exact"/>
        <w:rPr>
          <w:sz w:val="20"/>
          <w:szCs w:val="20"/>
          <w:color w:val="auto"/>
        </w:rPr>
      </w:pPr>
    </w:p>
    <w:p>
      <w:pPr>
        <w:ind w:left="440" w:hanging="437"/>
        <w:spacing w:after="0"/>
        <w:tabs>
          <w:tab w:leader="none" w:pos="44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Litigation</w:t>
      </w:r>
    </w:p>
    <w:p>
      <w:pPr>
        <w:spacing w:after="0" w:line="23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Company is involved from time to time in claims, proceedings, and litigation, including the following:</w:t>
      </w:r>
    </w:p>
    <w:p>
      <w:pPr>
        <w:spacing w:after="0" w:line="200" w:lineRule="exact"/>
        <w:rPr>
          <w:sz w:val="20"/>
          <w:szCs w:val="20"/>
          <w:color w:val="auto"/>
        </w:rPr>
      </w:pPr>
    </w:p>
    <w:p>
      <w:pPr>
        <w:ind w:right="20" w:firstLine="619"/>
        <w:spacing w:after="0" w:line="251" w:lineRule="auto"/>
        <w:rPr>
          <w:sz w:val="20"/>
          <w:szCs w:val="20"/>
          <w:color w:val="auto"/>
        </w:rPr>
      </w:pPr>
      <w:r>
        <w:rPr>
          <w:rFonts w:ascii="Arial" w:cs="Arial" w:eastAsia="Arial" w:hAnsi="Arial"/>
          <w:sz w:val="14"/>
          <w:szCs w:val="14"/>
          <w:color w:val="auto"/>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seek damages primarily consisting of class certification and payment of wages earned and owed, plus other consequential and special damages. While the Company believes that it did not violate any wage or labor laws, in May 2021, the plaintiffs in both class action lawsuits and the Company agreed to settle the class action cases. Per the terms of the settlement agreement between the parties, the total amount of the settlement is $1.5 million. A final approval hearing is scheduled for June 2024.</w:t>
      </w:r>
    </w:p>
    <w:p>
      <w:pPr>
        <w:spacing w:after="0" w:line="188" w:lineRule="exact"/>
        <w:rPr>
          <w:sz w:val="20"/>
          <w:szCs w:val="20"/>
          <w:color w:val="auto"/>
        </w:rPr>
      </w:pPr>
    </w:p>
    <w:p>
      <w:pPr>
        <w:ind w:right="320" w:firstLine="619"/>
        <w:spacing w:after="0" w:line="264" w:lineRule="auto"/>
        <w:rPr>
          <w:sz w:val="20"/>
          <w:szCs w:val="20"/>
          <w:color w:val="auto"/>
        </w:rPr>
      </w:pPr>
      <w:r>
        <w:rPr>
          <w:rFonts w:ascii="Arial" w:cs="Arial" w:eastAsia="Arial" w:hAnsi="Arial"/>
          <w:sz w:val="14"/>
          <w:szCs w:val="14"/>
          <w:color w:val="auto"/>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pacing w:after="0" w:line="205" w:lineRule="exact"/>
        <w:rPr>
          <w:sz w:val="20"/>
          <w:szCs w:val="20"/>
          <w:color w:val="auto"/>
        </w:rPr>
      </w:pPr>
    </w:p>
    <w:p>
      <w:pPr>
        <w:ind w:left="380" w:hanging="377"/>
        <w:spacing w:after="0"/>
        <w:tabs>
          <w:tab w:leader="none" w:pos="38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28" w:lineRule="exact"/>
        <w:rPr>
          <w:sz w:val="20"/>
          <w:szCs w:val="20"/>
          <w:color w:val="auto"/>
        </w:rPr>
      </w:pPr>
    </w:p>
    <w:p>
      <w:pPr>
        <w:ind w:right="60" w:firstLine="619"/>
        <w:spacing w:after="0" w:line="264" w:lineRule="auto"/>
        <w:rPr>
          <w:sz w:val="20"/>
          <w:szCs w:val="20"/>
          <w:color w:val="auto"/>
        </w:rPr>
      </w:pPr>
      <w:r>
        <w:rPr>
          <w:rFonts w:ascii="Arial" w:cs="Arial" w:eastAsia="Arial" w:hAnsi="Arial"/>
          <w:sz w:val="14"/>
          <w:szCs w:val="14"/>
          <w:color w:val="auto"/>
        </w:rPr>
        <w:t>The provision for income tax recorded for the three and six months ended April 30, 2024 and 2023 differs from the income taxes expected at the U.S. federal statutory tax rate of 21.0%, primarily due to income attributable to foreign jurisdictions which is taxed at different rates, changes in foreign exchange rates taxable in foreign jurisdictions, state taxes, nondeductible tax items and changes in uncertain tax positions (“UTP”).</w:t>
      </w:r>
    </w:p>
    <w:p>
      <w:pPr>
        <w:spacing w:after="0" w:line="178" w:lineRule="exact"/>
        <w:rPr>
          <w:sz w:val="20"/>
          <w:szCs w:val="20"/>
          <w:color w:val="auto"/>
        </w:rPr>
      </w:pPr>
    </w:p>
    <w:p>
      <w:pPr>
        <w:ind w:right="200" w:firstLine="619"/>
        <w:spacing w:after="0" w:line="254" w:lineRule="auto"/>
        <w:rPr>
          <w:sz w:val="20"/>
          <w:szCs w:val="20"/>
          <w:color w:val="auto"/>
        </w:rPr>
      </w:pPr>
      <w:r>
        <w:rPr>
          <w:rFonts w:ascii="Arial" w:cs="Arial" w:eastAsia="Arial" w:hAnsi="Arial"/>
          <w:sz w:val="14"/>
          <w:szCs w:val="14"/>
          <w:color w:val="auto"/>
        </w:rPr>
        <w:t>As of April 30, 2024, the Company had $18.3 million accrued in UTP on income taxes, of which $10.1 million relates to interest and penalties, inclusive of inflationary adjustments. The period for assessing interest and penalties has expired. However, the Company continues to record certain statutory adjustments related to inflation. Changes in the UTP related to changes in foreign exchange rates during the period are included in other income (expense), net in the condensed consolidated statements of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80" w:hanging="377"/>
        <w:spacing w:after="0"/>
        <w:tabs>
          <w:tab w:leader="none" w:pos="38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Financial assets measured and recorded at fair value on a recurring basis included in the condensed consolidated balance sheets were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3"/>
          </w:tcPr>
          <w:p>
            <w:pPr>
              <w:jc w:val="right"/>
              <w:ind w:right="877"/>
              <w:spacing w:after="0"/>
              <w:rPr>
                <w:sz w:val="20"/>
                <w:szCs w:val="20"/>
                <w:color w:val="auto"/>
              </w:rPr>
            </w:pPr>
            <w:r>
              <w:rPr>
                <w:rFonts w:ascii="Arial" w:cs="Arial" w:eastAsia="Arial" w:hAnsi="Arial"/>
                <w:sz w:val="14"/>
                <w:szCs w:val="14"/>
                <w:b w:val="1"/>
                <w:bCs w:val="1"/>
                <w:color w:val="auto"/>
              </w:rPr>
              <w:t>April 30, 2024</w:t>
            </w:r>
          </w:p>
        </w:tc>
        <w:tc>
          <w:tcPr>
            <w:tcW w:w="10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3"/>
          </w:tcPr>
          <w:p>
            <w:pPr>
              <w:jc w:val="right"/>
              <w:ind w:right="777"/>
              <w:spacing w:after="0"/>
              <w:rPr>
                <w:sz w:val="20"/>
                <w:szCs w:val="20"/>
                <w:color w:val="auto"/>
              </w:rPr>
            </w:pPr>
            <w:r>
              <w:rPr>
                <w:rFonts w:ascii="Arial" w:cs="Arial" w:eastAsia="Arial" w:hAnsi="Arial"/>
                <w:sz w:val="14"/>
                <w:szCs w:val="14"/>
                <w:b w:val="1"/>
                <w:bCs w:val="1"/>
                <w:color w:val="auto"/>
              </w:rPr>
              <w:t>October 31, 2023</w:t>
            </w:r>
          </w:p>
        </w:tc>
        <w:tc>
          <w:tcPr>
            <w:tcW w:w="1000" w:type="dxa"/>
            <w:vAlign w:val="bottom"/>
            <w:tcBorders>
              <w:bottom w:val="single" w:sz="8" w:color="auto"/>
            </w:tcBorders>
          </w:tcPr>
          <w:p>
            <w:pPr>
              <w:spacing w:after="0"/>
              <w:rPr>
                <w:sz w:val="17"/>
                <w:szCs w:val="17"/>
                <w:color w:val="auto"/>
              </w:rPr>
            </w:pPr>
          </w:p>
        </w:tc>
      </w:tr>
      <w:tr>
        <w:trPr>
          <w:trHeight w:val="150"/>
        </w:trPr>
        <w:tc>
          <w:tcPr>
            <w:tcW w:w="1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jc w:val="right"/>
              <w:ind w:right="317"/>
              <w:spacing w:after="0"/>
              <w:rPr>
                <w:sz w:val="20"/>
                <w:szCs w:val="20"/>
                <w:color w:val="auto"/>
              </w:rPr>
            </w:pPr>
            <w:r>
              <w:rPr>
                <w:rFonts w:ascii="Arial" w:cs="Arial" w:eastAsia="Arial" w:hAnsi="Arial"/>
                <w:sz w:val="12"/>
                <w:szCs w:val="12"/>
                <w:b w:val="1"/>
                <w:bCs w:val="1"/>
                <w:color w:val="auto"/>
              </w:rPr>
              <w:t>Significant</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jc w:val="right"/>
              <w:ind w:right="337"/>
              <w:spacing w:after="0"/>
              <w:rPr>
                <w:sz w:val="20"/>
                <w:szCs w:val="20"/>
                <w:color w:val="auto"/>
              </w:rPr>
            </w:pPr>
            <w:r>
              <w:rPr>
                <w:rFonts w:ascii="Arial" w:cs="Arial" w:eastAsia="Arial" w:hAnsi="Arial"/>
                <w:sz w:val="12"/>
                <w:szCs w:val="12"/>
                <w:b w:val="1"/>
                <w:bCs w:val="1"/>
                <w:color w:val="auto"/>
              </w:rPr>
              <w:t>Significant</w:t>
            </w:r>
          </w:p>
        </w:tc>
        <w:tc>
          <w:tcPr>
            <w:tcW w:w="1000" w:type="dxa"/>
            <w:vAlign w:val="bottom"/>
          </w:tcPr>
          <w:p>
            <w:pPr>
              <w:spacing w:after="0"/>
              <w:rPr>
                <w:sz w:val="13"/>
                <w:szCs w:val="13"/>
                <w:color w:val="auto"/>
              </w:rPr>
            </w:pPr>
          </w:p>
        </w:tc>
      </w:tr>
      <w:tr>
        <w:trPr>
          <w:trHeight w:val="142"/>
        </w:trPr>
        <w:tc>
          <w:tcPr>
            <w:tcW w:w="1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Quoted Prices</w:t>
            </w:r>
          </w:p>
        </w:tc>
        <w:tc>
          <w:tcPr>
            <w:tcW w:w="340" w:type="dxa"/>
            <w:vAlign w:val="bottom"/>
          </w:tcPr>
          <w:p>
            <w:pPr>
              <w:spacing w:after="0"/>
              <w:rPr>
                <w:sz w:val="12"/>
                <w:szCs w:val="12"/>
                <w:color w:val="auto"/>
              </w:rPr>
            </w:pPr>
          </w:p>
        </w:tc>
        <w:tc>
          <w:tcPr>
            <w:tcW w:w="1240" w:type="dxa"/>
            <w:vAlign w:val="bottom"/>
          </w:tcPr>
          <w:p>
            <w:pPr>
              <w:jc w:val="right"/>
              <w:ind w:right="317"/>
              <w:spacing w:after="0"/>
              <w:rPr>
                <w:sz w:val="20"/>
                <w:szCs w:val="20"/>
                <w:color w:val="auto"/>
              </w:rPr>
            </w:pPr>
            <w:r>
              <w:rPr>
                <w:rFonts w:ascii="Arial" w:cs="Arial" w:eastAsia="Arial" w:hAnsi="Arial"/>
                <w:sz w:val="12"/>
                <w:szCs w:val="12"/>
                <w:b w:val="1"/>
                <w:bCs w:val="1"/>
                <w:color w:val="auto"/>
              </w:rPr>
              <w:t>Other</w:t>
            </w:r>
          </w:p>
        </w:tc>
        <w:tc>
          <w:tcPr>
            <w:tcW w:w="11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Significant</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Quoted Prices</w:t>
            </w:r>
          </w:p>
        </w:tc>
        <w:tc>
          <w:tcPr>
            <w:tcW w:w="340" w:type="dxa"/>
            <w:vAlign w:val="bottom"/>
          </w:tcPr>
          <w:p>
            <w:pPr>
              <w:spacing w:after="0"/>
              <w:rPr>
                <w:sz w:val="12"/>
                <w:szCs w:val="12"/>
                <w:color w:val="auto"/>
              </w:rPr>
            </w:pPr>
          </w:p>
        </w:tc>
        <w:tc>
          <w:tcPr>
            <w:tcW w:w="1260" w:type="dxa"/>
            <w:vAlign w:val="bottom"/>
          </w:tcPr>
          <w:p>
            <w:pPr>
              <w:jc w:val="right"/>
              <w:ind w:right="337"/>
              <w:spacing w:after="0"/>
              <w:rPr>
                <w:sz w:val="20"/>
                <w:szCs w:val="20"/>
                <w:color w:val="auto"/>
              </w:rPr>
            </w:pPr>
            <w:r>
              <w:rPr>
                <w:rFonts w:ascii="Arial" w:cs="Arial" w:eastAsia="Arial" w:hAnsi="Arial"/>
                <w:sz w:val="12"/>
                <w:szCs w:val="12"/>
                <w:b w:val="1"/>
                <w:bCs w:val="1"/>
                <w:color w:val="auto"/>
              </w:rPr>
              <w:t>Other</w:t>
            </w: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Significant</w:t>
            </w:r>
          </w:p>
        </w:tc>
      </w:tr>
      <w:tr>
        <w:trPr>
          <w:trHeight w:val="155"/>
        </w:trPr>
        <w:tc>
          <w:tcPr>
            <w:tcW w:w="1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in Active</w:t>
            </w:r>
          </w:p>
        </w:tc>
        <w:tc>
          <w:tcPr>
            <w:tcW w:w="340" w:type="dxa"/>
            <w:vAlign w:val="bottom"/>
          </w:tcPr>
          <w:p>
            <w:pPr>
              <w:spacing w:after="0"/>
              <w:rPr>
                <w:sz w:val="13"/>
                <w:szCs w:val="13"/>
                <w:color w:val="auto"/>
              </w:rPr>
            </w:pPr>
          </w:p>
        </w:tc>
        <w:tc>
          <w:tcPr>
            <w:tcW w:w="1240" w:type="dxa"/>
            <w:vAlign w:val="bottom"/>
          </w:tcPr>
          <w:p>
            <w:pPr>
              <w:jc w:val="right"/>
              <w:ind w:right="317"/>
              <w:spacing w:after="0"/>
              <w:rPr>
                <w:sz w:val="20"/>
                <w:szCs w:val="20"/>
                <w:color w:val="auto"/>
              </w:rPr>
            </w:pPr>
            <w:r>
              <w:rPr>
                <w:rFonts w:ascii="Arial" w:cs="Arial" w:eastAsia="Arial" w:hAnsi="Arial"/>
                <w:sz w:val="12"/>
                <w:szCs w:val="12"/>
                <w:b w:val="1"/>
                <w:bCs w:val="1"/>
                <w:color w:val="auto"/>
              </w:rPr>
              <w:t>Observable</w:t>
            </w:r>
          </w:p>
        </w:tc>
        <w:tc>
          <w:tcPr>
            <w:tcW w:w="11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Unobservable</w:t>
            </w: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in Active</w:t>
            </w:r>
          </w:p>
        </w:tc>
        <w:tc>
          <w:tcPr>
            <w:tcW w:w="340" w:type="dxa"/>
            <w:vAlign w:val="bottom"/>
          </w:tcPr>
          <w:p>
            <w:pPr>
              <w:spacing w:after="0"/>
              <w:rPr>
                <w:sz w:val="13"/>
                <w:szCs w:val="13"/>
                <w:color w:val="auto"/>
              </w:rPr>
            </w:pPr>
          </w:p>
        </w:tc>
        <w:tc>
          <w:tcPr>
            <w:tcW w:w="1260" w:type="dxa"/>
            <w:vAlign w:val="bottom"/>
          </w:tcPr>
          <w:p>
            <w:pPr>
              <w:jc w:val="right"/>
              <w:ind w:right="337"/>
              <w:spacing w:after="0"/>
              <w:rPr>
                <w:sz w:val="20"/>
                <w:szCs w:val="20"/>
                <w:color w:val="auto"/>
              </w:rPr>
            </w:pPr>
            <w:r>
              <w:rPr>
                <w:rFonts w:ascii="Arial" w:cs="Arial" w:eastAsia="Arial" w:hAnsi="Arial"/>
                <w:sz w:val="12"/>
                <w:szCs w:val="12"/>
                <w:b w:val="1"/>
                <w:bCs w:val="1"/>
                <w:color w:val="auto"/>
              </w:rPr>
              <w:t>Observable</w:t>
            </w: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Unobservable</w:t>
            </w:r>
          </w:p>
        </w:tc>
      </w:tr>
      <w:tr>
        <w:trPr>
          <w:trHeight w:val="142"/>
        </w:trPr>
        <w:tc>
          <w:tcPr>
            <w:tcW w:w="1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Markets</w:t>
            </w:r>
          </w:p>
        </w:tc>
        <w:tc>
          <w:tcPr>
            <w:tcW w:w="340" w:type="dxa"/>
            <w:vAlign w:val="bottom"/>
          </w:tcPr>
          <w:p>
            <w:pPr>
              <w:spacing w:after="0"/>
              <w:rPr>
                <w:sz w:val="12"/>
                <w:szCs w:val="12"/>
                <w:color w:val="auto"/>
              </w:rPr>
            </w:pPr>
          </w:p>
        </w:tc>
        <w:tc>
          <w:tcPr>
            <w:tcW w:w="1240" w:type="dxa"/>
            <w:vAlign w:val="bottom"/>
          </w:tcPr>
          <w:p>
            <w:pPr>
              <w:jc w:val="right"/>
              <w:ind w:right="317"/>
              <w:spacing w:after="0"/>
              <w:rPr>
                <w:sz w:val="20"/>
                <w:szCs w:val="20"/>
                <w:color w:val="auto"/>
              </w:rPr>
            </w:pPr>
            <w:r>
              <w:rPr>
                <w:rFonts w:ascii="Arial" w:cs="Arial" w:eastAsia="Arial" w:hAnsi="Arial"/>
                <w:sz w:val="12"/>
                <w:szCs w:val="12"/>
                <w:b w:val="1"/>
                <w:bCs w:val="1"/>
                <w:color w:val="auto"/>
              </w:rPr>
              <w:t>Inputs</w:t>
            </w:r>
          </w:p>
        </w:tc>
        <w:tc>
          <w:tcPr>
            <w:tcW w:w="11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Inputs</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16"/>
              <w:spacing w:after="0"/>
              <w:rPr>
                <w:sz w:val="20"/>
                <w:szCs w:val="20"/>
                <w:color w:val="auto"/>
              </w:rPr>
            </w:pPr>
            <w:r>
              <w:rPr>
                <w:rFonts w:ascii="Arial" w:cs="Arial" w:eastAsia="Arial" w:hAnsi="Arial"/>
                <w:sz w:val="12"/>
                <w:szCs w:val="12"/>
                <w:b w:val="1"/>
                <w:bCs w:val="1"/>
                <w:color w:val="auto"/>
              </w:rPr>
              <w:t>Markets</w:t>
            </w:r>
          </w:p>
        </w:tc>
        <w:tc>
          <w:tcPr>
            <w:tcW w:w="340" w:type="dxa"/>
            <w:vAlign w:val="bottom"/>
          </w:tcPr>
          <w:p>
            <w:pPr>
              <w:spacing w:after="0"/>
              <w:rPr>
                <w:sz w:val="12"/>
                <w:szCs w:val="12"/>
                <w:color w:val="auto"/>
              </w:rPr>
            </w:pPr>
          </w:p>
        </w:tc>
        <w:tc>
          <w:tcPr>
            <w:tcW w:w="1260" w:type="dxa"/>
            <w:vAlign w:val="bottom"/>
          </w:tcPr>
          <w:p>
            <w:pPr>
              <w:jc w:val="right"/>
              <w:ind w:right="337"/>
              <w:spacing w:after="0"/>
              <w:rPr>
                <w:sz w:val="20"/>
                <w:szCs w:val="20"/>
                <w:color w:val="auto"/>
              </w:rPr>
            </w:pPr>
            <w:r>
              <w:rPr>
                <w:rFonts w:ascii="Arial" w:cs="Arial" w:eastAsia="Arial" w:hAnsi="Arial"/>
                <w:sz w:val="12"/>
                <w:szCs w:val="12"/>
                <w:b w:val="1"/>
                <w:bCs w:val="1"/>
                <w:color w:val="auto"/>
              </w:rPr>
              <w:t>Inputs</w:t>
            </w: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Inputs</w:t>
            </w:r>
          </w:p>
        </w:tc>
      </w:tr>
      <w:tr>
        <w:trPr>
          <w:trHeight w:val="179"/>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(In millions)</w:t>
            </w:r>
          </w:p>
        </w:tc>
        <w:tc>
          <w:tcPr>
            <w:tcW w:w="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1)</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17"/>
              <w:spacing w:after="0"/>
              <w:rPr>
                <w:sz w:val="20"/>
                <w:szCs w:val="20"/>
                <w:color w:val="auto"/>
              </w:rPr>
            </w:pPr>
            <w:r>
              <w:rPr>
                <w:rFonts w:ascii="Arial" w:cs="Arial" w:eastAsia="Arial" w:hAnsi="Arial"/>
                <w:sz w:val="12"/>
                <w:szCs w:val="12"/>
                <w:b w:val="1"/>
                <w:bCs w:val="1"/>
                <w:color w:val="auto"/>
              </w:rPr>
              <w:t>(Level 2)</w:t>
            </w: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2"/>
                <w:szCs w:val="12"/>
                <w:b w:val="1"/>
                <w:bCs w:val="1"/>
                <w:color w:val="auto"/>
              </w:rPr>
              <w:t>(Level 3)</w:t>
            </w:r>
          </w:p>
        </w:tc>
        <w:tc>
          <w:tcPr>
            <w:tcW w:w="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left="134"/>
              <w:spacing w:after="0"/>
              <w:rPr>
                <w:sz w:val="20"/>
                <w:szCs w:val="20"/>
                <w:color w:val="auto"/>
              </w:rPr>
            </w:pPr>
            <w:r>
              <w:rPr>
                <w:rFonts w:ascii="Arial" w:cs="Arial" w:eastAsia="Arial" w:hAnsi="Arial"/>
                <w:sz w:val="12"/>
                <w:szCs w:val="12"/>
                <w:b w:val="1"/>
                <w:bCs w:val="1"/>
                <w:color w:val="auto"/>
                <w:w w:val="97"/>
              </w:rPr>
              <w:t>Total</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1)</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37"/>
              <w:spacing w:after="0"/>
              <w:rPr>
                <w:sz w:val="20"/>
                <w:szCs w:val="20"/>
                <w:color w:val="auto"/>
              </w:rPr>
            </w:pPr>
            <w:r>
              <w:rPr>
                <w:rFonts w:ascii="Arial" w:cs="Arial" w:eastAsia="Arial" w:hAnsi="Arial"/>
                <w:sz w:val="12"/>
                <w:szCs w:val="12"/>
                <w:b w:val="1"/>
                <w:bCs w:val="1"/>
                <w:color w:val="auto"/>
              </w:rPr>
              <w:t>(Level 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3)</w:t>
            </w:r>
          </w:p>
        </w:tc>
      </w:tr>
      <w:tr>
        <w:trPr>
          <w:trHeight w:val="219"/>
        </w:trPr>
        <w:tc>
          <w:tcPr>
            <w:tcW w:w="148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Assets</w:t>
            </w:r>
          </w:p>
        </w:tc>
        <w:tc>
          <w:tcPr>
            <w:tcW w:w="36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r>
      <w:tr>
        <w:trPr>
          <w:trHeight w:val="199"/>
        </w:trPr>
        <w:tc>
          <w:tcPr>
            <w:tcW w:w="1480" w:type="dxa"/>
            <w:vAlign w:val="bottom"/>
          </w:tcPr>
          <w:p>
            <w:pPr>
              <w:ind w:left="20"/>
              <w:spacing w:after="0"/>
              <w:rPr>
                <w:sz w:val="20"/>
                <w:szCs w:val="20"/>
                <w:color w:val="auto"/>
              </w:rPr>
            </w:pPr>
            <w:r>
              <w:rPr>
                <w:rFonts w:ascii="Arial" w:cs="Arial" w:eastAsia="Arial" w:hAnsi="Arial"/>
                <w:sz w:val="14"/>
                <w:szCs w:val="14"/>
                <w:color w:val="auto"/>
              </w:rPr>
              <w:t>Mutual funds</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4"/>
              <w:spacing w:after="0"/>
              <w:rPr>
                <w:sz w:val="20"/>
                <w:szCs w:val="20"/>
                <w:color w:val="auto"/>
              </w:rPr>
            </w:pPr>
            <w:r>
              <w:rPr>
                <w:rFonts w:ascii="Arial" w:cs="Arial" w:eastAsia="Arial" w:hAnsi="Arial"/>
                <w:sz w:val="14"/>
                <w:szCs w:val="14"/>
                <w:color w:val="auto"/>
              </w:rPr>
              <w:t>1.8</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6"/>
              <w:spacing w:after="0"/>
              <w:rPr>
                <w:sz w:val="20"/>
                <w:szCs w:val="20"/>
                <w:color w:val="auto"/>
              </w:rPr>
            </w:pPr>
            <w:r>
              <w:rPr>
                <w:rFonts w:ascii="Arial" w:cs="Arial" w:eastAsia="Arial" w:hAnsi="Arial"/>
                <w:sz w:val="14"/>
                <w:szCs w:val="14"/>
                <w:color w:val="auto"/>
              </w:rPr>
              <w:t>1.8</w:t>
            </w:r>
          </w:p>
        </w:tc>
        <w:tc>
          <w:tcPr>
            <w:tcW w:w="3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240" w:type="dxa"/>
            <w:vAlign w:val="bottom"/>
          </w:tcPr>
          <w:p>
            <w:pPr>
              <w:ind w:left="660"/>
              <w:spacing w:after="0"/>
              <w:rPr>
                <w:sz w:val="20"/>
                <w:szCs w:val="20"/>
                <w:color w:val="auto"/>
              </w:rPr>
            </w:pPr>
            <w:r>
              <w:rPr>
                <w:rFonts w:ascii="Arial" w:cs="Arial" w:eastAsia="Arial" w:hAnsi="Arial"/>
                <w:sz w:val="14"/>
                <w:szCs w:val="14"/>
                <w:color w:val="auto"/>
              </w:rPr>
              <w:t>—  $</w:t>
            </w:r>
          </w:p>
        </w:tc>
        <w:tc>
          <w:tcPr>
            <w:tcW w:w="11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600" w:type="dxa"/>
            <w:vAlign w:val="bottom"/>
          </w:tcPr>
          <w:p>
            <w:pPr>
              <w:jc w:val="center"/>
              <w:ind w:left="114"/>
              <w:spacing w:after="0"/>
              <w:rPr>
                <w:sz w:val="20"/>
                <w:szCs w:val="20"/>
                <w:color w:val="auto"/>
              </w:rPr>
            </w:pPr>
            <w:r>
              <w:rPr>
                <w:rFonts w:ascii="Arial" w:cs="Arial" w:eastAsia="Arial" w:hAnsi="Arial"/>
                <w:sz w:val="14"/>
                <w:szCs w:val="14"/>
                <w:color w:val="auto"/>
                <w:w w:val="92"/>
              </w:rPr>
              <w:t>1.4</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6"/>
              <w:spacing w:after="0"/>
              <w:rPr>
                <w:sz w:val="20"/>
                <w:szCs w:val="20"/>
                <w:color w:val="auto"/>
              </w:rPr>
            </w:pPr>
            <w:r>
              <w:rPr>
                <w:rFonts w:ascii="Arial" w:cs="Arial" w:eastAsia="Arial" w:hAnsi="Arial"/>
                <w:sz w:val="14"/>
                <w:szCs w:val="14"/>
                <w:color w:val="auto"/>
              </w:rPr>
              <w:t>1.4</w:t>
            </w:r>
          </w:p>
        </w:tc>
        <w:tc>
          <w:tcPr>
            <w:tcW w:w="3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37"/>
              <w:spacing w:after="0"/>
              <w:rPr>
                <w:sz w:val="20"/>
                <w:szCs w:val="20"/>
                <w:color w:val="auto"/>
              </w:rPr>
            </w:pPr>
            <w:r>
              <w:rPr>
                <w:rFonts w:ascii="Arial" w:cs="Arial" w:eastAsia="Arial" w:hAnsi="Arial"/>
                <w:sz w:val="14"/>
                <w:szCs w:val="14"/>
                <w:color w:val="auto"/>
              </w:rPr>
              <w:t>—  $</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9"/>
        </w:trPr>
        <w:tc>
          <w:tcPr>
            <w:tcW w:w="1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Interest rate swap</w:t>
            </w:r>
          </w:p>
        </w:tc>
        <w:tc>
          <w:tcPr>
            <w:tcW w:w="36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right"/>
              <w:ind w:right="54"/>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jc w:val="right"/>
              <w:ind w:right="36"/>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7"/>
                <w:szCs w:val="17"/>
                <w:color w:val="auto"/>
              </w:rPr>
            </w:pPr>
          </w:p>
        </w:tc>
        <w:tc>
          <w:tcPr>
            <w:tcW w:w="1240" w:type="dxa"/>
            <w:vAlign w:val="bottom"/>
            <w:tcBorders>
              <w:bottom w:val="single" w:sz="8" w:color="DBDBDB"/>
            </w:tcBorders>
            <w:shd w:val="clear" w:color="auto" w:fill="DBDBDB"/>
          </w:tcPr>
          <w:p>
            <w:pPr>
              <w:ind w:left="66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BDBDB"/>
            </w:tcBorders>
            <w:gridSpan w:val="2"/>
            <w:shd w:val="clear" w:color="auto" w:fill="DBDBDB"/>
          </w:tcPr>
          <w:p>
            <w:pPr>
              <w:ind w:left="8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center"/>
              <w:ind w:left="114"/>
              <w:spacing w:after="0"/>
              <w:rPr>
                <w:sz w:val="20"/>
                <w:szCs w:val="20"/>
                <w:color w:val="auto"/>
              </w:rPr>
            </w:pPr>
            <w:r>
              <w:rPr>
                <w:rFonts w:ascii="Arial" w:cs="Arial" w:eastAsia="Arial" w:hAnsi="Arial"/>
                <w:sz w:val="14"/>
                <w:szCs w:val="14"/>
                <w:color w:val="auto"/>
                <w:w w:val="92"/>
              </w:rPr>
              <w:t>0.4</w:t>
            </w:r>
          </w:p>
        </w:tc>
        <w:tc>
          <w:tcPr>
            <w:tcW w:w="26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jc w:val="right"/>
              <w:ind w:right="36"/>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DBDBDB"/>
          </w:tcPr>
          <w:p>
            <w:pPr>
              <w:spacing w:after="0"/>
              <w:rPr>
                <w:sz w:val="17"/>
                <w:szCs w:val="17"/>
                <w:color w:val="auto"/>
              </w:rPr>
            </w:pPr>
          </w:p>
        </w:tc>
        <w:tc>
          <w:tcPr>
            <w:tcW w:w="1260" w:type="dxa"/>
            <w:vAlign w:val="bottom"/>
            <w:tcBorders>
              <w:bottom w:val="single" w:sz="8" w:color="DBDBDB"/>
            </w:tcBorders>
            <w:shd w:val="clear" w:color="auto" w:fill="DBDBDB"/>
          </w:tcPr>
          <w:p>
            <w:pPr>
              <w:jc w:val="right"/>
              <w:ind w:right="397"/>
              <w:spacing w:after="0"/>
              <w:rPr>
                <w:sz w:val="20"/>
                <w:szCs w:val="20"/>
                <w:color w:val="auto"/>
              </w:rPr>
            </w:pPr>
            <w:r>
              <w:rPr>
                <w:rFonts w:ascii="Arial" w:cs="Arial" w:eastAsia="Arial" w:hAnsi="Arial"/>
                <w:sz w:val="14"/>
                <w:szCs w:val="14"/>
                <w:color w:val="auto"/>
              </w:rPr>
              <w:t>0.4</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76" w:lineRule="exact"/>
        <w:rPr>
          <w:sz w:val="20"/>
          <w:szCs w:val="20"/>
          <w:color w:val="auto"/>
        </w:rPr>
      </w:pPr>
    </w:p>
    <w:p>
      <w:pPr>
        <w:ind w:left="620"/>
        <w:spacing w:after="0"/>
        <w:rPr>
          <w:sz w:val="20"/>
          <w:szCs w:val="20"/>
          <w:color w:val="auto"/>
        </w:rPr>
      </w:pPr>
      <w:r>
        <w:rPr>
          <w:rFonts w:ascii="Arial" w:cs="Arial" w:eastAsia="Arial" w:hAnsi="Arial"/>
          <w:sz w:val="14"/>
          <w:szCs w:val="14"/>
          <w:color w:val="auto"/>
        </w:rPr>
        <w:t>Our mutual fund investments relate to our deferred compensation plan, which are held in a Rabbi trust which is included in other assets in our consolidated balance sheets.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The funds are measured at quoted prices in active markets, which is equivalent to their fair value.</w:t>
      </w:r>
    </w:p>
    <w:p>
      <w:pPr>
        <w:spacing w:after="0" w:line="188" w:lineRule="exact"/>
        <w:rPr>
          <w:sz w:val="20"/>
          <w:szCs w:val="20"/>
          <w:color w:val="auto"/>
        </w:rPr>
      </w:pPr>
    </w:p>
    <w:p>
      <w:pPr>
        <w:ind w:right="80" w:firstLine="619"/>
        <w:spacing w:after="0" w:line="251" w:lineRule="auto"/>
        <w:rPr>
          <w:sz w:val="20"/>
          <w:szCs w:val="20"/>
          <w:color w:val="auto"/>
        </w:rPr>
      </w:pPr>
      <w:r>
        <w:rPr>
          <w:rFonts w:ascii="Arial" w:cs="Arial" w:eastAsia="Arial" w:hAnsi="Arial"/>
          <w:sz w:val="14"/>
          <w:szCs w:val="14"/>
          <w:color w:val="auto"/>
        </w:rPr>
        <w:t>The fair value of interest rate swaps is determined using widely accepted valuation techniques, including the discounted cash flow method. The analysis reflects the contractual terms of the swaps, including the period to maturity, and uses observable market-based inputs, including interest rate curves (“significant other observable inputs”). The fair value calculation also includes an amount for risk of non-performance using “significant unobservable inputs” such as estimates of current credit spreads to evaluate the likelihood of default. As of April 30, 2024, all interest rate swaps were fully matured. As of October 31, 2023, the Company had concluded the fair value associated with the “significant unobservable inputs” relating to the Company’s risk of non-performance was insignificant to the overall fair value of the interest rate swap agreements and, as a result, the Company determined that the relevant inputs for purposes of calculating the fair value of the interest rate swap agreements, in their entirety, were based upon “significant other observable inputs”. The assets associated with the interest rate swaps have been included in prepaid expenses and other current assets in the condensed consolidated balance sheets and gains and losses for the interest rate swaps have been included in other income (expense), net in the condensed consolidated statements of income (loss).</w:t>
      </w:r>
    </w:p>
    <w:p>
      <w:pPr>
        <w:spacing w:after="0" w:line="22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10.</w:t>
        <w:tab/>
        <w:t>Earnings Per Share</w:t>
      </w: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4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6"/>
        </w:trPr>
        <w:tc>
          <w:tcPr>
            <w:tcW w:w="47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391"/>
              <w:spacing w:after="0"/>
              <w:rPr>
                <w:sz w:val="20"/>
                <w:szCs w:val="20"/>
                <w:color w:val="auto"/>
              </w:rPr>
            </w:pPr>
            <w:r>
              <w:rPr>
                <w:rFonts w:ascii="Arial" w:cs="Arial" w:eastAsia="Arial" w:hAnsi="Arial"/>
                <w:sz w:val="14"/>
                <w:szCs w:val="14"/>
                <w:b w:val="1"/>
                <w:bCs w:val="1"/>
                <w:color w:val="auto"/>
              </w:rPr>
              <w:t>April 30,</w:t>
            </w:r>
          </w:p>
        </w:tc>
        <w:tc>
          <w:tcPr>
            <w:tcW w:w="8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jc w:val="right"/>
              <w:ind w:right="331"/>
              <w:spacing w:after="0"/>
              <w:rPr>
                <w:sz w:val="20"/>
                <w:szCs w:val="20"/>
                <w:color w:val="auto"/>
              </w:rPr>
            </w:pPr>
            <w:r>
              <w:rPr>
                <w:rFonts w:ascii="Arial" w:cs="Arial" w:eastAsia="Arial" w:hAnsi="Arial"/>
                <w:sz w:val="14"/>
                <w:szCs w:val="14"/>
                <w:b w:val="1"/>
                <w:bCs w:val="1"/>
                <w:color w:val="auto"/>
              </w:rPr>
              <w:t>April 30,</w:t>
            </w:r>
          </w:p>
        </w:tc>
        <w:tc>
          <w:tcPr>
            <w:tcW w:w="840" w:type="dxa"/>
            <w:vAlign w:val="bottom"/>
            <w:tcBorders>
              <w:bottom w:val="single" w:sz="8" w:color="auto"/>
            </w:tcBorders>
          </w:tcPr>
          <w:p>
            <w:pPr>
              <w:spacing w:after="0"/>
              <w:rPr>
                <w:sz w:val="17"/>
                <w:szCs w:val="17"/>
                <w:color w:val="auto"/>
              </w:rPr>
            </w:pPr>
          </w:p>
        </w:tc>
      </w:tr>
      <w:tr>
        <w:trPr>
          <w:trHeight w:val="212"/>
        </w:trPr>
        <w:tc>
          <w:tcPr>
            <w:tcW w:w="47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219"/>
        </w:trPr>
        <w:tc>
          <w:tcPr>
            <w:tcW w:w="478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Numerator:</w:t>
            </w:r>
          </w:p>
        </w:tc>
        <w:tc>
          <w:tcPr>
            <w:tcW w:w="4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199"/>
        </w:trPr>
        <w:tc>
          <w:tcPr>
            <w:tcW w:w="4780" w:type="dxa"/>
            <w:vAlign w:val="bottom"/>
          </w:tcPr>
          <w:p>
            <w:pPr>
              <w:ind w:left="20"/>
              <w:spacing w:after="0"/>
              <w:rPr>
                <w:sz w:val="20"/>
                <w:szCs w:val="20"/>
                <w:color w:val="auto"/>
              </w:rPr>
            </w:pPr>
            <w:r>
              <w:rPr>
                <w:rFonts w:ascii="Arial" w:cs="Arial" w:eastAsia="Arial" w:hAnsi="Arial"/>
                <w:sz w:val="14"/>
                <w:szCs w:val="14"/>
                <w:color w:val="auto"/>
              </w:rPr>
              <w:t>Net income (loss) attributable to Mission Produce (in millions)</w:t>
            </w: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7.0</w:t>
            </w:r>
          </w:p>
        </w:tc>
        <w:tc>
          <w:tcPr>
            <w:tcW w:w="740" w:type="dxa"/>
            <w:vAlign w:val="bottom"/>
          </w:tcPr>
          <w:p>
            <w:pPr>
              <w:jc w:val="right"/>
              <w:ind w:right="49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(4.6)</w:t>
            </w:r>
          </w:p>
        </w:tc>
        <w:tc>
          <w:tcPr>
            <w:tcW w:w="260" w:type="dxa"/>
            <w:vAlign w:val="bottom"/>
          </w:tcPr>
          <w:p>
            <w:pPr>
              <w:spacing w:after="0"/>
              <w:rPr>
                <w:sz w:val="17"/>
                <w:szCs w:val="17"/>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7.0</w:t>
            </w:r>
          </w:p>
        </w:tc>
        <w:tc>
          <w:tcPr>
            <w:tcW w:w="700" w:type="dxa"/>
            <w:vAlign w:val="bottom"/>
          </w:tcPr>
          <w:p>
            <w:pPr>
              <w:jc w:val="right"/>
              <w:ind w:right="43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2"/>
        </w:trPr>
        <w:tc>
          <w:tcPr>
            <w:tcW w:w="478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Denominator:</w:t>
            </w:r>
          </w:p>
        </w:tc>
        <w:tc>
          <w:tcPr>
            <w:tcW w:w="4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r>
      <w:tr>
        <w:trPr>
          <w:trHeight w:val="186"/>
        </w:trPr>
        <w:tc>
          <w:tcPr>
            <w:tcW w:w="4780" w:type="dxa"/>
            <w:vAlign w:val="bottom"/>
          </w:tcPr>
          <w:p>
            <w:pPr>
              <w:ind w:left="20"/>
              <w:spacing w:after="0"/>
              <w:rPr>
                <w:sz w:val="20"/>
                <w:szCs w:val="20"/>
                <w:color w:val="auto"/>
              </w:rPr>
            </w:pPr>
            <w:r>
              <w:rPr>
                <w:rFonts w:ascii="Arial" w:cs="Arial" w:eastAsia="Arial" w:hAnsi="Arial"/>
                <w:sz w:val="14"/>
                <w:szCs w:val="14"/>
                <w:color w:val="auto"/>
              </w:rPr>
              <w:t>Weighted average shares of common stock outstanding, used in computing</w:t>
            </w:r>
          </w:p>
        </w:tc>
        <w:tc>
          <w:tcPr>
            <w:tcW w:w="400" w:type="dxa"/>
            <w:vAlign w:val="bottom"/>
          </w:tcPr>
          <w:p>
            <w:pPr>
              <w:spacing w:after="0"/>
              <w:rPr>
                <w:sz w:val="16"/>
                <w:szCs w:val="16"/>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70,860,570</w:t>
            </w:r>
          </w:p>
        </w:tc>
        <w:tc>
          <w:tcPr>
            <w:tcW w:w="7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70,744,688</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70,810,249</w:t>
            </w:r>
          </w:p>
        </w:tc>
        <w:tc>
          <w:tcPr>
            <w:tcW w:w="7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70,716,273</w:t>
            </w:r>
          </w:p>
        </w:tc>
      </w:tr>
      <w:tr>
        <w:trPr>
          <w:trHeight w:val="180"/>
        </w:trPr>
        <w:tc>
          <w:tcPr>
            <w:tcW w:w="4780" w:type="dxa"/>
            <w:vAlign w:val="bottom"/>
          </w:tcPr>
          <w:p>
            <w:pPr>
              <w:ind w:left="180"/>
              <w:spacing w:after="0"/>
              <w:rPr>
                <w:sz w:val="20"/>
                <w:szCs w:val="20"/>
                <w:color w:val="auto"/>
              </w:rPr>
            </w:pPr>
            <w:r>
              <w:rPr>
                <w:rFonts w:ascii="Arial" w:cs="Arial" w:eastAsia="Arial" w:hAnsi="Arial"/>
                <w:sz w:val="14"/>
                <w:szCs w:val="14"/>
                <w:color w:val="auto"/>
              </w:rPr>
              <w:t>basic earnings per share</w:t>
            </w: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4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4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Effect of dilutive stock options</w:t>
            </w:r>
          </w:p>
        </w:tc>
        <w:tc>
          <w:tcPr>
            <w:tcW w:w="40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spacing w:after="0"/>
              <w:rPr>
                <w:sz w:val="17"/>
                <w:szCs w:val="17"/>
                <w:color w:val="auto"/>
              </w:rPr>
            </w:pPr>
          </w:p>
        </w:tc>
        <w:tc>
          <w:tcPr>
            <w:tcW w:w="1060" w:type="dxa"/>
            <w:vAlign w:val="bottom"/>
            <w:tcBorders>
              <w:bottom w:val="single" w:sz="8" w:color="DBDBDB"/>
            </w:tcBorders>
            <w:gridSpan w:val="2"/>
            <w:shd w:val="clear" w:color="auto" w:fill="DBDBDB"/>
          </w:tcPr>
          <w:p>
            <w:pPr>
              <w:jc w:val="right"/>
              <w:ind w:right="3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4780" w:type="dxa"/>
            <w:vAlign w:val="bottom"/>
          </w:tcPr>
          <w:p>
            <w:pPr>
              <w:ind w:left="20"/>
              <w:spacing w:after="0"/>
              <w:rPr>
                <w:sz w:val="20"/>
                <w:szCs w:val="20"/>
                <w:color w:val="auto"/>
              </w:rPr>
            </w:pPr>
            <w:r>
              <w:rPr>
                <w:rFonts w:ascii="Arial" w:cs="Arial" w:eastAsia="Arial" w:hAnsi="Arial"/>
                <w:sz w:val="14"/>
                <w:szCs w:val="14"/>
                <w:color w:val="auto"/>
              </w:rPr>
              <w:t>Effect of dilutive RSUs</w:t>
            </w:r>
          </w:p>
        </w:tc>
        <w:tc>
          <w:tcPr>
            <w:tcW w:w="40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142,993</w:t>
            </w:r>
          </w:p>
        </w:tc>
        <w:tc>
          <w:tcPr>
            <w:tcW w:w="740" w:type="dxa"/>
            <w:vAlign w:val="bottom"/>
          </w:tcPr>
          <w:p>
            <w:pPr>
              <w:spacing w:after="0"/>
              <w:rPr>
                <w:sz w:val="17"/>
                <w:szCs w:val="17"/>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149,467</w:t>
            </w:r>
          </w:p>
        </w:tc>
        <w:tc>
          <w:tcPr>
            <w:tcW w:w="7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9"/>
        </w:trPr>
        <w:tc>
          <w:tcPr>
            <w:tcW w:w="4780" w:type="dxa"/>
            <w:vAlign w:val="bottom"/>
            <w:shd w:val="clear" w:color="auto" w:fill="DBDBDB"/>
          </w:tcPr>
          <w:p>
            <w:pPr>
              <w:ind w:left="20"/>
              <w:spacing w:after="0"/>
              <w:rPr>
                <w:sz w:val="20"/>
                <w:szCs w:val="20"/>
                <w:color w:val="auto"/>
              </w:rPr>
            </w:pPr>
            <w:r>
              <w:rPr>
                <w:rFonts w:ascii="Arial" w:cs="Arial" w:eastAsia="Arial" w:hAnsi="Arial"/>
                <w:sz w:val="14"/>
                <w:szCs w:val="14"/>
                <w:color w:val="auto"/>
              </w:rPr>
              <w:t>Weighted average shares of common stock outstanding, used in computing</w:t>
            </w:r>
          </w:p>
        </w:tc>
        <w:tc>
          <w:tcPr>
            <w:tcW w:w="400" w:type="dxa"/>
            <w:vAlign w:val="bottom"/>
            <w:shd w:val="clear" w:color="auto" w:fill="DBDBDB"/>
          </w:tcPr>
          <w:p>
            <w:pPr>
              <w:spacing w:after="0"/>
              <w:rPr>
                <w:sz w:val="15"/>
                <w:szCs w:val="15"/>
                <w:color w:val="auto"/>
              </w:rPr>
            </w:pPr>
          </w:p>
        </w:tc>
        <w:tc>
          <w:tcPr>
            <w:tcW w:w="110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auto"/>
              </w:rPr>
              <w:t>71,003,563</w:t>
            </w:r>
          </w:p>
        </w:tc>
        <w:tc>
          <w:tcPr>
            <w:tcW w:w="74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70,744,688</w:t>
            </w:r>
          </w:p>
        </w:tc>
        <w:tc>
          <w:tcPr>
            <w:tcW w:w="26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10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auto"/>
              </w:rPr>
              <w:t>70,959,716</w:t>
            </w:r>
          </w:p>
        </w:tc>
        <w:tc>
          <w:tcPr>
            <w:tcW w:w="70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70,716,273</w:t>
            </w:r>
          </w:p>
        </w:tc>
      </w:tr>
      <w:tr>
        <w:trPr>
          <w:trHeight w:val="206"/>
        </w:trPr>
        <w:tc>
          <w:tcPr>
            <w:tcW w:w="478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rPr>
              <w:t>diluted earnings per share</w:t>
            </w:r>
          </w:p>
        </w:tc>
        <w:tc>
          <w:tcPr>
            <w:tcW w:w="40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DBDBDB"/>
            </w:tcBorders>
            <w:shd w:val="clear" w:color="auto" w:fill="DBDBDB"/>
          </w:tcPr>
          <w:p>
            <w:pPr>
              <w:spacing w:after="0"/>
              <w:rPr>
                <w:sz w:val="17"/>
                <w:szCs w:val="17"/>
                <w:color w:val="auto"/>
              </w:rPr>
            </w:pPr>
          </w:p>
        </w:tc>
        <w:tc>
          <w:tcPr>
            <w:tcW w:w="40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spacing w:after="0"/>
              <w:rPr>
                <w:sz w:val="17"/>
                <w:szCs w:val="17"/>
                <w:color w:val="auto"/>
              </w:rPr>
            </w:pPr>
          </w:p>
        </w:tc>
      </w:tr>
      <w:tr>
        <w:trPr>
          <w:trHeight w:val="192"/>
        </w:trPr>
        <w:tc>
          <w:tcPr>
            <w:tcW w:w="47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Earnings per share</w:t>
            </w:r>
          </w:p>
        </w:tc>
        <w:tc>
          <w:tcPr>
            <w:tcW w:w="4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r>
      <w:tr>
        <w:trPr>
          <w:trHeight w:val="20"/>
        </w:trPr>
        <w:tc>
          <w:tcPr>
            <w:tcW w:w="4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478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rPr>
              <w:t>Basic</w:t>
            </w:r>
          </w:p>
        </w:tc>
        <w:tc>
          <w:tcPr>
            <w:tcW w:w="400" w:type="dxa"/>
            <w:vAlign w:val="bottom"/>
            <w:tcBorders>
              <w:bottom w:val="single" w:sz="8" w:color="DBDBDB"/>
            </w:tcBorders>
            <w:shd w:val="clear" w:color="auto" w:fill="DBDBDB"/>
          </w:tcPr>
          <w:p>
            <w:pPr>
              <w:jc w:val="right"/>
              <w:ind w:right="23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0.10</w:t>
            </w:r>
          </w:p>
        </w:tc>
        <w:tc>
          <w:tcPr>
            <w:tcW w:w="740" w:type="dxa"/>
            <w:vAlign w:val="bottom"/>
            <w:tcBorders>
              <w:bottom w:val="single" w:sz="8" w:color="DBDBDB"/>
            </w:tcBorders>
            <w:shd w:val="clear" w:color="auto" w:fill="DBDBDB"/>
          </w:tcPr>
          <w:p>
            <w:pPr>
              <w:jc w:val="right"/>
              <w:ind w:right="49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(0.07)</w:t>
            </w:r>
          </w:p>
        </w:tc>
        <w:tc>
          <w:tcPr>
            <w:tcW w:w="260" w:type="dxa"/>
            <w:vAlign w:val="bottom"/>
            <w:tcBorders>
              <w:bottom w:val="single" w:sz="8" w:color="DBDBDB"/>
            </w:tcBorders>
            <w:shd w:val="clear" w:color="auto" w:fill="DBDBDB"/>
          </w:tcPr>
          <w:p>
            <w:pPr>
              <w:spacing w:after="0"/>
              <w:rPr>
                <w:sz w:val="17"/>
                <w:szCs w:val="17"/>
                <w:color w:val="auto"/>
              </w:rPr>
            </w:pPr>
          </w:p>
        </w:tc>
        <w:tc>
          <w:tcPr>
            <w:tcW w:w="400" w:type="dxa"/>
            <w:vAlign w:val="bottom"/>
            <w:tcBorders>
              <w:bottom w:val="single" w:sz="8" w:color="DBDBDB"/>
            </w:tcBorders>
            <w:shd w:val="clear" w:color="auto" w:fill="DBDBDB"/>
          </w:tcPr>
          <w:p>
            <w:pPr>
              <w:jc w:val="right"/>
              <w:ind w:right="23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0.10</w:t>
            </w:r>
          </w:p>
        </w:tc>
        <w:tc>
          <w:tcPr>
            <w:tcW w:w="700" w:type="dxa"/>
            <w:vAlign w:val="bottom"/>
            <w:tcBorders>
              <w:bottom w:val="single" w:sz="8" w:color="DBDBDB"/>
            </w:tcBorders>
            <w:shd w:val="clear" w:color="auto" w:fill="DBDBDB"/>
          </w:tcPr>
          <w:p>
            <w:pPr>
              <w:jc w:val="right"/>
              <w:ind w:right="43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(0.19)</w:t>
            </w:r>
          </w:p>
        </w:tc>
      </w:tr>
      <w:tr>
        <w:trPr>
          <w:trHeight w:val="199"/>
        </w:trPr>
        <w:tc>
          <w:tcPr>
            <w:tcW w:w="4780" w:type="dxa"/>
            <w:vAlign w:val="bottom"/>
          </w:tcPr>
          <w:p>
            <w:pPr>
              <w:ind w:left="180"/>
              <w:spacing w:after="0"/>
              <w:rPr>
                <w:sz w:val="20"/>
                <w:szCs w:val="20"/>
                <w:color w:val="auto"/>
              </w:rPr>
            </w:pPr>
            <w:r>
              <w:rPr>
                <w:rFonts w:ascii="Arial" w:cs="Arial" w:eastAsia="Arial" w:hAnsi="Arial"/>
                <w:sz w:val="14"/>
                <w:szCs w:val="14"/>
                <w:color w:val="auto"/>
              </w:rPr>
              <w:t>Diluted</w:t>
            </w: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0.10</w:t>
            </w:r>
          </w:p>
        </w:tc>
        <w:tc>
          <w:tcPr>
            <w:tcW w:w="740" w:type="dxa"/>
            <w:vAlign w:val="bottom"/>
          </w:tcPr>
          <w:p>
            <w:pPr>
              <w:jc w:val="right"/>
              <w:ind w:right="49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(0.07)</w:t>
            </w:r>
          </w:p>
        </w:tc>
        <w:tc>
          <w:tcPr>
            <w:tcW w:w="260" w:type="dxa"/>
            <w:vAlign w:val="bottom"/>
          </w:tcPr>
          <w:p>
            <w:pPr>
              <w:spacing w:after="0"/>
              <w:rPr>
                <w:sz w:val="17"/>
                <w:szCs w:val="17"/>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0.10</w:t>
            </w:r>
          </w:p>
        </w:tc>
        <w:tc>
          <w:tcPr>
            <w:tcW w:w="700" w:type="dxa"/>
            <w:vAlign w:val="bottom"/>
          </w:tcPr>
          <w:p>
            <w:pPr>
              <w:jc w:val="right"/>
              <w:ind w:right="43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(0.19)</w:t>
            </w: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right="240" w:firstLine="619"/>
        <w:spacing w:after="0" w:line="278" w:lineRule="auto"/>
        <w:rPr>
          <w:sz w:val="20"/>
          <w:szCs w:val="20"/>
          <w:color w:val="auto"/>
        </w:rPr>
      </w:pPr>
      <w:r>
        <w:rPr>
          <w:rFonts w:ascii="Arial" w:cs="Arial" w:eastAsia="Arial" w:hAnsi="Arial"/>
          <w:sz w:val="14"/>
          <w:szCs w:val="14"/>
          <w:color w:val="auto"/>
        </w:rPr>
        <w:t>Equity awards representing shares of common stock outstanding that were excluded in the computation of diluted earnings per share because their effect would have been anti-dilutive as a result of applying the treasury stock method,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900" w:type="dxa"/>
            <w:vAlign w:val="bottom"/>
          </w:tcPr>
          <w:p>
            <w:pPr>
              <w:spacing w:after="0"/>
              <w:rPr>
                <w:sz w:val="14"/>
                <w:szCs w:val="14"/>
                <w:color w:val="auto"/>
              </w:rPr>
            </w:pPr>
          </w:p>
        </w:tc>
        <w:tc>
          <w:tcPr>
            <w:tcW w:w="2280" w:type="dxa"/>
            <w:vAlign w:val="bottom"/>
          </w:tcPr>
          <w:p>
            <w:pPr>
              <w:jc w:val="right"/>
              <w:ind w:right="11"/>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tcPr>
          <w:p>
            <w:pPr>
              <w:jc w:val="right"/>
              <w:ind w:right="51"/>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r>
      <w:tr>
        <w:trPr>
          <w:trHeight w:val="196"/>
        </w:trPr>
        <w:tc>
          <w:tcPr>
            <w:tcW w:w="4900" w:type="dxa"/>
            <w:vAlign w:val="bottom"/>
          </w:tcPr>
          <w:p>
            <w:pPr>
              <w:spacing w:after="0"/>
              <w:rPr>
                <w:sz w:val="17"/>
                <w:szCs w:val="17"/>
                <w:color w:val="auto"/>
              </w:rPr>
            </w:pPr>
          </w:p>
        </w:tc>
        <w:tc>
          <w:tcPr>
            <w:tcW w:w="22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April 30,</w:t>
            </w: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April 30,</w:t>
            </w:r>
          </w:p>
        </w:tc>
        <w:tc>
          <w:tcPr>
            <w:tcW w:w="800" w:type="dxa"/>
            <w:vAlign w:val="bottom"/>
            <w:tcBorders>
              <w:bottom w:val="single" w:sz="8" w:color="auto"/>
            </w:tcBorders>
          </w:tcPr>
          <w:p>
            <w:pPr>
              <w:spacing w:after="0"/>
              <w:rPr>
                <w:sz w:val="17"/>
                <w:szCs w:val="17"/>
                <w:color w:val="auto"/>
              </w:rPr>
            </w:pPr>
          </w:p>
        </w:tc>
      </w:tr>
      <w:tr>
        <w:trPr>
          <w:trHeight w:val="212"/>
        </w:trPr>
        <w:tc>
          <w:tcPr>
            <w:tcW w:w="49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891"/>
              <w:spacing w:after="0"/>
              <w:rPr>
                <w:sz w:val="20"/>
                <w:szCs w:val="20"/>
                <w:color w:val="auto"/>
              </w:rPr>
            </w:pPr>
            <w:r>
              <w:rPr>
                <w:rFonts w:ascii="Arial" w:cs="Arial" w:eastAsia="Arial" w:hAnsi="Arial"/>
                <w:sz w:val="14"/>
                <w:szCs w:val="14"/>
                <w:b w:val="1"/>
                <w:bCs w:val="1"/>
                <w:color w:val="auto"/>
              </w:rPr>
              <w:t>2024</w:t>
            </w: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851"/>
              <w:spacing w:after="0"/>
              <w:rPr>
                <w:sz w:val="20"/>
                <w:szCs w:val="20"/>
                <w:color w:val="auto"/>
              </w:rPr>
            </w:pPr>
            <w:r>
              <w:rPr>
                <w:rFonts w:ascii="Arial" w:cs="Arial" w:eastAsia="Arial" w:hAnsi="Arial"/>
                <w:sz w:val="14"/>
                <w:szCs w:val="14"/>
                <w:b w:val="1"/>
                <w:bCs w:val="1"/>
                <w:color w:val="auto"/>
              </w:rPr>
              <w:t>2024</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9"/>
        </w:trPr>
        <w:tc>
          <w:tcPr>
            <w:tcW w:w="4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Anti-dilutive stock options</w:t>
            </w:r>
          </w:p>
        </w:tc>
        <w:tc>
          <w:tcPr>
            <w:tcW w:w="2280" w:type="dxa"/>
            <w:vAlign w:val="bottom"/>
            <w:tcBorders>
              <w:bottom w:val="single" w:sz="8" w:color="DBDBDB"/>
            </w:tcBorders>
            <w:shd w:val="clear" w:color="auto" w:fill="DBDBDB"/>
          </w:tcPr>
          <w:p>
            <w:pPr>
              <w:jc w:val="right"/>
              <w:ind w:right="831"/>
              <w:spacing w:after="0"/>
              <w:rPr>
                <w:sz w:val="20"/>
                <w:szCs w:val="20"/>
                <w:color w:val="auto"/>
              </w:rPr>
            </w:pPr>
            <w:r>
              <w:rPr>
                <w:rFonts w:ascii="Arial" w:cs="Arial" w:eastAsia="Arial" w:hAnsi="Arial"/>
                <w:sz w:val="14"/>
                <w:szCs w:val="14"/>
                <w:color w:val="auto"/>
              </w:rPr>
              <w:t>2,078,268</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2,095,106</w:t>
            </w:r>
          </w:p>
        </w:tc>
        <w:tc>
          <w:tcPr>
            <w:tcW w:w="260" w:type="dxa"/>
            <w:vAlign w:val="bottom"/>
            <w:tcBorders>
              <w:bottom w:val="single" w:sz="8" w:color="DBDBDB"/>
            </w:tcBorders>
            <w:shd w:val="clear" w:color="auto" w:fill="DBDBDB"/>
          </w:tcPr>
          <w:p>
            <w:pPr>
              <w:spacing w:after="0"/>
              <w:rPr>
                <w:sz w:val="17"/>
                <w:szCs w:val="17"/>
                <w:color w:val="auto"/>
              </w:rPr>
            </w:pPr>
          </w:p>
        </w:tc>
        <w:tc>
          <w:tcPr>
            <w:tcW w:w="2240" w:type="dxa"/>
            <w:vAlign w:val="bottom"/>
            <w:tcBorders>
              <w:bottom w:val="single" w:sz="8" w:color="DBDBDB"/>
            </w:tcBorders>
            <w:shd w:val="clear" w:color="auto" w:fill="DBDBDB"/>
          </w:tcPr>
          <w:p>
            <w:pPr>
              <w:jc w:val="right"/>
              <w:ind w:right="791"/>
              <w:spacing w:after="0"/>
              <w:rPr>
                <w:sz w:val="20"/>
                <w:szCs w:val="20"/>
                <w:color w:val="auto"/>
              </w:rPr>
            </w:pPr>
            <w:r>
              <w:rPr>
                <w:rFonts w:ascii="Arial" w:cs="Arial" w:eastAsia="Arial" w:hAnsi="Arial"/>
                <w:sz w:val="14"/>
                <w:szCs w:val="14"/>
                <w:color w:val="auto"/>
              </w:rPr>
              <w:t>2,078,268</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2,114,228</w:t>
            </w:r>
          </w:p>
        </w:tc>
      </w:tr>
      <w:tr>
        <w:trPr>
          <w:trHeight w:val="199"/>
        </w:trPr>
        <w:tc>
          <w:tcPr>
            <w:tcW w:w="4900" w:type="dxa"/>
            <w:vAlign w:val="bottom"/>
          </w:tcPr>
          <w:p>
            <w:pPr>
              <w:ind w:left="20"/>
              <w:spacing w:after="0"/>
              <w:rPr>
                <w:sz w:val="20"/>
                <w:szCs w:val="20"/>
                <w:color w:val="auto"/>
              </w:rPr>
            </w:pPr>
            <w:r>
              <w:rPr>
                <w:rFonts w:ascii="Arial" w:cs="Arial" w:eastAsia="Arial" w:hAnsi="Arial"/>
                <w:sz w:val="14"/>
                <w:szCs w:val="14"/>
                <w:color w:val="auto"/>
              </w:rPr>
              <w:t>Anti-dilutive RSUs</w:t>
            </w:r>
          </w:p>
        </w:tc>
        <w:tc>
          <w:tcPr>
            <w:tcW w:w="2280" w:type="dxa"/>
            <w:vAlign w:val="bottom"/>
          </w:tcPr>
          <w:p>
            <w:pPr>
              <w:jc w:val="right"/>
              <w:ind w:right="831"/>
              <w:spacing w:after="0"/>
              <w:rPr>
                <w:sz w:val="20"/>
                <w:szCs w:val="20"/>
                <w:color w:val="auto"/>
              </w:rPr>
            </w:pPr>
            <w:r>
              <w:rPr>
                <w:rFonts w:ascii="Arial" w:cs="Arial" w:eastAsia="Arial" w:hAnsi="Arial"/>
                <w:sz w:val="14"/>
                <w:szCs w:val="14"/>
                <w:color w:val="auto"/>
              </w:rPr>
              <w:t>230,250</w:t>
            </w:r>
          </w:p>
        </w:tc>
        <w:tc>
          <w:tcPr>
            <w:tcW w:w="760" w:type="dxa"/>
            <w:vAlign w:val="bottom"/>
          </w:tcPr>
          <w:p>
            <w:pPr>
              <w:jc w:val="right"/>
              <w:spacing w:after="0"/>
              <w:rPr>
                <w:sz w:val="20"/>
                <w:szCs w:val="20"/>
                <w:color w:val="auto"/>
              </w:rPr>
            </w:pPr>
            <w:r>
              <w:rPr>
                <w:rFonts w:ascii="Arial" w:cs="Arial" w:eastAsia="Arial" w:hAnsi="Arial"/>
                <w:sz w:val="14"/>
                <w:szCs w:val="14"/>
                <w:color w:val="auto"/>
              </w:rPr>
              <w:t>636,417</w:t>
            </w:r>
          </w:p>
        </w:tc>
        <w:tc>
          <w:tcPr>
            <w:tcW w:w="260" w:type="dxa"/>
            <w:vAlign w:val="bottom"/>
          </w:tcPr>
          <w:p>
            <w:pPr>
              <w:spacing w:after="0"/>
              <w:rPr>
                <w:sz w:val="17"/>
                <w:szCs w:val="17"/>
                <w:color w:val="auto"/>
              </w:rPr>
            </w:pPr>
          </w:p>
        </w:tc>
        <w:tc>
          <w:tcPr>
            <w:tcW w:w="2240" w:type="dxa"/>
            <w:vAlign w:val="bottom"/>
          </w:tcPr>
          <w:p>
            <w:pPr>
              <w:jc w:val="right"/>
              <w:ind w:right="791"/>
              <w:spacing w:after="0"/>
              <w:rPr>
                <w:sz w:val="20"/>
                <w:szCs w:val="20"/>
                <w:color w:val="auto"/>
              </w:rPr>
            </w:pPr>
            <w:r>
              <w:rPr>
                <w:rFonts w:ascii="Arial" w:cs="Arial" w:eastAsia="Arial" w:hAnsi="Arial"/>
                <w:sz w:val="14"/>
                <w:szCs w:val="14"/>
                <w:color w:val="auto"/>
              </w:rPr>
              <w:t>476,082</w:t>
            </w:r>
          </w:p>
        </w:tc>
        <w:tc>
          <w:tcPr>
            <w:tcW w:w="800" w:type="dxa"/>
            <w:vAlign w:val="bottom"/>
          </w:tcPr>
          <w:p>
            <w:pPr>
              <w:jc w:val="right"/>
              <w:spacing w:after="0"/>
              <w:rPr>
                <w:sz w:val="20"/>
                <w:szCs w:val="20"/>
                <w:color w:val="auto"/>
              </w:rPr>
            </w:pPr>
            <w:r>
              <w:rPr>
                <w:rFonts w:ascii="Arial" w:cs="Arial" w:eastAsia="Arial" w:hAnsi="Arial"/>
                <w:sz w:val="14"/>
                <w:szCs w:val="14"/>
                <w:color w:val="auto"/>
              </w:rPr>
              <w:t>534,509</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ind w:left="480" w:hanging="477"/>
        <w:spacing w:after="0"/>
        <w:tabs>
          <w:tab w:leader="none" w:pos="48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Transactions with related parties included in the condensed consolidated financial statements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540" w:type="dxa"/>
            <w:vAlign w:val="bottom"/>
            <w:gridSpan w:val="6"/>
          </w:tcPr>
          <w:p>
            <w:pPr>
              <w:jc w:val="right"/>
              <w:ind w:right="20"/>
              <w:spacing w:after="0"/>
              <w:rPr>
                <w:sz w:val="20"/>
                <w:szCs w:val="20"/>
                <w:color w:val="auto"/>
              </w:rPr>
            </w:pPr>
            <w:r>
              <w:rPr>
                <w:rFonts w:ascii="Arial" w:cs="Arial" w:eastAsia="Arial" w:hAnsi="Arial"/>
                <w:sz w:val="12"/>
                <w:szCs w:val="12"/>
                <w:b w:val="1"/>
                <w:bCs w:val="1"/>
                <w:color w:val="auto"/>
              </w:rPr>
              <w:t>Condensed Consolidated Balance Sheets</w:t>
            </w: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6"/>
        </w:trPr>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right"/>
              <w:ind w:right="740"/>
              <w:spacing w:after="0"/>
              <w:rPr>
                <w:sz w:val="20"/>
                <w:szCs w:val="20"/>
                <w:color w:val="auto"/>
              </w:rPr>
            </w:pPr>
            <w:r>
              <w:rPr>
                <w:rFonts w:ascii="Arial" w:cs="Arial" w:eastAsia="Arial" w:hAnsi="Arial"/>
                <w:sz w:val="12"/>
                <w:szCs w:val="12"/>
                <w:b w:val="1"/>
                <w:bCs w:val="1"/>
                <w:color w:val="auto"/>
              </w:rPr>
              <w:t>April 30, 2024</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20" w:type="dxa"/>
            <w:vAlign w:val="bottom"/>
            <w:gridSpan w:val="3"/>
          </w:tcPr>
          <w:p>
            <w:pPr>
              <w:jc w:val="right"/>
              <w:ind w:right="580"/>
              <w:spacing w:after="0"/>
              <w:rPr>
                <w:sz w:val="20"/>
                <w:szCs w:val="20"/>
                <w:color w:val="auto"/>
              </w:rPr>
            </w:pPr>
            <w:r>
              <w:rPr>
                <w:rFonts w:ascii="Arial" w:cs="Arial" w:eastAsia="Arial" w:hAnsi="Arial"/>
                <w:sz w:val="12"/>
                <w:szCs w:val="12"/>
                <w:b w:val="1"/>
                <w:bCs w:val="1"/>
                <w:color w:val="auto"/>
                <w:w w:val="99"/>
              </w:rPr>
              <w:t>October 31, 2023</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1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ind w:right="20"/>
              <w:spacing w:after="0"/>
              <w:rPr>
                <w:sz w:val="20"/>
                <w:szCs w:val="20"/>
                <w:color w:val="auto"/>
              </w:rPr>
            </w:pPr>
            <w:r>
              <w:rPr>
                <w:rFonts w:ascii="Arial" w:cs="Arial" w:eastAsia="Arial" w:hAnsi="Arial"/>
                <w:sz w:val="12"/>
                <w:szCs w:val="12"/>
                <w:b w:val="1"/>
                <w:bCs w:val="1"/>
                <w:color w:val="auto"/>
              </w:rPr>
              <w:t>Accounts</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Accounts</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w w:val="99"/>
              </w:rPr>
              <w:t>Property, plant</w:t>
            </w:r>
          </w:p>
        </w:tc>
        <w:tc>
          <w:tcPr>
            <w:tcW w:w="300" w:type="dxa"/>
            <w:vAlign w:val="bottom"/>
          </w:tcPr>
          <w:p>
            <w:pPr>
              <w:spacing w:after="0"/>
              <w:rPr>
                <w:sz w:val="12"/>
                <w:szCs w:val="12"/>
                <w:color w:val="auto"/>
              </w:rPr>
            </w:pPr>
          </w:p>
        </w:tc>
        <w:tc>
          <w:tcPr>
            <w:tcW w:w="940" w:type="dxa"/>
            <w:vAlign w:val="bottom"/>
          </w:tcPr>
          <w:p>
            <w:pPr>
              <w:jc w:val="right"/>
              <w:ind w:right="20"/>
              <w:spacing w:after="0"/>
              <w:rPr>
                <w:sz w:val="20"/>
                <w:szCs w:val="20"/>
                <w:color w:val="auto"/>
              </w:rPr>
            </w:pPr>
            <w:r>
              <w:rPr>
                <w:rFonts w:ascii="Arial" w:cs="Arial" w:eastAsia="Arial" w:hAnsi="Arial"/>
                <w:sz w:val="12"/>
                <w:szCs w:val="12"/>
                <w:b w:val="1"/>
                <w:bCs w:val="1"/>
                <w:color w:val="auto"/>
              </w:rPr>
              <w:t>payable &amp;</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gridSpan w:val="2"/>
          </w:tcPr>
          <w:p>
            <w:pPr>
              <w:jc w:val="right"/>
              <w:spacing w:after="0"/>
              <w:rPr>
                <w:sz w:val="20"/>
                <w:szCs w:val="20"/>
                <w:color w:val="auto"/>
              </w:rPr>
            </w:pPr>
            <w:r>
              <w:rPr>
                <w:rFonts w:ascii="Arial" w:cs="Arial" w:eastAsia="Arial" w:hAnsi="Arial"/>
                <w:sz w:val="12"/>
                <w:szCs w:val="12"/>
                <w:b w:val="1"/>
                <w:bCs w:val="1"/>
                <w:color w:val="auto"/>
              </w:rPr>
              <w:t>Property, plant</w:t>
            </w: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payable &amp;</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40"/>
              <w:spacing w:after="0"/>
              <w:rPr>
                <w:sz w:val="20"/>
                <w:szCs w:val="20"/>
                <w:color w:val="auto"/>
              </w:rPr>
            </w:pPr>
            <w:r>
              <w:rPr>
                <w:rFonts w:ascii="Arial" w:cs="Arial" w:eastAsia="Arial" w:hAnsi="Arial"/>
                <w:sz w:val="12"/>
                <w:szCs w:val="12"/>
                <w:b w:val="1"/>
                <w:bCs w:val="1"/>
                <w:color w:val="auto"/>
              </w:rPr>
              <w:t>Accounts</w:t>
            </w:r>
          </w:p>
        </w:tc>
        <w:tc>
          <w:tcPr>
            <w:tcW w:w="14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2"/>
                <w:szCs w:val="12"/>
                <w:b w:val="1"/>
                <w:bCs w:val="1"/>
                <w:color w:val="auto"/>
              </w:rPr>
              <w:t>and equipment,</w:t>
            </w:r>
          </w:p>
        </w:tc>
        <w:tc>
          <w:tcPr>
            <w:tcW w:w="300" w:type="dxa"/>
            <w:vAlign w:val="bottom"/>
          </w:tcPr>
          <w:p>
            <w:pPr>
              <w:spacing w:after="0"/>
              <w:rPr>
                <w:sz w:val="12"/>
                <w:szCs w:val="12"/>
                <w:color w:val="auto"/>
              </w:rPr>
            </w:pPr>
          </w:p>
        </w:tc>
        <w:tc>
          <w:tcPr>
            <w:tcW w:w="940" w:type="dxa"/>
            <w:vAlign w:val="bottom"/>
          </w:tcPr>
          <w:p>
            <w:pPr>
              <w:jc w:val="right"/>
              <w:ind w:right="20"/>
              <w:spacing w:after="0"/>
              <w:rPr>
                <w:sz w:val="20"/>
                <w:szCs w:val="20"/>
                <w:color w:val="auto"/>
              </w:rPr>
            </w:pPr>
            <w:r>
              <w:rPr>
                <w:rFonts w:ascii="Arial" w:cs="Arial" w:eastAsia="Arial" w:hAnsi="Arial"/>
                <w:sz w:val="12"/>
                <w:szCs w:val="12"/>
                <w:b w:val="1"/>
                <w:bCs w:val="1"/>
                <w:color w:val="auto"/>
              </w:rPr>
              <w:t>accrued</w:t>
            </w:r>
          </w:p>
        </w:tc>
        <w:tc>
          <w:tcPr>
            <w:tcW w:w="140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rPr>
              <w:t>Finance lease</w:t>
            </w:r>
          </w:p>
        </w:tc>
        <w:tc>
          <w:tcPr>
            <w:tcW w:w="32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Accounts</w:t>
            </w:r>
          </w:p>
        </w:tc>
        <w:tc>
          <w:tcPr>
            <w:tcW w:w="1100" w:type="dxa"/>
            <w:vAlign w:val="bottom"/>
            <w:gridSpan w:val="2"/>
          </w:tcPr>
          <w:p>
            <w:pPr>
              <w:jc w:val="right"/>
              <w:spacing w:after="0"/>
              <w:rPr>
                <w:sz w:val="20"/>
                <w:szCs w:val="20"/>
                <w:color w:val="auto"/>
              </w:rPr>
            </w:pPr>
            <w:r>
              <w:rPr>
                <w:rFonts w:ascii="Arial" w:cs="Arial" w:eastAsia="Arial" w:hAnsi="Arial"/>
                <w:sz w:val="12"/>
                <w:szCs w:val="12"/>
                <w:b w:val="1"/>
                <w:bCs w:val="1"/>
                <w:color w:val="auto"/>
              </w:rPr>
              <w:t>and equipment,</w:t>
            </w: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accrued</w:t>
            </w:r>
          </w:p>
        </w:tc>
        <w:tc>
          <w:tcPr>
            <w:tcW w:w="260" w:type="dxa"/>
            <w:vAlign w:val="bottom"/>
          </w:tcPr>
          <w:p>
            <w:pPr>
              <w:spacing w:after="0"/>
              <w:rPr>
                <w:sz w:val="12"/>
                <w:szCs w:val="1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Finance lease</w:t>
            </w:r>
          </w:p>
        </w:tc>
      </w:tr>
      <w:tr>
        <w:trPr>
          <w:trHeight w:val="178"/>
        </w:trPr>
        <w:tc>
          <w:tcPr>
            <w:tcW w:w="1660" w:type="dxa"/>
            <w:vAlign w:val="bottom"/>
          </w:tcPr>
          <w:p>
            <w:pPr>
              <w:ind w:left="20"/>
              <w:spacing w:after="0"/>
              <w:rPr>
                <w:sz w:val="20"/>
                <w:szCs w:val="20"/>
                <w:color w:val="auto"/>
              </w:rPr>
            </w:pPr>
            <w:r>
              <w:rPr>
                <w:rFonts w:ascii="Arial" w:cs="Arial" w:eastAsia="Arial" w:hAnsi="Arial"/>
                <w:sz w:val="12"/>
                <w:szCs w:val="12"/>
                <w:color w:val="auto"/>
              </w:rPr>
              <w:t>(In millions)</w:t>
            </w:r>
          </w:p>
        </w:tc>
        <w:tc>
          <w:tcPr>
            <w:tcW w:w="260" w:type="dxa"/>
            <w:vAlign w:val="bottom"/>
          </w:tcPr>
          <w:p>
            <w:pPr>
              <w:spacing w:after="0"/>
              <w:rPr>
                <w:sz w:val="15"/>
                <w:szCs w:val="15"/>
                <w:color w:val="auto"/>
              </w:rPr>
            </w:pPr>
          </w:p>
        </w:tc>
        <w:tc>
          <w:tcPr>
            <w:tcW w:w="860" w:type="dxa"/>
            <w:vAlign w:val="bottom"/>
          </w:tcPr>
          <w:p>
            <w:pPr>
              <w:jc w:val="right"/>
              <w:ind w:right="40"/>
              <w:spacing w:after="0"/>
              <w:rPr>
                <w:sz w:val="20"/>
                <w:szCs w:val="20"/>
                <w:color w:val="auto"/>
              </w:rPr>
            </w:pPr>
            <w:r>
              <w:rPr>
                <w:rFonts w:ascii="Arial" w:cs="Arial" w:eastAsia="Arial" w:hAnsi="Arial"/>
                <w:sz w:val="12"/>
                <w:szCs w:val="12"/>
                <w:b w:val="1"/>
                <w:bCs w:val="1"/>
                <w:color w:val="auto"/>
              </w:rPr>
              <w:t>receivable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net</w:t>
            </w:r>
          </w:p>
        </w:tc>
        <w:tc>
          <w:tcPr>
            <w:tcW w:w="300" w:type="dxa"/>
            <w:vAlign w:val="bottom"/>
          </w:tcPr>
          <w:p>
            <w:pPr>
              <w:spacing w:after="0"/>
              <w:rPr>
                <w:sz w:val="15"/>
                <w:szCs w:val="15"/>
                <w:color w:val="auto"/>
              </w:rPr>
            </w:pPr>
          </w:p>
        </w:tc>
        <w:tc>
          <w:tcPr>
            <w:tcW w:w="940" w:type="dxa"/>
            <w:vAlign w:val="bottom"/>
          </w:tcPr>
          <w:p>
            <w:pPr>
              <w:jc w:val="right"/>
              <w:ind w:right="20"/>
              <w:spacing w:after="0"/>
              <w:rPr>
                <w:sz w:val="20"/>
                <w:szCs w:val="20"/>
                <w:color w:val="auto"/>
              </w:rPr>
            </w:pPr>
            <w:r>
              <w:rPr>
                <w:rFonts w:ascii="Arial" w:cs="Arial" w:eastAsia="Arial" w:hAnsi="Arial"/>
                <w:sz w:val="12"/>
                <w:szCs w:val="12"/>
                <w:b w:val="1"/>
                <w:bCs w:val="1"/>
                <w:color w:val="auto"/>
              </w:rPr>
              <w:t>expenses</w:t>
            </w:r>
          </w:p>
        </w:tc>
        <w:tc>
          <w:tcPr>
            <w:tcW w:w="48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liabilities</w:t>
            </w:r>
          </w:p>
        </w:tc>
        <w:tc>
          <w:tcPr>
            <w:tcW w:w="32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receivable</w:t>
            </w:r>
          </w:p>
        </w:tc>
        <w:tc>
          <w:tcPr>
            <w:tcW w:w="68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Arial" w:cs="Arial" w:eastAsia="Arial" w:hAnsi="Arial"/>
                <w:sz w:val="12"/>
                <w:szCs w:val="12"/>
                <w:b w:val="1"/>
                <w:bCs w:val="1"/>
                <w:color w:val="auto"/>
                <w:w w:val="88"/>
              </w:rPr>
              <w:t>net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expenses</w:t>
            </w: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liabilities</w:t>
            </w: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6"/>
        </w:trPr>
        <w:tc>
          <w:tcPr>
            <w:tcW w:w="1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Equity method investees:</w:t>
            </w:r>
          </w:p>
        </w:tc>
        <w:tc>
          <w:tcPr>
            <w:tcW w:w="260" w:type="dxa"/>
            <w:vAlign w:val="bottom"/>
            <w:tcBorders>
              <w:bottom w:val="single" w:sz="8" w:color="DBDBDB"/>
            </w:tcBorders>
            <w:shd w:val="clear" w:color="auto" w:fill="DBDBDB"/>
          </w:tcPr>
          <w:p>
            <w:pPr>
              <w:spacing w:after="0"/>
              <w:rPr>
                <w:sz w:val="14"/>
                <w:szCs w:val="14"/>
                <w:color w:val="auto"/>
              </w:rPr>
            </w:pPr>
          </w:p>
        </w:tc>
        <w:tc>
          <w:tcPr>
            <w:tcW w:w="860" w:type="dxa"/>
            <w:vAlign w:val="bottom"/>
            <w:tcBorders>
              <w:bottom w:val="single" w:sz="8" w:color="DBDBDB"/>
            </w:tcBorders>
            <w:shd w:val="clear" w:color="auto" w:fill="DBDBDB"/>
          </w:tcPr>
          <w:p>
            <w:pPr>
              <w:spacing w:after="0"/>
              <w:rPr>
                <w:sz w:val="14"/>
                <w:szCs w:val="14"/>
                <w:color w:val="auto"/>
              </w:rPr>
            </w:pPr>
          </w:p>
        </w:tc>
        <w:tc>
          <w:tcPr>
            <w:tcW w:w="14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30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spacing w:after="0"/>
              <w:rPr>
                <w:sz w:val="14"/>
                <w:szCs w:val="14"/>
                <w:color w:val="auto"/>
              </w:rPr>
            </w:pPr>
          </w:p>
        </w:tc>
        <w:tc>
          <w:tcPr>
            <w:tcW w:w="480" w:type="dxa"/>
            <w:vAlign w:val="bottom"/>
            <w:tcBorders>
              <w:bottom w:val="single" w:sz="8" w:color="DBDBDB"/>
            </w:tcBorders>
            <w:shd w:val="clear" w:color="auto" w:fill="DBDBDB"/>
          </w:tcPr>
          <w:p>
            <w:pPr>
              <w:spacing w:after="0"/>
              <w:rPr>
                <w:sz w:val="14"/>
                <w:szCs w:val="14"/>
                <w:color w:val="auto"/>
              </w:rPr>
            </w:pPr>
          </w:p>
        </w:tc>
        <w:tc>
          <w:tcPr>
            <w:tcW w:w="660" w:type="dxa"/>
            <w:vAlign w:val="bottom"/>
            <w:tcBorders>
              <w:bottom w:val="single" w:sz="8" w:color="DBDBDB"/>
            </w:tcBorders>
            <w:shd w:val="clear" w:color="auto" w:fill="DBDBDB"/>
          </w:tcPr>
          <w:p>
            <w:pPr>
              <w:spacing w:after="0"/>
              <w:rPr>
                <w:sz w:val="14"/>
                <w:szCs w:val="14"/>
                <w:color w:val="auto"/>
              </w:rPr>
            </w:pPr>
          </w:p>
        </w:tc>
        <w:tc>
          <w:tcPr>
            <w:tcW w:w="260" w:type="dxa"/>
            <w:vAlign w:val="bottom"/>
            <w:tcBorders>
              <w:bottom w:val="single" w:sz="8" w:color="DBDBDB"/>
            </w:tcBorders>
            <w:shd w:val="clear" w:color="auto" w:fill="DBDBDB"/>
          </w:tcPr>
          <w:p>
            <w:pPr>
              <w:spacing w:after="0"/>
              <w:rPr>
                <w:sz w:val="14"/>
                <w:szCs w:val="14"/>
                <w:color w:val="auto"/>
              </w:rPr>
            </w:pPr>
          </w:p>
        </w:tc>
        <w:tc>
          <w:tcPr>
            <w:tcW w:w="320" w:type="dxa"/>
            <w:vAlign w:val="bottom"/>
            <w:tcBorders>
              <w:bottom w:val="single" w:sz="8" w:color="DBDBDB"/>
            </w:tcBorders>
            <w:shd w:val="clear" w:color="auto" w:fill="DBDBDB"/>
          </w:tcPr>
          <w:p>
            <w:pPr>
              <w:spacing w:after="0"/>
              <w:rPr>
                <w:sz w:val="14"/>
                <w:szCs w:val="14"/>
                <w:color w:val="auto"/>
              </w:rPr>
            </w:pPr>
          </w:p>
        </w:tc>
        <w:tc>
          <w:tcPr>
            <w:tcW w:w="300" w:type="dxa"/>
            <w:vAlign w:val="bottom"/>
            <w:tcBorders>
              <w:bottom w:val="single" w:sz="8" w:color="DBDBDB"/>
            </w:tcBorders>
            <w:shd w:val="clear" w:color="auto" w:fill="DBDBDB"/>
          </w:tcPr>
          <w:p>
            <w:pPr>
              <w:spacing w:after="0"/>
              <w:rPr>
                <w:sz w:val="14"/>
                <w:szCs w:val="14"/>
                <w:color w:val="auto"/>
              </w:rPr>
            </w:pPr>
          </w:p>
        </w:tc>
        <w:tc>
          <w:tcPr>
            <w:tcW w:w="520" w:type="dxa"/>
            <w:vAlign w:val="bottom"/>
            <w:tcBorders>
              <w:bottom w:val="single" w:sz="8" w:color="DBDBDB"/>
            </w:tcBorders>
            <w:shd w:val="clear" w:color="auto" w:fill="DBDBDB"/>
          </w:tcPr>
          <w:p>
            <w:pPr>
              <w:spacing w:after="0"/>
              <w:rPr>
                <w:sz w:val="14"/>
                <w:szCs w:val="14"/>
                <w:color w:val="auto"/>
              </w:rPr>
            </w:pPr>
          </w:p>
        </w:tc>
        <w:tc>
          <w:tcPr>
            <w:tcW w:w="680" w:type="dxa"/>
            <w:vAlign w:val="bottom"/>
            <w:tcBorders>
              <w:bottom w:val="single" w:sz="8" w:color="DBDBDB"/>
            </w:tcBorders>
            <w:shd w:val="clear" w:color="auto" w:fill="DBDBDB"/>
          </w:tcPr>
          <w:p>
            <w:pPr>
              <w:spacing w:after="0"/>
              <w:rPr>
                <w:sz w:val="14"/>
                <w:szCs w:val="14"/>
                <w:color w:val="auto"/>
              </w:rPr>
            </w:pPr>
          </w:p>
        </w:tc>
        <w:tc>
          <w:tcPr>
            <w:tcW w:w="420" w:type="dxa"/>
            <w:vAlign w:val="bottom"/>
            <w:tcBorders>
              <w:bottom w:val="single" w:sz="8" w:color="DBDBDB"/>
            </w:tcBorders>
            <w:shd w:val="clear" w:color="auto" w:fill="DBDBDB"/>
          </w:tcPr>
          <w:p>
            <w:pPr>
              <w:spacing w:after="0"/>
              <w:rPr>
                <w:sz w:val="14"/>
                <w:szCs w:val="14"/>
                <w:color w:val="auto"/>
              </w:rPr>
            </w:pPr>
          </w:p>
        </w:tc>
        <w:tc>
          <w:tcPr>
            <w:tcW w:w="26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spacing w:after="0"/>
              <w:rPr>
                <w:sz w:val="14"/>
                <w:szCs w:val="14"/>
                <w:color w:val="auto"/>
              </w:rPr>
            </w:pPr>
          </w:p>
        </w:tc>
        <w:tc>
          <w:tcPr>
            <w:tcW w:w="26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spacing w:after="0"/>
              <w:rPr>
                <w:sz w:val="14"/>
                <w:szCs w:val="14"/>
                <w:color w:val="auto"/>
              </w:rPr>
            </w:pPr>
          </w:p>
        </w:tc>
        <w:tc>
          <w:tcPr>
            <w:tcW w:w="40" w:type="dxa"/>
            <w:vAlign w:val="bottom"/>
          </w:tcPr>
          <w:p>
            <w:pPr>
              <w:spacing w:after="0"/>
              <w:rPr>
                <w:sz w:val="14"/>
                <w:szCs w:val="14"/>
                <w:color w:val="auto"/>
              </w:rPr>
            </w:pPr>
          </w:p>
        </w:tc>
      </w:tr>
      <w:tr>
        <w:trPr>
          <w:trHeight w:val="167"/>
        </w:trPr>
        <w:tc>
          <w:tcPr>
            <w:tcW w:w="1660" w:type="dxa"/>
            <w:vAlign w:val="bottom"/>
          </w:tcPr>
          <w:p>
            <w:pPr>
              <w:ind w:left="120"/>
              <w:spacing w:after="0"/>
              <w:rPr>
                <w:sz w:val="20"/>
                <w:szCs w:val="20"/>
                <w:color w:val="auto"/>
              </w:rPr>
            </w:pPr>
            <w:r>
              <w:rPr>
                <w:rFonts w:ascii="Arial" w:cs="Arial" w:eastAsia="Arial" w:hAnsi="Arial"/>
                <w:sz w:val="12"/>
                <w:szCs w:val="12"/>
                <w:color w:val="auto"/>
              </w:rPr>
              <w:t>Henry Avocado</w:t>
            </w:r>
          </w:p>
        </w:tc>
        <w:tc>
          <w:tcPr>
            <w:tcW w:w="2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300" w:type="dxa"/>
            <w:vAlign w:val="bottom"/>
          </w:tcPr>
          <w:p>
            <w:pPr>
              <w:spacing w:after="0"/>
              <w:rPr>
                <w:sz w:val="14"/>
                <w:szCs w:val="14"/>
                <w:color w:val="auto"/>
              </w:rPr>
            </w:pPr>
          </w:p>
        </w:tc>
        <w:tc>
          <w:tcPr>
            <w:tcW w:w="5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48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0.1</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26"/>
        </w:trPr>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r>
      <w:tr>
        <w:trPr>
          <w:trHeight w:val="173"/>
        </w:trPr>
        <w:tc>
          <w:tcPr>
            <w:tcW w:w="166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2"/>
                <w:szCs w:val="12"/>
                <w:color w:val="auto"/>
              </w:rPr>
              <w:t>Mr. Avocado</w:t>
            </w:r>
          </w:p>
        </w:tc>
        <w:tc>
          <w:tcPr>
            <w:tcW w:w="260" w:type="dxa"/>
            <w:vAlign w:val="bottom"/>
            <w:tcBorders>
              <w:bottom w:val="single" w:sz="8" w:color="DBDBDB"/>
            </w:tcBorders>
            <w:shd w:val="clear" w:color="auto" w:fill="DBDBDB"/>
          </w:tcPr>
          <w:p>
            <w:pPr>
              <w:spacing w:after="0"/>
              <w:rPr>
                <w:sz w:val="15"/>
                <w:szCs w:val="15"/>
                <w:color w:val="auto"/>
              </w:rPr>
            </w:pPr>
          </w:p>
        </w:tc>
        <w:tc>
          <w:tcPr>
            <w:tcW w:w="860" w:type="dxa"/>
            <w:vAlign w:val="bottom"/>
            <w:tcBorders>
              <w:bottom w:val="single" w:sz="8" w:color="DBDBDB"/>
            </w:tcBorders>
            <w:shd w:val="clear" w:color="auto" w:fill="DBDBDB"/>
          </w:tcPr>
          <w:p>
            <w:pPr>
              <w:jc w:val="right"/>
              <w:ind w:right="80"/>
              <w:spacing w:after="0"/>
              <w:rPr>
                <w:sz w:val="20"/>
                <w:szCs w:val="20"/>
                <w:color w:val="auto"/>
              </w:rPr>
            </w:pPr>
            <w:r>
              <w:rPr>
                <w:rFonts w:ascii="Arial" w:cs="Arial" w:eastAsia="Arial" w:hAnsi="Arial"/>
                <w:sz w:val="12"/>
                <w:szCs w:val="12"/>
                <w:color w:val="auto"/>
              </w:rPr>
              <w:t>1.6</w:t>
            </w:r>
          </w:p>
        </w:tc>
        <w:tc>
          <w:tcPr>
            <w:tcW w:w="140" w:type="dxa"/>
            <w:vAlign w:val="bottom"/>
            <w:tcBorders>
              <w:bottom w:val="single" w:sz="8" w:color="DBDBDB"/>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ind w:right="20"/>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gridSpan w:val="2"/>
            <w:shd w:val="clear" w:color="auto" w:fill="DBDBDB"/>
          </w:tcPr>
          <w:p>
            <w:pPr>
              <w:jc w:val="right"/>
              <w:ind w:right="320"/>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2.9</w:t>
            </w:r>
          </w:p>
        </w:tc>
        <w:tc>
          <w:tcPr>
            <w:tcW w:w="680" w:type="dxa"/>
            <w:vAlign w:val="bottom"/>
            <w:tcBorders>
              <w:bottom w:val="single" w:sz="8" w:color="DBDBDB"/>
            </w:tcBorders>
            <w:shd w:val="clear" w:color="auto" w:fill="DBDBDB"/>
          </w:tcPr>
          <w:p>
            <w:pPr>
              <w:spacing w:after="0"/>
              <w:rPr>
                <w:sz w:val="15"/>
                <w:szCs w:val="15"/>
                <w:color w:val="auto"/>
              </w:rPr>
            </w:pPr>
          </w:p>
        </w:tc>
        <w:tc>
          <w:tcPr>
            <w:tcW w:w="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r>
      <w:tr>
        <w:trPr>
          <w:trHeight w:val="173"/>
        </w:trPr>
        <w:tc>
          <w:tcPr>
            <w:tcW w:w="1660" w:type="dxa"/>
            <w:vAlign w:val="bottom"/>
          </w:tcPr>
          <w:p>
            <w:pPr>
              <w:ind w:left="20"/>
              <w:spacing w:after="0"/>
              <w:rPr>
                <w:sz w:val="20"/>
                <w:szCs w:val="20"/>
                <w:color w:val="auto"/>
              </w:rPr>
            </w:pPr>
            <w:r>
              <w:rPr>
                <w:rFonts w:ascii="Arial" w:cs="Arial" w:eastAsia="Arial" w:hAnsi="Arial"/>
                <w:sz w:val="12"/>
                <w:szCs w:val="12"/>
                <w:b w:val="1"/>
                <w:bCs w:val="1"/>
                <w:color w:val="auto"/>
              </w:rPr>
              <w:t>Other:</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3"/>
        </w:trPr>
        <w:tc>
          <w:tcPr>
            <w:tcW w:w="1660" w:type="dxa"/>
            <w:vAlign w:val="bottom"/>
            <w:shd w:val="clear" w:color="auto" w:fill="DBDBDB"/>
          </w:tcPr>
          <w:p>
            <w:pPr>
              <w:ind w:left="120"/>
              <w:spacing w:after="0"/>
              <w:rPr>
                <w:sz w:val="20"/>
                <w:szCs w:val="20"/>
                <w:color w:val="auto"/>
              </w:rPr>
            </w:pPr>
            <w:r>
              <w:rPr>
                <w:rFonts w:ascii="Arial" w:cs="Arial" w:eastAsia="Arial" w:hAnsi="Arial"/>
                <w:sz w:val="12"/>
                <w:szCs w:val="12"/>
                <w:color w:val="auto"/>
              </w:rPr>
              <w:t>Directors/Officers</w:t>
            </w:r>
            <w:r>
              <w:rPr>
                <w:rFonts w:ascii="Arial" w:cs="Arial" w:eastAsia="Arial" w:hAnsi="Arial"/>
                <w:sz w:val="15"/>
                <w:szCs w:val="15"/>
                <w:color w:val="auto"/>
                <w:vertAlign w:val="superscript"/>
              </w:rPr>
              <w:t>(1)</w:t>
            </w:r>
          </w:p>
        </w:tc>
        <w:tc>
          <w:tcPr>
            <w:tcW w:w="260" w:type="dxa"/>
            <w:vAlign w:val="bottom"/>
            <w:shd w:val="clear" w:color="auto" w:fill="DBDBDB"/>
          </w:tcPr>
          <w:p>
            <w:pPr>
              <w:spacing w:after="0"/>
              <w:rPr>
                <w:sz w:val="16"/>
                <w:szCs w:val="16"/>
                <w:color w:val="auto"/>
              </w:rPr>
            </w:pPr>
          </w:p>
        </w:tc>
        <w:tc>
          <w:tcPr>
            <w:tcW w:w="860" w:type="dxa"/>
            <w:vAlign w:val="bottom"/>
            <w:shd w:val="clear" w:color="auto" w:fill="DBDBDB"/>
          </w:tcPr>
          <w:p>
            <w:pPr>
              <w:jc w:val="right"/>
              <w:ind w:right="80"/>
              <w:spacing w:after="0"/>
              <w:rPr>
                <w:sz w:val="20"/>
                <w:szCs w:val="20"/>
                <w:color w:val="auto"/>
              </w:rPr>
            </w:pPr>
            <w:r>
              <w:rPr>
                <w:rFonts w:ascii="Arial" w:cs="Arial" w:eastAsia="Arial" w:hAnsi="Arial"/>
                <w:sz w:val="12"/>
                <w:szCs w:val="12"/>
                <w:color w:val="auto"/>
              </w:rPr>
              <w:t>0.2</w:t>
            </w:r>
          </w:p>
        </w:tc>
        <w:tc>
          <w:tcPr>
            <w:tcW w:w="1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00" w:type="dxa"/>
            <w:vAlign w:val="bottom"/>
            <w:shd w:val="clear" w:color="auto" w:fill="DBDBDB"/>
          </w:tcPr>
          <w:p>
            <w:pPr>
              <w:jc w:val="right"/>
              <w:ind w:right="20"/>
              <w:spacing w:after="0"/>
              <w:rPr>
                <w:sz w:val="20"/>
                <w:szCs w:val="20"/>
                <w:color w:val="auto"/>
              </w:rPr>
            </w:pPr>
            <w:r>
              <w:rPr>
                <w:rFonts w:ascii="Arial" w:cs="Arial" w:eastAsia="Arial" w:hAnsi="Arial"/>
                <w:sz w:val="12"/>
                <w:szCs w:val="12"/>
                <w:color w:val="auto"/>
              </w:rPr>
              <w:t>20.5</w:t>
            </w:r>
          </w:p>
        </w:tc>
        <w:tc>
          <w:tcPr>
            <w:tcW w:w="300" w:type="dxa"/>
            <w:vAlign w:val="bottom"/>
            <w:shd w:val="clear" w:color="auto" w:fill="DBDBDB"/>
          </w:tcPr>
          <w:p>
            <w:pPr>
              <w:spacing w:after="0"/>
              <w:rPr>
                <w:sz w:val="16"/>
                <w:szCs w:val="16"/>
                <w:color w:val="auto"/>
              </w:rPr>
            </w:pPr>
          </w:p>
        </w:tc>
        <w:tc>
          <w:tcPr>
            <w:tcW w:w="940" w:type="dxa"/>
            <w:vAlign w:val="bottom"/>
            <w:shd w:val="clear" w:color="auto" w:fill="DBDBDB"/>
          </w:tcPr>
          <w:p>
            <w:pPr>
              <w:jc w:val="right"/>
              <w:ind w:right="60"/>
              <w:spacing w:after="0"/>
              <w:rPr>
                <w:sz w:val="20"/>
                <w:szCs w:val="20"/>
                <w:color w:val="auto"/>
              </w:rPr>
            </w:pPr>
            <w:r>
              <w:rPr>
                <w:rFonts w:ascii="Arial" w:cs="Arial" w:eastAsia="Arial" w:hAnsi="Arial"/>
                <w:sz w:val="12"/>
                <w:szCs w:val="12"/>
                <w:color w:val="auto"/>
              </w:rPr>
              <w:t>0.5</w:t>
            </w:r>
          </w:p>
        </w:tc>
        <w:tc>
          <w:tcPr>
            <w:tcW w:w="48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20.7</w:t>
            </w:r>
          </w:p>
        </w:tc>
        <w:tc>
          <w:tcPr>
            <w:tcW w:w="26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82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0.1</w:t>
            </w:r>
          </w:p>
        </w:tc>
        <w:tc>
          <w:tcPr>
            <w:tcW w:w="680" w:type="dxa"/>
            <w:vAlign w:val="bottom"/>
            <w:shd w:val="clear" w:color="auto" w:fill="DBDBDB"/>
          </w:tcPr>
          <w:p>
            <w:pPr>
              <w:spacing w:after="0"/>
              <w:rPr>
                <w:sz w:val="16"/>
                <w:szCs w:val="16"/>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15.2</w:t>
            </w:r>
          </w:p>
        </w:tc>
        <w:tc>
          <w:tcPr>
            <w:tcW w:w="26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0.2</w:t>
            </w:r>
          </w:p>
        </w:tc>
        <w:tc>
          <w:tcPr>
            <w:tcW w:w="26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15.7</w:t>
            </w:r>
          </w:p>
        </w:tc>
        <w:tc>
          <w:tcPr>
            <w:tcW w:w="40" w:type="dxa"/>
            <w:vAlign w:val="bottom"/>
          </w:tcPr>
          <w:p>
            <w:pPr>
              <w:spacing w:after="0"/>
              <w:rPr>
                <w:sz w:val="16"/>
                <w:szCs w:val="16"/>
                <w:color w:val="auto"/>
              </w:rPr>
            </w:pPr>
          </w:p>
        </w:tc>
      </w:tr>
      <w:tr>
        <w:trPr>
          <w:trHeight w:val="193"/>
        </w:trPr>
        <w:tc>
          <w:tcPr>
            <w:tcW w:w="1660" w:type="dxa"/>
            <w:vAlign w:val="bottom"/>
          </w:tcPr>
          <w:p>
            <w:pPr>
              <w:ind w:left="120"/>
              <w:spacing w:after="0"/>
              <w:rPr>
                <w:sz w:val="20"/>
                <w:szCs w:val="20"/>
                <w:color w:val="auto"/>
              </w:rPr>
            </w:pPr>
            <w:r>
              <w:rPr>
                <w:rFonts w:ascii="Arial" w:cs="Arial" w:eastAsia="Arial" w:hAnsi="Arial"/>
                <w:sz w:val="12"/>
                <w:szCs w:val="12"/>
                <w:color w:val="auto"/>
              </w:rPr>
              <w:t>Employees</w:t>
            </w:r>
            <w:r>
              <w:rPr>
                <w:rFonts w:ascii="Arial" w:cs="Arial" w:eastAsia="Arial" w:hAnsi="Arial"/>
                <w:sz w:val="15"/>
                <w:szCs w:val="15"/>
                <w:color w:val="auto"/>
                <w:vertAlign w:val="superscript"/>
              </w:rPr>
              <w:t>(2)</w:t>
            </w:r>
          </w:p>
        </w:tc>
        <w:tc>
          <w:tcPr>
            <w:tcW w:w="260" w:type="dxa"/>
            <w:vAlign w:val="bottom"/>
          </w:tcPr>
          <w:p>
            <w:pPr>
              <w:spacing w:after="0"/>
              <w:rPr>
                <w:sz w:val="16"/>
                <w:szCs w:val="16"/>
                <w:color w:val="auto"/>
              </w:rPr>
            </w:pPr>
          </w:p>
        </w:tc>
        <w:tc>
          <w:tcPr>
            <w:tcW w:w="8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6"/>
                <w:szCs w:val="16"/>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0.7</w:t>
            </w:r>
          </w:p>
        </w:tc>
        <w:tc>
          <w:tcPr>
            <w:tcW w:w="48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0.5</w:t>
            </w:r>
          </w:p>
        </w:tc>
        <w:tc>
          <w:tcPr>
            <w:tcW w:w="26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359"/>
        </w:trPr>
        <w:tc>
          <w:tcPr>
            <w:tcW w:w="16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640" w:type="dxa"/>
            <w:vAlign w:val="bottom"/>
            <w:tcBorders>
              <w:top w:val="single" w:sz="8" w:color="auto"/>
            </w:tcBorders>
            <w:gridSpan w:val="8"/>
          </w:tcPr>
          <w:p>
            <w:pPr>
              <w:jc w:val="right"/>
              <w:ind w:right="80"/>
              <w:spacing w:after="0"/>
              <w:rPr>
                <w:sz w:val="20"/>
                <w:szCs w:val="20"/>
                <w:color w:val="auto"/>
              </w:rPr>
            </w:pPr>
            <w:r>
              <w:rPr>
                <w:rFonts w:ascii="Arial" w:cs="Arial" w:eastAsia="Arial" w:hAnsi="Arial"/>
                <w:sz w:val="12"/>
                <w:szCs w:val="12"/>
                <w:b w:val="1"/>
                <w:bCs w:val="1"/>
                <w:color w:val="auto"/>
              </w:rPr>
              <w:t>Condensed Consolidated Statements of Income (Loss)</w:t>
            </w: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r>
      <w:tr>
        <w:trPr>
          <w:trHeight w:val="166"/>
        </w:trPr>
        <w:tc>
          <w:tcPr>
            <w:tcW w:w="1660" w:type="dxa"/>
            <w:vAlign w:val="bottom"/>
          </w:tcPr>
          <w:p>
            <w:pPr>
              <w:ind w:left="20"/>
              <w:spacing w:after="0"/>
              <w:rPr>
                <w:sz w:val="20"/>
                <w:szCs w:val="20"/>
                <w:color w:val="auto"/>
              </w:rPr>
            </w:pPr>
            <w:r>
              <w:rPr>
                <w:rFonts w:ascii="Arial" w:cs="Arial" w:eastAsia="Arial" w:hAnsi="Arial"/>
                <w:sz w:val="12"/>
                <w:szCs w:val="12"/>
                <w:color w:val="auto"/>
              </w:rPr>
              <w:t>(In millions)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2"/>
                <w:szCs w:val="12"/>
                <w:b w:val="1"/>
                <w:bCs w:val="1"/>
                <w:color w:val="auto"/>
              </w:rPr>
              <w:t>Net sales</w:t>
            </w:r>
          </w:p>
        </w:tc>
        <w:tc>
          <w:tcPr>
            <w:tcW w:w="14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Cost of sales</w:t>
            </w:r>
          </w:p>
        </w:tc>
        <w:tc>
          <w:tcPr>
            <w:tcW w:w="1240" w:type="dxa"/>
            <w:vAlign w:val="bottom"/>
            <w:gridSpan w:val="3"/>
          </w:tcPr>
          <w:p>
            <w:pPr>
              <w:jc w:val="right"/>
              <w:spacing w:after="0"/>
              <w:rPr>
                <w:sz w:val="20"/>
                <w:szCs w:val="20"/>
                <w:color w:val="auto"/>
              </w:rPr>
            </w:pPr>
            <w:r>
              <w:rPr>
                <w:rFonts w:ascii="Arial" w:cs="Arial" w:eastAsia="Arial" w:hAnsi="Arial"/>
                <w:sz w:val="12"/>
                <w:szCs w:val="12"/>
                <w:b w:val="1"/>
                <w:bCs w:val="1"/>
                <w:color w:val="auto"/>
              </w:rPr>
              <w:t>Interest expense</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Net sales</w:t>
            </w:r>
          </w:p>
        </w:tc>
        <w:tc>
          <w:tcPr>
            <w:tcW w:w="260" w:type="dxa"/>
            <w:vAlign w:val="bottom"/>
          </w:tcPr>
          <w:p>
            <w:pPr>
              <w:spacing w:after="0"/>
              <w:rPr>
                <w:sz w:val="14"/>
                <w:szCs w:val="14"/>
                <w:color w:val="auto"/>
              </w:rPr>
            </w:pPr>
          </w:p>
        </w:tc>
        <w:tc>
          <w:tcPr>
            <w:tcW w:w="940" w:type="dxa"/>
            <w:vAlign w:val="bottom"/>
          </w:tcPr>
          <w:p>
            <w:pPr>
              <w:jc w:val="right"/>
              <w:ind w:right="120"/>
              <w:spacing w:after="0"/>
              <w:rPr>
                <w:sz w:val="20"/>
                <w:szCs w:val="20"/>
                <w:color w:val="auto"/>
              </w:rPr>
            </w:pPr>
            <w:r>
              <w:rPr>
                <w:rFonts w:ascii="Arial" w:cs="Arial" w:eastAsia="Arial" w:hAnsi="Arial"/>
                <w:sz w:val="12"/>
                <w:szCs w:val="12"/>
                <w:b w:val="1"/>
                <w:bCs w:val="1"/>
                <w:color w:val="auto"/>
                <w:w w:val="99"/>
              </w:rPr>
              <w:t>Cost of sales</w:t>
            </w:r>
          </w:p>
        </w:tc>
        <w:tc>
          <w:tcPr>
            <w:tcW w:w="26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Interest expense</w:t>
            </w: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56"/>
        </w:trPr>
        <w:tc>
          <w:tcPr>
            <w:tcW w:w="166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1420" w:type="dxa"/>
            <w:vAlign w:val="bottom"/>
            <w:gridSpan w:val="2"/>
            <w:shd w:val="clear" w:color="auto" w:fill="DBDBDB"/>
          </w:tcPr>
          <w:p>
            <w:pPr>
              <w:jc w:val="center"/>
              <w:ind w:right="20"/>
              <w:spacing w:after="0"/>
              <w:rPr>
                <w:sz w:val="20"/>
                <w:szCs w:val="20"/>
                <w:color w:val="auto"/>
              </w:rPr>
            </w:pPr>
            <w:r>
              <w:rPr>
                <w:rFonts w:ascii="Arial" w:cs="Arial" w:eastAsia="Arial" w:hAnsi="Arial"/>
                <w:sz w:val="12"/>
                <w:szCs w:val="12"/>
                <w:b w:val="1"/>
                <w:bCs w:val="1"/>
                <w:color w:val="auto"/>
                <w:w w:val="99"/>
              </w:rPr>
              <w:t>Three Months Ended</w:t>
            </w:r>
          </w:p>
        </w:tc>
        <w:tc>
          <w:tcPr>
            <w:tcW w:w="66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52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620" w:type="dxa"/>
            <w:vAlign w:val="bottom"/>
            <w:gridSpan w:val="3"/>
            <w:shd w:val="clear" w:color="auto" w:fill="DBDBDB"/>
          </w:tcPr>
          <w:p>
            <w:pPr>
              <w:ind w:left="220"/>
              <w:spacing w:after="0"/>
              <w:rPr>
                <w:sz w:val="20"/>
                <w:szCs w:val="20"/>
                <w:color w:val="auto"/>
              </w:rPr>
            </w:pPr>
            <w:r>
              <w:rPr>
                <w:rFonts w:ascii="Arial" w:cs="Arial" w:eastAsia="Arial" w:hAnsi="Arial"/>
                <w:sz w:val="12"/>
                <w:szCs w:val="12"/>
                <w:b w:val="1"/>
                <w:bCs w:val="1"/>
                <w:color w:val="auto"/>
              </w:rPr>
              <w:t>Three Months Ended</w:t>
            </w:r>
          </w:p>
        </w:tc>
        <w:tc>
          <w:tcPr>
            <w:tcW w:w="260" w:type="dxa"/>
            <w:vAlign w:val="bottom"/>
            <w:shd w:val="clear" w:color="auto" w:fill="DBDBDB"/>
          </w:tcPr>
          <w:p>
            <w:pPr>
              <w:spacing w:after="0"/>
              <w:rPr>
                <w:sz w:val="13"/>
                <w:szCs w:val="13"/>
                <w:color w:val="auto"/>
              </w:rPr>
            </w:pPr>
          </w:p>
        </w:tc>
        <w:tc>
          <w:tcPr>
            <w:tcW w:w="94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r>
      <w:tr>
        <w:trPr>
          <w:trHeight w:val="172"/>
        </w:trPr>
        <w:tc>
          <w:tcPr>
            <w:tcW w:w="166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spacing w:after="0"/>
              <w:rPr>
                <w:sz w:val="14"/>
                <w:szCs w:val="14"/>
                <w:color w:val="auto"/>
              </w:rPr>
            </w:pPr>
          </w:p>
        </w:tc>
        <w:tc>
          <w:tcPr>
            <w:tcW w:w="900" w:type="dxa"/>
            <w:vAlign w:val="bottom"/>
            <w:tcBorders>
              <w:bottom w:val="single" w:sz="8" w:color="auto"/>
            </w:tcBorders>
            <w:shd w:val="clear" w:color="auto" w:fill="DBDBDB"/>
          </w:tcPr>
          <w:p>
            <w:pPr>
              <w:spacing w:after="0"/>
              <w:rPr>
                <w:sz w:val="14"/>
                <w:szCs w:val="14"/>
                <w:color w:val="auto"/>
              </w:rPr>
            </w:pPr>
          </w:p>
        </w:tc>
        <w:tc>
          <w:tcPr>
            <w:tcW w:w="300" w:type="dxa"/>
            <w:vAlign w:val="bottom"/>
            <w:tcBorders>
              <w:bottom w:val="single" w:sz="8" w:color="auto"/>
            </w:tcBorders>
            <w:shd w:val="clear" w:color="auto" w:fill="DBDBDB"/>
          </w:tcPr>
          <w:p>
            <w:pPr>
              <w:spacing w:after="0"/>
              <w:rPr>
                <w:sz w:val="14"/>
                <w:szCs w:val="14"/>
                <w:color w:val="auto"/>
              </w:rPr>
            </w:pPr>
          </w:p>
        </w:tc>
        <w:tc>
          <w:tcPr>
            <w:tcW w:w="1420" w:type="dxa"/>
            <w:vAlign w:val="bottom"/>
            <w:tcBorders>
              <w:bottom w:val="single" w:sz="8" w:color="auto"/>
            </w:tcBorders>
            <w:gridSpan w:val="2"/>
            <w:shd w:val="clear" w:color="auto" w:fill="DBDBDB"/>
          </w:tcPr>
          <w:p>
            <w:pPr>
              <w:jc w:val="center"/>
              <w:spacing w:after="0"/>
              <w:rPr>
                <w:sz w:val="20"/>
                <w:szCs w:val="20"/>
                <w:color w:val="auto"/>
              </w:rPr>
            </w:pPr>
            <w:r>
              <w:rPr>
                <w:rFonts w:ascii="Arial" w:cs="Arial" w:eastAsia="Arial" w:hAnsi="Arial"/>
                <w:sz w:val="12"/>
                <w:szCs w:val="12"/>
                <w:b w:val="1"/>
                <w:bCs w:val="1"/>
                <w:color w:val="auto"/>
              </w:rPr>
              <w:t>April 30, 2024</w:t>
            </w:r>
          </w:p>
        </w:tc>
        <w:tc>
          <w:tcPr>
            <w:tcW w:w="660" w:type="dxa"/>
            <w:vAlign w:val="bottom"/>
            <w:tcBorders>
              <w:bottom w:val="single" w:sz="8" w:color="auto"/>
            </w:tcBorders>
            <w:shd w:val="clear" w:color="auto" w:fill="DBDBDB"/>
          </w:tcPr>
          <w:p>
            <w:pPr>
              <w:spacing w:after="0"/>
              <w:rPr>
                <w:sz w:val="14"/>
                <w:szCs w:val="14"/>
                <w:color w:val="auto"/>
              </w:rPr>
            </w:pPr>
          </w:p>
        </w:tc>
        <w:tc>
          <w:tcPr>
            <w:tcW w:w="260" w:type="dxa"/>
            <w:vAlign w:val="bottom"/>
            <w:tcBorders>
              <w:bottom w:val="single" w:sz="8" w:color="auto"/>
            </w:tcBorders>
            <w:shd w:val="clear" w:color="auto" w:fill="DBDBDB"/>
          </w:tcPr>
          <w:p>
            <w:pPr>
              <w:spacing w:after="0"/>
              <w:rPr>
                <w:sz w:val="14"/>
                <w:szCs w:val="14"/>
                <w:color w:val="auto"/>
              </w:rPr>
            </w:pPr>
          </w:p>
        </w:tc>
        <w:tc>
          <w:tcPr>
            <w:tcW w:w="320" w:type="dxa"/>
            <w:vAlign w:val="bottom"/>
            <w:tcBorders>
              <w:bottom w:val="single" w:sz="8" w:color="auto"/>
            </w:tcBorders>
            <w:shd w:val="clear" w:color="auto" w:fill="DBDBDB"/>
          </w:tcPr>
          <w:p>
            <w:pPr>
              <w:spacing w:after="0"/>
              <w:rPr>
                <w:sz w:val="14"/>
                <w:szCs w:val="14"/>
                <w:color w:val="auto"/>
              </w:rPr>
            </w:pPr>
          </w:p>
        </w:tc>
        <w:tc>
          <w:tcPr>
            <w:tcW w:w="300" w:type="dxa"/>
            <w:vAlign w:val="bottom"/>
            <w:shd w:val="clear" w:color="auto" w:fill="DBDBDB"/>
          </w:tcPr>
          <w:p>
            <w:pPr>
              <w:spacing w:after="0"/>
              <w:rPr>
                <w:sz w:val="14"/>
                <w:szCs w:val="14"/>
                <w:color w:val="auto"/>
              </w:rPr>
            </w:pPr>
          </w:p>
        </w:tc>
        <w:tc>
          <w:tcPr>
            <w:tcW w:w="520" w:type="dxa"/>
            <w:vAlign w:val="bottom"/>
            <w:tcBorders>
              <w:bottom w:val="single" w:sz="8" w:color="auto"/>
            </w:tcBorders>
            <w:shd w:val="clear" w:color="auto" w:fill="DBDBDB"/>
          </w:tcPr>
          <w:p>
            <w:pPr>
              <w:spacing w:after="0"/>
              <w:rPr>
                <w:sz w:val="14"/>
                <w:szCs w:val="14"/>
                <w:color w:val="auto"/>
              </w:rPr>
            </w:pPr>
          </w:p>
        </w:tc>
        <w:tc>
          <w:tcPr>
            <w:tcW w:w="680" w:type="dxa"/>
            <w:vAlign w:val="bottom"/>
            <w:tcBorders>
              <w:bottom w:val="single" w:sz="8" w:color="auto"/>
            </w:tcBorders>
            <w:shd w:val="clear" w:color="auto" w:fill="DBDBDB"/>
          </w:tcPr>
          <w:p>
            <w:pPr>
              <w:spacing w:after="0"/>
              <w:rPr>
                <w:sz w:val="14"/>
                <w:szCs w:val="14"/>
                <w:color w:val="auto"/>
              </w:rPr>
            </w:pPr>
          </w:p>
        </w:tc>
        <w:tc>
          <w:tcPr>
            <w:tcW w:w="420" w:type="dxa"/>
            <w:vAlign w:val="bottom"/>
            <w:tcBorders>
              <w:bottom w:val="single" w:sz="8" w:color="auto"/>
            </w:tcBorders>
            <w:shd w:val="clear" w:color="auto" w:fill="DBDBDB"/>
          </w:tcPr>
          <w:p>
            <w:pPr>
              <w:spacing w:after="0"/>
              <w:rPr>
                <w:sz w:val="14"/>
                <w:szCs w:val="14"/>
                <w:color w:val="auto"/>
              </w:rPr>
            </w:pPr>
          </w:p>
        </w:tc>
        <w:tc>
          <w:tcPr>
            <w:tcW w:w="1200" w:type="dxa"/>
            <w:vAlign w:val="bottom"/>
            <w:tcBorders>
              <w:bottom w:val="single" w:sz="8" w:color="auto"/>
            </w:tcBorders>
            <w:gridSpan w:val="2"/>
            <w:shd w:val="clear" w:color="auto" w:fill="DBDBDB"/>
          </w:tcPr>
          <w:p>
            <w:pPr>
              <w:jc w:val="right"/>
              <w:ind w:right="340"/>
              <w:spacing w:after="0"/>
              <w:rPr>
                <w:sz w:val="20"/>
                <w:szCs w:val="20"/>
                <w:color w:val="auto"/>
              </w:rPr>
            </w:pPr>
            <w:r>
              <w:rPr>
                <w:rFonts w:ascii="Arial" w:cs="Arial" w:eastAsia="Arial" w:hAnsi="Arial"/>
                <w:sz w:val="12"/>
                <w:szCs w:val="12"/>
                <w:b w:val="1"/>
                <w:bCs w:val="1"/>
                <w:color w:val="auto"/>
              </w:rPr>
              <w:t>April 30, 2023</w:t>
            </w:r>
          </w:p>
        </w:tc>
        <w:tc>
          <w:tcPr>
            <w:tcW w:w="260" w:type="dxa"/>
            <w:vAlign w:val="bottom"/>
            <w:tcBorders>
              <w:bottom w:val="single" w:sz="8" w:color="auto"/>
            </w:tcBorders>
            <w:shd w:val="clear" w:color="auto" w:fill="DBDBDB"/>
          </w:tcPr>
          <w:p>
            <w:pPr>
              <w:spacing w:after="0"/>
              <w:rPr>
                <w:sz w:val="14"/>
                <w:szCs w:val="14"/>
                <w:color w:val="auto"/>
              </w:rPr>
            </w:pPr>
          </w:p>
        </w:tc>
        <w:tc>
          <w:tcPr>
            <w:tcW w:w="940" w:type="dxa"/>
            <w:vAlign w:val="bottom"/>
            <w:tcBorders>
              <w:bottom w:val="single" w:sz="8" w:color="auto"/>
            </w:tcBorders>
            <w:shd w:val="clear" w:color="auto" w:fill="DBDBDB"/>
          </w:tcPr>
          <w:p>
            <w:pPr>
              <w:spacing w:after="0"/>
              <w:rPr>
                <w:sz w:val="14"/>
                <w:szCs w:val="14"/>
                <w:color w:val="auto"/>
              </w:rPr>
            </w:pPr>
          </w:p>
        </w:tc>
        <w:tc>
          <w:tcPr>
            <w:tcW w:w="40" w:type="dxa"/>
            <w:vAlign w:val="bottom"/>
            <w:tcBorders>
              <w:bottom w:val="single" w:sz="8" w:color="auto"/>
            </w:tcBorders>
            <w:shd w:val="clear" w:color="auto" w:fill="DBDBDB"/>
          </w:tcPr>
          <w:p>
            <w:pPr>
              <w:spacing w:after="0"/>
              <w:rPr>
                <w:sz w:val="14"/>
                <w:szCs w:val="14"/>
                <w:color w:val="auto"/>
              </w:rPr>
            </w:pPr>
          </w:p>
        </w:tc>
      </w:tr>
      <w:tr>
        <w:trPr>
          <w:trHeight w:val="153"/>
        </w:trPr>
        <w:tc>
          <w:tcPr>
            <w:tcW w:w="1660" w:type="dxa"/>
            <w:vAlign w:val="bottom"/>
          </w:tcPr>
          <w:p>
            <w:pPr>
              <w:ind w:left="20"/>
              <w:spacing w:after="0"/>
              <w:rPr>
                <w:sz w:val="20"/>
                <w:szCs w:val="20"/>
                <w:color w:val="auto"/>
              </w:rPr>
            </w:pPr>
            <w:r>
              <w:rPr>
                <w:rFonts w:ascii="Arial" w:cs="Arial" w:eastAsia="Arial" w:hAnsi="Arial"/>
                <w:sz w:val="12"/>
                <w:szCs w:val="12"/>
                <w:b w:val="1"/>
                <w:bCs w:val="1"/>
                <w:color w:val="auto"/>
              </w:rPr>
              <w:t>Equity method investees: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173"/>
        </w:trPr>
        <w:tc>
          <w:tcPr>
            <w:tcW w:w="166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2"/>
                <w:szCs w:val="12"/>
                <w:color w:val="auto"/>
              </w:rPr>
              <w:t>Mr. Avocado</w:t>
            </w:r>
          </w:p>
        </w:tc>
        <w:tc>
          <w:tcPr>
            <w:tcW w:w="260" w:type="dxa"/>
            <w:vAlign w:val="bottom"/>
            <w:tcBorders>
              <w:bottom w:val="single" w:sz="8" w:color="DBDBDB"/>
            </w:tcBorders>
            <w:shd w:val="clear" w:color="auto" w:fill="DBDBDB"/>
          </w:tcPr>
          <w:p>
            <w:pPr>
              <w:spacing w:after="0"/>
              <w:rPr>
                <w:sz w:val="15"/>
                <w:szCs w:val="15"/>
                <w:color w:val="auto"/>
              </w:rPr>
            </w:pPr>
          </w:p>
        </w:tc>
        <w:tc>
          <w:tcPr>
            <w:tcW w:w="860" w:type="dxa"/>
            <w:vAlign w:val="bottom"/>
            <w:tcBorders>
              <w:bottom w:val="single" w:sz="8" w:color="DBDBDB"/>
            </w:tcBorders>
            <w:shd w:val="clear" w:color="auto" w:fill="DBDBDB"/>
          </w:tcPr>
          <w:p>
            <w:pPr>
              <w:spacing w:after="0"/>
              <w:rPr>
                <w:sz w:val="15"/>
                <w:szCs w:val="15"/>
                <w:color w:val="auto"/>
              </w:rPr>
            </w:pP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DBDBDB"/>
            </w:tcBorders>
            <w:shd w:val="clear" w:color="auto" w:fill="DBDBDB"/>
          </w:tcPr>
          <w:p>
            <w:pPr>
              <w:spacing w:after="0"/>
              <w:rPr>
                <w:sz w:val="15"/>
                <w:szCs w:val="15"/>
                <w:color w:val="auto"/>
              </w:rPr>
            </w:pPr>
          </w:p>
        </w:tc>
        <w:tc>
          <w:tcPr>
            <w:tcW w:w="300" w:type="dxa"/>
            <w:vAlign w:val="bottom"/>
            <w:tcBorders>
              <w:bottom w:val="single" w:sz="8" w:color="DBDBDB"/>
            </w:tcBorders>
            <w:shd w:val="clear" w:color="auto" w:fill="DBDBDB"/>
          </w:tcPr>
          <w:p>
            <w:pPr>
              <w:jc w:val="right"/>
              <w:ind w:right="6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DBDBDB"/>
            </w:tcBorders>
            <w:shd w:val="clear" w:color="auto" w:fill="DBDBDB"/>
          </w:tcPr>
          <w:p>
            <w:pPr>
              <w:jc w:val="right"/>
              <w:ind w:right="700"/>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DBDBDB"/>
            </w:tcBorders>
            <w:shd w:val="clear" w:color="auto" w:fill="DBDBDB"/>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DBDBDB"/>
            </w:tcBorders>
            <w:shd w:val="clear" w:color="auto" w:fill="DBDBDB"/>
          </w:tcPr>
          <w:p>
            <w:pPr>
              <w:jc w:val="right"/>
              <w:ind w:right="46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DBDBDB"/>
            </w:tcBorders>
            <w:gridSpan w:val="2"/>
            <w:shd w:val="clear" w:color="auto" w:fill="DBDBDB"/>
          </w:tcPr>
          <w:p>
            <w:pPr>
              <w:jc w:val="right"/>
              <w:ind w:right="38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1.7</w:t>
            </w:r>
          </w:p>
        </w:tc>
        <w:tc>
          <w:tcPr>
            <w:tcW w:w="4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DBDBDB"/>
            </w:tcBorders>
            <w:gridSpan w:val="2"/>
            <w:shd w:val="clear" w:color="auto" w:fill="DBDBDB"/>
          </w:tcPr>
          <w:p>
            <w:pPr>
              <w:jc w:val="right"/>
              <w:ind w:right="60"/>
              <w:spacing w:after="0"/>
              <w:rPr>
                <w:sz w:val="20"/>
                <w:szCs w:val="20"/>
                <w:color w:val="auto"/>
              </w:rPr>
            </w:pPr>
            <w:r>
              <w:rPr>
                <w:rFonts w:ascii="Arial" w:cs="Arial" w:eastAsia="Arial" w:hAnsi="Arial"/>
                <w:sz w:val="12"/>
                <w:szCs w:val="12"/>
                <w:color w:val="auto"/>
              </w:rPr>
              <w:t>—</w:t>
            </w:r>
          </w:p>
        </w:tc>
      </w:tr>
      <w:tr>
        <w:trPr>
          <w:trHeight w:val="173"/>
        </w:trPr>
        <w:tc>
          <w:tcPr>
            <w:tcW w:w="1660" w:type="dxa"/>
            <w:vAlign w:val="bottom"/>
          </w:tcPr>
          <w:p>
            <w:pPr>
              <w:ind w:left="20"/>
              <w:spacing w:after="0"/>
              <w:rPr>
                <w:sz w:val="20"/>
                <w:szCs w:val="20"/>
                <w:color w:val="auto"/>
              </w:rPr>
            </w:pPr>
            <w:r>
              <w:rPr>
                <w:rFonts w:ascii="Arial" w:cs="Arial" w:eastAsia="Arial" w:hAnsi="Arial"/>
                <w:sz w:val="12"/>
                <w:szCs w:val="12"/>
                <w:b w:val="1"/>
                <w:bCs w:val="1"/>
                <w:color w:val="auto"/>
              </w:rPr>
              <w:t>Other:</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3"/>
        </w:trPr>
        <w:tc>
          <w:tcPr>
            <w:tcW w:w="1660" w:type="dxa"/>
            <w:vAlign w:val="bottom"/>
            <w:shd w:val="clear" w:color="auto" w:fill="DBDBDB"/>
          </w:tcPr>
          <w:p>
            <w:pPr>
              <w:ind w:left="120"/>
              <w:spacing w:after="0"/>
              <w:rPr>
                <w:sz w:val="20"/>
                <w:szCs w:val="20"/>
                <w:color w:val="auto"/>
              </w:rPr>
            </w:pPr>
            <w:r>
              <w:rPr>
                <w:rFonts w:ascii="Arial" w:cs="Arial" w:eastAsia="Arial" w:hAnsi="Arial"/>
                <w:sz w:val="12"/>
                <w:szCs w:val="12"/>
                <w:color w:val="auto"/>
              </w:rPr>
              <w:t>Directors/Officers</w:t>
            </w:r>
            <w:r>
              <w:rPr>
                <w:rFonts w:ascii="Arial" w:cs="Arial" w:eastAsia="Arial" w:hAnsi="Arial"/>
                <w:sz w:val="15"/>
                <w:szCs w:val="15"/>
                <w:color w:val="auto"/>
                <w:vertAlign w:val="superscript"/>
              </w:rPr>
              <w:t>(1)</w:t>
            </w:r>
          </w:p>
        </w:tc>
        <w:tc>
          <w:tcPr>
            <w:tcW w:w="26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300" w:type="dxa"/>
            <w:vAlign w:val="bottom"/>
            <w:shd w:val="clear" w:color="auto" w:fill="DBDBDB"/>
          </w:tcPr>
          <w:p>
            <w:pPr>
              <w:jc w:val="right"/>
              <w:ind w:right="60"/>
              <w:spacing w:after="0"/>
              <w:rPr>
                <w:sz w:val="20"/>
                <w:szCs w:val="20"/>
                <w:color w:val="auto"/>
              </w:rPr>
            </w:pPr>
            <w:r>
              <w:rPr>
                <w:rFonts w:ascii="Arial" w:cs="Arial" w:eastAsia="Arial" w:hAnsi="Arial"/>
                <w:sz w:val="12"/>
                <w:szCs w:val="12"/>
                <w:color w:val="auto"/>
                <w:w w:val="95"/>
              </w:rPr>
              <w:t>0.3</w:t>
            </w:r>
          </w:p>
        </w:tc>
        <w:tc>
          <w:tcPr>
            <w:tcW w:w="940" w:type="dxa"/>
            <w:vAlign w:val="bottom"/>
            <w:shd w:val="clear" w:color="auto" w:fill="DBDBDB"/>
          </w:tcPr>
          <w:p>
            <w:pPr>
              <w:spacing w:after="0"/>
              <w:rPr>
                <w:sz w:val="16"/>
                <w:szCs w:val="16"/>
                <w:color w:val="auto"/>
              </w:rPr>
            </w:pPr>
          </w:p>
        </w:tc>
        <w:tc>
          <w:tcPr>
            <w:tcW w:w="480" w:type="dxa"/>
            <w:vAlign w:val="bottom"/>
            <w:shd w:val="clear" w:color="auto" w:fill="DBDBDB"/>
          </w:tcPr>
          <w:p>
            <w:pPr>
              <w:jc w:val="right"/>
              <w:ind w:right="60"/>
              <w:spacing w:after="0"/>
              <w:rPr>
                <w:sz w:val="20"/>
                <w:szCs w:val="20"/>
                <w:color w:val="auto"/>
              </w:rPr>
            </w:pPr>
            <w:r>
              <w:rPr>
                <w:rFonts w:ascii="Arial" w:cs="Arial" w:eastAsia="Arial" w:hAnsi="Arial"/>
                <w:sz w:val="12"/>
                <w:szCs w:val="12"/>
                <w:color w:val="auto"/>
              </w:rPr>
              <w:t>0.9</w:t>
            </w:r>
          </w:p>
        </w:tc>
        <w:tc>
          <w:tcPr>
            <w:tcW w:w="66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0.5</w:t>
            </w:r>
          </w:p>
        </w:tc>
        <w:tc>
          <w:tcPr>
            <w:tcW w:w="30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0.4</w:t>
            </w:r>
          </w:p>
        </w:tc>
        <w:tc>
          <w:tcPr>
            <w:tcW w:w="42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40" w:type="dxa"/>
            <w:vAlign w:val="bottom"/>
            <w:shd w:val="clear" w:color="auto" w:fill="DBDBDB"/>
          </w:tcPr>
          <w:p>
            <w:pPr>
              <w:jc w:val="right"/>
              <w:ind w:right="160"/>
              <w:spacing w:after="0"/>
              <w:rPr>
                <w:sz w:val="20"/>
                <w:szCs w:val="20"/>
                <w:color w:val="auto"/>
              </w:rPr>
            </w:pPr>
            <w:r>
              <w:rPr>
                <w:rFonts w:ascii="Arial" w:cs="Arial" w:eastAsia="Arial" w:hAnsi="Arial"/>
                <w:sz w:val="12"/>
                <w:szCs w:val="12"/>
                <w:color w:val="auto"/>
              </w:rPr>
              <w:t>0.9</w:t>
            </w:r>
          </w:p>
        </w:tc>
        <w:tc>
          <w:tcPr>
            <w:tcW w:w="26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0.4</w:t>
            </w:r>
          </w:p>
        </w:tc>
        <w:tc>
          <w:tcPr>
            <w:tcW w:w="40" w:type="dxa"/>
            <w:vAlign w:val="bottom"/>
            <w:shd w:val="clear" w:color="auto" w:fill="DBDBDB"/>
          </w:tcPr>
          <w:p>
            <w:pPr>
              <w:spacing w:after="0"/>
              <w:rPr>
                <w:sz w:val="16"/>
                <w:szCs w:val="16"/>
                <w:color w:val="auto"/>
              </w:rPr>
            </w:pPr>
          </w:p>
        </w:tc>
      </w:tr>
      <w:tr>
        <w:trPr>
          <w:trHeight w:val="201"/>
        </w:trPr>
        <w:tc>
          <w:tcPr>
            <w:tcW w:w="1660" w:type="dxa"/>
            <w:vAlign w:val="bottom"/>
          </w:tcPr>
          <w:p>
            <w:pPr>
              <w:ind w:left="120"/>
              <w:spacing w:after="0"/>
              <w:rPr>
                <w:sz w:val="20"/>
                <w:szCs w:val="20"/>
                <w:color w:val="auto"/>
              </w:rPr>
            </w:pPr>
            <w:r>
              <w:rPr>
                <w:rFonts w:ascii="Arial" w:cs="Arial" w:eastAsia="Arial" w:hAnsi="Arial"/>
                <w:sz w:val="12"/>
                <w:szCs w:val="12"/>
                <w:color w:val="auto"/>
              </w:rPr>
              <w:t>Employees</w:t>
            </w:r>
            <w:r>
              <w:rPr>
                <w:rFonts w:ascii="Arial" w:cs="Arial" w:eastAsia="Arial" w:hAnsi="Arial"/>
                <w:sz w:val="15"/>
                <w:szCs w:val="15"/>
                <w:color w:val="auto"/>
                <w:vertAlign w:val="superscript"/>
              </w:rPr>
              <w:t>(2)</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7"/>
                <w:szCs w:val="17"/>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1.6</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160"/>
              <w:spacing w:after="0"/>
              <w:rPr>
                <w:sz w:val="20"/>
                <w:szCs w:val="20"/>
                <w:color w:val="auto"/>
              </w:rPr>
            </w:pPr>
            <w:r>
              <w:rPr>
                <w:rFonts w:ascii="Arial" w:cs="Arial" w:eastAsia="Arial" w:hAnsi="Arial"/>
                <w:sz w:val="12"/>
                <w:szCs w:val="12"/>
                <w:color w:val="auto"/>
              </w:rPr>
              <w:t>3.1</w:t>
            </w:r>
          </w:p>
        </w:tc>
        <w:tc>
          <w:tcPr>
            <w:tcW w:w="26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155"/>
        </w:trPr>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Six Months Ended</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2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Six Months Ended</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9"/>
        </w:trPr>
        <w:tc>
          <w:tcPr>
            <w:tcW w:w="1660" w:type="dxa"/>
            <w:vAlign w:val="bottom"/>
            <w:tcBorders>
              <w:bottom w:val="single" w:sz="8" w:color="DBDBDB"/>
            </w:tcBorders>
          </w:tcPr>
          <w:p>
            <w:pPr>
              <w:spacing w:after="0"/>
              <w:rPr>
                <w:sz w:val="14"/>
                <w:szCs w:val="14"/>
                <w:color w:val="auto"/>
              </w:rPr>
            </w:pPr>
          </w:p>
        </w:tc>
        <w:tc>
          <w:tcPr>
            <w:tcW w:w="260" w:type="dxa"/>
            <w:vAlign w:val="bottom"/>
            <w:tcBorders>
              <w:bottom w:val="single" w:sz="8" w:color="DBDBDB"/>
            </w:tcBorders>
          </w:tcPr>
          <w:p>
            <w:pPr>
              <w:spacing w:after="0"/>
              <w:rPr>
                <w:sz w:val="14"/>
                <w:szCs w:val="14"/>
                <w:color w:val="auto"/>
              </w:rPr>
            </w:pPr>
          </w:p>
        </w:tc>
        <w:tc>
          <w:tcPr>
            <w:tcW w:w="860" w:type="dxa"/>
            <w:vAlign w:val="bottom"/>
            <w:tcBorders>
              <w:bottom w:val="single" w:sz="8" w:color="DBDBDB"/>
            </w:tcBorders>
          </w:tcPr>
          <w:p>
            <w:pPr>
              <w:spacing w:after="0"/>
              <w:rPr>
                <w:sz w:val="14"/>
                <w:szCs w:val="14"/>
                <w:color w:val="auto"/>
              </w:rPr>
            </w:pPr>
          </w:p>
        </w:tc>
        <w:tc>
          <w:tcPr>
            <w:tcW w:w="140" w:type="dxa"/>
            <w:vAlign w:val="bottom"/>
            <w:tcBorders>
              <w:bottom w:val="single" w:sz="8" w:color="DBDBDB"/>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April 30, 2024</w:t>
            </w: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DBDBDB"/>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2"/>
                <w:szCs w:val="12"/>
                <w:b w:val="1"/>
                <w:bCs w:val="1"/>
                <w:color w:val="auto"/>
              </w:rPr>
              <w:t>April 30, 2023</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r>
      <w:tr>
        <w:trPr>
          <w:trHeight w:val="170"/>
        </w:trPr>
        <w:tc>
          <w:tcPr>
            <w:tcW w:w="1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Equity method investees:</w:t>
            </w:r>
          </w:p>
        </w:tc>
        <w:tc>
          <w:tcPr>
            <w:tcW w:w="260" w:type="dxa"/>
            <w:vAlign w:val="bottom"/>
            <w:tcBorders>
              <w:bottom w:val="single" w:sz="8" w:color="DBDBDB"/>
            </w:tcBorders>
            <w:shd w:val="clear" w:color="auto" w:fill="DBDBDB"/>
          </w:tcPr>
          <w:p>
            <w:pPr>
              <w:spacing w:after="0"/>
              <w:rPr>
                <w:sz w:val="14"/>
                <w:szCs w:val="14"/>
                <w:color w:val="auto"/>
              </w:rPr>
            </w:pPr>
          </w:p>
        </w:tc>
        <w:tc>
          <w:tcPr>
            <w:tcW w:w="860" w:type="dxa"/>
            <w:vAlign w:val="bottom"/>
            <w:tcBorders>
              <w:bottom w:val="single" w:sz="8" w:color="DBDBDB"/>
            </w:tcBorders>
            <w:shd w:val="clear" w:color="auto" w:fill="DBDBDB"/>
          </w:tcPr>
          <w:p>
            <w:pPr>
              <w:spacing w:after="0"/>
              <w:rPr>
                <w:sz w:val="14"/>
                <w:szCs w:val="14"/>
                <w:color w:val="auto"/>
              </w:rPr>
            </w:pPr>
          </w:p>
        </w:tc>
        <w:tc>
          <w:tcPr>
            <w:tcW w:w="14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30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spacing w:after="0"/>
              <w:rPr>
                <w:sz w:val="14"/>
                <w:szCs w:val="14"/>
                <w:color w:val="auto"/>
              </w:rPr>
            </w:pPr>
          </w:p>
        </w:tc>
        <w:tc>
          <w:tcPr>
            <w:tcW w:w="480" w:type="dxa"/>
            <w:vAlign w:val="bottom"/>
            <w:tcBorders>
              <w:bottom w:val="single" w:sz="8" w:color="DBDBDB"/>
            </w:tcBorders>
            <w:shd w:val="clear" w:color="auto" w:fill="DBDBDB"/>
          </w:tcPr>
          <w:p>
            <w:pPr>
              <w:spacing w:after="0"/>
              <w:rPr>
                <w:sz w:val="14"/>
                <w:szCs w:val="14"/>
                <w:color w:val="auto"/>
              </w:rPr>
            </w:pPr>
          </w:p>
        </w:tc>
        <w:tc>
          <w:tcPr>
            <w:tcW w:w="660" w:type="dxa"/>
            <w:vAlign w:val="bottom"/>
            <w:tcBorders>
              <w:bottom w:val="single" w:sz="8" w:color="DBDBDB"/>
            </w:tcBorders>
            <w:shd w:val="clear" w:color="auto" w:fill="DBDBDB"/>
          </w:tcPr>
          <w:p>
            <w:pPr>
              <w:spacing w:after="0"/>
              <w:rPr>
                <w:sz w:val="14"/>
                <w:szCs w:val="14"/>
                <w:color w:val="auto"/>
              </w:rPr>
            </w:pPr>
          </w:p>
        </w:tc>
        <w:tc>
          <w:tcPr>
            <w:tcW w:w="260" w:type="dxa"/>
            <w:vAlign w:val="bottom"/>
            <w:tcBorders>
              <w:bottom w:val="single" w:sz="8" w:color="DBDBDB"/>
            </w:tcBorders>
            <w:shd w:val="clear" w:color="auto" w:fill="DBDBDB"/>
          </w:tcPr>
          <w:p>
            <w:pPr>
              <w:spacing w:after="0"/>
              <w:rPr>
                <w:sz w:val="14"/>
                <w:szCs w:val="14"/>
                <w:color w:val="auto"/>
              </w:rPr>
            </w:pPr>
          </w:p>
        </w:tc>
        <w:tc>
          <w:tcPr>
            <w:tcW w:w="320" w:type="dxa"/>
            <w:vAlign w:val="bottom"/>
            <w:tcBorders>
              <w:bottom w:val="single" w:sz="8" w:color="DBDBDB"/>
            </w:tcBorders>
            <w:shd w:val="clear" w:color="auto" w:fill="DBDBDB"/>
          </w:tcPr>
          <w:p>
            <w:pPr>
              <w:spacing w:after="0"/>
              <w:rPr>
                <w:sz w:val="14"/>
                <w:szCs w:val="14"/>
                <w:color w:val="auto"/>
              </w:rPr>
            </w:pPr>
          </w:p>
        </w:tc>
        <w:tc>
          <w:tcPr>
            <w:tcW w:w="300" w:type="dxa"/>
            <w:vAlign w:val="bottom"/>
            <w:tcBorders>
              <w:bottom w:val="single" w:sz="8" w:color="DBDBDB"/>
            </w:tcBorders>
            <w:shd w:val="clear" w:color="auto" w:fill="DBDBDB"/>
          </w:tcPr>
          <w:p>
            <w:pPr>
              <w:spacing w:after="0"/>
              <w:rPr>
                <w:sz w:val="14"/>
                <w:szCs w:val="14"/>
                <w:color w:val="auto"/>
              </w:rPr>
            </w:pPr>
          </w:p>
        </w:tc>
        <w:tc>
          <w:tcPr>
            <w:tcW w:w="520" w:type="dxa"/>
            <w:vAlign w:val="bottom"/>
            <w:tcBorders>
              <w:bottom w:val="single" w:sz="8" w:color="DBDBDB"/>
            </w:tcBorders>
            <w:shd w:val="clear" w:color="auto" w:fill="DBDBDB"/>
          </w:tcPr>
          <w:p>
            <w:pPr>
              <w:spacing w:after="0"/>
              <w:rPr>
                <w:sz w:val="14"/>
                <w:szCs w:val="14"/>
                <w:color w:val="auto"/>
              </w:rPr>
            </w:pPr>
          </w:p>
        </w:tc>
        <w:tc>
          <w:tcPr>
            <w:tcW w:w="680" w:type="dxa"/>
            <w:vAlign w:val="bottom"/>
            <w:tcBorders>
              <w:bottom w:val="single" w:sz="8" w:color="DBDBDB"/>
            </w:tcBorders>
            <w:shd w:val="clear" w:color="auto" w:fill="DBDBDB"/>
          </w:tcPr>
          <w:p>
            <w:pPr>
              <w:spacing w:after="0"/>
              <w:rPr>
                <w:sz w:val="14"/>
                <w:szCs w:val="14"/>
                <w:color w:val="auto"/>
              </w:rPr>
            </w:pPr>
          </w:p>
        </w:tc>
        <w:tc>
          <w:tcPr>
            <w:tcW w:w="420" w:type="dxa"/>
            <w:vAlign w:val="bottom"/>
            <w:tcBorders>
              <w:bottom w:val="single" w:sz="8" w:color="DBDBDB"/>
            </w:tcBorders>
            <w:shd w:val="clear" w:color="auto" w:fill="DBDBDB"/>
          </w:tcPr>
          <w:p>
            <w:pPr>
              <w:spacing w:after="0"/>
              <w:rPr>
                <w:sz w:val="14"/>
                <w:szCs w:val="14"/>
                <w:color w:val="auto"/>
              </w:rPr>
            </w:pPr>
          </w:p>
        </w:tc>
        <w:tc>
          <w:tcPr>
            <w:tcW w:w="26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spacing w:after="0"/>
              <w:rPr>
                <w:sz w:val="14"/>
                <w:szCs w:val="14"/>
                <w:color w:val="auto"/>
              </w:rPr>
            </w:pPr>
          </w:p>
        </w:tc>
        <w:tc>
          <w:tcPr>
            <w:tcW w:w="26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spacing w:after="0"/>
              <w:rPr>
                <w:sz w:val="14"/>
                <w:szCs w:val="14"/>
                <w:color w:val="auto"/>
              </w:rPr>
            </w:pPr>
          </w:p>
        </w:tc>
        <w:tc>
          <w:tcPr>
            <w:tcW w:w="40" w:type="dxa"/>
            <w:vAlign w:val="bottom"/>
            <w:tcBorders>
              <w:bottom w:val="single" w:sz="8" w:color="DBDBDB"/>
            </w:tcBorders>
            <w:shd w:val="clear" w:color="auto" w:fill="DBDBDB"/>
          </w:tcPr>
          <w:p>
            <w:pPr>
              <w:spacing w:after="0"/>
              <w:rPr>
                <w:sz w:val="14"/>
                <w:szCs w:val="14"/>
                <w:color w:val="auto"/>
              </w:rPr>
            </w:pPr>
          </w:p>
        </w:tc>
      </w:tr>
      <w:tr>
        <w:trPr>
          <w:trHeight w:val="167"/>
        </w:trPr>
        <w:tc>
          <w:tcPr>
            <w:tcW w:w="1660" w:type="dxa"/>
            <w:vAlign w:val="bottom"/>
          </w:tcPr>
          <w:p>
            <w:pPr>
              <w:ind w:left="120"/>
              <w:spacing w:after="0"/>
              <w:rPr>
                <w:sz w:val="20"/>
                <w:szCs w:val="20"/>
                <w:color w:val="auto"/>
              </w:rPr>
            </w:pPr>
            <w:r>
              <w:rPr>
                <w:rFonts w:ascii="Arial" w:cs="Arial" w:eastAsia="Arial" w:hAnsi="Arial"/>
                <w:sz w:val="12"/>
                <w:szCs w:val="12"/>
                <w:color w:val="auto"/>
              </w:rPr>
              <w:t>Mr. Avocado</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4"/>
                <w:szCs w:val="14"/>
                <w:color w:val="auto"/>
              </w:rPr>
            </w:pPr>
          </w:p>
        </w:tc>
        <w:tc>
          <w:tcPr>
            <w:tcW w:w="3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700"/>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4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1.8</w:t>
            </w:r>
          </w:p>
        </w:tc>
        <w:tc>
          <w:tcPr>
            <w:tcW w:w="420" w:type="dxa"/>
            <w:vAlign w:val="bottom"/>
          </w:tcPr>
          <w:p>
            <w:pPr>
              <w:ind w:lef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94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26"/>
        </w:trPr>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73"/>
        </w:trPr>
        <w:tc>
          <w:tcPr>
            <w:tcW w:w="1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Other:</w:t>
            </w:r>
          </w:p>
        </w:tc>
        <w:tc>
          <w:tcPr>
            <w:tcW w:w="260" w:type="dxa"/>
            <w:vAlign w:val="bottom"/>
            <w:tcBorders>
              <w:bottom w:val="single" w:sz="8" w:color="DBDBDB"/>
            </w:tcBorders>
            <w:shd w:val="clear" w:color="auto" w:fill="DBDBDB"/>
          </w:tcPr>
          <w:p>
            <w:pPr>
              <w:spacing w:after="0"/>
              <w:rPr>
                <w:sz w:val="15"/>
                <w:szCs w:val="15"/>
                <w:color w:val="auto"/>
              </w:rPr>
            </w:pPr>
          </w:p>
        </w:tc>
        <w:tc>
          <w:tcPr>
            <w:tcW w:w="860" w:type="dxa"/>
            <w:vAlign w:val="bottom"/>
            <w:tcBorders>
              <w:bottom w:val="single" w:sz="8" w:color="DBDBDB"/>
            </w:tcBorders>
            <w:shd w:val="clear" w:color="auto" w:fill="DBDBDB"/>
          </w:tcPr>
          <w:p>
            <w:pPr>
              <w:spacing w:after="0"/>
              <w:rPr>
                <w:sz w:val="15"/>
                <w:szCs w:val="15"/>
                <w:color w:val="auto"/>
              </w:rPr>
            </w:pPr>
          </w:p>
        </w:tc>
        <w:tc>
          <w:tcPr>
            <w:tcW w:w="140" w:type="dxa"/>
            <w:vAlign w:val="bottom"/>
            <w:tcBorders>
              <w:bottom w:val="single" w:sz="8" w:color="DBDBDB"/>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spacing w:after="0"/>
              <w:rPr>
                <w:sz w:val="15"/>
                <w:szCs w:val="15"/>
                <w:color w:val="auto"/>
              </w:rPr>
            </w:pPr>
          </w:p>
        </w:tc>
        <w:tc>
          <w:tcPr>
            <w:tcW w:w="30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spacing w:after="0"/>
              <w:rPr>
                <w:sz w:val="15"/>
                <w:szCs w:val="15"/>
                <w:color w:val="auto"/>
              </w:rPr>
            </w:pPr>
          </w:p>
        </w:tc>
        <w:tc>
          <w:tcPr>
            <w:tcW w:w="480" w:type="dxa"/>
            <w:vAlign w:val="bottom"/>
            <w:tcBorders>
              <w:bottom w:val="single" w:sz="8" w:color="DBDBDB"/>
            </w:tcBorders>
            <w:shd w:val="clear" w:color="auto" w:fill="DBDBDB"/>
          </w:tcPr>
          <w:p>
            <w:pPr>
              <w:spacing w:after="0"/>
              <w:rPr>
                <w:sz w:val="15"/>
                <w:szCs w:val="15"/>
                <w:color w:val="auto"/>
              </w:rPr>
            </w:pPr>
          </w:p>
        </w:tc>
        <w:tc>
          <w:tcPr>
            <w:tcW w:w="66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spacing w:after="0"/>
              <w:rPr>
                <w:sz w:val="15"/>
                <w:szCs w:val="15"/>
                <w:color w:val="auto"/>
              </w:rPr>
            </w:pPr>
          </w:p>
        </w:tc>
        <w:tc>
          <w:tcPr>
            <w:tcW w:w="320" w:type="dxa"/>
            <w:vAlign w:val="bottom"/>
            <w:tcBorders>
              <w:bottom w:val="single" w:sz="8" w:color="DBDBDB"/>
            </w:tcBorders>
            <w:shd w:val="clear" w:color="auto" w:fill="DBDBDB"/>
          </w:tcPr>
          <w:p>
            <w:pPr>
              <w:spacing w:after="0"/>
              <w:rPr>
                <w:sz w:val="15"/>
                <w:szCs w:val="15"/>
                <w:color w:val="auto"/>
              </w:rPr>
            </w:pPr>
          </w:p>
        </w:tc>
        <w:tc>
          <w:tcPr>
            <w:tcW w:w="300" w:type="dxa"/>
            <w:vAlign w:val="bottom"/>
            <w:tcBorders>
              <w:bottom w:val="single" w:sz="8" w:color="DBDBDB"/>
            </w:tcBorders>
            <w:shd w:val="clear" w:color="auto" w:fill="DBDBDB"/>
          </w:tcPr>
          <w:p>
            <w:pPr>
              <w:spacing w:after="0"/>
              <w:rPr>
                <w:sz w:val="15"/>
                <w:szCs w:val="15"/>
                <w:color w:val="auto"/>
              </w:rPr>
            </w:pPr>
          </w:p>
        </w:tc>
        <w:tc>
          <w:tcPr>
            <w:tcW w:w="520" w:type="dxa"/>
            <w:vAlign w:val="bottom"/>
            <w:tcBorders>
              <w:bottom w:val="single" w:sz="8" w:color="DBDBDB"/>
            </w:tcBorders>
            <w:shd w:val="clear" w:color="auto" w:fill="DBDBDB"/>
          </w:tcPr>
          <w:p>
            <w:pPr>
              <w:spacing w:after="0"/>
              <w:rPr>
                <w:sz w:val="15"/>
                <w:szCs w:val="15"/>
                <w:color w:val="auto"/>
              </w:rPr>
            </w:pPr>
          </w:p>
        </w:tc>
        <w:tc>
          <w:tcPr>
            <w:tcW w:w="680" w:type="dxa"/>
            <w:vAlign w:val="bottom"/>
            <w:tcBorders>
              <w:bottom w:val="single" w:sz="8" w:color="DBDBDB"/>
            </w:tcBorders>
            <w:shd w:val="clear" w:color="auto" w:fill="DBDBDB"/>
          </w:tcPr>
          <w:p>
            <w:pPr>
              <w:spacing w:after="0"/>
              <w:rPr>
                <w:sz w:val="15"/>
                <w:szCs w:val="15"/>
                <w:color w:val="auto"/>
              </w:rPr>
            </w:pPr>
          </w:p>
        </w:tc>
        <w:tc>
          <w:tcPr>
            <w:tcW w:w="42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spacing w:after="0"/>
              <w:rPr>
                <w:sz w:val="15"/>
                <w:szCs w:val="15"/>
                <w:color w:val="auto"/>
              </w:rPr>
            </w:pPr>
          </w:p>
        </w:tc>
        <w:tc>
          <w:tcPr>
            <w:tcW w:w="40" w:type="dxa"/>
            <w:vAlign w:val="bottom"/>
            <w:tcBorders>
              <w:bottom w:val="single" w:sz="8" w:color="DBDBDB"/>
            </w:tcBorders>
            <w:shd w:val="clear" w:color="auto" w:fill="DBDBDB"/>
          </w:tcPr>
          <w:p>
            <w:pPr>
              <w:spacing w:after="0"/>
              <w:rPr>
                <w:sz w:val="15"/>
                <w:szCs w:val="15"/>
                <w:color w:val="auto"/>
              </w:rPr>
            </w:pPr>
          </w:p>
        </w:tc>
      </w:tr>
      <w:tr>
        <w:trPr>
          <w:trHeight w:val="193"/>
        </w:trPr>
        <w:tc>
          <w:tcPr>
            <w:tcW w:w="1660" w:type="dxa"/>
            <w:vAlign w:val="bottom"/>
          </w:tcPr>
          <w:p>
            <w:pPr>
              <w:ind w:left="120"/>
              <w:spacing w:after="0"/>
              <w:rPr>
                <w:sz w:val="20"/>
                <w:szCs w:val="20"/>
                <w:color w:val="auto"/>
              </w:rPr>
            </w:pPr>
            <w:r>
              <w:rPr>
                <w:rFonts w:ascii="Arial" w:cs="Arial" w:eastAsia="Arial" w:hAnsi="Arial"/>
                <w:sz w:val="12"/>
                <w:szCs w:val="12"/>
                <w:color w:val="auto"/>
              </w:rPr>
              <w:t>Directors/Officers</w:t>
            </w:r>
            <w:r>
              <w:rPr>
                <w:rFonts w:ascii="Arial" w:cs="Arial" w:eastAsia="Arial" w:hAnsi="Arial"/>
                <w:sz w:val="15"/>
                <w:szCs w:val="15"/>
                <w:color w:val="auto"/>
                <w:vertAlign w:val="superscript"/>
              </w:rPr>
              <w:t>(1))</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jc w:val="right"/>
              <w:ind w:right="60"/>
              <w:spacing w:after="0"/>
              <w:rPr>
                <w:sz w:val="20"/>
                <w:szCs w:val="20"/>
                <w:color w:val="auto"/>
              </w:rPr>
            </w:pPr>
            <w:r>
              <w:rPr>
                <w:rFonts w:ascii="Arial" w:cs="Arial" w:eastAsia="Arial" w:hAnsi="Arial"/>
                <w:sz w:val="12"/>
                <w:szCs w:val="12"/>
                <w:color w:val="auto"/>
                <w:w w:val="95"/>
              </w:rPr>
              <w:t>0.5</w:t>
            </w:r>
          </w:p>
        </w:tc>
        <w:tc>
          <w:tcPr>
            <w:tcW w:w="940" w:type="dxa"/>
            <w:vAlign w:val="bottom"/>
          </w:tcPr>
          <w:p>
            <w:pPr>
              <w:spacing w:after="0"/>
              <w:rPr>
                <w:sz w:val="16"/>
                <w:szCs w:val="16"/>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1.1</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1.0</w:t>
            </w: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0.6</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160"/>
              <w:spacing w:after="0"/>
              <w:rPr>
                <w:sz w:val="20"/>
                <w:szCs w:val="20"/>
                <w:color w:val="auto"/>
              </w:rPr>
            </w:pPr>
            <w:r>
              <w:rPr>
                <w:rFonts w:ascii="Arial" w:cs="Arial" w:eastAsia="Arial" w:hAnsi="Arial"/>
                <w:sz w:val="12"/>
                <w:szCs w:val="12"/>
                <w:color w:val="auto"/>
              </w:rPr>
              <w:t>1.1</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0.7</w:t>
            </w:r>
          </w:p>
        </w:tc>
        <w:tc>
          <w:tcPr>
            <w:tcW w:w="40" w:type="dxa"/>
            <w:vAlign w:val="bottom"/>
          </w:tcPr>
          <w:p>
            <w:pPr>
              <w:spacing w:after="0"/>
              <w:rPr>
                <w:sz w:val="16"/>
                <w:szCs w:val="16"/>
                <w:color w:val="auto"/>
              </w:rPr>
            </w:pPr>
          </w:p>
        </w:tc>
      </w:tr>
      <w:tr>
        <w:trPr>
          <w:trHeight w:val="193"/>
        </w:trPr>
        <w:tc>
          <w:tcPr>
            <w:tcW w:w="1660" w:type="dxa"/>
            <w:vAlign w:val="bottom"/>
            <w:tcBorders>
              <w:bottom w:val="single" w:sz="8" w:color="auto"/>
            </w:tcBorders>
            <w:shd w:val="clear" w:color="auto" w:fill="DBDBDB"/>
          </w:tcPr>
          <w:p>
            <w:pPr>
              <w:ind w:left="120"/>
              <w:spacing w:after="0"/>
              <w:rPr>
                <w:sz w:val="20"/>
                <w:szCs w:val="20"/>
                <w:color w:val="auto"/>
              </w:rPr>
            </w:pPr>
            <w:r>
              <w:rPr>
                <w:rFonts w:ascii="Arial" w:cs="Arial" w:eastAsia="Arial" w:hAnsi="Arial"/>
                <w:sz w:val="12"/>
                <w:szCs w:val="12"/>
                <w:color w:val="auto"/>
              </w:rPr>
              <w:t>Employees</w:t>
            </w:r>
            <w:r>
              <w:rPr>
                <w:rFonts w:ascii="Arial" w:cs="Arial" w:eastAsia="Arial" w:hAnsi="Arial"/>
                <w:sz w:val="15"/>
                <w:szCs w:val="15"/>
                <w:color w:val="auto"/>
                <w:vertAlign w:val="superscript"/>
              </w:rPr>
              <w:t>(2)</w:t>
            </w:r>
          </w:p>
        </w:tc>
        <w:tc>
          <w:tcPr>
            <w:tcW w:w="260" w:type="dxa"/>
            <w:vAlign w:val="bottom"/>
            <w:tcBorders>
              <w:bottom w:val="single" w:sz="8" w:color="auto"/>
            </w:tcBorders>
            <w:shd w:val="clear" w:color="auto" w:fill="DBDBDB"/>
          </w:tcPr>
          <w:p>
            <w:pPr>
              <w:spacing w:after="0"/>
              <w:rPr>
                <w:sz w:val="16"/>
                <w:szCs w:val="16"/>
                <w:color w:val="auto"/>
              </w:rPr>
            </w:pPr>
          </w:p>
        </w:tc>
        <w:tc>
          <w:tcPr>
            <w:tcW w:w="860" w:type="dxa"/>
            <w:vAlign w:val="bottom"/>
            <w:tcBorders>
              <w:bottom w:val="single" w:sz="8" w:color="auto"/>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spacing w:after="0"/>
              <w:rPr>
                <w:sz w:val="16"/>
                <w:szCs w:val="16"/>
                <w:color w:val="auto"/>
              </w:rPr>
            </w:pPr>
          </w:p>
        </w:tc>
        <w:tc>
          <w:tcPr>
            <w:tcW w:w="300" w:type="dxa"/>
            <w:vAlign w:val="bottom"/>
            <w:tcBorders>
              <w:bottom w:val="single" w:sz="8" w:color="auto"/>
            </w:tcBorders>
            <w:shd w:val="clear" w:color="auto" w:fill="DBDBDB"/>
          </w:tcPr>
          <w:p>
            <w:pPr>
              <w:jc w:val="right"/>
              <w:ind w:right="6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jc w:val="right"/>
              <w:ind w:right="60"/>
              <w:spacing w:after="0"/>
              <w:rPr>
                <w:sz w:val="20"/>
                <w:szCs w:val="20"/>
                <w:color w:val="auto"/>
              </w:rPr>
            </w:pPr>
            <w:r>
              <w:rPr>
                <w:rFonts w:ascii="Arial" w:cs="Arial" w:eastAsia="Arial" w:hAnsi="Arial"/>
                <w:sz w:val="12"/>
                <w:szCs w:val="12"/>
                <w:color w:val="auto"/>
              </w:rPr>
              <w:t>6.1</w:t>
            </w:r>
          </w:p>
        </w:tc>
        <w:tc>
          <w:tcPr>
            <w:tcW w:w="660" w:type="dxa"/>
            <w:vAlign w:val="bottom"/>
            <w:tcBorders>
              <w:bottom w:val="single" w:sz="8" w:color="auto"/>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shd w:val="clear" w:color="auto" w:fill="DBDBDB"/>
          </w:tcPr>
          <w:p>
            <w:pPr>
              <w:spacing w:after="0"/>
              <w:rPr>
                <w:sz w:val="16"/>
                <w:szCs w:val="16"/>
                <w:color w:val="auto"/>
              </w:rPr>
            </w:pPr>
          </w:p>
        </w:tc>
        <w:tc>
          <w:tcPr>
            <w:tcW w:w="520" w:type="dxa"/>
            <w:vAlign w:val="bottom"/>
            <w:tcBorders>
              <w:bottom w:val="single" w:sz="8" w:color="auto"/>
            </w:tcBorders>
            <w:shd w:val="clear" w:color="auto" w:fill="DBDBDB"/>
          </w:tcPr>
          <w:p>
            <w:pPr>
              <w:spacing w:after="0"/>
              <w:rPr>
                <w:sz w:val="16"/>
                <w:szCs w:val="16"/>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ind w:right="160"/>
              <w:spacing w:after="0"/>
              <w:rPr>
                <w:sz w:val="20"/>
                <w:szCs w:val="20"/>
                <w:color w:val="auto"/>
              </w:rPr>
            </w:pPr>
            <w:r>
              <w:rPr>
                <w:rFonts w:ascii="Arial" w:cs="Arial" w:eastAsia="Arial" w:hAnsi="Arial"/>
                <w:sz w:val="12"/>
                <w:szCs w:val="12"/>
                <w:color w:val="auto"/>
              </w:rPr>
              <w:t>5.3</w:t>
            </w:r>
          </w:p>
        </w:tc>
        <w:tc>
          <w:tcPr>
            <w:tcW w:w="26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2"/>
                <w:szCs w:val="12"/>
                <w:color w:val="auto"/>
              </w:rPr>
              <w:t>—</w:t>
            </w:r>
          </w:p>
        </w:tc>
      </w:tr>
    </w:tbl>
    <w:p>
      <w:pPr>
        <w:spacing w:after="0" w:line="124" w:lineRule="exact"/>
        <w:rPr>
          <w:sz w:val="20"/>
          <w:szCs w:val="20"/>
          <w:color w:val="auto"/>
        </w:rPr>
      </w:pPr>
    </w:p>
    <w:p>
      <w:pPr>
        <w:ind w:left="160" w:right="40" w:hanging="154"/>
        <w:spacing w:after="0" w:line="263" w:lineRule="auto"/>
        <w:rPr>
          <w:sz w:val="20"/>
          <w:szCs w:val="20"/>
          <w:color w:val="auto"/>
        </w:rPr>
      </w:pPr>
      <w:r>
        <w:rPr>
          <w:rFonts w:ascii="Arial" w:cs="Arial" w:eastAsia="Arial" w:hAnsi="Arial"/>
          <w:sz w:val="12"/>
          <w:szCs w:val="12"/>
          <w:color w:val="auto"/>
        </w:rPr>
        <w:t>(1)The Company purchases from and sells fruit to, and provides logistics services to, a small number of entities having full or partial ownership by some of our directors/officers. These transactions are made under substantially similar terms as with other growers and customers. Our blueberries business leases land under a long-term lease with a company owned by one of our directors. The rental rate in the lease was comparable to market rates and reflective of an arms-length transaction. The lease was accounted for as a finance lease right-of-use asset and is included in property, plant and equipment, net in the consolidated balance sheets, with amortization and interest expense recognized in cost of sales and interest expense, respectively, in the condensed consolidated statements of income (loss). The portion of</w:t>
      </w:r>
    </w:p>
    <w:p>
      <w:pPr>
        <w:spacing w:after="0" w:line="1" w:lineRule="exact"/>
        <w:rPr>
          <w:sz w:val="20"/>
          <w:szCs w:val="20"/>
          <w:color w:val="auto"/>
        </w:rPr>
      </w:pPr>
    </w:p>
    <w:p>
      <w:pPr>
        <w:ind w:left="160" w:right="160"/>
        <w:spacing w:after="0" w:line="264" w:lineRule="auto"/>
        <w:rPr>
          <w:sz w:val="20"/>
          <w:szCs w:val="20"/>
          <w:color w:val="auto"/>
        </w:rPr>
      </w:pPr>
      <w:r>
        <w:rPr>
          <w:rFonts w:ascii="Arial" w:cs="Arial" w:eastAsia="Arial" w:hAnsi="Arial"/>
          <w:sz w:val="12"/>
          <w:szCs w:val="12"/>
          <w:color w:val="auto"/>
        </w:rPr>
        <w:t>lease costs attributable to noncontrolling interest, net of income taxes, was $0.3 million and $0.1 million for the three months ended April 30, 2024 and 2023, respectively, and $0.5 million and $ 0.3 million for the six months ended April 30, 2024 and 2023, respectively; amounts were included as part of net income (loss) attributable to noncontrolling interest in the condensed consolidated statements of income (loss).</w:t>
      </w:r>
    </w:p>
    <w:p>
      <w:pPr>
        <w:spacing w:after="0" w:line="22" w:lineRule="exact"/>
        <w:rPr>
          <w:sz w:val="20"/>
          <w:szCs w:val="20"/>
          <w:color w:val="auto"/>
        </w:rPr>
      </w:pPr>
    </w:p>
    <w:p>
      <w:pPr>
        <w:ind w:left="160" w:right="180" w:hanging="154"/>
        <w:spacing w:after="0" w:line="305" w:lineRule="auto"/>
        <w:rPr>
          <w:sz w:val="20"/>
          <w:szCs w:val="20"/>
          <w:color w:val="auto"/>
        </w:rPr>
      </w:pPr>
      <w:r>
        <w:rPr>
          <w:rFonts w:ascii="Arial" w:cs="Arial" w:eastAsia="Arial" w:hAnsi="Arial"/>
          <w:sz w:val="12"/>
          <w:szCs w:val="12"/>
          <w:color w:val="auto"/>
        </w:rPr>
        <w:t>(2)The Company utilizes a small number of transportation vendors in Mexico having full or partial ownership by some of our employees. The Company also purchases avocados from a small number of entities having full or partial ownership by some employees. These transactions are made under substantially similar terms as with other transportation carriers and growers.</w:t>
      </w:r>
    </w:p>
    <w:p>
      <w:pPr>
        <w:spacing w:after="0" w:line="203" w:lineRule="exact"/>
        <w:rPr>
          <w:sz w:val="20"/>
          <w:szCs w:val="20"/>
          <w:color w:val="auto"/>
        </w:rPr>
      </w:pPr>
    </w:p>
    <w:p>
      <w:pPr>
        <w:ind w:left="480" w:hanging="477"/>
        <w:spacing w:after="0"/>
        <w:tabs>
          <w:tab w:leader="none" w:pos="48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Segment and Revenue Information</w:t>
      </w:r>
    </w:p>
    <w:p>
      <w:pPr>
        <w:spacing w:after="0" w:line="228" w:lineRule="exact"/>
        <w:rPr>
          <w:sz w:val="20"/>
          <w:szCs w:val="20"/>
          <w:color w:val="auto"/>
        </w:rPr>
      </w:pPr>
    </w:p>
    <w:p>
      <w:pPr>
        <w:ind w:right="260" w:firstLine="619"/>
        <w:spacing w:after="0" w:line="278" w:lineRule="auto"/>
        <w:rPr>
          <w:sz w:val="20"/>
          <w:szCs w:val="20"/>
          <w:color w:val="auto"/>
        </w:rPr>
      </w:pPr>
      <w:r>
        <w:rPr>
          <w:rFonts w:ascii="Arial" w:cs="Arial" w:eastAsia="Arial" w:hAnsi="Arial"/>
          <w:sz w:val="14"/>
          <w:szCs w:val="14"/>
          <w:color w:val="auto"/>
        </w:rPr>
        <w:t>We have three operating segments which are also reportable segments. Our reportable segments are presented based on how information is used by our CEO, who is the chief operating decision maker, to measure performance and allocate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20" w:hanging="307"/>
        <w:spacing w:after="0"/>
        <w:tabs>
          <w:tab w:leader="none" w:pos="620" w:val="left"/>
        </w:tabs>
        <w:numPr>
          <w:ilvl w:val="0"/>
          <w:numId w:val="13"/>
        </w:numPr>
        <w:rPr>
          <w:rFonts w:ascii="Arial" w:cs="Arial" w:eastAsia="Arial" w:hAnsi="Arial"/>
          <w:sz w:val="13"/>
          <w:szCs w:val="13"/>
          <w:color w:val="auto"/>
        </w:rPr>
      </w:pPr>
      <w:r>
        <w:rPr>
          <w:rFonts w:ascii="Arial" w:cs="Arial" w:eastAsia="Arial" w:hAnsi="Arial"/>
          <w:sz w:val="13"/>
          <w:szCs w:val="13"/>
          <w:i w:val="1"/>
          <w:iCs w:val="1"/>
          <w:color w:val="auto"/>
        </w:rPr>
        <w:t xml:space="preserve">Marketing and Distribution. </w:t>
      </w:r>
      <w:r>
        <w:rPr>
          <w:rFonts w:ascii="Arial" w:cs="Arial" w:eastAsia="Arial" w:hAnsi="Arial"/>
          <w:sz w:val="13"/>
          <w:szCs w:val="13"/>
          <w:color w:val="auto"/>
        </w:rPr>
        <w:t>Our Marketing and Distribution reportable segment sources fruit from growers and then distributes the fruit through our global distribution network.</w:t>
      </w:r>
    </w:p>
    <w:p>
      <w:pPr>
        <w:spacing w:after="0" w:line="185" w:lineRule="exact"/>
        <w:rPr>
          <w:rFonts w:ascii="Arial" w:cs="Arial" w:eastAsia="Arial" w:hAnsi="Arial"/>
          <w:sz w:val="13"/>
          <w:szCs w:val="13"/>
          <w:color w:val="auto"/>
        </w:rPr>
      </w:pPr>
    </w:p>
    <w:p>
      <w:pPr>
        <w:ind w:left="620" w:right="20" w:hanging="307"/>
        <w:spacing w:after="0" w:line="259" w:lineRule="auto"/>
        <w:tabs>
          <w:tab w:leader="none" w:pos="616"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International Farming. </w:t>
      </w:r>
      <w:r>
        <w:rPr>
          <w:rFonts w:ascii="Arial" w:cs="Arial" w:eastAsia="Arial" w:hAnsi="Arial"/>
          <w:sz w:val="14"/>
          <w:szCs w:val="14"/>
          <w:color w:val="auto"/>
        </w:rPr>
        <w:t>International Farming owns and operates orchards from which the vast majority of fruit produced is sold to our Marketing and Distribution segment. The</w:t>
      </w:r>
      <w:r>
        <w:rPr>
          <w:rFonts w:ascii="Arial" w:cs="Arial" w:eastAsia="Arial" w:hAnsi="Arial"/>
          <w:sz w:val="14"/>
          <w:szCs w:val="14"/>
          <w:i w:val="1"/>
          <w:iCs w:val="1"/>
          <w:color w:val="auto"/>
        </w:rPr>
        <w:t xml:space="preserve"> </w:t>
      </w:r>
      <w:r>
        <w:rPr>
          <w:rFonts w:ascii="Arial" w:cs="Arial" w:eastAsia="Arial" w:hAnsi="Arial"/>
          <w:sz w:val="14"/>
          <w:szCs w:val="14"/>
          <w:color w:val="auto"/>
        </w:rPr>
        <w:t>segment’s farming activities range from cultivating early-stage plantings to harvesting from mature trees. It also earns service revenues for packing and processing fruit for both our Blueberries segment, as well as for third-party producers of other crops. Operations are principally located in Peru, with smaller operations emerging in other areas of Latin America.</w:t>
      </w:r>
    </w:p>
    <w:p>
      <w:pPr>
        <w:spacing w:after="0" w:line="143" w:lineRule="exact"/>
        <w:rPr>
          <w:rFonts w:ascii="Arial" w:cs="Arial" w:eastAsia="Arial" w:hAnsi="Arial"/>
          <w:sz w:val="14"/>
          <w:szCs w:val="14"/>
          <w:i w:val="1"/>
          <w:iCs w:val="1"/>
          <w:color w:val="auto"/>
        </w:rPr>
      </w:pPr>
    </w:p>
    <w:p>
      <w:pPr>
        <w:ind w:left="620" w:right="140" w:hanging="307"/>
        <w:spacing w:after="0" w:line="278" w:lineRule="auto"/>
        <w:tabs>
          <w:tab w:leader="none" w:pos="616" w:val="left"/>
        </w:tabs>
        <w:numPr>
          <w:ilvl w:val="0"/>
          <w:numId w:val="13"/>
        </w:numPr>
        <w:rPr>
          <w:rFonts w:ascii="Arial" w:cs="Arial" w:eastAsia="Arial" w:hAnsi="Arial"/>
          <w:sz w:val="14"/>
          <w:szCs w:val="14"/>
          <w:color w:val="auto"/>
        </w:rPr>
      </w:pPr>
      <w:r>
        <w:rPr>
          <w:rFonts w:ascii="Arial" w:cs="Arial" w:eastAsia="Arial" w:hAnsi="Arial"/>
          <w:sz w:val="14"/>
          <w:szCs w:val="14"/>
          <w:i w:val="1"/>
          <w:iCs w:val="1"/>
          <w:color w:val="auto"/>
        </w:rPr>
        <w:t xml:space="preserve">Blueberries. </w:t>
      </w:r>
      <w:r>
        <w:rPr>
          <w:rFonts w:ascii="Arial" w:cs="Arial" w:eastAsia="Arial" w:hAnsi="Arial"/>
          <w:sz w:val="14"/>
          <w:szCs w:val="14"/>
          <w:color w:val="auto"/>
        </w:rPr>
        <w:t>The Blueberries segment represents the results of Moruga. Moruga’s farming activities include cultivating early-stage blueberry plantings and harvesting mature</w:t>
      </w:r>
      <w:r>
        <w:rPr>
          <w:rFonts w:ascii="Arial" w:cs="Arial" w:eastAsia="Arial" w:hAnsi="Arial"/>
          <w:sz w:val="14"/>
          <w:szCs w:val="14"/>
          <w:i w:val="1"/>
          <w:iCs w:val="1"/>
          <w:color w:val="auto"/>
        </w:rPr>
        <w:t xml:space="preserve"> </w:t>
      </w:r>
      <w:r>
        <w:rPr>
          <w:rFonts w:ascii="Arial" w:cs="Arial" w:eastAsia="Arial" w:hAnsi="Arial"/>
          <w:sz w:val="14"/>
          <w:szCs w:val="14"/>
          <w:color w:val="auto"/>
        </w:rPr>
        <w:t>bushes. Substantially all blueberries produced are sold to a single distributor under an exclusive marketing agreement.</w:t>
      </w:r>
    </w:p>
    <w:p>
      <w:pPr>
        <w:spacing w:after="0" w:line="168" w:lineRule="exact"/>
        <w:rPr>
          <w:sz w:val="20"/>
          <w:szCs w:val="20"/>
          <w:color w:val="auto"/>
        </w:rPr>
      </w:pPr>
    </w:p>
    <w:p>
      <w:pPr>
        <w:ind w:right="20" w:firstLine="619"/>
        <w:spacing w:after="0" w:line="248" w:lineRule="auto"/>
        <w:rPr>
          <w:sz w:val="20"/>
          <w:szCs w:val="20"/>
          <w:color w:val="auto"/>
        </w:rPr>
      </w:pPr>
      <w:r>
        <w:rPr>
          <w:rFonts w:ascii="Arial" w:cs="Arial" w:eastAsia="Arial" w:hAnsi="Arial"/>
          <w:sz w:val="14"/>
          <w:szCs w:val="14"/>
          <w:color w:val="auto"/>
        </w:rPr>
        <w:t>The CEO evaluates and monitors segment performance primarily through segment sales and segment adjusted EBITDA. Adjusted EBITDA refers to net income (loss), before interest expense, income taxes, depreciation and amortization expense, stock-based compensation expense, other income (expense), and income (loss) from equity method investees, further adjusted by asset impairment and disposals, net of insurance recoveries, farming costs for nonproductive orchards (which represents land lease costs), recognition of deferred ERP costs, transaction costs, amortization of inventory adjustments recognized from business combinations, and any special, non-recurring, or one-time items such as remeasurements or impairments, and any portion of these items attributable to the noncontrolling interest, all of which are excluded from the results the CEO reviews uses to assess segment performance and results. We believe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Net sales from each of our reportable segments were as follows.</w:t>
      </w: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116"/>
        </w:trPr>
        <w:tc>
          <w:tcPr>
            <w:tcW w:w="1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ind w:right="48"/>
              <w:spacing w:after="0"/>
              <w:rPr>
                <w:sz w:val="20"/>
                <w:szCs w:val="20"/>
                <w:color w:val="auto"/>
              </w:rPr>
            </w:pPr>
            <w:r>
              <w:rPr>
                <w:rFonts w:ascii="Arial" w:cs="Arial" w:eastAsia="Arial" w:hAnsi="Arial"/>
                <w:sz w:val="10"/>
                <w:szCs w:val="10"/>
                <w:b w:val="1"/>
                <w:bCs w:val="1"/>
                <w:color w:val="auto"/>
              </w:rPr>
              <w:t>Marketing and</w:t>
            </w:r>
          </w:p>
        </w:tc>
        <w:tc>
          <w:tcPr>
            <w:tcW w:w="300" w:type="dxa"/>
            <w:vAlign w:val="bottom"/>
          </w:tcPr>
          <w:p>
            <w:pPr>
              <w:spacing w:after="0"/>
              <w:rPr>
                <w:sz w:val="10"/>
                <w:szCs w:val="10"/>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b w:val="1"/>
                <w:bCs w:val="1"/>
                <w:color w:val="auto"/>
              </w:rPr>
              <w:t>International</w:t>
            </w: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2"/>
          </w:tcPr>
          <w:p>
            <w:pPr>
              <w:jc w:val="right"/>
              <w:ind w:right="48"/>
              <w:spacing w:after="0"/>
              <w:rPr>
                <w:sz w:val="20"/>
                <w:szCs w:val="20"/>
                <w:color w:val="auto"/>
              </w:rPr>
            </w:pPr>
            <w:r>
              <w:rPr>
                <w:rFonts w:ascii="Arial" w:cs="Arial" w:eastAsia="Arial" w:hAnsi="Arial"/>
                <w:sz w:val="10"/>
                <w:szCs w:val="10"/>
                <w:b w:val="1"/>
                <w:bCs w:val="1"/>
                <w:color w:val="auto"/>
              </w:rPr>
              <w:t>Marketing and</w:t>
            </w:r>
          </w:p>
        </w:tc>
        <w:tc>
          <w:tcPr>
            <w:tcW w:w="300" w:type="dxa"/>
            <w:vAlign w:val="bottom"/>
          </w:tcPr>
          <w:p>
            <w:pPr>
              <w:spacing w:after="0"/>
              <w:rPr>
                <w:sz w:val="10"/>
                <w:szCs w:val="10"/>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b w:val="1"/>
                <w:bCs w:val="1"/>
                <w:color w:val="auto"/>
              </w:rPr>
              <w:t>International</w:t>
            </w: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48"/>
              <w:spacing w:after="0"/>
              <w:rPr>
                <w:sz w:val="20"/>
                <w:szCs w:val="20"/>
                <w:color w:val="auto"/>
              </w:rPr>
            </w:pPr>
            <w:r>
              <w:rPr>
                <w:rFonts w:ascii="Arial" w:cs="Arial" w:eastAsia="Arial" w:hAnsi="Arial"/>
                <w:sz w:val="10"/>
                <w:szCs w:val="10"/>
                <w:b w:val="1"/>
                <w:bCs w:val="1"/>
                <w:color w:val="auto"/>
              </w:rPr>
              <w:t>Distribution</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b w:val="1"/>
                <w:bCs w:val="1"/>
                <w:color w:val="auto"/>
              </w:rPr>
              <w:t>Farming</w:t>
            </w:r>
          </w:p>
        </w:tc>
        <w:tc>
          <w:tcPr>
            <w:tcW w:w="320" w:type="dxa"/>
            <w:vAlign w:val="bottom"/>
          </w:tcPr>
          <w:p>
            <w:pPr>
              <w:spacing w:after="0"/>
              <w:rPr>
                <w:sz w:val="12"/>
                <w:szCs w:val="12"/>
                <w:color w:val="auto"/>
              </w:rPr>
            </w:pPr>
          </w:p>
        </w:tc>
        <w:tc>
          <w:tcPr>
            <w:tcW w:w="840" w:type="dxa"/>
            <w:vAlign w:val="bottom"/>
          </w:tcPr>
          <w:p>
            <w:pPr>
              <w:jc w:val="right"/>
              <w:ind w:right="28"/>
              <w:spacing w:after="0"/>
              <w:rPr>
                <w:sz w:val="20"/>
                <w:szCs w:val="20"/>
                <w:color w:val="auto"/>
              </w:rPr>
            </w:pPr>
            <w:r>
              <w:rPr>
                <w:rFonts w:ascii="Arial" w:cs="Arial" w:eastAsia="Arial" w:hAnsi="Arial"/>
                <w:sz w:val="10"/>
                <w:szCs w:val="10"/>
                <w:b w:val="1"/>
                <w:bCs w:val="1"/>
                <w:color w:val="auto"/>
              </w:rPr>
              <w:t>Blueberries</w:t>
            </w:r>
          </w:p>
        </w:tc>
        <w:tc>
          <w:tcPr>
            <w:tcW w:w="440" w:type="dxa"/>
            <w:vAlign w:val="bottom"/>
          </w:tcPr>
          <w:p>
            <w:pPr>
              <w:spacing w:after="0"/>
              <w:rPr>
                <w:sz w:val="12"/>
                <w:szCs w:val="12"/>
                <w:color w:val="auto"/>
              </w:rPr>
            </w:pPr>
          </w:p>
        </w:tc>
        <w:tc>
          <w:tcPr>
            <w:tcW w:w="920" w:type="dxa"/>
            <w:vAlign w:val="bottom"/>
            <w:gridSpan w:val="2"/>
          </w:tcPr>
          <w:p>
            <w:pPr>
              <w:ind w:left="400"/>
              <w:spacing w:after="0"/>
              <w:rPr>
                <w:sz w:val="20"/>
                <w:szCs w:val="20"/>
                <w:color w:val="auto"/>
              </w:rPr>
            </w:pPr>
            <w:r>
              <w:rPr>
                <w:rFonts w:ascii="Arial" w:cs="Arial" w:eastAsia="Arial" w:hAnsi="Arial"/>
                <w:sz w:val="10"/>
                <w:szCs w:val="10"/>
                <w:b w:val="1"/>
                <w:bCs w:val="1"/>
                <w:color w:val="auto"/>
              </w:rPr>
              <w:t>Total</w:t>
            </w:r>
          </w:p>
        </w:tc>
        <w:tc>
          <w:tcPr>
            <w:tcW w:w="400" w:type="dxa"/>
            <w:vAlign w:val="bottom"/>
          </w:tcPr>
          <w:p>
            <w:pPr>
              <w:spacing w:after="0"/>
              <w:rPr>
                <w:sz w:val="12"/>
                <w:szCs w:val="12"/>
                <w:color w:val="auto"/>
              </w:rPr>
            </w:pPr>
          </w:p>
        </w:tc>
        <w:tc>
          <w:tcPr>
            <w:tcW w:w="680" w:type="dxa"/>
            <w:vAlign w:val="bottom"/>
          </w:tcPr>
          <w:p>
            <w:pPr>
              <w:jc w:val="right"/>
              <w:ind w:right="48"/>
              <w:spacing w:after="0"/>
              <w:rPr>
                <w:sz w:val="20"/>
                <w:szCs w:val="20"/>
                <w:color w:val="auto"/>
              </w:rPr>
            </w:pPr>
            <w:r>
              <w:rPr>
                <w:rFonts w:ascii="Arial" w:cs="Arial" w:eastAsia="Arial" w:hAnsi="Arial"/>
                <w:sz w:val="10"/>
                <w:szCs w:val="10"/>
                <w:b w:val="1"/>
                <w:bCs w:val="1"/>
                <w:color w:val="auto"/>
                <w:w w:val="99"/>
              </w:rPr>
              <w:t>Distribution</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b w:val="1"/>
                <w:bCs w:val="1"/>
                <w:color w:val="auto"/>
              </w:rPr>
              <w:t>Farming</w:t>
            </w:r>
          </w:p>
        </w:tc>
        <w:tc>
          <w:tcPr>
            <w:tcW w:w="320" w:type="dxa"/>
            <w:vAlign w:val="bottom"/>
          </w:tcPr>
          <w:p>
            <w:pPr>
              <w:spacing w:after="0"/>
              <w:rPr>
                <w:sz w:val="12"/>
                <w:szCs w:val="12"/>
                <w:color w:val="auto"/>
              </w:rPr>
            </w:pPr>
          </w:p>
        </w:tc>
        <w:tc>
          <w:tcPr>
            <w:tcW w:w="840" w:type="dxa"/>
            <w:vAlign w:val="bottom"/>
          </w:tcPr>
          <w:p>
            <w:pPr>
              <w:jc w:val="right"/>
              <w:ind w:right="28"/>
              <w:spacing w:after="0"/>
              <w:rPr>
                <w:sz w:val="20"/>
                <w:szCs w:val="20"/>
                <w:color w:val="auto"/>
              </w:rPr>
            </w:pPr>
            <w:r>
              <w:rPr>
                <w:rFonts w:ascii="Arial" w:cs="Arial" w:eastAsia="Arial" w:hAnsi="Arial"/>
                <w:sz w:val="10"/>
                <w:szCs w:val="10"/>
                <w:b w:val="1"/>
                <w:bCs w:val="1"/>
                <w:color w:val="auto"/>
              </w:rPr>
              <w:t>Blueberries</w:t>
            </w:r>
          </w:p>
        </w:tc>
        <w:tc>
          <w:tcPr>
            <w:tcW w:w="4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20" w:type="dxa"/>
            <w:vAlign w:val="bottom"/>
            <w:gridSpan w:val="3"/>
          </w:tcPr>
          <w:p>
            <w:pPr>
              <w:jc w:val="center"/>
              <w:ind w:left="208"/>
              <w:spacing w:after="0"/>
              <w:rPr>
                <w:sz w:val="20"/>
                <w:szCs w:val="20"/>
                <w:color w:val="auto"/>
              </w:rPr>
            </w:pPr>
            <w:r>
              <w:rPr>
                <w:rFonts w:ascii="Arial" w:cs="Arial" w:eastAsia="Arial" w:hAnsi="Arial"/>
                <w:sz w:val="10"/>
                <w:szCs w:val="10"/>
                <w:b w:val="1"/>
                <w:bCs w:val="1"/>
                <w:color w:val="auto"/>
              </w:rPr>
              <w:t>Three Months Ended</w:t>
            </w: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gridSpan w:val="3"/>
          </w:tcPr>
          <w:p>
            <w:pPr>
              <w:jc w:val="center"/>
              <w:ind w:left="188"/>
              <w:spacing w:after="0"/>
              <w:rPr>
                <w:sz w:val="20"/>
                <w:szCs w:val="20"/>
                <w:color w:val="auto"/>
              </w:rPr>
            </w:pPr>
            <w:r>
              <w:rPr>
                <w:rFonts w:ascii="Arial" w:cs="Arial" w:eastAsia="Arial" w:hAnsi="Arial"/>
                <w:sz w:val="10"/>
                <w:szCs w:val="10"/>
                <w:b w:val="1"/>
                <w:bCs w:val="1"/>
                <w:color w:val="auto"/>
              </w:rPr>
              <w:t>April 30,</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880" w:type="dxa"/>
            <w:vAlign w:val="bottom"/>
            <w:vMerge w:val="restart"/>
          </w:tcPr>
          <w:p>
            <w:pPr>
              <w:ind w:left="20"/>
              <w:spacing w:after="0"/>
              <w:rPr>
                <w:sz w:val="20"/>
                <w:szCs w:val="20"/>
                <w:color w:val="auto"/>
              </w:rPr>
            </w:pPr>
            <w:r>
              <w:rPr>
                <w:rFonts w:ascii="Arial" w:cs="Arial" w:eastAsia="Arial" w:hAnsi="Arial"/>
                <w:sz w:val="10"/>
                <w:szCs w:val="10"/>
                <w:color w:val="auto"/>
              </w:rPr>
              <w:t>(In millions)</w:t>
            </w: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1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2024</w:t>
            </w: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2023</w:t>
            </w: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Third party sales</w:t>
            </w:r>
          </w:p>
        </w:tc>
        <w:tc>
          <w:tcPr>
            <w:tcW w:w="18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287.1</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0.5</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10.0</w:t>
            </w:r>
          </w:p>
        </w:tc>
        <w:tc>
          <w:tcPr>
            <w:tcW w:w="440" w:type="dxa"/>
            <w:vAlign w:val="bottom"/>
            <w:tcBorders>
              <w:bottom w:val="single" w:sz="8" w:color="DBDBDB"/>
            </w:tcBorders>
            <w:shd w:val="clear" w:color="auto" w:fill="DBDBDB"/>
          </w:tcPr>
          <w:p>
            <w:pPr>
              <w:jc w:val="right"/>
              <w:ind w:right="228"/>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297.6</w:t>
            </w:r>
          </w:p>
        </w:tc>
        <w:tc>
          <w:tcPr>
            <w:tcW w:w="260" w:type="dxa"/>
            <w:vAlign w:val="bottom"/>
            <w:tcBorders>
              <w:bottom w:val="single" w:sz="8" w:color="DBDBDB"/>
            </w:tcBorders>
            <w:shd w:val="clear" w:color="auto" w:fill="DBDBDB"/>
          </w:tcPr>
          <w:p>
            <w:pPr>
              <w:spacing w:after="0"/>
              <w:rPr>
                <w:sz w:val="13"/>
                <w:szCs w:val="13"/>
                <w:color w:val="auto"/>
              </w:rPr>
            </w:pPr>
          </w:p>
        </w:tc>
        <w:tc>
          <w:tcPr>
            <w:tcW w:w="400" w:type="dxa"/>
            <w:vAlign w:val="bottom"/>
            <w:tcBorders>
              <w:bottom w:val="single" w:sz="8" w:color="DBDBDB"/>
            </w:tcBorders>
            <w:shd w:val="clear" w:color="auto" w:fill="DBDBDB"/>
          </w:tcPr>
          <w:p>
            <w:pPr>
              <w:jc w:val="right"/>
              <w:ind w:right="28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215.3</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4.1</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1.7</w:t>
            </w:r>
          </w:p>
        </w:tc>
        <w:tc>
          <w:tcPr>
            <w:tcW w:w="4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221.1</w:t>
            </w:r>
          </w:p>
        </w:tc>
        <w:tc>
          <w:tcPr>
            <w:tcW w:w="0" w:type="dxa"/>
            <w:vAlign w:val="bottom"/>
          </w:tcPr>
          <w:p>
            <w:pPr>
              <w:spacing w:after="0"/>
              <w:rPr>
                <w:sz w:val="1"/>
                <w:szCs w:val="1"/>
                <w:color w:val="auto"/>
              </w:rPr>
            </w:pPr>
          </w:p>
        </w:tc>
      </w:tr>
      <w:tr>
        <w:trPr>
          <w:trHeight w:val="148"/>
        </w:trPr>
        <w:tc>
          <w:tcPr>
            <w:tcW w:w="1880" w:type="dxa"/>
            <w:vAlign w:val="bottom"/>
          </w:tcPr>
          <w:p>
            <w:pPr>
              <w:ind w:left="20"/>
              <w:spacing w:after="0"/>
              <w:rPr>
                <w:sz w:val="20"/>
                <w:szCs w:val="20"/>
                <w:color w:val="auto"/>
              </w:rPr>
            </w:pPr>
            <w:r>
              <w:rPr>
                <w:rFonts w:ascii="Arial" w:cs="Arial" w:eastAsia="Arial" w:hAnsi="Arial"/>
                <w:sz w:val="10"/>
                <w:szCs w:val="10"/>
                <w:color w:val="auto"/>
              </w:rPr>
              <w:t>Affiliated sales</w:t>
            </w:r>
          </w:p>
        </w:tc>
        <w:tc>
          <w:tcPr>
            <w:tcW w:w="180" w:type="dxa"/>
            <w:vAlign w:val="bottom"/>
          </w:tcPr>
          <w:p>
            <w:pPr>
              <w:spacing w:after="0"/>
              <w:rPr>
                <w:sz w:val="12"/>
                <w:szCs w:val="12"/>
                <w:color w:val="auto"/>
              </w:rPr>
            </w:pPr>
          </w:p>
        </w:tc>
        <w:tc>
          <w:tcPr>
            <w:tcW w:w="90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88"/>
              <w:spacing w:after="0"/>
              <w:rPr>
                <w:sz w:val="20"/>
                <w:szCs w:val="20"/>
                <w:color w:val="auto"/>
              </w:rPr>
            </w:pPr>
            <w:r>
              <w:rPr>
                <w:rFonts w:ascii="Arial" w:cs="Arial" w:eastAsia="Arial" w:hAnsi="Arial"/>
                <w:sz w:val="10"/>
                <w:szCs w:val="10"/>
                <w:color w:val="auto"/>
              </w:rPr>
              <w:t>0.9</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2"/>
                <w:szCs w:val="12"/>
                <w:color w:val="auto"/>
              </w:rPr>
            </w:pP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0.9</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88"/>
              <w:spacing w:after="0"/>
              <w:rPr>
                <w:sz w:val="20"/>
                <w:szCs w:val="20"/>
                <w:color w:val="auto"/>
              </w:rPr>
            </w:pPr>
            <w:r>
              <w:rPr>
                <w:rFonts w:ascii="Arial" w:cs="Arial" w:eastAsia="Arial" w:hAnsi="Arial"/>
                <w:sz w:val="10"/>
                <w:szCs w:val="10"/>
                <w:color w:val="auto"/>
              </w:rPr>
              <w:t>1.9</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620" w:type="dxa"/>
            <w:vAlign w:val="bottom"/>
          </w:tcPr>
          <w:p>
            <w:pPr>
              <w:jc w:val="right"/>
              <w:ind w:right="8"/>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32"/>
        </w:trPr>
        <w:tc>
          <w:tcPr>
            <w:tcW w:w="1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Total segment sales</w:t>
            </w:r>
          </w:p>
        </w:tc>
        <w:tc>
          <w:tcPr>
            <w:tcW w:w="18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287.1</w:t>
            </w:r>
          </w:p>
        </w:tc>
        <w:tc>
          <w:tcPr>
            <w:tcW w:w="30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1.4</w:t>
            </w:r>
          </w:p>
        </w:tc>
        <w:tc>
          <w:tcPr>
            <w:tcW w:w="32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10.0</w:t>
            </w:r>
          </w:p>
        </w:tc>
        <w:tc>
          <w:tcPr>
            <w:tcW w:w="440" w:type="dxa"/>
            <w:vAlign w:val="bottom"/>
            <w:tcBorders>
              <w:bottom w:val="single" w:sz="8" w:color="DBDBDB"/>
            </w:tcBorders>
            <w:shd w:val="clear" w:color="auto" w:fill="DBDBDB"/>
          </w:tcPr>
          <w:p>
            <w:pPr>
              <w:spacing w:after="0"/>
              <w:rPr>
                <w:sz w:val="13"/>
                <w:szCs w:val="13"/>
                <w:color w:val="auto"/>
              </w:rPr>
            </w:pP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298.5</w:t>
            </w:r>
          </w:p>
        </w:tc>
        <w:tc>
          <w:tcPr>
            <w:tcW w:w="260" w:type="dxa"/>
            <w:vAlign w:val="bottom"/>
            <w:tcBorders>
              <w:bottom w:val="single" w:sz="8" w:color="DBDBDB"/>
            </w:tcBorders>
            <w:shd w:val="clear" w:color="auto" w:fill="DBDBDB"/>
          </w:tcPr>
          <w:p>
            <w:pPr>
              <w:spacing w:after="0"/>
              <w:rPr>
                <w:sz w:val="13"/>
                <w:szCs w:val="13"/>
                <w:color w:val="auto"/>
              </w:rPr>
            </w:pPr>
          </w:p>
        </w:tc>
        <w:tc>
          <w:tcPr>
            <w:tcW w:w="400" w:type="dxa"/>
            <w:vAlign w:val="bottom"/>
            <w:tcBorders>
              <w:bottom w:val="single" w:sz="8" w:color="DBDBDB"/>
            </w:tcBorders>
            <w:shd w:val="clear" w:color="auto" w:fill="DBDBDB"/>
          </w:tcPr>
          <w:p>
            <w:pPr>
              <w:spacing w:after="0"/>
              <w:rPr>
                <w:sz w:val="13"/>
                <w:szCs w:val="13"/>
                <w:color w:val="auto"/>
              </w:rPr>
            </w:pPr>
          </w:p>
        </w:tc>
        <w:tc>
          <w:tcPr>
            <w:tcW w:w="68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215.3</w:t>
            </w:r>
          </w:p>
        </w:tc>
        <w:tc>
          <w:tcPr>
            <w:tcW w:w="30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6.0</w:t>
            </w:r>
          </w:p>
        </w:tc>
        <w:tc>
          <w:tcPr>
            <w:tcW w:w="32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1.7</w:t>
            </w:r>
          </w:p>
        </w:tc>
        <w:tc>
          <w:tcPr>
            <w:tcW w:w="480" w:type="dxa"/>
            <w:vAlign w:val="bottom"/>
            <w:tcBorders>
              <w:bottom w:val="single" w:sz="8" w:color="DBDBDB"/>
            </w:tcBorders>
            <w:shd w:val="clear" w:color="auto" w:fill="DBDBDB"/>
          </w:tcPr>
          <w:p>
            <w:pPr>
              <w:spacing w:after="0"/>
              <w:rPr>
                <w:sz w:val="13"/>
                <w:szCs w:val="13"/>
                <w:color w:val="auto"/>
              </w:rPr>
            </w:pP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223.0</w:t>
            </w:r>
          </w:p>
        </w:tc>
        <w:tc>
          <w:tcPr>
            <w:tcW w:w="0" w:type="dxa"/>
            <w:vAlign w:val="bottom"/>
          </w:tcPr>
          <w:p>
            <w:pPr>
              <w:spacing w:after="0"/>
              <w:rPr>
                <w:sz w:val="1"/>
                <w:szCs w:val="1"/>
                <w:color w:val="auto"/>
              </w:rPr>
            </w:pPr>
          </w:p>
        </w:tc>
      </w:tr>
      <w:tr>
        <w:trPr>
          <w:trHeight w:val="148"/>
        </w:trPr>
        <w:tc>
          <w:tcPr>
            <w:tcW w:w="1880" w:type="dxa"/>
            <w:vAlign w:val="bottom"/>
          </w:tcPr>
          <w:p>
            <w:pPr>
              <w:ind w:left="20"/>
              <w:spacing w:after="0"/>
              <w:rPr>
                <w:sz w:val="20"/>
                <w:szCs w:val="20"/>
                <w:color w:val="auto"/>
              </w:rPr>
            </w:pPr>
            <w:r>
              <w:rPr>
                <w:rFonts w:ascii="Arial" w:cs="Arial" w:eastAsia="Arial" w:hAnsi="Arial"/>
                <w:sz w:val="10"/>
                <w:szCs w:val="10"/>
                <w:color w:val="auto"/>
              </w:rPr>
              <w:t>Intercompany eliminations</w:t>
            </w:r>
          </w:p>
        </w:tc>
        <w:tc>
          <w:tcPr>
            <w:tcW w:w="180" w:type="dxa"/>
            <w:vAlign w:val="bottom"/>
          </w:tcPr>
          <w:p>
            <w:pPr>
              <w:spacing w:after="0"/>
              <w:rPr>
                <w:sz w:val="12"/>
                <w:szCs w:val="12"/>
                <w:color w:val="auto"/>
              </w:rPr>
            </w:pPr>
          </w:p>
        </w:tc>
        <w:tc>
          <w:tcPr>
            <w:tcW w:w="90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color w:val="auto"/>
              </w:rPr>
              <w:t>(0.9)</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(0.9)</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color w:val="auto"/>
              </w:rPr>
              <w:t>(1.9)</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32"/>
        </w:trPr>
        <w:tc>
          <w:tcPr>
            <w:tcW w:w="1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Total net sales</w:t>
            </w:r>
          </w:p>
        </w:tc>
        <w:tc>
          <w:tcPr>
            <w:tcW w:w="18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287.1</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0.5</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10.0</w:t>
            </w:r>
          </w:p>
        </w:tc>
        <w:tc>
          <w:tcPr>
            <w:tcW w:w="440" w:type="dxa"/>
            <w:vAlign w:val="bottom"/>
            <w:tcBorders>
              <w:bottom w:val="single" w:sz="8" w:color="DBDBDB"/>
            </w:tcBorders>
            <w:shd w:val="clear" w:color="auto" w:fill="DBDBDB"/>
          </w:tcPr>
          <w:p>
            <w:pPr>
              <w:jc w:val="right"/>
              <w:ind w:right="228"/>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297.6</w:t>
            </w:r>
          </w:p>
        </w:tc>
        <w:tc>
          <w:tcPr>
            <w:tcW w:w="260" w:type="dxa"/>
            <w:vAlign w:val="bottom"/>
            <w:tcBorders>
              <w:bottom w:val="single" w:sz="8" w:color="DBDBDB"/>
            </w:tcBorders>
            <w:shd w:val="clear" w:color="auto" w:fill="DBDBDB"/>
          </w:tcPr>
          <w:p>
            <w:pPr>
              <w:spacing w:after="0"/>
              <w:rPr>
                <w:sz w:val="15"/>
                <w:szCs w:val="15"/>
                <w:color w:val="auto"/>
              </w:rPr>
            </w:pPr>
          </w:p>
        </w:tc>
        <w:tc>
          <w:tcPr>
            <w:tcW w:w="400" w:type="dxa"/>
            <w:vAlign w:val="bottom"/>
            <w:tcBorders>
              <w:bottom w:val="single" w:sz="8" w:color="DBDBDB"/>
            </w:tcBorders>
            <w:shd w:val="clear" w:color="auto" w:fill="DBDBDB"/>
          </w:tcPr>
          <w:p>
            <w:pPr>
              <w:jc w:val="right"/>
              <w:ind w:right="28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215.3</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4.1</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1.7</w:t>
            </w:r>
          </w:p>
        </w:tc>
        <w:tc>
          <w:tcPr>
            <w:tcW w:w="4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221.1</w:t>
            </w:r>
          </w:p>
        </w:tc>
        <w:tc>
          <w:tcPr>
            <w:tcW w:w="0" w:type="dxa"/>
            <w:vAlign w:val="bottom"/>
          </w:tcPr>
          <w:p>
            <w:pPr>
              <w:spacing w:after="0"/>
              <w:rPr>
                <w:sz w:val="1"/>
                <w:szCs w:val="1"/>
                <w:color w:val="auto"/>
              </w:rPr>
            </w:pPr>
          </w:p>
        </w:tc>
      </w:tr>
      <w:tr>
        <w:trPr>
          <w:trHeight w:val="122"/>
        </w:trPr>
        <w:tc>
          <w:tcPr>
            <w:tcW w:w="18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3"/>
          </w:tcPr>
          <w:p>
            <w:pPr>
              <w:jc w:val="center"/>
              <w:ind w:left="208"/>
              <w:spacing w:after="0"/>
              <w:rPr>
                <w:sz w:val="20"/>
                <w:szCs w:val="20"/>
                <w:color w:val="auto"/>
              </w:rPr>
            </w:pPr>
            <w:r>
              <w:rPr>
                <w:rFonts w:ascii="Arial" w:cs="Arial" w:eastAsia="Arial" w:hAnsi="Arial"/>
                <w:sz w:val="10"/>
                <w:szCs w:val="10"/>
                <w:b w:val="1"/>
                <w:bCs w:val="1"/>
                <w:color w:val="auto"/>
              </w:rPr>
              <w:t>Six Months Ended</w:t>
            </w:r>
          </w:p>
        </w:tc>
        <w:tc>
          <w:tcPr>
            <w:tcW w:w="6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gridSpan w:val="3"/>
          </w:tcPr>
          <w:p>
            <w:pPr>
              <w:jc w:val="center"/>
              <w:ind w:left="188"/>
              <w:spacing w:after="0"/>
              <w:rPr>
                <w:sz w:val="20"/>
                <w:szCs w:val="20"/>
                <w:color w:val="auto"/>
              </w:rPr>
            </w:pPr>
            <w:r>
              <w:rPr>
                <w:rFonts w:ascii="Arial" w:cs="Arial" w:eastAsia="Arial" w:hAnsi="Arial"/>
                <w:sz w:val="10"/>
                <w:szCs w:val="10"/>
                <w:b w:val="1"/>
                <w:bCs w:val="1"/>
                <w:color w:val="auto"/>
              </w:rPr>
              <w:t>April 30,</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2024</w:t>
            </w: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2023</w:t>
            </w: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88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DBDBDB"/>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Third party sales</w:t>
            </w:r>
          </w:p>
        </w:tc>
        <w:tc>
          <w:tcPr>
            <w:tcW w:w="18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511.7</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2.1</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42.5</w:t>
            </w:r>
          </w:p>
        </w:tc>
        <w:tc>
          <w:tcPr>
            <w:tcW w:w="440" w:type="dxa"/>
            <w:vAlign w:val="bottom"/>
            <w:tcBorders>
              <w:bottom w:val="single" w:sz="8" w:color="DBDBDB"/>
            </w:tcBorders>
            <w:shd w:val="clear" w:color="auto" w:fill="DBDBDB"/>
          </w:tcPr>
          <w:p>
            <w:pPr>
              <w:jc w:val="right"/>
              <w:ind w:right="228"/>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556.3</w:t>
            </w:r>
          </w:p>
        </w:tc>
        <w:tc>
          <w:tcPr>
            <w:tcW w:w="260" w:type="dxa"/>
            <w:vAlign w:val="bottom"/>
            <w:tcBorders>
              <w:bottom w:val="single" w:sz="8" w:color="DBDBDB"/>
            </w:tcBorders>
            <w:shd w:val="clear" w:color="auto" w:fill="DBDBDB"/>
          </w:tcPr>
          <w:p>
            <w:pPr>
              <w:spacing w:after="0"/>
              <w:rPr>
                <w:sz w:val="13"/>
                <w:szCs w:val="13"/>
                <w:color w:val="auto"/>
              </w:rPr>
            </w:pPr>
          </w:p>
        </w:tc>
        <w:tc>
          <w:tcPr>
            <w:tcW w:w="400" w:type="dxa"/>
            <w:vAlign w:val="bottom"/>
            <w:tcBorders>
              <w:bottom w:val="single" w:sz="8" w:color="DBDBDB"/>
            </w:tcBorders>
            <w:shd w:val="clear" w:color="auto" w:fill="DBDBDB"/>
          </w:tcPr>
          <w:p>
            <w:pPr>
              <w:jc w:val="right"/>
              <w:ind w:right="28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397.1</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6.0</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31.5</w:t>
            </w:r>
          </w:p>
        </w:tc>
        <w:tc>
          <w:tcPr>
            <w:tcW w:w="4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434.6</w:t>
            </w:r>
          </w:p>
        </w:tc>
        <w:tc>
          <w:tcPr>
            <w:tcW w:w="0" w:type="dxa"/>
            <w:vAlign w:val="bottom"/>
          </w:tcPr>
          <w:p>
            <w:pPr>
              <w:spacing w:after="0"/>
              <w:rPr>
                <w:sz w:val="1"/>
                <w:szCs w:val="1"/>
                <w:color w:val="auto"/>
              </w:rPr>
            </w:pPr>
          </w:p>
        </w:tc>
      </w:tr>
      <w:tr>
        <w:trPr>
          <w:trHeight w:val="148"/>
        </w:trPr>
        <w:tc>
          <w:tcPr>
            <w:tcW w:w="1880" w:type="dxa"/>
            <w:vAlign w:val="bottom"/>
          </w:tcPr>
          <w:p>
            <w:pPr>
              <w:ind w:left="20"/>
              <w:spacing w:after="0"/>
              <w:rPr>
                <w:sz w:val="20"/>
                <w:szCs w:val="20"/>
                <w:color w:val="auto"/>
              </w:rPr>
            </w:pPr>
            <w:r>
              <w:rPr>
                <w:rFonts w:ascii="Arial" w:cs="Arial" w:eastAsia="Arial" w:hAnsi="Arial"/>
                <w:sz w:val="10"/>
                <w:szCs w:val="10"/>
                <w:color w:val="auto"/>
              </w:rPr>
              <w:t>Affiliated sales</w:t>
            </w:r>
          </w:p>
        </w:tc>
        <w:tc>
          <w:tcPr>
            <w:tcW w:w="180" w:type="dxa"/>
            <w:vAlign w:val="bottom"/>
          </w:tcPr>
          <w:p>
            <w:pPr>
              <w:spacing w:after="0"/>
              <w:rPr>
                <w:sz w:val="12"/>
                <w:szCs w:val="12"/>
                <w:color w:val="auto"/>
              </w:rPr>
            </w:pPr>
          </w:p>
        </w:tc>
        <w:tc>
          <w:tcPr>
            <w:tcW w:w="90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88"/>
              <w:spacing w:after="0"/>
              <w:rPr>
                <w:sz w:val="20"/>
                <w:szCs w:val="20"/>
                <w:color w:val="auto"/>
              </w:rPr>
            </w:pPr>
            <w:r>
              <w:rPr>
                <w:rFonts w:ascii="Arial" w:cs="Arial" w:eastAsia="Arial" w:hAnsi="Arial"/>
                <w:sz w:val="10"/>
                <w:szCs w:val="10"/>
                <w:color w:val="auto"/>
              </w:rPr>
              <w:t>5.1</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2"/>
                <w:szCs w:val="12"/>
                <w:color w:val="auto"/>
              </w:rPr>
            </w:pP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5.1</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88"/>
              <w:spacing w:after="0"/>
              <w:rPr>
                <w:sz w:val="20"/>
                <w:szCs w:val="20"/>
                <w:color w:val="auto"/>
              </w:rPr>
            </w:pPr>
            <w:r>
              <w:rPr>
                <w:rFonts w:ascii="Arial" w:cs="Arial" w:eastAsia="Arial" w:hAnsi="Arial"/>
                <w:sz w:val="10"/>
                <w:szCs w:val="10"/>
                <w:color w:val="auto"/>
              </w:rPr>
              <w:t>5.7</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620" w:type="dxa"/>
            <w:vAlign w:val="bottom"/>
          </w:tcPr>
          <w:p>
            <w:pPr>
              <w:jc w:val="right"/>
              <w:ind w:right="8"/>
              <w:spacing w:after="0"/>
              <w:rPr>
                <w:sz w:val="20"/>
                <w:szCs w:val="20"/>
                <w:color w:val="auto"/>
              </w:rPr>
            </w:pPr>
            <w:r>
              <w:rPr>
                <w:rFonts w:ascii="Arial" w:cs="Arial" w:eastAsia="Arial" w:hAnsi="Arial"/>
                <w:sz w:val="10"/>
                <w:szCs w:val="10"/>
                <w:color w:val="auto"/>
              </w:rPr>
              <w:t>5.7</w:t>
            </w:r>
          </w:p>
        </w:tc>
        <w:tc>
          <w:tcPr>
            <w:tcW w:w="0" w:type="dxa"/>
            <w:vAlign w:val="bottom"/>
          </w:tcPr>
          <w:p>
            <w:pPr>
              <w:spacing w:after="0"/>
              <w:rPr>
                <w:sz w:val="1"/>
                <w:szCs w:val="1"/>
                <w:color w:val="auto"/>
              </w:rPr>
            </w:pPr>
          </w:p>
        </w:tc>
      </w:tr>
      <w:tr>
        <w:trPr>
          <w:trHeight w:val="32"/>
        </w:trPr>
        <w:tc>
          <w:tcPr>
            <w:tcW w:w="1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Total segment sales</w:t>
            </w:r>
          </w:p>
        </w:tc>
        <w:tc>
          <w:tcPr>
            <w:tcW w:w="18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511.7</w:t>
            </w:r>
          </w:p>
        </w:tc>
        <w:tc>
          <w:tcPr>
            <w:tcW w:w="30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7.2</w:t>
            </w:r>
          </w:p>
        </w:tc>
        <w:tc>
          <w:tcPr>
            <w:tcW w:w="32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42.5</w:t>
            </w:r>
          </w:p>
        </w:tc>
        <w:tc>
          <w:tcPr>
            <w:tcW w:w="440" w:type="dxa"/>
            <w:vAlign w:val="bottom"/>
            <w:tcBorders>
              <w:bottom w:val="single" w:sz="8" w:color="DBDBDB"/>
            </w:tcBorders>
            <w:shd w:val="clear" w:color="auto" w:fill="DBDBDB"/>
          </w:tcPr>
          <w:p>
            <w:pPr>
              <w:spacing w:after="0"/>
              <w:rPr>
                <w:sz w:val="13"/>
                <w:szCs w:val="13"/>
                <w:color w:val="auto"/>
              </w:rPr>
            </w:pP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561.4</w:t>
            </w:r>
          </w:p>
        </w:tc>
        <w:tc>
          <w:tcPr>
            <w:tcW w:w="260" w:type="dxa"/>
            <w:vAlign w:val="bottom"/>
            <w:tcBorders>
              <w:bottom w:val="single" w:sz="8" w:color="DBDBDB"/>
            </w:tcBorders>
            <w:shd w:val="clear" w:color="auto" w:fill="DBDBDB"/>
          </w:tcPr>
          <w:p>
            <w:pPr>
              <w:spacing w:after="0"/>
              <w:rPr>
                <w:sz w:val="13"/>
                <w:szCs w:val="13"/>
                <w:color w:val="auto"/>
              </w:rPr>
            </w:pPr>
          </w:p>
        </w:tc>
        <w:tc>
          <w:tcPr>
            <w:tcW w:w="400" w:type="dxa"/>
            <w:vAlign w:val="bottom"/>
            <w:tcBorders>
              <w:bottom w:val="single" w:sz="8" w:color="DBDBDB"/>
            </w:tcBorders>
            <w:shd w:val="clear" w:color="auto" w:fill="DBDBDB"/>
          </w:tcPr>
          <w:p>
            <w:pPr>
              <w:spacing w:after="0"/>
              <w:rPr>
                <w:sz w:val="13"/>
                <w:szCs w:val="13"/>
                <w:color w:val="auto"/>
              </w:rPr>
            </w:pPr>
          </w:p>
        </w:tc>
        <w:tc>
          <w:tcPr>
            <w:tcW w:w="68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397.1</w:t>
            </w:r>
          </w:p>
        </w:tc>
        <w:tc>
          <w:tcPr>
            <w:tcW w:w="30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11.7</w:t>
            </w:r>
          </w:p>
        </w:tc>
        <w:tc>
          <w:tcPr>
            <w:tcW w:w="32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31.5</w:t>
            </w:r>
          </w:p>
        </w:tc>
        <w:tc>
          <w:tcPr>
            <w:tcW w:w="480" w:type="dxa"/>
            <w:vAlign w:val="bottom"/>
            <w:tcBorders>
              <w:bottom w:val="single" w:sz="8" w:color="DBDBDB"/>
            </w:tcBorders>
            <w:shd w:val="clear" w:color="auto" w:fill="DBDBDB"/>
          </w:tcPr>
          <w:p>
            <w:pPr>
              <w:spacing w:after="0"/>
              <w:rPr>
                <w:sz w:val="13"/>
                <w:szCs w:val="13"/>
                <w:color w:val="auto"/>
              </w:rPr>
            </w:pP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440.3</w:t>
            </w:r>
          </w:p>
        </w:tc>
        <w:tc>
          <w:tcPr>
            <w:tcW w:w="0" w:type="dxa"/>
            <w:vAlign w:val="bottom"/>
          </w:tcPr>
          <w:p>
            <w:pPr>
              <w:spacing w:after="0"/>
              <w:rPr>
                <w:sz w:val="1"/>
                <w:szCs w:val="1"/>
                <w:color w:val="auto"/>
              </w:rPr>
            </w:pPr>
          </w:p>
        </w:tc>
      </w:tr>
      <w:tr>
        <w:trPr>
          <w:trHeight w:val="148"/>
        </w:trPr>
        <w:tc>
          <w:tcPr>
            <w:tcW w:w="1880" w:type="dxa"/>
            <w:vAlign w:val="bottom"/>
          </w:tcPr>
          <w:p>
            <w:pPr>
              <w:ind w:left="20"/>
              <w:spacing w:after="0"/>
              <w:rPr>
                <w:sz w:val="20"/>
                <w:szCs w:val="20"/>
                <w:color w:val="auto"/>
              </w:rPr>
            </w:pPr>
            <w:r>
              <w:rPr>
                <w:rFonts w:ascii="Arial" w:cs="Arial" w:eastAsia="Arial" w:hAnsi="Arial"/>
                <w:sz w:val="10"/>
                <w:szCs w:val="10"/>
                <w:color w:val="auto"/>
              </w:rPr>
              <w:t>Intercompany eliminations</w:t>
            </w:r>
          </w:p>
        </w:tc>
        <w:tc>
          <w:tcPr>
            <w:tcW w:w="180" w:type="dxa"/>
            <w:vAlign w:val="bottom"/>
          </w:tcPr>
          <w:p>
            <w:pPr>
              <w:spacing w:after="0"/>
              <w:rPr>
                <w:sz w:val="12"/>
                <w:szCs w:val="12"/>
                <w:color w:val="auto"/>
              </w:rPr>
            </w:pPr>
          </w:p>
        </w:tc>
        <w:tc>
          <w:tcPr>
            <w:tcW w:w="90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color w:val="auto"/>
              </w:rPr>
              <w:t>(5.1)</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(5.1)</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color w:val="auto"/>
              </w:rPr>
              <w:t>(5.7)</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(5.7)</w:t>
            </w:r>
          </w:p>
        </w:tc>
        <w:tc>
          <w:tcPr>
            <w:tcW w:w="0" w:type="dxa"/>
            <w:vAlign w:val="bottom"/>
          </w:tcPr>
          <w:p>
            <w:pPr>
              <w:spacing w:after="0"/>
              <w:rPr>
                <w:sz w:val="1"/>
                <w:szCs w:val="1"/>
                <w:color w:val="auto"/>
              </w:rPr>
            </w:pPr>
          </w:p>
        </w:tc>
      </w:tr>
      <w:tr>
        <w:trPr>
          <w:trHeight w:val="32"/>
        </w:trPr>
        <w:tc>
          <w:tcPr>
            <w:tcW w:w="1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Total net sales</w:t>
            </w:r>
          </w:p>
        </w:tc>
        <w:tc>
          <w:tcPr>
            <w:tcW w:w="18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511.7</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2.1</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42.5</w:t>
            </w:r>
          </w:p>
        </w:tc>
        <w:tc>
          <w:tcPr>
            <w:tcW w:w="440" w:type="dxa"/>
            <w:vAlign w:val="bottom"/>
            <w:tcBorders>
              <w:bottom w:val="single" w:sz="8" w:color="DBDBDB"/>
            </w:tcBorders>
            <w:shd w:val="clear" w:color="auto" w:fill="DBDBDB"/>
          </w:tcPr>
          <w:p>
            <w:pPr>
              <w:jc w:val="right"/>
              <w:ind w:right="228"/>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556.3</w:t>
            </w:r>
          </w:p>
        </w:tc>
        <w:tc>
          <w:tcPr>
            <w:tcW w:w="260" w:type="dxa"/>
            <w:vAlign w:val="bottom"/>
            <w:tcBorders>
              <w:bottom w:val="single" w:sz="8" w:color="DBDBDB"/>
            </w:tcBorders>
            <w:shd w:val="clear" w:color="auto" w:fill="DBDBDB"/>
          </w:tcPr>
          <w:p>
            <w:pPr>
              <w:spacing w:after="0"/>
              <w:rPr>
                <w:sz w:val="13"/>
                <w:szCs w:val="13"/>
                <w:color w:val="auto"/>
              </w:rPr>
            </w:pPr>
          </w:p>
        </w:tc>
        <w:tc>
          <w:tcPr>
            <w:tcW w:w="400" w:type="dxa"/>
            <w:vAlign w:val="bottom"/>
            <w:tcBorders>
              <w:bottom w:val="single" w:sz="8" w:color="DBDBDB"/>
            </w:tcBorders>
            <w:shd w:val="clear" w:color="auto" w:fill="DBDBDB"/>
          </w:tcPr>
          <w:p>
            <w:pPr>
              <w:jc w:val="right"/>
              <w:ind w:right="28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397.1</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6.0</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31.5</w:t>
            </w:r>
          </w:p>
        </w:tc>
        <w:tc>
          <w:tcPr>
            <w:tcW w:w="4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434.6</w:t>
            </w: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83" w:right="359" w:bottom="1440" w:gutter="0" w:footer="0" w:header="0"/>
        </w:sectPr>
      </w:pPr>
    </w:p>
    <w:bookmarkStart w:id="17" w:name="page18"/>
    <w:bookmarkEnd w:id="17"/>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20" w:type="dxa"/>
            <w:vAlign w:val="bottom"/>
          </w:tcPr>
          <w:p>
            <w:pPr>
              <w:ind w:left="620"/>
              <w:spacing w:after="0"/>
              <w:rPr>
                <w:sz w:val="20"/>
                <w:szCs w:val="20"/>
                <w:color w:val="auto"/>
              </w:rPr>
            </w:pPr>
            <w:r>
              <w:rPr>
                <w:rFonts w:ascii="Arial" w:cs="Arial" w:eastAsia="Arial" w:hAnsi="Arial"/>
                <w:sz w:val="14"/>
                <w:szCs w:val="14"/>
                <w:color w:val="auto"/>
              </w:rPr>
              <w:t>Supplemental sales information is as follows.</w:t>
            </w:r>
          </w:p>
        </w:tc>
        <w:tc>
          <w:tcPr>
            <w:tcW w:w="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411"/>
        </w:trPr>
        <w:tc>
          <w:tcPr>
            <w:tcW w:w="4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60" w:type="dxa"/>
            <w:vAlign w:val="bottom"/>
            <w:gridSpan w:val="2"/>
          </w:tcPr>
          <w:p>
            <w:pPr>
              <w:jc w:val="right"/>
              <w:ind w:right="231"/>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80" w:type="dxa"/>
            <w:vAlign w:val="bottom"/>
            <w:gridSpan w:val="2"/>
          </w:tcPr>
          <w:p>
            <w:pPr>
              <w:jc w:val="right"/>
              <w:ind w:right="291"/>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24"/>
                <w:szCs w:val="24"/>
                <w:color w:val="auto"/>
              </w:rPr>
            </w:pPr>
          </w:p>
        </w:tc>
      </w:tr>
      <w:tr>
        <w:trPr>
          <w:trHeight w:val="196"/>
        </w:trPr>
        <w:tc>
          <w:tcPr>
            <w:tcW w:w="40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right"/>
              <w:ind w:right="651"/>
              <w:spacing w:after="0"/>
              <w:rPr>
                <w:sz w:val="20"/>
                <w:szCs w:val="20"/>
                <w:color w:val="auto"/>
              </w:rPr>
            </w:pPr>
            <w:r>
              <w:rPr>
                <w:rFonts w:ascii="Arial" w:cs="Arial" w:eastAsia="Arial" w:hAnsi="Arial"/>
                <w:sz w:val="14"/>
                <w:szCs w:val="14"/>
                <w:b w:val="1"/>
                <w:bCs w:val="1"/>
                <w:color w:val="auto"/>
              </w:rPr>
              <w:t>April 30,</w:t>
            </w: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right"/>
              <w:ind w:right="631"/>
              <w:spacing w:after="0"/>
              <w:rPr>
                <w:sz w:val="20"/>
                <w:szCs w:val="20"/>
                <w:color w:val="auto"/>
              </w:rPr>
            </w:pPr>
            <w:r>
              <w:rPr>
                <w:rFonts w:ascii="Arial" w:cs="Arial" w:eastAsia="Arial" w:hAnsi="Arial"/>
                <w:sz w:val="14"/>
                <w:szCs w:val="14"/>
                <w:b w:val="1"/>
                <w:bCs w:val="1"/>
                <w:color w:val="auto"/>
              </w:rPr>
              <w:t>April 30,</w:t>
            </w:r>
          </w:p>
        </w:tc>
        <w:tc>
          <w:tcPr>
            <w:tcW w:w="780" w:type="dxa"/>
            <w:vAlign w:val="bottom"/>
            <w:tcBorders>
              <w:bottom w:val="single" w:sz="8" w:color="auto"/>
            </w:tcBorders>
          </w:tcPr>
          <w:p>
            <w:pPr>
              <w:spacing w:after="0"/>
              <w:rPr>
                <w:sz w:val="17"/>
                <w:szCs w:val="17"/>
                <w:color w:val="auto"/>
              </w:rPr>
            </w:pPr>
          </w:p>
        </w:tc>
      </w:tr>
      <w:tr>
        <w:trPr>
          <w:trHeight w:val="215"/>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2024</w:t>
            </w:r>
          </w:p>
        </w:tc>
        <w:tc>
          <w:tcPr>
            <w:tcW w:w="10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2024</w:t>
            </w:r>
          </w:p>
        </w:tc>
        <w:tc>
          <w:tcPr>
            <w:tcW w:w="10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6"/>
        </w:trPr>
        <w:tc>
          <w:tcPr>
            <w:tcW w:w="4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i w:val="1"/>
                <w:iCs w:val="1"/>
                <w:color w:val="auto"/>
              </w:rPr>
              <w:t>By type</w:t>
            </w:r>
          </w:p>
        </w:tc>
        <w:tc>
          <w:tcPr>
            <w:tcW w:w="560" w:type="dxa"/>
            <w:vAlign w:val="bottom"/>
            <w:tcBorders>
              <w:bottom w:val="single" w:sz="8" w:color="DBDBDB"/>
            </w:tcBorders>
            <w:shd w:val="clear" w:color="auto" w:fill="DBDBDB"/>
          </w:tcPr>
          <w:p>
            <w:pPr>
              <w:spacing w:after="0"/>
              <w:rPr>
                <w:sz w:val="17"/>
                <w:szCs w:val="17"/>
                <w:color w:val="auto"/>
              </w:rPr>
            </w:pPr>
          </w:p>
        </w:tc>
        <w:tc>
          <w:tcPr>
            <w:tcW w:w="114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r>
      <w:tr>
        <w:trPr>
          <w:trHeight w:val="199"/>
        </w:trPr>
        <w:tc>
          <w:tcPr>
            <w:tcW w:w="4020" w:type="dxa"/>
            <w:vAlign w:val="bottom"/>
          </w:tcPr>
          <w:p>
            <w:pPr>
              <w:ind w:left="220"/>
              <w:spacing w:after="0"/>
              <w:rPr>
                <w:sz w:val="20"/>
                <w:szCs w:val="20"/>
                <w:color w:val="auto"/>
              </w:rPr>
            </w:pPr>
            <w:r>
              <w:rPr>
                <w:rFonts w:ascii="Arial" w:cs="Arial" w:eastAsia="Arial" w:hAnsi="Arial"/>
                <w:sz w:val="14"/>
                <w:szCs w:val="14"/>
                <w:color w:val="auto"/>
              </w:rPr>
              <w:t>Avocado</w:t>
            </w:r>
          </w:p>
        </w:tc>
        <w:tc>
          <w:tcPr>
            <w:tcW w:w="560" w:type="dxa"/>
            <w:vAlign w:val="bottom"/>
          </w:tcPr>
          <w:p>
            <w:pPr>
              <w:jc w:val="right"/>
              <w:ind w:right="411"/>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31"/>
              <w:spacing w:after="0"/>
              <w:rPr>
                <w:sz w:val="20"/>
                <w:szCs w:val="20"/>
                <w:color w:val="auto"/>
              </w:rPr>
            </w:pPr>
            <w:r>
              <w:rPr>
                <w:rFonts w:ascii="Arial" w:cs="Arial" w:eastAsia="Arial" w:hAnsi="Arial"/>
                <w:sz w:val="14"/>
                <w:szCs w:val="14"/>
                <w:color w:val="auto"/>
              </w:rPr>
              <w:t>267.5</w:t>
            </w:r>
          </w:p>
        </w:tc>
        <w:tc>
          <w:tcPr>
            <w:tcW w:w="1020" w:type="dxa"/>
            <w:vAlign w:val="bottom"/>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202.9</w:t>
            </w:r>
          </w:p>
        </w:tc>
        <w:tc>
          <w:tcPr>
            <w:tcW w:w="260" w:type="dxa"/>
            <w:vAlign w:val="bottom"/>
          </w:tcPr>
          <w:p>
            <w:pPr>
              <w:spacing w:after="0"/>
              <w:rPr>
                <w:sz w:val="17"/>
                <w:szCs w:val="17"/>
                <w:color w:val="auto"/>
              </w:rPr>
            </w:pPr>
          </w:p>
        </w:tc>
        <w:tc>
          <w:tcPr>
            <w:tcW w:w="620" w:type="dxa"/>
            <w:vAlign w:val="bottom"/>
          </w:tcPr>
          <w:p>
            <w:pPr>
              <w:jc w:val="right"/>
              <w:ind w:right="47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479.8</w:t>
            </w:r>
          </w:p>
        </w:tc>
        <w:tc>
          <w:tcPr>
            <w:tcW w:w="1000" w:type="dxa"/>
            <w:vAlign w:val="bottom"/>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376.9</w:t>
            </w:r>
          </w:p>
        </w:tc>
      </w:tr>
      <w:tr>
        <w:trPr>
          <w:trHeight w:val="20"/>
        </w:trPr>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40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Blueberry</w:t>
            </w:r>
          </w:p>
        </w:tc>
        <w:tc>
          <w:tcPr>
            <w:tcW w:w="560" w:type="dxa"/>
            <w:vAlign w:val="bottom"/>
            <w:tcBorders>
              <w:bottom w:val="single" w:sz="8" w:color="DBDBDB"/>
            </w:tcBorders>
            <w:shd w:val="clear" w:color="auto" w:fill="DBDBDB"/>
          </w:tcPr>
          <w:p>
            <w:pPr>
              <w:spacing w:after="0"/>
              <w:rPr>
                <w:sz w:val="17"/>
                <w:szCs w:val="17"/>
                <w:color w:val="auto"/>
              </w:rPr>
            </w:pPr>
          </w:p>
        </w:tc>
        <w:tc>
          <w:tcPr>
            <w:tcW w:w="114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10.0</w:t>
            </w:r>
          </w:p>
        </w:tc>
        <w:tc>
          <w:tcPr>
            <w:tcW w:w="102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1.7</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42.5</w:t>
            </w:r>
          </w:p>
        </w:tc>
        <w:tc>
          <w:tcPr>
            <w:tcW w:w="100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31.5</w:t>
            </w:r>
          </w:p>
        </w:tc>
      </w:tr>
      <w:tr>
        <w:trPr>
          <w:trHeight w:val="199"/>
        </w:trPr>
        <w:tc>
          <w:tcPr>
            <w:tcW w:w="4020" w:type="dxa"/>
            <w:vAlign w:val="bottom"/>
          </w:tcPr>
          <w:p>
            <w:pPr>
              <w:ind w:left="220"/>
              <w:spacing w:after="0"/>
              <w:rPr>
                <w:sz w:val="20"/>
                <w:szCs w:val="20"/>
                <w:color w:val="auto"/>
              </w:rPr>
            </w:pPr>
            <w:r>
              <w:rPr>
                <w:rFonts w:ascii="Arial" w:cs="Arial" w:eastAsia="Arial" w:hAnsi="Arial"/>
                <w:sz w:val="14"/>
                <w:szCs w:val="14"/>
                <w:color w:val="auto"/>
              </w:rPr>
              <w:t>Mango</w:t>
            </w:r>
          </w:p>
        </w:tc>
        <w:tc>
          <w:tcPr>
            <w:tcW w:w="560" w:type="dxa"/>
            <w:vAlign w:val="bottom"/>
          </w:tcPr>
          <w:p>
            <w:pPr>
              <w:spacing w:after="0"/>
              <w:rPr>
                <w:sz w:val="17"/>
                <w:szCs w:val="17"/>
                <w:color w:val="auto"/>
              </w:rPr>
            </w:pPr>
          </w:p>
        </w:tc>
        <w:tc>
          <w:tcPr>
            <w:tcW w:w="1140" w:type="dxa"/>
            <w:vAlign w:val="bottom"/>
          </w:tcPr>
          <w:p>
            <w:pPr>
              <w:jc w:val="right"/>
              <w:ind w:right="31"/>
              <w:spacing w:after="0"/>
              <w:rPr>
                <w:sz w:val="20"/>
                <w:szCs w:val="20"/>
                <w:color w:val="auto"/>
              </w:rPr>
            </w:pPr>
            <w:r>
              <w:rPr>
                <w:rFonts w:ascii="Arial" w:cs="Arial" w:eastAsia="Arial" w:hAnsi="Arial"/>
                <w:sz w:val="14"/>
                <w:szCs w:val="14"/>
                <w:color w:val="auto"/>
              </w:rPr>
              <w:t>18.2</w:t>
            </w:r>
          </w:p>
        </w:tc>
        <w:tc>
          <w:tcPr>
            <w:tcW w:w="1020" w:type="dxa"/>
            <w:vAlign w:val="bottom"/>
          </w:tcPr>
          <w:p>
            <w:pPr>
              <w:spacing w:after="0"/>
              <w:rPr>
                <w:sz w:val="17"/>
                <w:szCs w:val="17"/>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13.0</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29.1</w:t>
            </w:r>
          </w:p>
        </w:tc>
        <w:tc>
          <w:tcPr>
            <w:tcW w:w="10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20.3</w:t>
            </w:r>
          </w:p>
        </w:tc>
      </w:tr>
      <w:tr>
        <w:trPr>
          <w:trHeight w:val="20"/>
        </w:trPr>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4"/>
        </w:trPr>
        <w:tc>
          <w:tcPr>
            <w:tcW w:w="40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Other</w:t>
            </w:r>
          </w:p>
        </w:tc>
        <w:tc>
          <w:tcPr>
            <w:tcW w:w="560" w:type="dxa"/>
            <w:vAlign w:val="bottom"/>
            <w:tcBorders>
              <w:bottom w:val="single" w:sz="8" w:color="DBDBDB"/>
            </w:tcBorders>
            <w:shd w:val="clear" w:color="auto" w:fill="DBDBDB"/>
          </w:tcPr>
          <w:p>
            <w:pPr>
              <w:spacing w:after="0"/>
              <w:rPr>
                <w:sz w:val="19"/>
                <w:szCs w:val="19"/>
                <w:color w:val="auto"/>
              </w:rPr>
            </w:pPr>
          </w:p>
        </w:tc>
        <w:tc>
          <w:tcPr>
            <w:tcW w:w="114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1.9</w:t>
            </w:r>
          </w:p>
        </w:tc>
        <w:tc>
          <w:tcPr>
            <w:tcW w:w="1020" w:type="dxa"/>
            <w:vAlign w:val="bottom"/>
            <w:tcBorders>
              <w:bottom w:val="single" w:sz="8" w:color="DBDBDB"/>
            </w:tcBorders>
            <w:shd w:val="clear" w:color="auto" w:fill="DBDBDB"/>
          </w:tcPr>
          <w:p>
            <w:pPr>
              <w:spacing w:after="0"/>
              <w:rPr>
                <w:sz w:val="19"/>
                <w:szCs w:val="19"/>
                <w:color w:val="auto"/>
              </w:rPr>
            </w:pPr>
          </w:p>
        </w:tc>
        <w:tc>
          <w:tcPr>
            <w:tcW w:w="7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3.5</w:t>
            </w:r>
          </w:p>
        </w:tc>
        <w:tc>
          <w:tcPr>
            <w:tcW w:w="260" w:type="dxa"/>
            <w:vAlign w:val="bottom"/>
            <w:tcBorders>
              <w:bottom w:val="single" w:sz="8" w:color="DBDBDB"/>
            </w:tcBorders>
            <w:shd w:val="clear" w:color="auto" w:fill="DBDBDB"/>
          </w:tcPr>
          <w:p>
            <w:pPr>
              <w:spacing w:after="0"/>
              <w:rPr>
                <w:sz w:val="19"/>
                <w:szCs w:val="19"/>
                <w:color w:val="auto"/>
              </w:rPr>
            </w:pPr>
          </w:p>
        </w:tc>
        <w:tc>
          <w:tcPr>
            <w:tcW w:w="620" w:type="dxa"/>
            <w:vAlign w:val="bottom"/>
            <w:tcBorders>
              <w:bottom w:val="single" w:sz="8" w:color="DBDBDB"/>
            </w:tcBorders>
            <w:shd w:val="clear" w:color="auto" w:fill="DBDBDB"/>
          </w:tcPr>
          <w:p>
            <w:pPr>
              <w:spacing w:after="0"/>
              <w:rPr>
                <w:sz w:val="19"/>
                <w:szCs w:val="19"/>
                <w:color w:val="auto"/>
              </w:rPr>
            </w:pPr>
          </w:p>
        </w:tc>
        <w:tc>
          <w:tcPr>
            <w:tcW w:w="108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4.9</w:t>
            </w:r>
          </w:p>
        </w:tc>
        <w:tc>
          <w:tcPr>
            <w:tcW w:w="1000" w:type="dxa"/>
            <w:vAlign w:val="bottom"/>
            <w:tcBorders>
              <w:bottom w:val="single" w:sz="8" w:color="DBDBDB"/>
            </w:tcBorders>
            <w:shd w:val="clear" w:color="auto" w:fill="DBDBDB"/>
          </w:tcPr>
          <w:p>
            <w:pPr>
              <w:spacing w:after="0"/>
              <w:rPr>
                <w:sz w:val="19"/>
                <w:szCs w:val="19"/>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5.9</w:t>
            </w:r>
          </w:p>
        </w:tc>
      </w:tr>
      <w:tr>
        <w:trPr>
          <w:trHeight w:val="192"/>
        </w:trPr>
        <w:tc>
          <w:tcPr>
            <w:tcW w:w="40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net sales</w:t>
            </w:r>
          </w:p>
        </w:tc>
        <w:tc>
          <w:tcPr>
            <w:tcW w:w="56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297.6</w:t>
            </w:r>
          </w:p>
        </w:tc>
        <w:tc>
          <w:tcPr>
            <w:tcW w:w="1020" w:type="dxa"/>
            <w:vAlign w:val="bottom"/>
            <w:tcBorders>
              <w:top w:val="single" w:sz="8" w:color="auto"/>
            </w:tcBorders>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221.1</w:t>
            </w:r>
          </w:p>
        </w:tc>
        <w:tc>
          <w:tcPr>
            <w:tcW w:w="2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556.3</w:t>
            </w:r>
          </w:p>
        </w:tc>
        <w:tc>
          <w:tcPr>
            <w:tcW w:w="1000" w:type="dxa"/>
            <w:vAlign w:val="bottom"/>
            <w:tcBorders>
              <w:top w:val="single" w:sz="8" w:color="auto"/>
            </w:tcBorders>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434.6</w:t>
            </w:r>
          </w:p>
        </w:tc>
      </w:tr>
      <w:tr>
        <w:trPr>
          <w:trHeight w:val="20"/>
        </w:trPr>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4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i w:val="1"/>
                <w:iCs w:val="1"/>
                <w:color w:val="auto"/>
              </w:rPr>
              <w:t>By customer location</w:t>
            </w:r>
          </w:p>
        </w:tc>
        <w:tc>
          <w:tcPr>
            <w:tcW w:w="560" w:type="dxa"/>
            <w:vAlign w:val="bottom"/>
            <w:tcBorders>
              <w:bottom w:val="single" w:sz="8" w:color="DBDBDB"/>
            </w:tcBorders>
            <w:shd w:val="clear" w:color="auto" w:fill="DBDBDB"/>
          </w:tcPr>
          <w:p>
            <w:pPr>
              <w:spacing w:after="0"/>
              <w:rPr>
                <w:sz w:val="17"/>
                <w:szCs w:val="17"/>
                <w:color w:val="auto"/>
              </w:rPr>
            </w:pPr>
          </w:p>
        </w:tc>
        <w:tc>
          <w:tcPr>
            <w:tcW w:w="114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r>
      <w:tr>
        <w:trPr>
          <w:trHeight w:val="199"/>
        </w:trPr>
        <w:tc>
          <w:tcPr>
            <w:tcW w:w="4020" w:type="dxa"/>
            <w:vAlign w:val="bottom"/>
          </w:tcPr>
          <w:p>
            <w:pPr>
              <w:ind w:left="220"/>
              <w:spacing w:after="0"/>
              <w:rPr>
                <w:sz w:val="20"/>
                <w:szCs w:val="20"/>
                <w:color w:val="auto"/>
              </w:rPr>
            </w:pPr>
            <w:r>
              <w:rPr>
                <w:rFonts w:ascii="Arial" w:cs="Arial" w:eastAsia="Arial" w:hAnsi="Arial"/>
                <w:sz w:val="14"/>
                <w:szCs w:val="14"/>
                <w:color w:val="auto"/>
              </w:rPr>
              <w:t>United States</w:t>
            </w:r>
          </w:p>
        </w:tc>
        <w:tc>
          <w:tcPr>
            <w:tcW w:w="560" w:type="dxa"/>
            <w:vAlign w:val="bottom"/>
          </w:tcPr>
          <w:p>
            <w:pPr>
              <w:jc w:val="right"/>
              <w:ind w:right="411"/>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31"/>
              <w:spacing w:after="0"/>
              <w:rPr>
                <w:sz w:val="20"/>
                <w:szCs w:val="20"/>
                <w:color w:val="auto"/>
              </w:rPr>
            </w:pPr>
            <w:r>
              <w:rPr>
                <w:rFonts w:ascii="Arial" w:cs="Arial" w:eastAsia="Arial" w:hAnsi="Arial"/>
                <w:sz w:val="14"/>
                <w:szCs w:val="14"/>
                <w:color w:val="auto"/>
              </w:rPr>
              <w:t>254.0</w:t>
            </w:r>
          </w:p>
        </w:tc>
        <w:tc>
          <w:tcPr>
            <w:tcW w:w="1020" w:type="dxa"/>
            <w:vAlign w:val="bottom"/>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183.3</w:t>
            </w:r>
          </w:p>
        </w:tc>
        <w:tc>
          <w:tcPr>
            <w:tcW w:w="260" w:type="dxa"/>
            <w:vAlign w:val="bottom"/>
          </w:tcPr>
          <w:p>
            <w:pPr>
              <w:spacing w:after="0"/>
              <w:rPr>
                <w:sz w:val="17"/>
                <w:szCs w:val="17"/>
                <w:color w:val="auto"/>
              </w:rPr>
            </w:pPr>
          </w:p>
        </w:tc>
        <w:tc>
          <w:tcPr>
            <w:tcW w:w="620" w:type="dxa"/>
            <w:vAlign w:val="bottom"/>
          </w:tcPr>
          <w:p>
            <w:pPr>
              <w:jc w:val="right"/>
              <w:ind w:right="47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465.8</w:t>
            </w:r>
          </w:p>
        </w:tc>
        <w:tc>
          <w:tcPr>
            <w:tcW w:w="1000" w:type="dxa"/>
            <w:vAlign w:val="bottom"/>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357.9</w:t>
            </w:r>
          </w:p>
        </w:tc>
      </w:tr>
      <w:tr>
        <w:trPr>
          <w:trHeight w:val="20"/>
        </w:trPr>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4"/>
        </w:trPr>
        <w:tc>
          <w:tcPr>
            <w:tcW w:w="40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Rest of world</w:t>
            </w:r>
          </w:p>
        </w:tc>
        <w:tc>
          <w:tcPr>
            <w:tcW w:w="560" w:type="dxa"/>
            <w:vAlign w:val="bottom"/>
            <w:tcBorders>
              <w:bottom w:val="single" w:sz="8" w:color="DBDBDB"/>
            </w:tcBorders>
            <w:shd w:val="clear" w:color="auto" w:fill="DBDBDB"/>
          </w:tcPr>
          <w:p>
            <w:pPr>
              <w:spacing w:after="0"/>
              <w:rPr>
                <w:sz w:val="19"/>
                <w:szCs w:val="19"/>
                <w:color w:val="auto"/>
              </w:rPr>
            </w:pPr>
          </w:p>
        </w:tc>
        <w:tc>
          <w:tcPr>
            <w:tcW w:w="114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43.6</w:t>
            </w:r>
          </w:p>
        </w:tc>
        <w:tc>
          <w:tcPr>
            <w:tcW w:w="1020" w:type="dxa"/>
            <w:vAlign w:val="bottom"/>
            <w:tcBorders>
              <w:bottom w:val="single" w:sz="8" w:color="DBDBDB"/>
            </w:tcBorders>
            <w:shd w:val="clear" w:color="auto" w:fill="DBDBDB"/>
          </w:tcPr>
          <w:p>
            <w:pPr>
              <w:spacing w:after="0"/>
              <w:rPr>
                <w:sz w:val="19"/>
                <w:szCs w:val="19"/>
                <w:color w:val="auto"/>
              </w:rPr>
            </w:pPr>
          </w:p>
        </w:tc>
        <w:tc>
          <w:tcPr>
            <w:tcW w:w="7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37.8</w:t>
            </w:r>
          </w:p>
        </w:tc>
        <w:tc>
          <w:tcPr>
            <w:tcW w:w="260" w:type="dxa"/>
            <w:vAlign w:val="bottom"/>
            <w:tcBorders>
              <w:bottom w:val="single" w:sz="8" w:color="DBDBDB"/>
            </w:tcBorders>
            <w:shd w:val="clear" w:color="auto" w:fill="DBDBDB"/>
          </w:tcPr>
          <w:p>
            <w:pPr>
              <w:spacing w:after="0"/>
              <w:rPr>
                <w:sz w:val="19"/>
                <w:szCs w:val="19"/>
                <w:color w:val="auto"/>
              </w:rPr>
            </w:pPr>
          </w:p>
        </w:tc>
        <w:tc>
          <w:tcPr>
            <w:tcW w:w="620" w:type="dxa"/>
            <w:vAlign w:val="bottom"/>
            <w:tcBorders>
              <w:bottom w:val="single" w:sz="8" w:color="DBDBDB"/>
            </w:tcBorders>
            <w:shd w:val="clear" w:color="auto" w:fill="DBDBDB"/>
          </w:tcPr>
          <w:p>
            <w:pPr>
              <w:spacing w:after="0"/>
              <w:rPr>
                <w:sz w:val="19"/>
                <w:szCs w:val="19"/>
                <w:color w:val="auto"/>
              </w:rPr>
            </w:pPr>
          </w:p>
        </w:tc>
        <w:tc>
          <w:tcPr>
            <w:tcW w:w="108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90.5</w:t>
            </w:r>
          </w:p>
        </w:tc>
        <w:tc>
          <w:tcPr>
            <w:tcW w:w="1000" w:type="dxa"/>
            <w:vAlign w:val="bottom"/>
            <w:tcBorders>
              <w:bottom w:val="single" w:sz="8" w:color="DBDBDB"/>
            </w:tcBorders>
            <w:shd w:val="clear" w:color="auto" w:fill="DBDBDB"/>
          </w:tcPr>
          <w:p>
            <w:pPr>
              <w:spacing w:after="0"/>
              <w:rPr>
                <w:sz w:val="19"/>
                <w:szCs w:val="19"/>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76.7</w:t>
            </w:r>
          </w:p>
        </w:tc>
      </w:tr>
      <w:tr>
        <w:trPr>
          <w:trHeight w:val="192"/>
        </w:trPr>
        <w:tc>
          <w:tcPr>
            <w:tcW w:w="40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net sales</w:t>
            </w:r>
          </w:p>
        </w:tc>
        <w:tc>
          <w:tcPr>
            <w:tcW w:w="56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297.6</w:t>
            </w:r>
          </w:p>
        </w:tc>
        <w:tc>
          <w:tcPr>
            <w:tcW w:w="1020" w:type="dxa"/>
            <w:vAlign w:val="bottom"/>
            <w:tcBorders>
              <w:top w:val="single" w:sz="8" w:color="auto"/>
            </w:tcBorders>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221.1</w:t>
            </w:r>
          </w:p>
        </w:tc>
        <w:tc>
          <w:tcPr>
            <w:tcW w:w="2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556.3</w:t>
            </w:r>
          </w:p>
        </w:tc>
        <w:tc>
          <w:tcPr>
            <w:tcW w:w="1000" w:type="dxa"/>
            <w:vAlign w:val="bottom"/>
            <w:tcBorders>
              <w:top w:val="single" w:sz="8" w:color="auto"/>
            </w:tcBorders>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434.6</w:t>
            </w: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Adjusted EBITDA (as defined above) for each of our reportable segments was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40" w:type="dxa"/>
            <w:vAlign w:val="bottom"/>
            <w:gridSpan w:val="2"/>
          </w:tcPr>
          <w:p>
            <w:pPr>
              <w:jc w:val="right"/>
              <w:ind w:right="231"/>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60" w:type="dxa"/>
            <w:vAlign w:val="bottom"/>
            <w:gridSpan w:val="2"/>
          </w:tcPr>
          <w:p>
            <w:pPr>
              <w:jc w:val="right"/>
              <w:ind w:right="291"/>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40" w:type="dxa"/>
            <w:vAlign w:val="bottom"/>
            <w:gridSpan w:val="2"/>
          </w:tcPr>
          <w:p>
            <w:pPr>
              <w:jc w:val="right"/>
              <w:ind w:right="651"/>
              <w:spacing w:after="0"/>
              <w:rPr>
                <w:sz w:val="20"/>
                <w:szCs w:val="20"/>
                <w:color w:val="auto"/>
              </w:rPr>
            </w:pPr>
            <w:r>
              <w:rPr>
                <w:rFonts w:ascii="Arial" w:cs="Arial" w:eastAsia="Arial" w:hAnsi="Arial"/>
                <w:sz w:val="14"/>
                <w:szCs w:val="14"/>
                <w:b w:val="1"/>
                <w:bCs w:val="1"/>
                <w:color w:val="auto"/>
              </w:rPr>
              <w:t>April 30,</w:t>
            </w: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60" w:type="dxa"/>
            <w:vAlign w:val="bottom"/>
            <w:gridSpan w:val="2"/>
          </w:tcPr>
          <w:p>
            <w:pPr>
              <w:jc w:val="right"/>
              <w:ind w:right="611"/>
              <w:spacing w:after="0"/>
              <w:rPr>
                <w:sz w:val="20"/>
                <w:szCs w:val="20"/>
                <w:color w:val="auto"/>
              </w:rPr>
            </w:pPr>
            <w:r>
              <w:rPr>
                <w:rFonts w:ascii="Arial" w:cs="Arial" w:eastAsia="Arial" w:hAnsi="Arial"/>
                <w:sz w:val="14"/>
                <w:szCs w:val="14"/>
                <w:b w:val="1"/>
                <w:bCs w:val="1"/>
                <w:color w:val="auto"/>
              </w:rPr>
              <w:t>April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0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8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2024</w:t>
            </w:r>
          </w:p>
        </w:tc>
        <w:tc>
          <w:tcPr>
            <w:tcW w:w="9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9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9"/>
        </w:trPr>
        <w:tc>
          <w:tcPr>
            <w:tcW w:w="4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Marketing and Distribution adjusted EBITDA</w:t>
            </w:r>
          </w:p>
        </w:tc>
        <w:tc>
          <w:tcPr>
            <w:tcW w:w="560" w:type="dxa"/>
            <w:vAlign w:val="bottom"/>
            <w:tcBorders>
              <w:bottom w:val="single" w:sz="8" w:color="DBDBDB"/>
            </w:tcBorders>
            <w:shd w:val="clear" w:color="auto" w:fill="DBDBDB"/>
          </w:tcPr>
          <w:p>
            <w:pPr>
              <w:jc w:val="right"/>
              <w:ind w:right="39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21.7</w:t>
            </w:r>
          </w:p>
        </w:tc>
        <w:tc>
          <w:tcPr>
            <w:tcW w:w="980" w:type="dxa"/>
            <w:vAlign w:val="bottom"/>
            <w:tcBorders>
              <w:bottom w:val="single" w:sz="8" w:color="DBDBDB"/>
            </w:tcBorders>
            <w:shd w:val="clear" w:color="auto" w:fill="DBDBDB"/>
          </w:tcPr>
          <w:p>
            <w:pPr>
              <w:jc w:val="right"/>
              <w:ind w:right="75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8.6</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ind w:right="45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32.7</w:t>
            </w:r>
          </w:p>
        </w:tc>
        <w:tc>
          <w:tcPr>
            <w:tcW w:w="960" w:type="dxa"/>
            <w:vAlign w:val="bottom"/>
            <w:tcBorders>
              <w:bottom w:val="single" w:sz="8" w:color="DBDBDB"/>
            </w:tcBorders>
            <w:shd w:val="clear" w:color="auto" w:fill="DBDBDB"/>
          </w:tcPr>
          <w:p>
            <w:pPr>
              <w:jc w:val="right"/>
              <w:ind w:right="71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99"/>
        </w:trPr>
        <w:tc>
          <w:tcPr>
            <w:tcW w:w="4080" w:type="dxa"/>
            <w:vAlign w:val="bottom"/>
          </w:tcPr>
          <w:p>
            <w:pPr>
              <w:ind w:left="20"/>
              <w:spacing w:after="0"/>
              <w:rPr>
                <w:sz w:val="20"/>
                <w:szCs w:val="20"/>
                <w:color w:val="auto"/>
              </w:rPr>
            </w:pPr>
            <w:r>
              <w:rPr>
                <w:rFonts w:ascii="Arial" w:cs="Arial" w:eastAsia="Arial" w:hAnsi="Arial"/>
                <w:sz w:val="14"/>
                <w:szCs w:val="14"/>
                <w:color w:val="auto"/>
              </w:rPr>
              <w:t>International Farming adjusted EBITDA</w:t>
            </w:r>
          </w:p>
        </w:tc>
        <w:tc>
          <w:tcPr>
            <w:tcW w:w="560" w:type="dxa"/>
            <w:vAlign w:val="bottom"/>
          </w:tcPr>
          <w:p>
            <w:pPr>
              <w:spacing w:after="0"/>
              <w:rPr>
                <w:sz w:val="17"/>
                <w:szCs w:val="17"/>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(2.2)</w:t>
            </w:r>
          </w:p>
        </w:tc>
        <w:tc>
          <w:tcPr>
            <w:tcW w:w="9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11"/>
              <w:spacing w:after="0"/>
              <w:rPr>
                <w:sz w:val="20"/>
                <w:szCs w:val="20"/>
                <w:color w:val="auto"/>
              </w:rPr>
            </w:pPr>
            <w:r>
              <w:rPr>
                <w:rFonts w:ascii="Arial" w:cs="Arial" w:eastAsia="Arial" w:hAnsi="Arial"/>
                <w:sz w:val="14"/>
                <w:szCs w:val="14"/>
                <w:color w:val="auto"/>
              </w:rPr>
              <w:t>(2.7)</w:t>
            </w:r>
          </w:p>
        </w:tc>
        <w:tc>
          <w:tcPr>
            <w:tcW w:w="9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Blueberries adjusted EBITDA</w:t>
            </w:r>
          </w:p>
        </w:tc>
        <w:tc>
          <w:tcPr>
            <w:tcW w:w="56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0.7</w:t>
            </w:r>
          </w:p>
        </w:tc>
        <w:tc>
          <w:tcPr>
            <w:tcW w:w="98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0.1</w:t>
            </w:r>
          </w:p>
        </w:tc>
        <w:tc>
          <w:tcPr>
            <w:tcW w:w="260" w:type="dxa"/>
            <w:vAlign w:val="bottom"/>
            <w:tcBorders>
              <w:bottom w:val="single" w:sz="8" w:color="DBDBDB"/>
            </w:tcBorders>
            <w:shd w:val="clear" w:color="auto" w:fill="DBDBDB"/>
          </w:tcPr>
          <w:p>
            <w:pPr>
              <w:spacing w:after="0"/>
              <w:rPr>
                <w:sz w:val="19"/>
                <w:szCs w:val="19"/>
                <w:color w:val="auto"/>
              </w:rPr>
            </w:pPr>
          </w:p>
        </w:tc>
        <w:tc>
          <w:tcPr>
            <w:tcW w:w="620" w:type="dxa"/>
            <w:vAlign w:val="bottom"/>
            <w:tcBorders>
              <w:bottom w:val="single" w:sz="8" w:color="DBDBDB"/>
            </w:tcBorders>
            <w:shd w:val="clear" w:color="auto" w:fill="DBDBDB"/>
          </w:tcPr>
          <w:p>
            <w:pPr>
              <w:spacing w:after="0"/>
              <w:rPr>
                <w:sz w:val="19"/>
                <w:szCs w:val="19"/>
                <w:color w:val="auto"/>
              </w:rPr>
            </w:pP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9.4</w:t>
            </w:r>
          </w:p>
        </w:tc>
        <w:tc>
          <w:tcPr>
            <w:tcW w:w="960" w:type="dxa"/>
            <w:vAlign w:val="bottom"/>
            <w:tcBorders>
              <w:bottom w:val="single" w:sz="8" w:color="DBDBDB"/>
            </w:tcBorders>
            <w:shd w:val="clear" w:color="auto" w:fill="DBDBDB"/>
          </w:tcPr>
          <w:p>
            <w:pPr>
              <w:spacing w:after="0"/>
              <w:rPr>
                <w:sz w:val="19"/>
                <w:szCs w:val="19"/>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2"/>
        </w:trPr>
        <w:tc>
          <w:tcPr>
            <w:tcW w:w="40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reportable segment adjusted EBITDA</w:t>
            </w:r>
          </w:p>
        </w:tc>
        <w:tc>
          <w:tcPr>
            <w:tcW w:w="5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20.2</w:t>
            </w:r>
          </w:p>
        </w:tc>
        <w:tc>
          <w:tcPr>
            <w:tcW w:w="9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2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451"/>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39.4</w:t>
            </w:r>
          </w:p>
        </w:tc>
        <w:tc>
          <w:tcPr>
            <w:tcW w:w="960" w:type="dxa"/>
            <w:vAlign w:val="bottom"/>
            <w:tcBorders>
              <w:top w:val="single" w:sz="8" w:color="auto"/>
            </w:tcBorders>
          </w:tcPr>
          <w:p>
            <w:pPr>
              <w:jc w:val="right"/>
              <w:ind w:right="7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income (loss)</w:t>
            </w:r>
          </w:p>
        </w:tc>
        <w:tc>
          <w:tcPr>
            <w:tcW w:w="56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7.0</w:t>
            </w:r>
          </w:p>
        </w:tc>
        <w:tc>
          <w:tcPr>
            <w:tcW w:w="98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(4.7)</w:t>
            </w:r>
          </w:p>
        </w:tc>
        <w:tc>
          <w:tcPr>
            <w:tcW w:w="260" w:type="dxa"/>
            <w:vAlign w:val="bottom"/>
            <w:tcBorders>
              <w:bottom w:val="single" w:sz="8" w:color="DBDBDB"/>
            </w:tcBorders>
            <w:shd w:val="clear" w:color="auto" w:fill="DBDBDB"/>
          </w:tcPr>
          <w:p>
            <w:pPr>
              <w:spacing w:after="0"/>
              <w:rPr>
                <w:sz w:val="16"/>
                <w:szCs w:val="16"/>
                <w:color w:val="auto"/>
              </w:rPr>
            </w:pPr>
          </w:p>
        </w:tc>
        <w:tc>
          <w:tcPr>
            <w:tcW w:w="62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9.0</w:t>
            </w:r>
          </w:p>
        </w:tc>
        <w:tc>
          <w:tcPr>
            <w:tcW w:w="96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99"/>
        </w:trPr>
        <w:tc>
          <w:tcPr>
            <w:tcW w:w="40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56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3.4</w:t>
            </w:r>
          </w:p>
        </w:tc>
        <w:tc>
          <w:tcPr>
            <w:tcW w:w="9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6.7</w:t>
            </w:r>
          </w:p>
        </w:tc>
        <w:tc>
          <w:tcPr>
            <w:tcW w:w="9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Provision for income taxes</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3.4</w:t>
            </w:r>
          </w:p>
        </w:tc>
        <w:tc>
          <w:tcPr>
            <w:tcW w:w="98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1.8</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5.5</w:t>
            </w:r>
          </w:p>
        </w:tc>
        <w:tc>
          <w:tcPr>
            <w:tcW w:w="9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19"/>
        </w:trPr>
        <w:tc>
          <w:tcPr>
            <w:tcW w:w="4080" w:type="dxa"/>
            <w:vAlign w:val="bottom"/>
          </w:tcPr>
          <w:p>
            <w:pPr>
              <w:ind w:left="20"/>
              <w:spacing w:after="0"/>
              <w:rPr>
                <w:sz w:val="20"/>
                <w:szCs w:val="20"/>
                <w:color w:val="auto"/>
              </w:rPr>
            </w:pPr>
            <w:r>
              <w:rPr>
                <w:rFonts w:ascii="Arial" w:cs="Arial" w:eastAsia="Arial" w:hAnsi="Arial"/>
                <w:sz w:val="14"/>
                <w:szCs w:val="14"/>
                <w:color w:val="auto"/>
              </w:rPr>
              <w:t>Depreciation and amortization</w:t>
            </w:r>
            <w:r>
              <w:rPr>
                <w:rFonts w:ascii="Arial" w:cs="Arial" w:eastAsia="Arial" w:hAnsi="Arial"/>
                <w:sz w:val="17"/>
                <w:szCs w:val="17"/>
                <w:color w:val="auto"/>
                <w:vertAlign w:val="superscript"/>
              </w:rPr>
              <w:t>(1)</w:t>
            </w:r>
          </w:p>
        </w:tc>
        <w:tc>
          <w:tcPr>
            <w:tcW w:w="56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5.7</w:t>
            </w:r>
          </w:p>
        </w:tc>
        <w:tc>
          <w:tcPr>
            <w:tcW w:w="9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18.6</w:t>
            </w:r>
          </w:p>
        </w:tc>
        <w:tc>
          <w:tcPr>
            <w:tcW w:w="9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99"/>
        </w:trPr>
        <w:tc>
          <w:tcPr>
            <w:tcW w:w="4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Equity method income</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(0.5)</w:t>
            </w:r>
          </w:p>
        </w:tc>
        <w:tc>
          <w:tcPr>
            <w:tcW w:w="98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(0.4)</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(0.9)</w:t>
            </w:r>
          </w:p>
        </w:tc>
        <w:tc>
          <w:tcPr>
            <w:tcW w:w="9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9"/>
        </w:trPr>
        <w:tc>
          <w:tcPr>
            <w:tcW w:w="40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56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1.6</w:t>
            </w:r>
          </w:p>
        </w:tc>
        <w:tc>
          <w:tcPr>
            <w:tcW w:w="9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3.0</w:t>
            </w:r>
          </w:p>
        </w:tc>
        <w:tc>
          <w:tcPr>
            <w:tcW w:w="9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Asset impairment and disposals, net of insurance recoveries</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0.2</w:t>
            </w:r>
          </w:p>
        </w:tc>
        <w:tc>
          <w:tcPr>
            <w:tcW w:w="98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0.5</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0.4</w:t>
            </w:r>
          </w:p>
        </w:tc>
        <w:tc>
          <w:tcPr>
            <w:tcW w:w="9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99"/>
        </w:trPr>
        <w:tc>
          <w:tcPr>
            <w:tcW w:w="4080" w:type="dxa"/>
            <w:vAlign w:val="bottom"/>
          </w:tcPr>
          <w:p>
            <w:pPr>
              <w:ind w:left="20"/>
              <w:spacing w:after="0"/>
              <w:rPr>
                <w:sz w:val="20"/>
                <w:szCs w:val="20"/>
                <w:color w:val="auto"/>
              </w:rPr>
            </w:pPr>
            <w:r>
              <w:rPr>
                <w:rFonts w:ascii="Arial" w:cs="Arial" w:eastAsia="Arial" w:hAnsi="Arial"/>
                <w:sz w:val="14"/>
                <w:szCs w:val="14"/>
                <w:color w:val="auto"/>
              </w:rPr>
              <w:t>Farming costs for nonproductive orchards</w:t>
            </w:r>
          </w:p>
        </w:tc>
        <w:tc>
          <w:tcPr>
            <w:tcW w:w="56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0.3</w:t>
            </w:r>
          </w:p>
        </w:tc>
        <w:tc>
          <w:tcPr>
            <w:tcW w:w="9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0.4</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0.8</w:t>
            </w:r>
          </w:p>
        </w:tc>
        <w:tc>
          <w:tcPr>
            <w:tcW w:w="9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Recognition of deferred ERP costs</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0.6</w:t>
            </w:r>
          </w:p>
        </w:tc>
        <w:tc>
          <w:tcPr>
            <w:tcW w:w="98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0.5</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1.1</w:t>
            </w:r>
          </w:p>
        </w:tc>
        <w:tc>
          <w:tcPr>
            <w:tcW w:w="9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9"/>
        </w:trPr>
        <w:tc>
          <w:tcPr>
            <w:tcW w:w="4080" w:type="dxa"/>
            <w:vAlign w:val="bottom"/>
          </w:tcPr>
          <w:p>
            <w:pPr>
              <w:ind w:left="20"/>
              <w:spacing w:after="0"/>
              <w:rPr>
                <w:sz w:val="20"/>
                <w:szCs w:val="20"/>
                <w:color w:val="auto"/>
              </w:rPr>
            </w:pPr>
            <w:r>
              <w:rPr>
                <w:rFonts w:ascii="Arial" w:cs="Arial" w:eastAsia="Arial" w:hAnsi="Arial"/>
                <w:sz w:val="14"/>
                <w:szCs w:val="14"/>
                <w:color w:val="auto"/>
              </w:rPr>
              <w:t>Severance</w:t>
            </w:r>
          </w:p>
        </w:tc>
        <w:tc>
          <w:tcPr>
            <w:tcW w:w="56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1.3</w:t>
            </w:r>
          </w:p>
        </w:tc>
        <w:tc>
          <w:tcPr>
            <w:tcW w:w="9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Legal settlement</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gridSpan w:val="2"/>
            <w:shd w:val="clear" w:color="auto" w:fill="DBDBDB"/>
          </w:tcPr>
          <w:p>
            <w:pPr>
              <w:jc w:val="right"/>
              <w:ind w:right="3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0.2</w:t>
            </w:r>
          </w:p>
        </w:tc>
        <w:tc>
          <w:tcPr>
            <w:tcW w:w="9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4080" w:type="dxa"/>
            <w:vAlign w:val="bottom"/>
          </w:tcPr>
          <w:p>
            <w:pPr>
              <w:ind w:left="20"/>
              <w:spacing w:after="0"/>
              <w:rPr>
                <w:sz w:val="20"/>
                <w:szCs w:val="20"/>
                <w:color w:val="auto"/>
              </w:rPr>
            </w:pPr>
            <w:r>
              <w:rPr>
                <w:rFonts w:ascii="Arial" w:cs="Arial" w:eastAsia="Arial" w:hAnsi="Arial"/>
                <w:sz w:val="14"/>
                <w:szCs w:val="14"/>
                <w:color w:val="auto"/>
              </w:rPr>
              <w:t>Transaction costs</w:t>
            </w:r>
          </w:p>
        </w:tc>
        <w:tc>
          <w:tcPr>
            <w:tcW w:w="56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0.2</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80" w:type="dxa"/>
            <w:vAlign w:val="bottom"/>
            <w:shd w:val="clear" w:color="auto" w:fill="DBDBDB"/>
          </w:tcPr>
          <w:p>
            <w:pPr>
              <w:ind w:left="20"/>
              <w:spacing w:after="0"/>
              <w:rPr>
                <w:sz w:val="20"/>
                <w:szCs w:val="20"/>
                <w:color w:val="auto"/>
              </w:rPr>
            </w:pPr>
            <w:r>
              <w:rPr>
                <w:rFonts w:ascii="Arial" w:cs="Arial" w:eastAsia="Arial" w:hAnsi="Arial"/>
                <w:sz w:val="14"/>
                <w:szCs w:val="14"/>
                <w:color w:val="auto"/>
              </w:rPr>
              <w:t>Amortization of inventory adjustment recognized from business</w:t>
            </w:r>
          </w:p>
        </w:tc>
        <w:tc>
          <w:tcPr>
            <w:tcW w:w="560" w:type="dxa"/>
            <w:vAlign w:val="bottom"/>
            <w:shd w:val="clear" w:color="auto" w:fill="DBDBDB"/>
          </w:tcPr>
          <w:p>
            <w:pPr>
              <w:spacing w:after="0"/>
              <w:rPr>
                <w:sz w:val="15"/>
                <w:szCs w:val="15"/>
                <w:color w:val="auto"/>
              </w:rPr>
            </w:pPr>
          </w:p>
        </w:tc>
        <w:tc>
          <w:tcPr>
            <w:tcW w:w="1160" w:type="dxa"/>
            <w:vAlign w:val="bottom"/>
            <w:shd w:val="clear" w:color="auto" w:fill="DBDBDB"/>
          </w:tcPr>
          <w:p>
            <w:pPr>
              <w:jc w:val="right"/>
              <w:ind w:right="71"/>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spacing w:after="0"/>
              <w:rPr>
                <w:sz w:val="15"/>
                <w:szCs w:val="15"/>
                <w:color w:val="auto"/>
              </w:rPr>
            </w:pPr>
          </w:p>
        </w:tc>
        <w:tc>
          <w:tcPr>
            <w:tcW w:w="1000" w:type="dxa"/>
            <w:vAlign w:val="bottom"/>
            <w:gridSpan w:val="2"/>
            <w:shd w:val="clear" w:color="auto" w:fill="DBDBDB"/>
          </w:tcPr>
          <w:p>
            <w:pPr>
              <w:jc w:val="right"/>
              <w:ind w:right="320"/>
              <w:spacing w:after="0"/>
              <w:rPr>
                <w:sz w:val="20"/>
                <w:szCs w:val="20"/>
                <w:color w:val="auto"/>
              </w:rPr>
            </w:pPr>
            <w:r>
              <w:rPr>
                <w:rFonts w:ascii="Arial" w:cs="Arial" w:eastAsia="Arial" w:hAnsi="Arial"/>
                <w:sz w:val="14"/>
                <w:szCs w:val="14"/>
                <w:color w:val="auto"/>
              </w:rPr>
              <w:t>—</w:t>
            </w:r>
          </w:p>
        </w:tc>
        <w:tc>
          <w:tcPr>
            <w:tcW w:w="620" w:type="dxa"/>
            <w:vAlign w:val="bottom"/>
            <w:shd w:val="clear" w:color="auto" w:fill="DBDBDB"/>
          </w:tcPr>
          <w:p>
            <w:pPr>
              <w:spacing w:after="0"/>
              <w:rPr>
                <w:sz w:val="15"/>
                <w:szCs w:val="15"/>
                <w:color w:val="auto"/>
              </w:rPr>
            </w:pPr>
          </w:p>
        </w:tc>
        <w:tc>
          <w:tcPr>
            <w:tcW w:w="110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auto"/>
              </w:rPr>
              <w:t>—</w:t>
            </w:r>
          </w:p>
        </w:tc>
        <w:tc>
          <w:tcPr>
            <w:tcW w:w="96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94"/>
        </w:trPr>
        <w:tc>
          <w:tcPr>
            <w:tcW w:w="408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rPr>
              <w:t>combination</w:t>
            </w:r>
          </w:p>
        </w:tc>
        <w:tc>
          <w:tcPr>
            <w:tcW w:w="56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DBDBDB"/>
            </w:tcBorders>
            <w:shd w:val="clear" w:color="auto" w:fill="DBDBDB"/>
          </w:tcPr>
          <w:p>
            <w:pPr>
              <w:spacing w:after="0"/>
              <w:rPr>
                <w:sz w:val="16"/>
                <w:szCs w:val="16"/>
                <w:color w:val="auto"/>
              </w:rPr>
            </w:pPr>
          </w:p>
        </w:tc>
        <w:tc>
          <w:tcPr>
            <w:tcW w:w="62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8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560" w:type="dxa"/>
            <w:vAlign w:val="bottom"/>
          </w:tcPr>
          <w:p>
            <w:pPr>
              <w:spacing w:after="0"/>
              <w:rPr>
                <w:sz w:val="17"/>
                <w:szCs w:val="17"/>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(1.0)</w:t>
            </w:r>
          </w:p>
        </w:tc>
        <w:tc>
          <w:tcPr>
            <w:tcW w:w="9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(0.6)</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0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Noncontrolling interest</w:t>
            </w:r>
            <w:r>
              <w:rPr>
                <w:rFonts w:ascii="Arial" w:cs="Arial" w:eastAsia="Arial" w:hAnsi="Arial"/>
                <w:sz w:val="17"/>
                <w:szCs w:val="17"/>
                <w:color w:val="auto"/>
                <w:vertAlign w:val="superscript"/>
              </w:rPr>
              <w:t>(2)</w:t>
            </w:r>
          </w:p>
        </w:tc>
        <w:tc>
          <w:tcPr>
            <w:tcW w:w="56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4"/>
                <w:szCs w:val="14"/>
                <w:color w:val="auto"/>
              </w:rPr>
              <w:t>(0.5)</w:t>
            </w:r>
          </w:p>
        </w:tc>
        <w:tc>
          <w:tcPr>
            <w:tcW w:w="98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gridSpan w:val="2"/>
            <w:shd w:val="clear" w:color="auto" w:fill="DBDBDB"/>
          </w:tcPr>
          <w:p>
            <w:pPr>
              <w:jc w:val="right"/>
              <w:ind w:right="3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(6.3)</w:t>
            </w:r>
          </w:p>
        </w:tc>
        <w:tc>
          <w:tcPr>
            <w:tcW w:w="96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2"/>
        </w:trPr>
        <w:tc>
          <w:tcPr>
            <w:tcW w:w="4080" w:type="dxa"/>
            <w:vAlign w:val="bottom"/>
          </w:tcPr>
          <w:p>
            <w:pPr>
              <w:ind w:left="20"/>
              <w:spacing w:after="0"/>
              <w:rPr>
                <w:sz w:val="20"/>
                <w:szCs w:val="20"/>
                <w:color w:val="auto"/>
              </w:rPr>
            </w:pPr>
            <w:r>
              <w:rPr>
                <w:rFonts w:ascii="Arial" w:cs="Arial" w:eastAsia="Arial" w:hAnsi="Arial"/>
                <w:sz w:val="14"/>
                <w:szCs w:val="14"/>
                <w:color w:val="auto"/>
              </w:rPr>
              <w:t>Total adjusted EBITDA</w:t>
            </w:r>
          </w:p>
        </w:tc>
        <w:tc>
          <w:tcPr>
            <w:tcW w:w="560" w:type="dxa"/>
            <w:vAlign w:val="bottom"/>
          </w:tcPr>
          <w:p>
            <w:pPr>
              <w:jc w:val="right"/>
              <w:ind w:right="391"/>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20.2</w:t>
            </w:r>
          </w:p>
        </w:tc>
        <w:tc>
          <w:tcPr>
            <w:tcW w:w="980" w:type="dxa"/>
            <w:vAlign w:val="bottom"/>
          </w:tcPr>
          <w:p>
            <w:pPr>
              <w:jc w:val="right"/>
              <w:ind w:right="75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7.6</w:t>
            </w:r>
          </w:p>
        </w:tc>
        <w:tc>
          <w:tcPr>
            <w:tcW w:w="260" w:type="dxa"/>
            <w:vAlign w:val="bottom"/>
          </w:tcPr>
          <w:p>
            <w:pPr>
              <w:spacing w:after="0"/>
              <w:rPr>
                <w:sz w:val="16"/>
                <w:szCs w:val="16"/>
                <w:color w:val="auto"/>
              </w:rPr>
            </w:pPr>
          </w:p>
        </w:tc>
        <w:tc>
          <w:tcPr>
            <w:tcW w:w="620" w:type="dxa"/>
            <w:vAlign w:val="bottom"/>
          </w:tcPr>
          <w:p>
            <w:pPr>
              <w:jc w:val="right"/>
              <w:ind w:right="45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39.4</w:t>
            </w:r>
          </w:p>
        </w:tc>
        <w:tc>
          <w:tcPr>
            <w:tcW w:w="960" w:type="dxa"/>
            <w:vAlign w:val="bottom"/>
          </w:tcPr>
          <w:p>
            <w:pPr>
              <w:jc w:val="right"/>
              <w:ind w:right="71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160" w:right="80" w:hanging="154"/>
        <w:spacing w:after="0" w:line="275" w:lineRule="auto"/>
        <w:rPr>
          <w:sz w:val="20"/>
          <w:szCs w:val="20"/>
          <w:color w:val="auto"/>
        </w:rPr>
      </w:pPr>
      <w:r>
        <w:rPr>
          <w:rFonts w:ascii="Arial" w:cs="Arial" w:eastAsia="Arial" w:hAnsi="Arial"/>
          <w:sz w:val="12"/>
          <w:szCs w:val="12"/>
          <w:color w:val="auto"/>
        </w:rPr>
        <w:t>(1)Includes depreciation and amortization of purchase accounting assets of $0.4 million and $0.1 million for the three months ended April 30, 2024 and 2023, respectively, and $3.3 million and $1.7 million for the six months ended April 30, 2024 and 2023, respectively. The six months ended April 30, 2024 include $4.1 million of accelerated depreciation expense for certain blueberry plants determined to have no remaining useful life.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(2)Represents net income (loss) attributable to noncontrolling interest plus the impact of non-GAAP adjustments, allocable to the noncontrolling owner based on their percentage of ownership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sectPr>
      </w:pPr>
    </w:p>
    <w:bookmarkStart w:id="18" w:name="page19"/>
    <w:bookmarkEnd w:id="18"/>
    <w:p>
      <w:pPr>
        <w:spacing w:after="0" w:line="19"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34" w:lineRule="exact"/>
        <w:rPr>
          <w:sz w:val="20"/>
          <w:szCs w:val="20"/>
          <w:color w:val="auto"/>
        </w:rPr>
      </w:pPr>
    </w:p>
    <w:p>
      <w:pPr>
        <w:ind w:right="180" w:firstLine="619"/>
        <w:spacing w:after="0" w:line="253" w:lineRule="auto"/>
        <w:rPr>
          <w:sz w:val="20"/>
          <w:szCs w:val="20"/>
          <w:color w:val="auto"/>
        </w:rPr>
      </w:pPr>
      <w:r>
        <w:rPr>
          <w:rFonts w:ascii="Arial" w:cs="Arial" w:eastAsia="Arial" w:hAnsi="Arial"/>
          <w:sz w:val="14"/>
          <w:szCs w:val="14"/>
          <w:color w:val="auto"/>
        </w:rPr>
        <w:t>You should read the following discussion and analysis of our financial condition and results of operations together with our unaudited financial statements and related notes included elsewhere in this quarterly report. This discussion and analysis contains forward-looking statements based upon our current beliefs, plans and expectations that involve risks, uncertainties and assumptions. Our actual results may differ materially from those anticipated in these forward-looking statements as a result of various factors. Please refer to the section of this report under the heading “Forward Looking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right="140" w:firstLine="619"/>
        <w:spacing w:after="0" w:line="283" w:lineRule="auto"/>
        <w:rPr>
          <w:sz w:val="20"/>
          <w:szCs w:val="20"/>
          <w:color w:val="auto"/>
        </w:rPr>
      </w:pPr>
      <w:r>
        <w:rPr>
          <w:rFonts w:ascii="Arial" w:cs="Arial" w:eastAsia="Arial" w:hAnsi="Arial"/>
          <w:sz w:val="13"/>
          <w:szCs w:val="13"/>
          <w:color w:val="auto"/>
        </w:rPr>
        <w:t>We are a world leader in sourcing, producing and distributing Hass avocados, serving retail, wholesale and foodservice customers. We source, produce, pack and distribute avocados and a small amount of other fruits to our customers and provide value-added services including ripening, bagging, custom packaging and logistical management. In addition, we provide our customers with merchandising and promotional support, insights on market trends and training designed to increase their retail avocado sales.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4"/>
          <w:szCs w:val="14"/>
          <w:color w:val="auto"/>
        </w:rPr>
        <w:t>We have three operating segments which are also reportable segments:</w:t>
      </w:r>
    </w:p>
    <w:p>
      <w:pPr>
        <w:spacing w:after="0" w:line="174" w:lineRule="exact"/>
        <w:rPr>
          <w:sz w:val="20"/>
          <w:szCs w:val="20"/>
          <w:color w:val="auto"/>
        </w:rPr>
      </w:pPr>
    </w:p>
    <w:p>
      <w:pPr>
        <w:ind w:left="620" w:hanging="307"/>
        <w:spacing w:after="0"/>
        <w:tabs>
          <w:tab w:leader="none" w:pos="620" w:val="left"/>
        </w:tabs>
        <w:numPr>
          <w:ilvl w:val="0"/>
          <w:numId w:val="14"/>
        </w:numPr>
        <w:rPr>
          <w:rFonts w:ascii="Arial" w:cs="Arial" w:eastAsia="Arial" w:hAnsi="Arial"/>
          <w:sz w:val="13"/>
          <w:szCs w:val="13"/>
          <w:color w:val="auto"/>
        </w:rPr>
      </w:pPr>
      <w:r>
        <w:rPr>
          <w:rFonts w:ascii="Arial" w:cs="Arial" w:eastAsia="Arial" w:hAnsi="Arial"/>
          <w:sz w:val="13"/>
          <w:szCs w:val="13"/>
          <w:i w:val="1"/>
          <w:iCs w:val="1"/>
          <w:color w:val="auto"/>
        </w:rPr>
        <w:t xml:space="preserve">Marketing and Distribution. </w:t>
      </w:r>
      <w:r>
        <w:rPr>
          <w:rFonts w:ascii="Arial" w:cs="Arial" w:eastAsia="Arial" w:hAnsi="Arial"/>
          <w:sz w:val="13"/>
          <w:szCs w:val="13"/>
          <w:color w:val="auto"/>
        </w:rPr>
        <w:t>Our Marketing and Distribution reportable segment sources fruit from growers and then distributes the fruit through our global distribution network.</w:t>
      </w:r>
    </w:p>
    <w:p>
      <w:pPr>
        <w:spacing w:after="0" w:line="185" w:lineRule="exact"/>
        <w:rPr>
          <w:rFonts w:ascii="Arial" w:cs="Arial" w:eastAsia="Arial" w:hAnsi="Arial"/>
          <w:sz w:val="13"/>
          <w:szCs w:val="13"/>
          <w:color w:val="auto"/>
        </w:rPr>
      </w:pPr>
    </w:p>
    <w:p>
      <w:pPr>
        <w:ind w:left="620" w:right="40" w:hanging="307"/>
        <w:spacing w:after="0" w:line="259" w:lineRule="auto"/>
        <w:tabs>
          <w:tab w:leader="none" w:pos="616"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International Farming. </w:t>
      </w:r>
      <w:r>
        <w:rPr>
          <w:rFonts w:ascii="Arial" w:cs="Arial" w:eastAsia="Arial" w:hAnsi="Arial"/>
          <w:sz w:val="14"/>
          <w:szCs w:val="14"/>
          <w:color w:val="auto"/>
        </w:rPr>
        <w:t>International Farming owns and operates orchards from which the vast majority of fruit produced is sold to our Marketing and Distribution segment. The</w:t>
      </w:r>
      <w:r>
        <w:rPr>
          <w:rFonts w:ascii="Arial" w:cs="Arial" w:eastAsia="Arial" w:hAnsi="Arial"/>
          <w:sz w:val="14"/>
          <w:szCs w:val="14"/>
          <w:i w:val="1"/>
          <w:iCs w:val="1"/>
          <w:color w:val="auto"/>
        </w:rPr>
        <w:t xml:space="preserve"> </w:t>
      </w:r>
      <w:r>
        <w:rPr>
          <w:rFonts w:ascii="Arial" w:cs="Arial" w:eastAsia="Arial" w:hAnsi="Arial"/>
          <w:sz w:val="14"/>
          <w:szCs w:val="14"/>
          <w:color w:val="auto"/>
        </w:rPr>
        <w:t>segment’s farming activities range from cultivating early-stage plantings to harvesting from mature trees. It also earns service revenues for packing and processing fruit for both our Blueberries segment, as well as for third-party producers of other crops. Operations are principally located in Peru, with smaller operations emerging in other areas of Latin America.</w:t>
      </w:r>
    </w:p>
    <w:p>
      <w:pPr>
        <w:spacing w:after="0" w:line="143" w:lineRule="exact"/>
        <w:rPr>
          <w:rFonts w:ascii="Arial" w:cs="Arial" w:eastAsia="Arial" w:hAnsi="Arial"/>
          <w:sz w:val="14"/>
          <w:szCs w:val="14"/>
          <w:i w:val="1"/>
          <w:iCs w:val="1"/>
          <w:color w:val="auto"/>
        </w:rPr>
      </w:pPr>
    </w:p>
    <w:p>
      <w:pPr>
        <w:ind w:left="620" w:right="160" w:hanging="307"/>
        <w:spacing w:after="0" w:line="278" w:lineRule="auto"/>
        <w:tabs>
          <w:tab w:leader="none" w:pos="616" w:val="left"/>
        </w:tabs>
        <w:numPr>
          <w:ilvl w:val="0"/>
          <w:numId w:val="14"/>
        </w:numPr>
        <w:rPr>
          <w:rFonts w:ascii="Arial" w:cs="Arial" w:eastAsia="Arial" w:hAnsi="Arial"/>
          <w:sz w:val="14"/>
          <w:szCs w:val="14"/>
          <w:color w:val="auto"/>
        </w:rPr>
      </w:pPr>
      <w:r>
        <w:rPr>
          <w:rFonts w:ascii="Arial" w:cs="Arial" w:eastAsia="Arial" w:hAnsi="Arial"/>
          <w:sz w:val="14"/>
          <w:szCs w:val="14"/>
          <w:i w:val="1"/>
          <w:iCs w:val="1"/>
          <w:color w:val="auto"/>
        </w:rPr>
        <w:t xml:space="preserve">Blueberries. </w:t>
      </w:r>
      <w:r>
        <w:rPr>
          <w:rFonts w:ascii="Arial" w:cs="Arial" w:eastAsia="Arial" w:hAnsi="Arial"/>
          <w:sz w:val="14"/>
          <w:szCs w:val="14"/>
          <w:color w:val="auto"/>
        </w:rPr>
        <w:t>The Blueberries segment represents the results of Moruga. Moruga’s farming activities include cultivating early-stage blueberry plantings and harvesting mature</w:t>
      </w:r>
      <w:r>
        <w:rPr>
          <w:rFonts w:ascii="Arial" w:cs="Arial" w:eastAsia="Arial" w:hAnsi="Arial"/>
          <w:sz w:val="14"/>
          <w:szCs w:val="14"/>
          <w:i w:val="1"/>
          <w:iCs w:val="1"/>
          <w:color w:val="auto"/>
        </w:rPr>
        <w:t xml:space="preserve"> </w:t>
      </w:r>
      <w:r>
        <w:rPr>
          <w:rFonts w:ascii="Arial" w:cs="Arial" w:eastAsia="Arial" w:hAnsi="Arial"/>
          <w:sz w:val="14"/>
          <w:szCs w:val="14"/>
          <w:color w:val="auto"/>
        </w:rPr>
        <w:t>bushes. Substantially all blueberries produced are sold to a single distributor under an exclusive marketing agreement.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8" w:lineRule="exact"/>
        <w:rPr>
          <w:sz w:val="20"/>
          <w:szCs w:val="20"/>
          <w:color w:val="auto"/>
        </w:rPr>
      </w:pPr>
    </w:p>
    <w:p>
      <w:pPr>
        <w:ind w:right="100" w:firstLine="619"/>
        <w:spacing w:after="0" w:line="253" w:lineRule="auto"/>
        <w:rPr>
          <w:sz w:val="20"/>
          <w:szCs w:val="20"/>
          <w:color w:val="auto"/>
        </w:rPr>
      </w:pPr>
      <w:r>
        <w:rPr>
          <w:rFonts w:ascii="Arial" w:cs="Arial" w:eastAsia="Arial" w:hAnsi="Arial"/>
          <w:sz w:val="14"/>
          <w:szCs w:val="14"/>
          <w:color w:val="auto"/>
        </w:rPr>
        <w:t>The operating results of our businesses are significantly impacted by the price and volume of fruit we farm, source and distribute. In addition, our results have been, and will continue to be, affected by quarterly and annual fluctuations due to a number of factors, including but not limited to: pests and disease; weather patterns; changes in demand by consumers; food safety advisories; the timing of the receipt, reduction or cancellation of significant customer orders; the gain or loss of significant customers; the availability, quality and price of raw materials; the utilization of capacity at our various locations; and general economic conditions.</w:t>
      </w:r>
    </w:p>
    <w:p>
      <w:pPr>
        <w:spacing w:after="0" w:line="185" w:lineRule="exact"/>
        <w:rPr>
          <w:sz w:val="20"/>
          <w:szCs w:val="20"/>
          <w:color w:val="auto"/>
        </w:rPr>
      </w:pPr>
    </w:p>
    <w:p>
      <w:pPr>
        <w:ind w:firstLine="619"/>
        <w:spacing w:after="0" w:line="251" w:lineRule="auto"/>
        <w:rPr>
          <w:sz w:val="20"/>
          <w:szCs w:val="20"/>
          <w:color w:val="auto"/>
        </w:rPr>
      </w:pPr>
      <w:r>
        <w:rPr>
          <w:rFonts w:ascii="Arial" w:cs="Arial" w:eastAsia="Arial" w:hAnsi="Arial"/>
          <w:sz w:val="14"/>
          <w:szCs w:val="14"/>
          <w:color w:val="auto"/>
        </w:rPr>
        <w:t>Our financial reporting currency is the U.S. dollar. The functional currency of our most significant subsidiaries is the U.S. dollar and the majority of our sales are denominated in U.S. dollars. A significant portion of our purchases of avocados are denominated in the Mexican Peso and a significant portion of our growing and harvesting costs are denominated in Peruvian Soles. Fluctuations in the exchange rates between the U.S. dollar and these local currencies usually do not have a significant impact on our gross margin because the impact affects our pricing by comparable amounts. Our margin exposure to exchange rate fluctuations is short-term in nature, as our sales price commitments are generally limited to less than one month and orders can primarily be serviced with procured inventory. Over longer periods of time, we believe that the impact exchange rate fluctuations will have on our cost of goods sold will largely be passed on to our customers in the form of higher or lower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3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351"/>
              <w:spacing w:after="0"/>
              <w:rPr>
                <w:sz w:val="20"/>
                <w:szCs w:val="20"/>
                <w:color w:val="auto"/>
              </w:rPr>
            </w:pPr>
            <w:r>
              <w:rPr>
                <w:rFonts w:ascii="Arial" w:cs="Arial" w:eastAsia="Arial" w:hAnsi="Arial"/>
                <w:sz w:val="14"/>
                <w:szCs w:val="14"/>
                <w:b w:val="1"/>
                <w:bCs w:val="1"/>
                <w:color w:val="auto"/>
              </w:rPr>
              <w:t>April 30,</w:t>
            </w:r>
          </w:p>
        </w:tc>
        <w:tc>
          <w:tcPr>
            <w:tcW w:w="6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291"/>
              <w:spacing w:after="0"/>
              <w:rPr>
                <w:sz w:val="20"/>
                <w:szCs w:val="20"/>
                <w:color w:val="auto"/>
              </w:rPr>
            </w:pPr>
            <w:r>
              <w:rPr>
                <w:rFonts w:ascii="Arial" w:cs="Arial" w:eastAsia="Arial" w:hAnsi="Arial"/>
                <w:sz w:val="14"/>
                <w:szCs w:val="14"/>
                <w:b w:val="1"/>
                <w:bCs w:val="1"/>
                <w:color w:val="auto"/>
              </w:rPr>
              <w:t>April 30,</w:t>
            </w:r>
          </w:p>
        </w:tc>
        <w:tc>
          <w:tcPr>
            <w:tcW w:w="7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for percentages)</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Dollars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2"/>
              </w:rPr>
              <w:t>Dollars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Dollars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Dollars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sales</w:t>
            </w:r>
          </w:p>
        </w:tc>
        <w:tc>
          <w:tcPr>
            <w:tcW w:w="34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297.6</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100 %</w:t>
            </w:r>
          </w:p>
        </w:tc>
        <w:tc>
          <w:tcPr>
            <w:tcW w:w="16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right"/>
              <w:ind w:right="43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221.1</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556.3</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100 %</w:t>
            </w:r>
          </w:p>
        </w:tc>
        <w:tc>
          <w:tcPr>
            <w:tcW w:w="160" w:type="dxa"/>
            <w:vAlign w:val="bottom"/>
            <w:tcBorders>
              <w:bottom w:val="single" w:sz="8" w:color="DBDBDB"/>
            </w:tcBorders>
            <w:shd w:val="clear" w:color="auto" w:fill="DBDBDB"/>
          </w:tcPr>
          <w:p>
            <w:pPr>
              <w:spacing w:after="0"/>
              <w:rPr>
                <w:sz w:val="17"/>
                <w:szCs w:val="17"/>
                <w:color w:val="auto"/>
              </w:rPr>
            </w:pPr>
          </w:p>
        </w:tc>
        <w:tc>
          <w:tcPr>
            <w:tcW w:w="560" w:type="dxa"/>
            <w:vAlign w:val="bottom"/>
            <w:tcBorders>
              <w:bottom w:val="single" w:sz="8" w:color="DBDBDB"/>
            </w:tcBorders>
            <w:shd w:val="clear" w:color="auto" w:fill="DBDBDB"/>
          </w:tcPr>
          <w:p>
            <w:pPr>
              <w:jc w:val="right"/>
              <w:ind w:right="39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ind w:right="211"/>
              <w:spacing w:after="0"/>
              <w:rPr>
                <w:sz w:val="20"/>
                <w:szCs w:val="20"/>
                <w:color w:val="auto"/>
              </w:rPr>
            </w:pPr>
            <w:r>
              <w:rPr>
                <w:rFonts w:ascii="Arial" w:cs="Arial" w:eastAsia="Arial" w:hAnsi="Arial"/>
                <w:sz w:val="14"/>
                <w:szCs w:val="14"/>
                <w:color w:val="auto"/>
              </w:rPr>
              <w:t>434.6</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99"/>
        </w:trPr>
        <w:tc>
          <w:tcPr>
            <w:tcW w:w="326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340" w:type="dxa"/>
            <w:vAlign w:val="bottom"/>
          </w:tcPr>
          <w:p>
            <w:pPr>
              <w:spacing w:after="0"/>
              <w:rPr>
                <w:sz w:val="17"/>
                <w:szCs w:val="17"/>
                <w:color w:val="auto"/>
              </w:rPr>
            </w:pP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266.6</w:t>
            </w:r>
          </w:p>
        </w:tc>
        <w:tc>
          <w:tcPr>
            <w:tcW w:w="700" w:type="dxa"/>
            <w:vAlign w:val="bottom"/>
          </w:tcPr>
          <w:p>
            <w:pPr>
              <w:jc w:val="right"/>
              <w:spacing w:after="0"/>
              <w:rPr>
                <w:sz w:val="20"/>
                <w:szCs w:val="20"/>
                <w:color w:val="auto"/>
              </w:rPr>
            </w:pPr>
            <w:r>
              <w:rPr>
                <w:rFonts w:ascii="Arial" w:cs="Arial" w:eastAsia="Arial" w:hAnsi="Arial"/>
                <w:sz w:val="14"/>
                <w:szCs w:val="14"/>
                <w:color w:val="auto"/>
              </w:rPr>
              <w:t>90 %</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jc w:val="right"/>
              <w:ind w:right="191"/>
              <w:spacing w:after="0"/>
              <w:rPr>
                <w:sz w:val="20"/>
                <w:szCs w:val="20"/>
                <w:color w:val="auto"/>
              </w:rPr>
            </w:pPr>
            <w:r>
              <w:rPr>
                <w:rFonts w:ascii="Arial" w:cs="Arial" w:eastAsia="Arial" w:hAnsi="Arial"/>
                <w:sz w:val="14"/>
                <w:szCs w:val="14"/>
                <w:color w:val="auto"/>
              </w:rPr>
              <w:t>203.0</w:t>
            </w:r>
          </w:p>
        </w:tc>
        <w:tc>
          <w:tcPr>
            <w:tcW w:w="600" w:type="dxa"/>
            <w:vAlign w:val="bottom"/>
          </w:tcPr>
          <w:p>
            <w:pPr>
              <w:jc w:val="right"/>
              <w:spacing w:after="0"/>
              <w:rPr>
                <w:sz w:val="20"/>
                <w:szCs w:val="20"/>
                <w:color w:val="auto"/>
              </w:rPr>
            </w:pPr>
            <w:r>
              <w:rPr>
                <w:rFonts w:ascii="Arial" w:cs="Arial" w:eastAsia="Arial" w:hAnsi="Arial"/>
                <w:sz w:val="14"/>
                <w:szCs w:val="14"/>
                <w:color w:val="auto"/>
              </w:rPr>
              <w:t>92 %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496.6</w:t>
            </w:r>
          </w:p>
        </w:tc>
        <w:tc>
          <w:tcPr>
            <w:tcW w:w="660" w:type="dxa"/>
            <w:vAlign w:val="bottom"/>
          </w:tcPr>
          <w:p>
            <w:pPr>
              <w:jc w:val="right"/>
              <w:spacing w:after="0"/>
              <w:rPr>
                <w:sz w:val="20"/>
                <w:szCs w:val="20"/>
                <w:color w:val="auto"/>
              </w:rPr>
            </w:pPr>
            <w:r>
              <w:rPr>
                <w:rFonts w:ascii="Arial" w:cs="Arial" w:eastAsia="Arial" w:hAnsi="Arial"/>
                <w:sz w:val="14"/>
                <w:szCs w:val="14"/>
                <w:color w:val="auto"/>
              </w:rPr>
              <w:t>89 %</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jc w:val="right"/>
              <w:ind w:right="211"/>
              <w:spacing w:after="0"/>
              <w:rPr>
                <w:sz w:val="20"/>
                <w:szCs w:val="20"/>
                <w:color w:val="auto"/>
              </w:rPr>
            </w:pPr>
            <w:r>
              <w:rPr>
                <w:rFonts w:ascii="Arial" w:cs="Arial" w:eastAsia="Arial" w:hAnsi="Arial"/>
                <w:sz w:val="14"/>
                <w:szCs w:val="14"/>
                <w:color w:val="auto"/>
              </w:rPr>
              <w:t>407.5</w:t>
            </w:r>
          </w:p>
        </w:tc>
        <w:tc>
          <w:tcPr>
            <w:tcW w:w="600" w:type="dxa"/>
            <w:vAlign w:val="bottom"/>
          </w:tcPr>
          <w:p>
            <w:pPr>
              <w:jc w:val="right"/>
              <w:spacing w:after="0"/>
              <w:rPr>
                <w:sz w:val="20"/>
                <w:szCs w:val="20"/>
                <w:color w:val="auto"/>
              </w:rPr>
            </w:pPr>
            <w:r>
              <w:rPr>
                <w:rFonts w:ascii="Arial" w:cs="Arial" w:eastAsia="Arial" w:hAnsi="Arial"/>
                <w:sz w:val="14"/>
                <w:szCs w:val="14"/>
                <w:color w:val="auto"/>
              </w:rPr>
              <w:t>94 %</w:t>
            </w:r>
          </w:p>
        </w:tc>
        <w:tc>
          <w:tcPr>
            <w:tcW w:w="0" w:type="dxa"/>
            <w:vAlign w:val="bottom"/>
          </w:tcPr>
          <w:p>
            <w:pPr>
              <w:spacing w:after="0"/>
              <w:rPr>
                <w:sz w:val="1"/>
                <w:szCs w:val="1"/>
                <w:color w:val="auto"/>
              </w:rPr>
            </w:pP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3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Gross profit</w:t>
            </w:r>
          </w:p>
        </w:tc>
        <w:tc>
          <w:tcPr>
            <w:tcW w:w="3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31.0</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10 %</w:t>
            </w:r>
          </w:p>
        </w:tc>
        <w:tc>
          <w:tcPr>
            <w:tcW w:w="160" w:type="dxa"/>
            <w:vAlign w:val="bottom"/>
            <w:tcBorders>
              <w:bottom w:val="single" w:sz="8" w:color="DBDBDB"/>
            </w:tcBorders>
            <w:shd w:val="clear" w:color="auto" w:fill="DBDBDB"/>
          </w:tcPr>
          <w:p>
            <w:pPr>
              <w:spacing w:after="0"/>
              <w:rPr>
                <w:sz w:val="16"/>
                <w:szCs w:val="16"/>
                <w:color w:val="auto"/>
              </w:rPr>
            </w:pPr>
          </w:p>
        </w:tc>
        <w:tc>
          <w:tcPr>
            <w:tcW w:w="600" w:type="dxa"/>
            <w:vAlign w:val="bottom"/>
            <w:tcBorders>
              <w:bottom w:val="single" w:sz="8" w:color="DBDBDB"/>
            </w:tcBorders>
            <w:shd w:val="clear" w:color="auto" w:fill="DBDBDB"/>
          </w:tcPr>
          <w:p>
            <w:pPr>
              <w:spacing w:after="0"/>
              <w:rPr>
                <w:sz w:val="16"/>
                <w:szCs w:val="16"/>
                <w:color w:val="auto"/>
              </w:rPr>
            </w:pPr>
          </w:p>
        </w:tc>
        <w:tc>
          <w:tcPr>
            <w:tcW w:w="68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18.1</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8 %</w:t>
            </w:r>
          </w:p>
        </w:tc>
        <w:tc>
          <w:tcPr>
            <w:tcW w:w="8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59.7</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11 %</w:t>
            </w:r>
          </w:p>
        </w:tc>
        <w:tc>
          <w:tcPr>
            <w:tcW w:w="160" w:type="dxa"/>
            <w:vAlign w:val="bottom"/>
            <w:tcBorders>
              <w:bottom w:val="single" w:sz="8" w:color="DBDBDB"/>
            </w:tcBorders>
            <w:shd w:val="clear" w:color="auto" w:fill="DBDBDB"/>
          </w:tcPr>
          <w:p>
            <w:pPr>
              <w:spacing w:after="0"/>
              <w:rPr>
                <w:sz w:val="16"/>
                <w:szCs w:val="16"/>
                <w:color w:val="auto"/>
              </w:rPr>
            </w:pPr>
          </w:p>
        </w:tc>
        <w:tc>
          <w:tcPr>
            <w:tcW w:w="56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ind w:right="211"/>
              <w:spacing w:after="0"/>
              <w:rPr>
                <w:sz w:val="20"/>
                <w:szCs w:val="20"/>
                <w:color w:val="auto"/>
              </w:rPr>
            </w:pPr>
            <w:r>
              <w:rPr>
                <w:rFonts w:ascii="Arial" w:cs="Arial" w:eastAsia="Arial" w:hAnsi="Arial"/>
                <w:sz w:val="14"/>
                <w:szCs w:val="14"/>
                <w:color w:val="auto"/>
              </w:rPr>
              <w:t>27.1</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99"/>
        </w:trPr>
        <w:tc>
          <w:tcPr>
            <w:tcW w:w="326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340" w:type="dxa"/>
            <w:vAlign w:val="bottom"/>
          </w:tcPr>
          <w:p>
            <w:pPr>
              <w:spacing w:after="0"/>
              <w:rPr>
                <w:sz w:val="17"/>
                <w:szCs w:val="17"/>
                <w:color w:val="auto"/>
              </w:rPr>
            </w:pP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18.7</w:t>
            </w:r>
          </w:p>
        </w:tc>
        <w:tc>
          <w:tcPr>
            <w:tcW w:w="700" w:type="dxa"/>
            <w:vAlign w:val="bottom"/>
          </w:tcPr>
          <w:p>
            <w:pPr>
              <w:jc w:val="right"/>
              <w:spacing w:after="0"/>
              <w:rPr>
                <w:sz w:val="20"/>
                <w:szCs w:val="20"/>
                <w:color w:val="auto"/>
              </w:rPr>
            </w:pPr>
            <w:r>
              <w:rPr>
                <w:rFonts w:ascii="Arial" w:cs="Arial" w:eastAsia="Arial" w:hAnsi="Arial"/>
                <w:sz w:val="14"/>
                <w:szCs w:val="14"/>
                <w:color w:val="auto"/>
              </w:rPr>
              <w:t>6 %</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jc w:val="right"/>
              <w:ind w:right="191"/>
              <w:spacing w:after="0"/>
              <w:rPr>
                <w:sz w:val="20"/>
                <w:szCs w:val="20"/>
                <w:color w:val="auto"/>
              </w:rPr>
            </w:pPr>
            <w:r>
              <w:rPr>
                <w:rFonts w:ascii="Arial" w:cs="Arial" w:eastAsia="Arial" w:hAnsi="Arial"/>
                <w:sz w:val="14"/>
                <w:szCs w:val="14"/>
                <w:color w:val="auto"/>
              </w:rPr>
              <w:t>19.3</w:t>
            </w:r>
          </w:p>
        </w:tc>
        <w:tc>
          <w:tcPr>
            <w:tcW w:w="600" w:type="dxa"/>
            <w:vAlign w:val="bottom"/>
          </w:tcPr>
          <w:p>
            <w:pPr>
              <w:jc w:val="right"/>
              <w:spacing w:after="0"/>
              <w:rPr>
                <w:sz w:val="20"/>
                <w:szCs w:val="20"/>
                <w:color w:val="auto"/>
              </w:rPr>
            </w:pPr>
            <w:r>
              <w:rPr>
                <w:rFonts w:ascii="Arial" w:cs="Arial" w:eastAsia="Arial" w:hAnsi="Arial"/>
                <w:sz w:val="14"/>
                <w:szCs w:val="14"/>
                <w:color w:val="auto"/>
              </w:rPr>
              <w:t>9 %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39.4</w:t>
            </w:r>
          </w:p>
        </w:tc>
        <w:tc>
          <w:tcPr>
            <w:tcW w:w="660" w:type="dxa"/>
            <w:vAlign w:val="bottom"/>
          </w:tcPr>
          <w:p>
            <w:pPr>
              <w:jc w:val="right"/>
              <w:spacing w:after="0"/>
              <w:rPr>
                <w:sz w:val="20"/>
                <w:szCs w:val="20"/>
                <w:color w:val="auto"/>
              </w:rPr>
            </w:pPr>
            <w:r>
              <w:rPr>
                <w:rFonts w:ascii="Arial" w:cs="Arial" w:eastAsia="Arial" w:hAnsi="Arial"/>
                <w:sz w:val="14"/>
                <w:szCs w:val="14"/>
                <w:color w:val="auto"/>
              </w:rPr>
              <w:t>7 %</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jc w:val="right"/>
              <w:ind w:right="211"/>
              <w:spacing w:after="0"/>
              <w:rPr>
                <w:sz w:val="20"/>
                <w:szCs w:val="20"/>
                <w:color w:val="auto"/>
              </w:rPr>
            </w:pPr>
            <w:r>
              <w:rPr>
                <w:rFonts w:ascii="Arial" w:cs="Arial" w:eastAsia="Arial" w:hAnsi="Arial"/>
                <w:sz w:val="14"/>
                <w:szCs w:val="14"/>
                <w:color w:val="auto"/>
              </w:rPr>
              <w:t>38.4</w:t>
            </w:r>
          </w:p>
        </w:tc>
        <w:tc>
          <w:tcPr>
            <w:tcW w:w="600" w:type="dxa"/>
            <w:vAlign w:val="bottom"/>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3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Operating income (loss)</w:t>
            </w:r>
          </w:p>
        </w:tc>
        <w:tc>
          <w:tcPr>
            <w:tcW w:w="3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12.3</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4 %</w:t>
            </w:r>
          </w:p>
        </w:tc>
        <w:tc>
          <w:tcPr>
            <w:tcW w:w="160" w:type="dxa"/>
            <w:vAlign w:val="bottom"/>
            <w:tcBorders>
              <w:bottom w:val="single" w:sz="8" w:color="DBDBDB"/>
            </w:tcBorders>
            <w:shd w:val="clear" w:color="auto" w:fill="DBDBDB"/>
          </w:tcPr>
          <w:p>
            <w:pPr>
              <w:spacing w:after="0"/>
              <w:rPr>
                <w:sz w:val="16"/>
                <w:szCs w:val="16"/>
                <w:color w:val="auto"/>
              </w:rPr>
            </w:pPr>
          </w:p>
        </w:tc>
        <w:tc>
          <w:tcPr>
            <w:tcW w:w="600" w:type="dxa"/>
            <w:vAlign w:val="bottom"/>
            <w:tcBorders>
              <w:bottom w:val="single" w:sz="8" w:color="DBDBDB"/>
            </w:tcBorders>
            <w:shd w:val="clear" w:color="auto" w:fill="DBDBDB"/>
          </w:tcPr>
          <w:p>
            <w:pPr>
              <w:spacing w:after="0"/>
              <w:rPr>
                <w:sz w:val="16"/>
                <w:szCs w:val="16"/>
                <w:color w:val="auto"/>
              </w:rPr>
            </w:pPr>
          </w:p>
        </w:tc>
        <w:tc>
          <w:tcPr>
            <w:tcW w:w="680" w:type="dxa"/>
            <w:vAlign w:val="bottom"/>
            <w:tcBorders>
              <w:bottom w:val="single" w:sz="8" w:color="DBDBDB"/>
            </w:tcBorders>
            <w:shd w:val="clear" w:color="auto" w:fill="DBDBDB"/>
          </w:tcPr>
          <w:p>
            <w:pPr>
              <w:jc w:val="right"/>
              <w:ind w:right="151"/>
              <w:spacing w:after="0"/>
              <w:rPr>
                <w:sz w:val="20"/>
                <w:szCs w:val="20"/>
                <w:color w:val="auto"/>
              </w:rPr>
            </w:pPr>
            <w:r>
              <w:rPr>
                <w:rFonts w:ascii="Arial" w:cs="Arial" w:eastAsia="Arial" w:hAnsi="Arial"/>
                <w:sz w:val="14"/>
                <w:szCs w:val="14"/>
                <w:color w:val="auto"/>
              </w:rPr>
              <w:t>(1.2)</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20.3</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4 %</w:t>
            </w:r>
          </w:p>
        </w:tc>
        <w:tc>
          <w:tcPr>
            <w:tcW w:w="160" w:type="dxa"/>
            <w:vAlign w:val="bottom"/>
            <w:tcBorders>
              <w:bottom w:val="single" w:sz="8" w:color="DBDBDB"/>
            </w:tcBorders>
            <w:shd w:val="clear" w:color="auto" w:fill="DBDBDB"/>
          </w:tcPr>
          <w:p>
            <w:pPr>
              <w:spacing w:after="0"/>
              <w:rPr>
                <w:sz w:val="16"/>
                <w:szCs w:val="16"/>
                <w:color w:val="auto"/>
              </w:rPr>
            </w:pPr>
          </w:p>
        </w:tc>
        <w:tc>
          <w:tcPr>
            <w:tcW w:w="56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(11.3)</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9"/>
        </w:trPr>
        <w:tc>
          <w:tcPr>
            <w:tcW w:w="32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17"/>
                <w:szCs w:val="17"/>
                <w:color w:val="auto"/>
              </w:rPr>
            </w:pPr>
          </w:p>
        </w:tc>
        <w:tc>
          <w:tcPr>
            <w:tcW w:w="820" w:type="dxa"/>
            <w:vAlign w:val="bottom"/>
          </w:tcPr>
          <w:p>
            <w:pPr>
              <w:ind w:left="420"/>
              <w:spacing w:after="0"/>
              <w:rPr>
                <w:sz w:val="20"/>
                <w:szCs w:val="20"/>
                <w:color w:val="auto"/>
              </w:rPr>
            </w:pPr>
            <w:r>
              <w:rPr>
                <w:rFonts w:ascii="Arial" w:cs="Arial" w:eastAsia="Arial" w:hAnsi="Arial"/>
                <w:sz w:val="14"/>
                <w:szCs w:val="14"/>
                <w:color w:val="auto"/>
              </w:rPr>
              <w:t>(3.4)</w:t>
            </w: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jc w:val="right"/>
              <w:ind w:right="151"/>
              <w:spacing w:after="0"/>
              <w:rPr>
                <w:sz w:val="20"/>
                <w:szCs w:val="20"/>
                <w:color w:val="auto"/>
              </w:rPr>
            </w:pPr>
            <w:r>
              <w:rPr>
                <w:rFonts w:ascii="Arial" w:cs="Arial" w:eastAsia="Arial" w:hAnsi="Arial"/>
                <w:sz w:val="14"/>
                <w:szCs w:val="14"/>
                <w:color w:val="auto"/>
              </w:rPr>
              <w:t>(2.7)</w:t>
            </w: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91"/>
              <w:spacing w:after="0"/>
              <w:rPr>
                <w:sz w:val="20"/>
                <w:szCs w:val="20"/>
                <w:color w:val="auto"/>
              </w:rPr>
            </w:pPr>
            <w:r>
              <w:rPr>
                <w:rFonts w:ascii="Arial" w:cs="Arial" w:eastAsia="Arial" w:hAnsi="Arial"/>
                <w:sz w:val="14"/>
                <w:szCs w:val="14"/>
                <w:color w:val="auto"/>
              </w:rPr>
              <w:t>(6.7)</w:t>
            </w: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jc w:val="right"/>
              <w:ind w:right="171"/>
              <w:spacing w:after="0"/>
              <w:rPr>
                <w:sz w:val="20"/>
                <w:szCs w:val="20"/>
                <w:color w:val="auto"/>
              </w:rPr>
            </w:pPr>
            <w:r>
              <w:rPr>
                <w:rFonts w:ascii="Arial" w:cs="Arial" w:eastAsia="Arial" w:hAnsi="Arial"/>
                <w:sz w:val="14"/>
                <w:szCs w:val="14"/>
                <w:color w:val="auto"/>
              </w:rPr>
              <w:t>(5.1)</w:t>
            </w: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Equity method income</w:t>
            </w:r>
          </w:p>
        </w:tc>
        <w:tc>
          <w:tcPr>
            <w:tcW w:w="34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0.5</w:t>
            </w:r>
          </w:p>
        </w:tc>
        <w:tc>
          <w:tcPr>
            <w:tcW w:w="860" w:type="dxa"/>
            <w:vAlign w:val="bottom"/>
            <w:tcBorders>
              <w:bottom w:val="single" w:sz="8" w:color="DBDBDB"/>
            </w:tcBorders>
            <w:gridSpan w:val="2"/>
            <w:shd w:val="clear" w:color="auto" w:fill="DBDBDB"/>
          </w:tcPr>
          <w:p>
            <w:pPr>
              <w:jc w:val="right"/>
              <w:ind w:right="180"/>
              <w:spacing w:after="0"/>
              <w:rPr>
                <w:sz w:val="20"/>
                <w:szCs w:val="20"/>
                <w:color w:val="auto"/>
              </w:rPr>
            </w:pPr>
            <w:r>
              <w:rPr>
                <w:rFonts w:ascii="Arial" w:cs="Arial" w:eastAsia="Arial" w:hAnsi="Arial"/>
                <w:sz w:val="14"/>
                <w:szCs w:val="14"/>
                <w:color w:val="auto"/>
              </w:rPr>
              <w:t>— %</w:t>
            </w:r>
          </w:p>
        </w:tc>
        <w:tc>
          <w:tcPr>
            <w:tcW w:w="60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0.4</w:t>
            </w:r>
          </w:p>
        </w:tc>
        <w:tc>
          <w:tcPr>
            <w:tcW w:w="680" w:type="dxa"/>
            <w:vAlign w:val="bottom"/>
            <w:tcBorders>
              <w:bottom w:val="single" w:sz="8" w:color="DBDBDB"/>
            </w:tcBorders>
            <w:gridSpan w:val="2"/>
            <w:shd w:val="clear" w:color="auto" w:fill="DBDBDB"/>
          </w:tcPr>
          <w:p>
            <w:pPr>
              <w:jc w:val="right"/>
              <w:ind w:right="100"/>
              <w:spacing w:after="0"/>
              <w:rPr>
                <w:sz w:val="20"/>
                <w:szCs w:val="20"/>
                <w:color w:val="auto"/>
              </w:rPr>
            </w:pPr>
            <w:r>
              <w:rPr>
                <w:rFonts w:ascii="Arial" w:cs="Arial" w:eastAsia="Arial" w:hAnsi="Arial"/>
                <w:sz w:val="14"/>
                <w:szCs w:val="14"/>
                <w:color w:val="auto"/>
              </w:rPr>
              <w:t>— %</w:t>
            </w:r>
          </w:p>
        </w:tc>
        <w:tc>
          <w:tcPr>
            <w:tcW w:w="340" w:type="dxa"/>
            <w:vAlign w:val="bottom"/>
            <w:tcBorders>
              <w:bottom w:val="single" w:sz="8" w:color="DBDBDB"/>
            </w:tcBorders>
            <w:shd w:val="clear" w:color="auto" w:fill="DBDBDB"/>
          </w:tcPr>
          <w:p>
            <w:pPr>
              <w:spacing w:after="0"/>
              <w:rPr>
                <w:sz w:val="17"/>
                <w:szCs w:val="17"/>
                <w:color w:val="auto"/>
              </w:rPr>
            </w:pPr>
          </w:p>
        </w:tc>
        <w:tc>
          <w:tcPr>
            <w:tcW w:w="8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0.9</w:t>
            </w:r>
          </w:p>
        </w:tc>
        <w:tc>
          <w:tcPr>
            <w:tcW w:w="820" w:type="dxa"/>
            <w:vAlign w:val="bottom"/>
            <w:tcBorders>
              <w:bottom w:val="single" w:sz="8" w:color="DBDBDB"/>
            </w:tcBorders>
            <w:gridSpan w:val="2"/>
            <w:shd w:val="clear" w:color="auto" w:fill="DBDBDB"/>
          </w:tcPr>
          <w:p>
            <w:pPr>
              <w:jc w:val="right"/>
              <w:ind w:right="180"/>
              <w:spacing w:after="0"/>
              <w:rPr>
                <w:sz w:val="20"/>
                <w:szCs w:val="20"/>
                <w:color w:val="auto"/>
              </w:rPr>
            </w:pPr>
            <w:r>
              <w:rPr>
                <w:rFonts w:ascii="Arial" w:cs="Arial" w:eastAsia="Arial" w:hAnsi="Arial"/>
                <w:sz w:val="14"/>
                <w:szCs w:val="14"/>
                <w:color w:val="auto"/>
              </w:rPr>
              <w:t>— %</w:t>
            </w:r>
          </w:p>
        </w:tc>
        <w:tc>
          <w:tcPr>
            <w:tcW w:w="56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ind w:right="211"/>
              <w:spacing w:after="0"/>
              <w:rPr>
                <w:sz w:val="20"/>
                <w:szCs w:val="20"/>
                <w:color w:val="auto"/>
              </w:rPr>
            </w:pPr>
            <w:r>
              <w:rPr>
                <w:rFonts w:ascii="Arial" w:cs="Arial" w:eastAsia="Arial" w:hAnsi="Arial"/>
                <w:sz w:val="14"/>
                <w:szCs w:val="14"/>
                <w:color w:val="auto"/>
              </w:rPr>
              <w:t>1.4</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326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340" w:type="dxa"/>
            <w:vAlign w:val="bottom"/>
          </w:tcPr>
          <w:p>
            <w:pPr>
              <w:spacing w:after="0"/>
              <w:rPr>
                <w:sz w:val="17"/>
                <w:szCs w:val="17"/>
                <w:color w:val="auto"/>
              </w:rPr>
            </w:pP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1.0</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600" w:type="dxa"/>
            <w:vAlign w:val="bottom"/>
          </w:tcPr>
          <w:p>
            <w:pPr>
              <w:spacing w:after="0"/>
              <w:rPr>
                <w:sz w:val="17"/>
                <w:szCs w:val="17"/>
                <w:color w:val="auto"/>
              </w:rPr>
            </w:pPr>
          </w:p>
        </w:tc>
        <w:tc>
          <w:tcPr>
            <w:tcW w:w="680" w:type="dxa"/>
            <w:vAlign w:val="bottom"/>
          </w:tcPr>
          <w:p>
            <w:pPr>
              <w:jc w:val="right"/>
              <w:ind w:right="191"/>
              <w:spacing w:after="0"/>
              <w:rPr>
                <w:sz w:val="20"/>
                <w:szCs w:val="20"/>
                <w:color w:val="auto"/>
              </w:rPr>
            </w:pPr>
            <w:r>
              <w:rPr>
                <w:rFonts w:ascii="Arial" w:cs="Arial" w:eastAsia="Arial" w:hAnsi="Arial"/>
                <w:sz w:val="14"/>
                <w:szCs w:val="14"/>
                <w:color w:val="auto"/>
              </w:rPr>
              <w:t>0.6</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340" w:type="dxa"/>
            <w:vAlign w:val="bottom"/>
          </w:tcPr>
          <w:p>
            <w:pPr>
              <w:spacing w:after="0"/>
              <w:rPr>
                <w:sz w:val="17"/>
                <w:szCs w:val="17"/>
                <w:color w:val="auto"/>
              </w:rPr>
            </w:pP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560" w:type="dxa"/>
            <w:vAlign w:val="bottom"/>
          </w:tcPr>
          <w:p>
            <w:pPr>
              <w:spacing w:after="0"/>
              <w:rPr>
                <w:sz w:val="17"/>
                <w:szCs w:val="17"/>
                <w:color w:val="auto"/>
              </w:rPr>
            </w:pPr>
          </w:p>
        </w:tc>
        <w:tc>
          <w:tcPr>
            <w:tcW w:w="740" w:type="dxa"/>
            <w:vAlign w:val="bottom"/>
          </w:tcPr>
          <w:p>
            <w:pPr>
              <w:jc w:val="right"/>
              <w:ind w:right="171"/>
              <w:spacing w:after="0"/>
              <w:rPr>
                <w:sz w:val="20"/>
                <w:szCs w:val="20"/>
                <w:color w:val="auto"/>
              </w:rPr>
            </w:pPr>
            <w:r>
              <w:rPr>
                <w:rFonts w:ascii="Arial" w:cs="Arial" w:eastAsia="Arial" w:hAnsi="Arial"/>
                <w:sz w:val="14"/>
                <w:szCs w:val="14"/>
                <w:color w:val="auto"/>
              </w:rPr>
              <w:t>(0.2)</w:t>
            </w:r>
          </w:p>
        </w:tc>
        <w:tc>
          <w:tcPr>
            <w:tcW w:w="6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3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Income (loss) before income taxes</w:t>
            </w:r>
          </w:p>
        </w:tc>
        <w:tc>
          <w:tcPr>
            <w:tcW w:w="3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10.4</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3 %</w:t>
            </w:r>
          </w:p>
        </w:tc>
        <w:tc>
          <w:tcPr>
            <w:tcW w:w="160" w:type="dxa"/>
            <w:vAlign w:val="bottom"/>
            <w:tcBorders>
              <w:bottom w:val="single" w:sz="8" w:color="DBDBDB"/>
            </w:tcBorders>
            <w:shd w:val="clear" w:color="auto" w:fill="DBDBDB"/>
          </w:tcPr>
          <w:p>
            <w:pPr>
              <w:spacing w:after="0"/>
              <w:rPr>
                <w:sz w:val="16"/>
                <w:szCs w:val="16"/>
                <w:color w:val="auto"/>
              </w:rPr>
            </w:pPr>
          </w:p>
        </w:tc>
        <w:tc>
          <w:tcPr>
            <w:tcW w:w="600" w:type="dxa"/>
            <w:vAlign w:val="bottom"/>
            <w:tcBorders>
              <w:bottom w:val="single" w:sz="8" w:color="DBDBDB"/>
            </w:tcBorders>
            <w:shd w:val="clear" w:color="auto" w:fill="DBDBDB"/>
          </w:tcPr>
          <w:p>
            <w:pPr>
              <w:spacing w:after="0"/>
              <w:rPr>
                <w:sz w:val="16"/>
                <w:szCs w:val="16"/>
                <w:color w:val="auto"/>
              </w:rPr>
            </w:pPr>
          </w:p>
        </w:tc>
        <w:tc>
          <w:tcPr>
            <w:tcW w:w="680" w:type="dxa"/>
            <w:vAlign w:val="bottom"/>
            <w:tcBorders>
              <w:bottom w:val="single" w:sz="8" w:color="DBDBDB"/>
            </w:tcBorders>
            <w:shd w:val="clear" w:color="auto" w:fill="DBDBDB"/>
          </w:tcPr>
          <w:p>
            <w:pPr>
              <w:jc w:val="right"/>
              <w:ind w:right="151"/>
              <w:spacing w:after="0"/>
              <w:rPr>
                <w:sz w:val="20"/>
                <w:szCs w:val="20"/>
                <w:color w:val="auto"/>
              </w:rPr>
            </w:pPr>
            <w:r>
              <w:rPr>
                <w:rFonts w:ascii="Arial" w:cs="Arial" w:eastAsia="Arial" w:hAnsi="Arial"/>
                <w:sz w:val="14"/>
                <w:szCs w:val="14"/>
                <w:color w:val="auto"/>
              </w:rPr>
              <w:t>(2.9)</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14.5</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3 %</w:t>
            </w:r>
          </w:p>
        </w:tc>
        <w:tc>
          <w:tcPr>
            <w:tcW w:w="160" w:type="dxa"/>
            <w:vAlign w:val="bottom"/>
            <w:tcBorders>
              <w:bottom w:val="single" w:sz="8" w:color="DBDBDB"/>
            </w:tcBorders>
            <w:shd w:val="clear" w:color="auto" w:fill="DBDBDB"/>
          </w:tcPr>
          <w:p>
            <w:pPr>
              <w:spacing w:after="0"/>
              <w:rPr>
                <w:sz w:val="16"/>
                <w:szCs w:val="16"/>
                <w:color w:val="auto"/>
              </w:rPr>
            </w:pPr>
          </w:p>
        </w:tc>
        <w:tc>
          <w:tcPr>
            <w:tcW w:w="56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(15.2)</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9"/>
        </w:trPr>
        <w:tc>
          <w:tcPr>
            <w:tcW w:w="326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340" w:type="dxa"/>
            <w:vAlign w:val="bottom"/>
          </w:tcPr>
          <w:p>
            <w:pPr>
              <w:spacing w:after="0"/>
              <w:rPr>
                <w:sz w:val="17"/>
                <w:szCs w:val="17"/>
                <w:color w:val="auto"/>
              </w:rPr>
            </w:pP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3.4</w:t>
            </w:r>
          </w:p>
        </w:tc>
        <w:tc>
          <w:tcPr>
            <w:tcW w:w="700" w:type="dxa"/>
            <w:vAlign w:val="bottom"/>
          </w:tcPr>
          <w:p>
            <w:pPr>
              <w:jc w:val="right"/>
              <w:spacing w:after="0"/>
              <w:rPr>
                <w:sz w:val="20"/>
                <w:szCs w:val="20"/>
                <w:color w:val="auto"/>
              </w:rPr>
            </w:pPr>
            <w:r>
              <w:rPr>
                <w:rFonts w:ascii="Arial" w:cs="Arial" w:eastAsia="Arial" w:hAnsi="Arial"/>
                <w:sz w:val="14"/>
                <w:szCs w:val="14"/>
                <w:color w:val="auto"/>
              </w:rPr>
              <w:t>1 %</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jc w:val="right"/>
              <w:ind w:right="191"/>
              <w:spacing w:after="0"/>
              <w:rPr>
                <w:sz w:val="20"/>
                <w:szCs w:val="20"/>
                <w:color w:val="auto"/>
              </w:rPr>
            </w:pPr>
            <w:r>
              <w:rPr>
                <w:rFonts w:ascii="Arial" w:cs="Arial" w:eastAsia="Arial" w:hAnsi="Arial"/>
                <w:sz w:val="14"/>
                <w:szCs w:val="14"/>
                <w:color w:val="auto"/>
              </w:rPr>
              <w:t>1.8</w:t>
            </w:r>
          </w:p>
        </w:tc>
        <w:tc>
          <w:tcPr>
            <w:tcW w:w="600" w:type="dxa"/>
            <w:vAlign w:val="bottom"/>
          </w:tcPr>
          <w:p>
            <w:pPr>
              <w:jc w:val="right"/>
              <w:spacing w:after="0"/>
              <w:rPr>
                <w:sz w:val="20"/>
                <w:szCs w:val="20"/>
                <w:color w:val="auto"/>
              </w:rPr>
            </w:pPr>
            <w:r>
              <w:rPr>
                <w:rFonts w:ascii="Arial" w:cs="Arial" w:eastAsia="Arial" w:hAnsi="Arial"/>
                <w:sz w:val="14"/>
                <w:szCs w:val="14"/>
                <w:color w:val="auto"/>
              </w:rPr>
              <w:t>1 %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5.5</w:t>
            </w:r>
          </w:p>
        </w:tc>
        <w:tc>
          <w:tcPr>
            <w:tcW w:w="660" w:type="dxa"/>
            <w:vAlign w:val="bottom"/>
          </w:tcPr>
          <w:p>
            <w:pPr>
              <w:jc w:val="right"/>
              <w:spacing w:after="0"/>
              <w:rPr>
                <w:sz w:val="20"/>
                <w:szCs w:val="20"/>
                <w:color w:val="auto"/>
              </w:rPr>
            </w:pPr>
            <w:r>
              <w:rPr>
                <w:rFonts w:ascii="Arial" w:cs="Arial" w:eastAsia="Arial" w:hAnsi="Arial"/>
                <w:sz w:val="14"/>
                <w:szCs w:val="14"/>
                <w:color w:val="auto"/>
              </w:rPr>
              <w:t>1 %</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jc w:val="right"/>
              <w:ind w:right="211"/>
              <w:spacing w:after="0"/>
              <w:rPr>
                <w:sz w:val="20"/>
                <w:szCs w:val="20"/>
                <w:color w:val="auto"/>
              </w:rPr>
            </w:pPr>
            <w:r>
              <w:rPr>
                <w:rFonts w:ascii="Arial" w:cs="Arial" w:eastAsia="Arial" w:hAnsi="Arial"/>
                <w:sz w:val="14"/>
                <w:szCs w:val="14"/>
                <w:color w:val="auto"/>
              </w:rPr>
              <w:t>0.1</w:t>
            </w:r>
          </w:p>
        </w:tc>
        <w:tc>
          <w:tcPr>
            <w:tcW w:w="6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3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income (loss)</w:t>
            </w:r>
          </w:p>
        </w:tc>
        <w:tc>
          <w:tcPr>
            <w:tcW w:w="3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7.0</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2 %</w:t>
            </w:r>
          </w:p>
        </w:tc>
        <w:tc>
          <w:tcPr>
            <w:tcW w:w="160" w:type="dxa"/>
            <w:vAlign w:val="bottom"/>
            <w:tcBorders>
              <w:bottom w:val="single" w:sz="8" w:color="DBDBDB"/>
            </w:tcBorders>
            <w:shd w:val="clear" w:color="auto" w:fill="DBDBDB"/>
          </w:tcPr>
          <w:p>
            <w:pPr>
              <w:spacing w:after="0"/>
              <w:rPr>
                <w:sz w:val="18"/>
                <w:szCs w:val="18"/>
                <w:color w:val="auto"/>
              </w:rPr>
            </w:pPr>
          </w:p>
        </w:tc>
        <w:tc>
          <w:tcPr>
            <w:tcW w:w="60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right"/>
              <w:ind w:right="151"/>
              <w:spacing w:after="0"/>
              <w:rPr>
                <w:sz w:val="20"/>
                <w:szCs w:val="20"/>
                <w:color w:val="auto"/>
              </w:rPr>
            </w:pPr>
            <w:r>
              <w:rPr>
                <w:rFonts w:ascii="Arial" w:cs="Arial" w:eastAsia="Arial" w:hAnsi="Arial"/>
                <w:sz w:val="14"/>
                <w:szCs w:val="14"/>
                <w:color w:val="auto"/>
              </w:rPr>
              <w:t>(4.7)</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9.0</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2 %</w:t>
            </w:r>
          </w:p>
        </w:tc>
        <w:tc>
          <w:tcPr>
            <w:tcW w:w="160" w:type="dxa"/>
            <w:vAlign w:val="bottom"/>
            <w:tcBorders>
              <w:bottom w:val="single" w:sz="8" w:color="DBDBDB"/>
            </w:tcBorders>
            <w:shd w:val="clear" w:color="auto" w:fill="DBDBDB"/>
          </w:tcPr>
          <w:p>
            <w:pPr>
              <w:spacing w:after="0"/>
              <w:rPr>
                <w:sz w:val="18"/>
                <w:szCs w:val="18"/>
                <w:color w:val="auto"/>
              </w:rPr>
            </w:pPr>
          </w:p>
        </w:tc>
        <w:tc>
          <w:tcPr>
            <w:tcW w:w="56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(15.3)</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9"/>
        </w:trPr>
        <w:tc>
          <w:tcPr>
            <w:tcW w:w="32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Less:</w:t>
            </w:r>
          </w:p>
        </w:tc>
        <w:tc>
          <w:tcPr>
            <w:tcW w:w="3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260" w:type="dxa"/>
            <w:vAlign w:val="bottom"/>
          </w:tcPr>
          <w:p>
            <w:pPr>
              <w:ind w:left="160"/>
              <w:spacing w:after="0"/>
              <w:rPr>
                <w:sz w:val="20"/>
                <w:szCs w:val="20"/>
                <w:color w:val="auto"/>
              </w:rPr>
            </w:pPr>
            <w:r>
              <w:rPr>
                <w:rFonts w:ascii="Arial" w:cs="Arial" w:eastAsia="Arial" w:hAnsi="Arial"/>
                <w:sz w:val="14"/>
                <w:szCs w:val="14"/>
                <w:color w:val="auto"/>
              </w:rPr>
              <w:t>Net (loss) income attributable to noncontrolling</w:t>
            </w:r>
          </w:p>
        </w:tc>
        <w:tc>
          <w:tcPr>
            <w:tcW w:w="340" w:type="dxa"/>
            <w:vAlign w:val="bottom"/>
          </w:tcPr>
          <w:p>
            <w:pPr>
              <w:spacing w:after="0"/>
              <w:rPr>
                <w:sz w:val="14"/>
                <w:szCs w:val="14"/>
                <w:color w:val="auto"/>
              </w:rPr>
            </w:pPr>
          </w:p>
        </w:tc>
        <w:tc>
          <w:tcPr>
            <w:tcW w:w="820" w:type="dxa"/>
            <w:vAlign w:val="bottom"/>
            <w:vMerge w:val="restart"/>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 %</w:t>
            </w:r>
          </w:p>
        </w:tc>
        <w:tc>
          <w:tcPr>
            <w:tcW w:w="600" w:type="dxa"/>
            <w:vAlign w:val="bottom"/>
          </w:tcPr>
          <w:p>
            <w:pPr>
              <w:spacing w:after="0"/>
              <w:rPr>
                <w:sz w:val="14"/>
                <w:szCs w:val="14"/>
                <w:color w:val="auto"/>
              </w:rPr>
            </w:pPr>
          </w:p>
        </w:tc>
        <w:tc>
          <w:tcPr>
            <w:tcW w:w="680" w:type="dxa"/>
            <w:vAlign w:val="bottom"/>
            <w:vMerge w:val="restart"/>
          </w:tcPr>
          <w:p>
            <w:pPr>
              <w:jc w:val="right"/>
              <w:ind w:right="151"/>
              <w:spacing w:after="0"/>
              <w:rPr>
                <w:sz w:val="20"/>
                <w:szCs w:val="20"/>
                <w:color w:val="auto"/>
              </w:rPr>
            </w:pPr>
            <w:r>
              <w:rPr>
                <w:rFonts w:ascii="Arial" w:cs="Arial" w:eastAsia="Arial" w:hAnsi="Arial"/>
                <w:sz w:val="14"/>
                <w:szCs w:val="14"/>
                <w:color w:val="auto"/>
              </w:rPr>
              <w:t>(0.1)</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 %</w:t>
            </w:r>
          </w:p>
        </w:tc>
        <w:tc>
          <w:tcPr>
            <w:tcW w:w="340" w:type="dxa"/>
            <w:vAlign w:val="bottom"/>
          </w:tcPr>
          <w:p>
            <w:pPr>
              <w:spacing w:after="0"/>
              <w:rPr>
                <w:sz w:val="14"/>
                <w:szCs w:val="14"/>
                <w:color w:val="auto"/>
              </w:rPr>
            </w:pPr>
          </w:p>
        </w:tc>
        <w:tc>
          <w:tcPr>
            <w:tcW w:w="880" w:type="dxa"/>
            <w:vAlign w:val="bottom"/>
            <w:vMerge w:val="restart"/>
          </w:tcPr>
          <w:p>
            <w:pPr>
              <w:jc w:val="right"/>
              <w:ind w:right="131"/>
              <w:spacing w:after="0"/>
              <w:rPr>
                <w:sz w:val="20"/>
                <w:szCs w:val="20"/>
                <w:color w:val="auto"/>
              </w:rPr>
            </w:pPr>
            <w:r>
              <w:rPr>
                <w:rFonts w:ascii="Arial" w:cs="Arial" w:eastAsia="Arial" w:hAnsi="Arial"/>
                <w:sz w:val="14"/>
                <w:szCs w:val="14"/>
                <w:color w:val="auto"/>
              </w:rPr>
              <w:t>2.0</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 %</w:t>
            </w:r>
          </w:p>
        </w:tc>
        <w:tc>
          <w:tcPr>
            <w:tcW w:w="560" w:type="dxa"/>
            <w:vAlign w:val="bottom"/>
          </w:tcPr>
          <w:p>
            <w:pPr>
              <w:spacing w:after="0"/>
              <w:rPr>
                <w:sz w:val="14"/>
                <w:szCs w:val="14"/>
                <w:color w:val="auto"/>
              </w:rPr>
            </w:pPr>
          </w:p>
        </w:tc>
        <w:tc>
          <w:tcPr>
            <w:tcW w:w="740" w:type="dxa"/>
            <w:vAlign w:val="bottom"/>
            <w:vMerge w:val="restart"/>
          </w:tcPr>
          <w:p>
            <w:pPr>
              <w:jc w:val="right"/>
              <w:ind w:right="171"/>
              <w:spacing w:after="0"/>
              <w:rPr>
                <w:sz w:val="20"/>
                <w:szCs w:val="20"/>
                <w:color w:val="auto"/>
              </w:rPr>
            </w:pPr>
            <w:r>
              <w:rPr>
                <w:rFonts w:ascii="Arial" w:cs="Arial" w:eastAsia="Arial" w:hAnsi="Arial"/>
                <w:sz w:val="14"/>
                <w:szCs w:val="14"/>
                <w:color w:val="auto"/>
              </w:rPr>
              <w:t>(1.9)</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4"/>
        </w:trPr>
        <w:tc>
          <w:tcPr>
            <w:tcW w:w="326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interest</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income (loss) attributable to Mission Produce</w:t>
            </w:r>
          </w:p>
        </w:tc>
        <w:tc>
          <w:tcPr>
            <w:tcW w:w="34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7.0</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2 %</w:t>
            </w:r>
          </w:p>
        </w:tc>
        <w:tc>
          <w:tcPr>
            <w:tcW w:w="16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right"/>
              <w:ind w:right="43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BDBDB"/>
            </w:tcBorders>
            <w:shd w:val="clear" w:color="auto" w:fill="DBDBDB"/>
          </w:tcPr>
          <w:p>
            <w:pPr>
              <w:jc w:val="right"/>
              <w:ind w:right="151"/>
              <w:spacing w:after="0"/>
              <w:rPr>
                <w:sz w:val="20"/>
                <w:szCs w:val="20"/>
                <w:color w:val="auto"/>
              </w:rPr>
            </w:pPr>
            <w:r>
              <w:rPr>
                <w:rFonts w:ascii="Arial" w:cs="Arial" w:eastAsia="Arial" w:hAnsi="Arial"/>
                <w:sz w:val="14"/>
                <w:szCs w:val="14"/>
                <w:color w:val="auto"/>
              </w:rPr>
              <w:t>(4.6)</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7.0</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1 %</w:t>
            </w:r>
          </w:p>
        </w:tc>
        <w:tc>
          <w:tcPr>
            <w:tcW w:w="160" w:type="dxa"/>
            <w:vAlign w:val="bottom"/>
            <w:tcBorders>
              <w:bottom w:val="single" w:sz="8" w:color="DBDBDB"/>
            </w:tcBorders>
            <w:shd w:val="clear" w:color="auto" w:fill="DBDBDB"/>
          </w:tcPr>
          <w:p>
            <w:pPr>
              <w:spacing w:after="0"/>
              <w:rPr>
                <w:sz w:val="17"/>
                <w:szCs w:val="17"/>
                <w:color w:val="auto"/>
              </w:rPr>
            </w:pPr>
          </w:p>
        </w:tc>
        <w:tc>
          <w:tcPr>
            <w:tcW w:w="560" w:type="dxa"/>
            <w:vAlign w:val="bottom"/>
            <w:tcBorders>
              <w:bottom w:val="single" w:sz="8" w:color="DBDBDB"/>
            </w:tcBorders>
            <w:shd w:val="clear" w:color="auto" w:fill="DBDBDB"/>
          </w:tcPr>
          <w:p>
            <w:pPr>
              <w:jc w:val="right"/>
              <w:ind w:right="39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(13.4)</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3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sales</w:t>
      </w:r>
    </w:p>
    <w:p>
      <w:pPr>
        <w:spacing w:after="0" w:line="221" w:lineRule="exact"/>
        <w:rPr>
          <w:sz w:val="20"/>
          <w:szCs w:val="20"/>
          <w:color w:val="auto"/>
        </w:rPr>
      </w:pPr>
    </w:p>
    <w:p>
      <w:pPr>
        <w:ind w:right="80" w:firstLine="619"/>
        <w:spacing w:after="0" w:line="264" w:lineRule="auto"/>
        <w:rPr>
          <w:sz w:val="20"/>
          <w:szCs w:val="20"/>
          <w:color w:val="auto"/>
        </w:rPr>
      </w:pPr>
      <w:r>
        <w:rPr>
          <w:rFonts w:ascii="Arial" w:cs="Arial" w:eastAsia="Arial" w:hAnsi="Arial"/>
          <w:sz w:val="14"/>
          <w:szCs w:val="14"/>
          <w:color w:val="auto"/>
        </w:rPr>
        <w:t>Our net sales are generated predominantly from the shipment of fresh avocados to retail, wholesale and foodservice customers worldwide. Our net sales are affected by numerous factors, including the balance between the supply of and demand for our produce and competition from other fresh produce companies. Our net sales are also dependent on our ability to supply a consistent volume and quality of fresh produce to the markets we serve.</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3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60" w:type="dxa"/>
            <w:vAlign w:val="bottom"/>
            <w:gridSpan w:val="2"/>
          </w:tcPr>
          <w:p>
            <w:pPr>
              <w:jc w:val="right"/>
              <w:ind w:right="251"/>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80" w:type="dxa"/>
            <w:vAlign w:val="bottom"/>
            <w:gridSpan w:val="2"/>
          </w:tcPr>
          <w:p>
            <w:pPr>
              <w:jc w:val="right"/>
              <w:ind w:right="291"/>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r>
      <w:tr>
        <w:trPr>
          <w:trHeight w:val="196"/>
        </w:trPr>
        <w:tc>
          <w:tcPr>
            <w:tcW w:w="39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right"/>
              <w:ind w:right="651"/>
              <w:spacing w:after="0"/>
              <w:rPr>
                <w:sz w:val="20"/>
                <w:szCs w:val="20"/>
                <w:color w:val="auto"/>
              </w:rPr>
            </w:pPr>
            <w:r>
              <w:rPr>
                <w:rFonts w:ascii="Arial" w:cs="Arial" w:eastAsia="Arial" w:hAnsi="Arial"/>
                <w:sz w:val="14"/>
                <w:szCs w:val="14"/>
                <w:b w:val="1"/>
                <w:bCs w:val="1"/>
                <w:color w:val="auto"/>
              </w:rPr>
              <w:t>April 30,</w:t>
            </w: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right"/>
              <w:ind w:right="611"/>
              <w:spacing w:after="0"/>
              <w:rPr>
                <w:sz w:val="20"/>
                <w:szCs w:val="20"/>
                <w:color w:val="auto"/>
              </w:rPr>
            </w:pPr>
            <w:r>
              <w:rPr>
                <w:rFonts w:ascii="Arial" w:cs="Arial" w:eastAsia="Arial" w:hAnsi="Arial"/>
                <w:sz w:val="14"/>
                <w:szCs w:val="14"/>
                <w:b w:val="1"/>
                <w:bCs w:val="1"/>
                <w:color w:val="auto"/>
              </w:rPr>
              <w:t>April 30,</w:t>
            </w:r>
          </w:p>
        </w:tc>
        <w:tc>
          <w:tcPr>
            <w:tcW w:w="800" w:type="dxa"/>
            <w:vAlign w:val="bottom"/>
            <w:tcBorders>
              <w:bottom w:val="single" w:sz="8" w:color="auto"/>
            </w:tcBorders>
          </w:tcPr>
          <w:p>
            <w:pPr>
              <w:spacing w:after="0"/>
              <w:rPr>
                <w:sz w:val="17"/>
                <w:szCs w:val="17"/>
                <w:color w:val="auto"/>
              </w:rPr>
            </w:pPr>
          </w:p>
        </w:tc>
      </w:tr>
      <w:tr>
        <w:trPr>
          <w:trHeight w:val="215"/>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2024</w:t>
            </w:r>
          </w:p>
        </w:tc>
        <w:tc>
          <w:tcPr>
            <w:tcW w:w="10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9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2023</w:t>
            </w:r>
          </w:p>
        </w:tc>
      </w:tr>
      <w:tr>
        <w:trPr>
          <w:trHeight w:val="196"/>
        </w:trPr>
        <w:tc>
          <w:tcPr>
            <w:tcW w:w="3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sales by segment:</w:t>
            </w:r>
          </w:p>
        </w:tc>
        <w:tc>
          <w:tcPr>
            <w:tcW w:w="560" w:type="dxa"/>
            <w:vAlign w:val="bottom"/>
            <w:tcBorders>
              <w:bottom w:val="single" w:sz="8" w:color="DBDBDB"/>
            </w:tcBorders>
            <w:shd w:val="clear" w:color="auto" w:fill="DBDBDB"/>
          </w:tcPr>
          <w:p>
            <w:pPr>
              <w:spacing w:after="0"/>
              <w:rPr>
                <w:sz w:val="17"/>
                <w:szCs w:val="17"/>
                <w:color w:val="auto"/>
              </w:rPr>
            </w:pPr>
          </w:p>
        </w:tc>
        <w:tc>
          <w:tcPr>
            <w:tcW w:w="114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spacing w:after="0"/>
              <w:rPr>
                <w:sz w:val="17"/>
                <w:szCs w:val="17"/>
                <w:color w:val="auto"/>
              </w:rPr>
            </w:pPr>
          </w:p>
        </w:tc>
      </w:tr>
      <w:tr>
        <w:trPr>
          <w:trHeight w:val="199"/>
        </w:trPr>
        <w:tc>
          <w:tcPr>
            <w:tcW w:w="3920" w:type="dxa"/>
            <w:vAlign w:val="bottom"/>
          </w:tcPr>
          <w:p>
            <w:pPr>
              <w:ind w:left="220"/>
              <w:spacing w:after="0"/>
              <w:rPr>
                <w:sz w:val="20"/>
                <w:szCs w:val="20"/>
                <w:color w:val="auto"/>
              </w:rPr>
            </w:pPr>
            <w:r>
              <w:rPr>
                <w:rFonts w:ascii="Arial" w:cs="Arial" w:eastAsia="Arial" w:hAnsi="Arial"/>
                <w:sz w:val="14"/>
                <w:szCs w:val="14"/>
                <w:color w:val="auto"/>
              </w:rPr>
              <w:t>Marketing and Distribution</w:t>
            </w:r>
          </w:p>
        </w:tc>
        <w:tc>
          <w:tcPr>
            <w:tcW w:w="560" w:type="dxa"/>
            <w:vAlign w:val="bottom"/>
          </w:tcPr>
          <w:p>
            <w:pPr>
              <w:jc w:val="right"/>
              <w:ind w:right="411"/>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287.1</w:t>
            </w:r>
          </w:p>
        </w:tc>
        <w:tc>
          <w:tcPr>
            <w:tcW w:w="1020" w:type="dxa"/>
            <w:vAlign w:val="bottom"/>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215.3</w:t>
            </w:r>
          </w:p>
        </w:tc>
        <w:tc>
          <w:tcPr>
            <w:tcW w:w="260" w:type="dxa"/>
            <w:vAlign w:val="bottom"/>
          </w:tcPr>
          <w:p>
            <w:pPr>
              <w:spacing w:after="0"/>
              <w:rPr>
                <w:sz w:val="17"/>
                <w:szCs w:val="17"/>
                <w:color w:val="auto"/>
              </w:rPr>
            </w:pPr>
          </w:p>
        </w:tc>
        <w:tc>
          <w:tcPr>
            <w:tcW w:w="600" w:type="dxa"/>
            <w:vAlign w:val="bottom"/>
          </w:tcPr>
          <w:p>
            <w:pPr>
              <w:jc w:val="right"/>
              <w:ind w:right="45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511.7</w:t>
            </w:r>
          </w:p>
        </w:tc>
        <w:tc>
          <w:tcPr>
            <w:tcW w:w="980" w:type="dxa"/>
            <w:vAlign w:val="bottom"/>
          </w:tcPr>
          <w:p>
            <w:pPr>
              <w:jc w:val="right"/>
              <w:ind w:right="71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397.1</w:t>
            </w:r>
          </w:p>
        </w:tc>
      </w:tr>
      <w:tr>
        <w:trPr>
          <w:trHeight w:val="20"/>
        </w:trPr>
        <w:tc>
          <w:tcPr>
            <w:tcW w:w="3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9"/>
        </w:trPr>
        <w:tc>
          <w:tcPr>
            <w:tcW w:w="39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International Farming</w:t>
            </w:r>
          </w:p>
        </w:tc>
        <w:tc>
          <w:tcPr>
            <w:tcW w:w="560" w:type="dxa"/>
            <w:vAlign w:val="bottom"/>
            <w:tcBorders>
              <w:bottom w:val="single" w:sz="8" w:color="DBDBDB"/>
            </w:tcBorders>
            <w:shd w:val="clear" w:color="auto" w:fill="DBDBDB"/>
          </w:tcPr>
          <w:p>
            <w:pPr>
              <w:spacing w:after="0"/>
              <w:rPr>
                <w:sz w:val="17"/>
                <w:szCs w:val="17"/>
                <w:color w:val="auto"/>
              </w:rPr>
            </w:pPr>
          </w:p>
        </w:tc>
        <w:tc>
          <w:tcPr>
            <w:tcW w:w="114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0.5</w:t>
            </w:r>
          </w:p>
        </w:tc>
        <w:tc>
          <w:tcPr>
            <w:tcW w:w="102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4.1</w:t>
            </w:r>
          </w:p>
        </w:tc>
        <w:tc>
          <w:tcPr>
            <w:tcW w:w="26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2.1</w:t>
            </w:r>
          </w:p>
        </w:tc>
        <w:tc>
          <w:tcPr>
            <w:tcW w:w="98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6.0</w:t>
            </w:r>
          </w:p>
        </w:tc>
      </w:tr>
      <w:tr>
        <w:trPr>
          <w:trHeight w:val="199"/>
        </w:trPr>
        <w:tc>
          <w:tcPr>
            <w:tcW w:w="3920" w:type="dxa"/>
            <w:vAlign w:val="bottom"/>
          </w:tcPr>
          <w:p>
            <w:pPr>
              <w:ind w:left="220"/>
              <w:spacing w:after="0"/>
              <w:rPr>
                <w:sz w:val="20"/>
                <w:szCs w:val="20"/>
                <w:color w:val="auto"/>
              </w:rPr>
            </w:pPr>
            <w:r>
              <w:rPr>
                <w:rFonts w:ascii="Arial" w:cs="Arial" w:eastAsia="Arial" w:hAnsi="Arial"/>
                <w:sz w:val="14"/>
                <w:szCs w:val="14"/>
                <w:color w:val="auto"/>
              </w:rPr>
              <w:t>Blueberries</w:t>
            </w:r>
          </w:p>
        </w:tc>
        <w:tc>
          <w:tcPr>
            <w:tcW w:w="560" w:type="dxa"/>
            <w:vAlign w:val="bottom"/>
          </w:tcPr>
          <w:p>
            <w:pPr>
              <w:spacing w:after="0"/>
              <w:rPr>
                <w:sz w:val="17"/>
                <w:szCs w:val="17"/>
                <w:color w:val="auto"/>
              </w:rPr>
            </w:pP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10.0</w:t>
            </w:r>
          </w:p>
        </w:tc>
        <w:tc>
          <w:tcPr>
            <w:tcW w:w="1020" w:type="dxa"/>
            <w:vAlign w:val="bottom"/>
          </w:tcPr>
          <w:p>
            <w:pPr>
              <w:spacing w:after="0"/>
              <w:rPr>
                <w:sz w:val="17"/>
                <w:szCs w:val="17"/>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42.5</w:t>
            </w:r>
          </w:p>
        </w:tc>
        <w:tc>
          <w:tcPr>
            <w:tcW w:w="980" w:type="dxa"/>
            <w:vAlign w:val="bottom"/>
          </w:tcPr>
          <w:p>
            <w:pPr>
              <w:spacing w:after="0"/>
              <w:rPr>
                <w:sz w:val="17"/>
                <w:szCs w:val="17"/>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31.5</w:t>
            </w: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2"/>
        </w:trPr>
        <w:tc>
          <w:tcPr>
            <w:tcW w:w="3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net sales</w:t>
            </w:r>
          </w:p>
        </w:tc>
        <w:tc>
          <w:tcPr>
            <w:tcW w:w="56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297.6</w:t>
            </w:r>
          </w:p>
        </w:tc>
        <w:tc>
          <w:tcPr>
            <w:tcW w:w="1020" w:type="dxa"/>
            <w:vAlign w:val="bottom"/>
            <w:tcBorders>
              <w:bottom w:val="single" w:sz="8" w:color="DBDBDB"/>
            </w:tcBorders>
            <w:shd w:val="clear" w:color="auto" w:fill="DBDBDB"/>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221.1</w:t>
            </w:r>
          </w:p>
        </w:tc>
        <w:tc>
          <w:tcPr>
            <w:tcW w:w="260" w:type="dxa"/>
            <w:vAlign w:val="bottom"/>
            <w:tcBorders>
              <w:bottom w:val="single" w:sz="8" w:color="DBDBDB"/>
            </w:tcBorders>
            <w:shd w:val="clear" w:color="auto" w:fill="DBDBDB"/>
          </w:tcPr>
          <w:p>
            <w:pPr>
              <w:spacing w:after="0"/>
              <w:rPr>
                <w:sz w:val="16"/>
                <w:szCs w:val="16"/>
                <w:color w:val="auto"/>
              </w:rPr>
            </w:pPr>
          </w:p>
        </w:tc>
        <w:tc>
          <w:tcPr>
            <w:tcW w:w="600" w:type="dxa"/>
            <w:vAlign w:val="bottom"/>
            <w:tcBorders>
              <w:bottom w:val="single" w:sz="8" w:color="DBDBDB"/>
            </w:tcBorders>
            <w:shd w:val="clear" w:color="auto" w:fill="DBDBDB"/>
          </w:tcPr>
          <w:p>
            <w:pPr>
              <w:jc w:val="right"/>
              <w:ind w:right="45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556.3</w:t>
            </w:r>
          </w:p>
        </w:tc>
        <w:tc>
          <w:tcPr>
            <w:tcW w:w="980" w:type="dxa"/>
            <w:vAlign w:val="bottom"/>
            <w:tcBorders>
              <w:bottom w:val="single" w:sz="8" w:color="DBDBDB"/>
            </w:tcBorders>
            <w:shd w:val="clear" w:color="auto" w:fill="DBDBDB"/>
          </w:tcPr>
          <w:p>
            <w:pPr>
              <w:jc w:val="right"/>
              <w:ind w:right="71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434.6</w:t>
            </w:r>
          </w:p>
        </w:tc>
      </w:tr>
      <w:tr>
        <w:trPr>
          <w:trHeight w:val="20"/>
        </w:trPr>
        <w:tc>
          <w:tcPr>
            <w:tcW w:w="3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89" w:lineRule="exact"/>
        <w:rPr>
          <w:sz w:val="20"/>
          <w:szCs w:val="20"/>
          <w:color w:val="auto"/>
        </w:rPr>
      </w:pPr>
    </w:p>
    <w:p>
      <w:pPr>
        <w:ind w:right="20" w:firstLine="619"/>
        <w:spacing w:after="0" w:line="264" w:lineRule="auto"/>
        <w:rPr>
          <w:sz w:val="20"/>
          <w:szCs w:val="20"/>
          <w:color w:val="auto"/>
        </w:rPr>
      </w:pPr>
      <w:r>
        <w:rPr>
          <w:rFonts w:ascii="Arial" w:cs="Arial" w:eastAsia="Arial" w:hAnsi="Arial"/>
          <w:sz w:val="14"/>
          <w:szCs w:val="14"/>
          <w:color w:val="auto"/>
        </w:rPr>
        <w:t>Net sales increased $76.5 million or 35% in the three months ended April 30, 2024 compared to the same period last year, primarily driven by our Marketing and Distribution segment, where average per-unit avocado sales prices increased 22% and avocado volume sold increased 8%. Blueberry revenue also increased $8.3 million or 488% compared to the same period last year, driven by the timing of the harvest season compared to the same period last year.</w:t>
      </w:r>
    </w:p>
    <w:p>
      <w:pPr>
        <w:spacing w:after="0" w:line="165" w:lineRule="exact"/>
        <w:rPr>
          <w:sz w:val="20"/>
          <w:szCs w:val="20"/>
          <w:color w:val="auto"/>
        </w:rPr>
      </w:pPr>
    </w:p>
    <w:p>
      <w:pPr>
        <w:ind w:right="260" w:firstLine="619"/>
        <w:spacing w:after="0" w:line="264" w:lineRule="auto"/>
        <w:rPr>
          <w:sz w:val="20"/>
          <w:szCs w:val="20"/>
          <w:color w:val="auto"/>
        </w:rPr>
      </w:pPr>
      <w:r>
        <w:rPr>
          <w:rFonts w:ascii="Arial" w:cs="Arial" w:eastAsia="Arial" w:hAnsi="Arial"/>
          <w:sz w:val="14"/>
          <w:szCs w:val="14"/>
          <w:color w:val="auto"/>
        </w:rPr>
        <w:t>Net sales increased $121.7 million or 28% in the six months ended April 30, 2024 compared to the same period last year, driven by a 23% increase in average per-unit avocado sales prices and a 4% increase in avocado volume sold. Blueberry revenue increased $11.0 million or 35%, primarily due to a 63% increase in average per-unit sales price, partially offset by a 17% decrease in volume sold. Pricing in the first quarter of 2024 was favorably impacted by industry supply constraints during the Peru harvest season.</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Gross profit</w:t>
      </w:r>
    </w:p>
    <w:p>
      <w:pPr>
        <w:spacing w:after="0" w:line="221" w:lineRule="exact"/>
        <w:rPr>
          <w:sz w:val="20"/>
          <w:szCs w:val="20"/>
          <w:color w:val="auto"/>
        </w:rPr>
      </w:pPr>
    </w:p>
    <w:p>
      <w:pPr>
        <w:jc w:val="both"/>
        <w:ind w:right="340" w:firstLine="619"/>
        <w:spacing w:after="0" w:line="264" w:lineRule="auto"/>
        <w:rPr>
          <w:sz w:val="20"/>
          <w:szCs w:val="20"/>
          <w:color w:val="auto"/>
        </w:rPr>
      </w:pPr>
      <w:r>
        <w:rPr>
          <w:rFonts w:ascii="Arial" w:cs="Arial" w:eastAsia="Arial" w:hAnsi="Arial"/>
          <w:sz w:val="14"/>
          <w:szCs w:val="14"/>
          <w:color w:val="auto"/>
        </w:rPr>
        <w:t>Cost of sales is composed primarily of avocado procurement costs from independent growers and packers, logistics costs, packaging costs, labor, costs associated with cultivation (the cost of growing crops), harvesting and depreciation. Avocado procurement costs from third-party suppliers can vary significantly between and within fiscal years and correlate closely with market prices for avocados. While we have long-standing relationships with our growers and packers, we predominantly purchase fruit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daily basis at market rates. As such, the cost to procure products from independent growers can have a significant impact on our costs.</w:t>
      </w:r>
    </w:p>
    <w:p>
      <w:pPr>
        <w:spacing w:after="0" w:line="213" w:lineRule="exact"/>
        <w:rPr>
          <w:sz w:val="20"/>
          <w:szCs w:val="20"/>
          <w:color w:val="auto"/>
        </w:rPr>
      </w:pPr>
    </w:p>
    <w:p>
      <w:pPr>
        <w:ind w:right="220" w:firstLine="619"/>
        <w:spacing w:after="0" w:line="253" w:lineRule="auto"/>
        <w:rPr>
          <w:sz w:val="20"/>
          <w:szCs w:val="20"/>
          <w:color w:val="auto"/>
        </w:rPr>
      </w:pPr>
      <w:r>
        <w:rPr>
          <w:rFonts w:ascii="Arial" w:cs="Arial" w:eastAsia="Arial" w:hAnsi="Arial"/>
          <w:sz w:val="14"/>
          <w:szCs w:val="14"/>
          <w:color w:val="auto"/>
        </w:rPr>
        <w:t>Logistics costs include land and sea transportation and expenses related to port facilities and distribution centers. Land transportation costs consist primarily of third-party trucking services to support North American distribution, while sea transportation cost consists primarily of third-party shipping of refrigerated containers from supply markets in South and Central America to demand markets in North America, Europe and Asia. Fuel prices as well as variations in containerboard prices, which affect the cost of boxes and other packaging materials, impact our product cost and our profit margins. Variations in production yields and other input costs also affect our cost of sales.</w:t>
      </w:r>
    </w:p>
    <w:p>
      <w:pPr>
        <w:spacing w:after="0" w:line="185" w:lineRule="exact"/>
        <w:rPr>
          <w:sz w:val="20"/>
          <w:szCs w:val="20"/>
          <w:color w:val="auto"/>
        </w:rPr>
      </w:pPr>
    </w:p>
    <w:p>
      <w:pPr>
        <w:ind w:right="20" w:firstLine="619"/>
        <w:spacing w:after="0" w:line="253" w:lineRule="auto"/>
        <w:rPr>
          <w:sz w:val="20"/>
          <w:szCs w:val="20"/>
          <w:color w:val="auto"/>
        </w:rPr>
      </w:pPr>
      <w:r>
        <w:rPr>
          <w:rFonts w:ascii="Arial" w:cs="Arial" w:eastAsia="Arial" w:hAnsi="Arial"/>
          <w:sz w:val="14"/>
          <w:szCs w:val="14"/>
          <w:color w:val="auto"/>
        </w:rPr>
        <w:t>In general, changes in our volume of products sold can have a disproportionate effect on our gross profit. Within any particular year, a significant portion of our cost of products are fixed. Accordingly, higher volumes produced on company-owned farms directly reduce the average cost per pound of fruit grown on company owned orchards, while lower volumes directly increase the average cost per pound of fruit grown on company owned orchards. Likewise, higher volumes processed through packing and distribution facilities directly reduce the average overhead cost per unit of fruit handled, while lower volumes directly increase the average overhead cost per unit of fruit handled.</w:t>
      </w:r>
    </w:p>
    <w:p>
      <w:pPr>
        <w:spacing w:after="0" w:line="185" w:lineRule="exact"/>
        <w:rPr>
          <w:sz w:val="20"/>
          <w:szCs w:val="20"/>
          <w:color w:val="auto"/>
        </w:rPr>
      </w:pPr>
    </w:p>
    <w:p>
      <w:pPr>
        <w:ind w:right="140" w:firstLine="619"/>
        <w:spacing w:after="0" w:line="278" w:lineRule="auto"/>
        <w:rPr>
          <w:sz w:val="20"/>
          <w:szCs w:val="20"/>
          <w:color w:val="auto"/>
        </w:rPr>
      </w:pPr>
      <w:r>
        <w:rPr>
          <w:rFonts w:ascii="Arial" w:cs="Arial" w:eastAsia="Arial" w:hAnsi="Arial"/>
          <w:sz w:val="14"/>
          <w:szCs w:val="14"/>
          <w:color w:val="auto"/>
        </w:rPr>
        <w:t>Gross profit percentage will fluctuate based upon per-unit sales price levels in relation to per-unit costs. Margin is primarily managed on a per-unit basis in our Marketing and Distribution segment, which can lead to movement in gross profit percentage when sales prices fluctuate.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0" w:type="dxa"/>
            <w:vAlign w:val="bottom"/>
            <w:gridSpan w:val="2"/>
          </w:tcPr>
          <w:p>
            <w:pPr>
              <w:jc w:val="center"/>
              <w:ind w:left="111"/>
              <w:spacing w:after="0"/>
              <w:rPr>
                <w:sz w:val="20"/>
                <w:szCs w:val="20"/>
                <w:color w:val="auto"/>
              </w:rPr>
            </w:pPr>
            <w:r>
              <w:rPr>
                <w:rFonts w:ascii="Arial" w:cs="Arial" w:eastAsia="Arial" w:hAnsi="Arial"/>
                <w:sz w:val="14"/>
                <w:szCs w:val="14"/>
                <w:b w:val="1"/>
                <w:bCs w:val="1"/>
                <w:color w:val="auto"/>
                <w:w w:val="96"/>
              </w:rPr>
              <w:t>Three Months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20" w:type="dxa"/>
            <w:vAlign w:val="bottom"/>
            <w:gridSpan w:val="2"/>
          </w:tcPr>
          <w:p>
            <w:pPr>
              <w:jc w:val="center"/>
              <w:ind w:left="111"/>
              <w:spacing w:after="0"/>
              <w:rPr>
                <w:sz w:val="20"/>
                <w:szCs w:val="20"/>
                <w:color w:val="auto"/>
              </w:rPr>
            </w:pPr>
            <w:r>
              <w:rPr>
                <w:rFonts w:ascii="Arial" w:cs="Arial" w:eastAsia="Arial" w:hAnsi="Arial"/>
                <w:sz w:val="14"/>
                <w:szCs w:val="14"/>
                <w:b w:val="1"/>
                <w:bCs w:val="1"/>
                <w:color w:val="auto"/>
                <w:w w:val="97"/>
              </w:rPr>
              <w:t>Six Months Ended</w:t>
            </w:r>
          </w:p>
        </w:tc>
        <w:tc>
          <w:tcPr>
            <w:tcW w:w="800" w:type="dxa"/>
            <w:vAlign w:val="bottom"/>
          </w:tcPr>
          <w:p>
            <w:pPr>
              <w:spacing w:after="0"/>
              <w:rPr>
                <w:sz w:val="14"/>
                <w:szCs w:val="14"/>
                <w:color w:val="auto"/>
              </w:rPr>
            </w:pPr>
          </w:p>
        </w:tc>
      </w:tr>
      <w:tr>
        <w:trPr>
          <w:trHeight w:val="196"/>
        </w:trPr>
        <w:tc>
          <w:tcPr>
            <w:tcW w:w="38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2"/>
          </w:tcPr>
          <w:p>
            <w:pPr>
              <w:jc w:val="center"/>
              <w:ind w:left="111"/>
              <w:spacing w:after="0"/>
              <w:rPr>
                <w:sz w:val="20"/>
                <w:szCs w:val="20"/>
                <w:color w:val="auto"/>
              </w:rPr>
            </w:pPr>
            <w:r>
              <w:rPr>
                <w:rFonts w:ascii="Arial" w:cs="Arial" w:eastAsia="Arial" w:hAnsi="Arial"/>
                <w:sz w:val="14"/>
                <w:szCs w:val="14"/>
                <w:b w:val="1"/>
                <w:bCs w:val="1"/>
                <w:color w:val="auto"/>
                <w:w w:val="97"/>
              </w:rPr>
              <w:t>April 30,</w:t>
            </w: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2"/>
          </w:tcPr>
          <w:p>
            <w:pPr>
              <w:jc w:val="center"/>
              <w:ind w:left="111"/>
              <w:spacing w:after="0"/>
              <w:rPr>
                <w:sz w:val="20"/>
                <w:szCs w:val="20"/>
                <w:color w:val="auto"/>
              </w:rPr>
            </w:pPr>
            <w:r>
              <w:rPr>
                <w:rFonts w:ascii="Arial" w:cs="Arial" w:eastAsia="Arial" w:hAnsi="Arial"/>
                <w:sz w:val="14"/>
                <w:szCs w:val="14"/>
                <w:b w:val="1"/>
                <w:bCs w:val="1"/>
                <w:color w:val="auto"/>
                <w:w w:val="97"/>
              </w:rPr>
              <w:t>April 30,</w:t>
            </w:r>
          </w:p>
        </w:tc>
        <w:tc>
          <w:tcPr>
            <w:tcW w:w="800" w:type="dxa"/>
            <w:vAlign w:val="bottom"/>
            <w:tcBorders>
              <w:bottom w:val="single" w:sz="8" w:color="auto"/>
            </w:tcBorders>
          </w:tcPr>
          <w:p>
            <w:pPr>
              <w:spacing w:after="0"/>
              <w:rPr>
                <w:sz w:val="17"/>
                <w:szCs w:val="17"/>
                <w:color w:val="auto"/>
              </w:rPr>
            </w:pPr>
          </w:p>
        </w:tc>
      </w:tr>
      <w:tr>
        <w:trPr>
          <w:trHeight w:val="212"/>
        </w:trPr>
        <w:tc>
          <w:tcPr>
            <w:tcW w:w="3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10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2024</w:t>
            </w:r>
          </w:p>
        </w:tc>
        <w:tc>
          <w:tcPr>
            <w:tcW w:w="9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9"/>
        </w:trPr>
        <w:tc>
          <w:tcPr>
            <w:tcW w:w="3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Gross profit (in millions)</w:t>
            </w:r>
          </w:p>
        </w:tc>
        <w:tc>
          <w:tcPr>
            <w:tcW w:w="580" w:type="dxa"/>
            <w:vAlign w:val="bottom"/>
            <w:tcBorders>
              <w:bottom w:val="single" w:sz="8" w:color="DBDBDB"/>
            </w:tcBorders>
            <w:shd w:val="clear" w:color="auto" w:fill="DBDBDB"/>
          </w:tcPr>
          <w:p>
            <w:pPr>
              <w:jc w:val="right"/>
              <w:ind w:right="43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DBDBDB"/>
            </w:tcBorders>
            <w:shd w:val="clear" w:color="auto" w:fill="DBDBDB"/>
          </w:tcPr>
          <w:p>
            <w:pPr>
              <w:ind w:left="660"/>
              <w:spacing w:after="0"/>
              <w:rPr>
                <w:sz w:val="20"/>
                <w:szCs w:val="20"/>
                <w:color w:val="auto"/>
              </w:rPr>
            </w:pPr>
            <w:r>
              <w:rPr>
                <w:rFonts w:ascii="Arial" w:cs="Arial" w:eastAsia="Arial" w:hAnsi="Arial"/>
                <w:sz w:val="14"/>
                <w:szCs w:val="14"/>
                <w:color w:val="auto"/>
              </w:rPr>
              <w:t>31.0</w:t>
            </w:r>
          </w:p>
        </w:tc>
        <w:tc>
          <w:tcPr>
            <w:tcW w:w="1020" w:type="dxa"/>
            <w:vAlign w:val="bottom"/>
            <w:tcBorders>
              <w:bottom w:val="single" w:sz="8" w:color="DBDBDB"/>
            </w:tcBorders>
            <w:shd w:val="clear" w:color="auto" w:fill="DBDBDB"/>
          </w:tcPr>
          <w:p>
            <w:pPr>
              <w:jc w:val="right"/>
              <w:ind w:right="79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18.1</w:t>
            </w:r>
          </w:p>
        </w:tc>
        <w:tc>
          <w:tcPr>
            <w:tcW w:w="26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shd w:val="clear" w:color="auto" w:fill="DBDBDB"/>
          </w:tcPr>
          <w:p>
            <w:pPr>
              <w:jc w:val="right"/>
              <w:ind w:right="47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BDBDB"/>
            </w:tcBorders>
            <w:shd w:val="clear" w:color="auto" w:fill="DBDBDB"/>
          </w:tcPr>
          <w:p>
            <w:pPr>
              <w:ind w:left="620"/>
              <w:spacing w:after="0"/>
              <w:rPr>
                <w:sz w:val="20"/>
                <w:szCs w:val="20"/>
                <w:color w:val="auto"/>
              </w:rPr>
            </w:pPr>
            <w:r>
              <w:rPr>
                <w:rFonts w:ascii="Arial" w:cs="Arial" w:eastAsia="Arial" w:hAnsi="Arial"/>
                <w:sz w:val="14"/>
                <w:szCs w:val="14"/>
                <w:color w:val="auto"/>
              </w:rPr>
              <w:t>59.7</w:t>
            </w:r>
          </w:p>
        </w:tc>
        <w:tc>
          <w:tcPr>
            <w:tcW w:w="980" w:type="dxa"/>
            <w:vAlign w:val="bottom"/>
            <w:tcBorders>
              <w:bottom w:val="single" w:sz="8" w:color="DBDBDB"/>
            </w:tcBorders>
            <w:shd w:val="clear" w:color="auto" w:fill="DBDBDB"/>
          </w:tcPr>
          <w:p>
            <w:pPr>
              <w:jc w:val="right"/>
              <w:ind w:right="75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27.1</w:t>
            </w:r>
          </w:p>
        </w:tc>
      </w:tr>
      <w:tr>
        <w:trPr>
          <w:trHeight w:val="199"/>
        </w:trPr>
        <w:tc>
          <w:tcPr>
            <w:tcW w:w="3880" w:type="dxa"/>
            <w:vAlign w:val="bottom"/>
          </w:tcPr>
          <w:p>
            <w:pPr>
              <w:ind w:left="20"/>
              <w:spacing w:after="0"/>
              <w:rPr>
                <w:sz w:val="20"/>
                <w:szCs w:val="20"/>
                <w:color w:val="auto"/>
              </w:rPr>
            </w:pPr>
            <w:r>
              <w:rPr>
                <w:rFonts w:ascii="Arial" w:cs="Arial" w:eastAsia="Arial" w:hAnsi="Arial"/>
                <w:sz w:val="14"/>
                <w:szCs w:val="14"/>
                <w:color w:val="auto"/>
              </w:rPr>
              <w:t>Gross profit as a percentage of sales</w:t>
            </w:r>
          </w:p>
        </w:tc>
        <w:tc>
          <w:tcPr>
            <w:tcW w:w="580" w:type="dxa"/>
            <w:vAlign w:val="bottom"/>
          </w:tcPr>
          <w:p>
            <w:pPr>
              <w:spacing w:after="0"/>
              <w:rPr>
                <w:sz w:val="17"/>
                <w:szCs w:val="17"/>
                <w:color w:val="auto"/>
              </w:rPr>
            </w:pPr>
          </w:p>
        </w:tc>
        <w:tc>
          <w:tcPr>
            <w:tcW w:w="1180" w:type="dxa"/>
            <w:vAlign w:val="bottom"/>
          </w:tcPr>
          <w:p>
            <w:pPr>
              <w:ind w:left="660"/>
              <w:spacing w:after="0"/>
              <w:rPr>
                <w:sz w:val="20"/>
                <w:szCs w:val="20"/>
                <w:color w:val="auto"/>
              </w:rPr>
            </w:pPr>
            <w:r>
              <w:rPr>
                <w:rFonts w:ascii="Arial" w:cs="Arial" w:eastAsia="Arial" w:hAnsi="Arial"/>
                <w:sz w:val="14"/>
                <w:szCs w:val="14"/>
                <w:color w:val="auto"/>
              </w:rPr>
              <w:t>10.4 %</w:t>
            </w:r>
          </w:p>
        </w:tc>
        <w:tc>
          <w:tcPr>
            <w:tcW w:w="10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8.2 %</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ind w:left="620"/>
              <w:spacing w:after="0"/>
              <w:rPr>
                <w:sz w:val="20"/>
                <w:szCs w:val="20"/>
                <w:color w:val="auto"/>
              </w:rPr>
            </w:pPr>
            <w:r>
              <w:rPr>
                <w:rFonts w:ascii="Arial" w:cs="Arial" w:eastAsia="Arial" w:hAnsi="Arial"/>
                <w:sz w:val="14"/>
                <w:szCs w:val="14"/>
                <w:color w:val="auto"/>
              </w:rPr>
              <w:t>10.7 %</w:t>
            </w:r>
          </w:p>
        </w:tc>
        <w:tc>
          <w:tcPr>
            <w:tcW w:w="9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6.2 %</w:t>
            </w: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right="120" w:firstLine="619"/>
        <w:spacing w:after="0" w:line="264" w:lineRule="auto"/>
        <w:rPr>
          <w:sz w:val="20"/>
          <w:szCs w:val="20"/>
          <w:color w:val="auto"/>
        </w:rPr>
      </w:pPr>
      <w:r>
        <w:rPr>
          <w:rFonts w:ascii="Arial" w:cs="Arial" w:eastAsia="Arial" w:hAnsi="Arial"/>
          <w:sz w:val="14"/>
          <w:szCs w:val="14"/>
          <w:color w:val="auto"/>
        </w:rPr>
        <w:t>Gross profit increased $12.9 million or 71% in the three months ended April 30, 2024 compared to the same period last year to $31.0 million and gross profit percentage increased 220 basis points to 10.4% of revenue, compared to the same period last year. The increases were attributed to our Marketing and Distribution segment, driven by strong per-unit margins on avocados sold and higher volume.</w:t>
      </w:r>
    </w:p>
    <w:p>
      <w:pPr>
        <w:spacing w:after="0" w:line="178" w:lineRule="exact"/>
        <w:rPr>
          <w:sz w:val="20"/>
          <w:szCs w:val="20"/>
          <w:color w:val="auto"/>
        </w:rPr>
      </w:pPr>
    </w:p>
    <w:p>
      <w:pPr>
        <w:ind w:right="200" w:firstLine="619"/>
        <w:spacing w:after="0" w:line="254" w:lineRule="auto"/>
        <w:rPr>
          <w:sz w:val="20"/>
          <w:szCs w:val="20"/>
          <w:color w:val="auto"/>
        </w:rPr>
      </w:pPr>
      <w:r>
        <w:rPr>
          <w:rFonts w:ascii="Arial" w:cs="Arial" w:eastAsia="Arial" w:hAnsi="Arial"/>
          <w:sz w:val="14"/>
          <w:szCs w:val="14"/>
          <w:color w:val="auto"/>
        </w:rPr>
        <w:t>Gross profit increased $32.6 million or 120% in the six months ended April 30, 2024 compared to the same period last year to $59.7 million and gross profit percentage increased 450 basis points to 10.7% of revenue, compared to the same period last year. The increases were attributed to our Marketing and Distribution segment, where we achieved strong per-unit margins on avocados sold and higher volume, and our Blueberries segment, where we benefited significantly from higher per-unit sales pricing.</w:t>
      </w:r>
    </w:p>
    <w:p>
      <w:pPr>
        <w:spacing w:after="0" w:line="185" w:lineRule="exact"/>
        <w:rPr>
          <w:sz w:val="20"/>
          <w:szCs w:val="20"/>
          <w:color w:val="auto"/>
        </w:rPr>
      </w:pPr>
    </w:p>
    <w:p>
      <w:pPr>
        <w:ind w:right="140" w:firstLine="619"/>
        <w:spacing w:after="0" w:line="259" w:lineRule="auto"/>
        <w:rPr>
          <w:sz w:val="20"/>
          <w:szCs w:val="20"/>
          <w:color w:val="auto"/>
        </w:rPr>
      </w:pPr>
      <w:r>
        <w:rPr>
          <w:rFonts w:ascii="Arial" w:cs="Arial" w:eastAsia="Arial" w:hAnsi="Arial"/>
          <w:sz w:val="14"/>
          <w:szCs w:val="14"/>
          <w:color w:val="auto"/>
        </w:rPr>
        <w:t>Warmer temperatures correlated with El Niño have persisted through the development of our 2024 Peruvian avocado crop. We expect these warmer temperatures to negatively affect our harvest yields for the second half of fiscal year 2024, reducing exportable volume from our owned farms to be more than 50% lower than recent seasons. The decrease in volume will negatively impact absorption of fixed costs at our Peruvian farms. Though we expect these lower volumes to generally support higher pricing, we do not expect higher pricing levels to offset the negative impact of volume decreases on gross profit for the International Farming segment for the fiscal year.</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SG&amp;A</w:t>
      </w:r>
    </w:p>
    <w:p>
      <w:pPr>
        <w:spacing w:after="0" w:line="234" w:lineRule="exact"/>
        <w:rPr>
          <w:sz w:val="20"/>
          <w:szCs w:val="20"/>
          <w:color w:val="auto"/>
        </w:rPr>
      </w:pPr>
    </w:p>
    <w:p>
      <w:pPr>
        <w:ind w:right="300" w:firstLine="619"/>
        <w:spacing w:after="0" w:line="278" w:lineRule="auto"/>
        <w:rPr>
          <w:sz w:val="20"/>
          <w:szCs w:val="20"/>
          <w:color w:val="auto"/>
        </w:rPr>
      </w:pPr>
      <w:r>
        <w:rPr>
          <w:rFonts w:ascii="Arial" w:cs="Arial" w:eastAsia="Arial" w:hAnsi="Arial"/>
          <w:sz w:val="14"/>
          <w:szCs w:val="14"/>
          <w:color w:val="auto"/>
        </w:rPr>
        <w:t>Selling, general and administrative (“SG&amp;A”) expenses primarily include the costs associated with selling, professional fees, general corporate overhead and other related administrative functions.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60" w:type="dxa"/>
            <w:vAlign w:val="bottom"/>
            <w:gridSpan w:val="2"/>
          </w:tcPr>
          <w:p>
            <w:pPr>
              <w:jc w:val="center"/>
              <w:ind w:left="131"/>
              <w:spacing w:after="0"/>
              <w:rPr>
                <w:sz w:val="20"/>
                <w:szCs w:val="20"/>
                <w:color w:val="auto"/>
              </w:rPr>
            </w:pPr>
            <w:r>
              <w:rPr>
                <w:rFonts w:ascii="Arial" w:cs="Arial" w:eastAsia="Arial" w:hAnsi="Arial"/>
                <w:sz w:val="14"/>
                <w:szCs w:val="14"/>
                <w:b w:val="1"/>
                <w:bCs w:val="1"/>
                <w:color w:val="auto"/>
                <w:w w:val="98"/>
              </w:rPr>
              <w:t>Three Months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8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8"/>
              </w:rPr>
              <w:t>Six Months Ended</w:t>
            </w:r>
          </w:p>
        </w:tc>
        <w:tc>
          <w:tcPr>
            <w:tcW w:w="780" w:type="dxa"/>
            <w:vAlign w:val="bottom"/>
          </w:tcPr>
          <w:p>
            <w:pPr>
              <w:spacing w:after="0"/>
              <w:rPr>
                <w:sz w:val="14"/>
                <w:szCs w:val="14"/>
                <w:color w:val="auto"/>
              </w:rPr>
            </w:pPr>
          </w:p>
        </w:tc>
      </w:tr>
      <w:tr>
        <w:trPr>
          <w:trHeight w:val="196"/>
        </w:trPr>
        <w:tc>
          <w:tcPr>
            <w:tcW w:w="40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center"/>
              <w:ind w:left="111"/>
              <w:spacing w:after="0"/>
              <w:rPr>
                <w:sz w:val="20"/>
                <w:szCs w:val="20"/>
                <w:color w:val="auto"/>
              </w:rPr>
            </w:pPr>
            <w:r>
              <w:rPr>
                <w:rFonts w:ascii="Arial" w:cs="Arial" w:eastAsia="Arial" w:hAnsi="Arial"/>
                <w:sz w:val="14"/>
                <w:szCs w:val="14"/>
                <w:b w:val="1"/>
                <w:bCs w:val="1"/>
                <w:color w:val="auto"/>
                <w:w w:val="97"/>
              </w:rPr>
              <w:t>April 30,</w:t>
            </w: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center"/>
              <w:ind w:left="71"/>
              <w:spacing w:after="0"/>
              <w:rPr>
                <w:sz w:val="20"/>
                <w:szCs w:val="20"/>
                <w:color w:val="auto"/>
              </w:rPr>
            </w:pPr>
            <w:r>
              <w:rPr>
                <w:rFonts w:ascii="Arial" w:cs="Arial" w:eastAsia="Arial" w:hAnsi="Arial"/>
                <w:sz w:val="14"/>
                <w:szCs w:val="14"/>
                <w:b w:val="1"/>
                <w:bCs w:val="1"/>
                <w:color w:val="auto"/>
                <w:w w:val="97"/>
              </w:rPr>
              <w:t>April 30,</w:t>
            </w:r>
          </w:p>
        </w:tc>
        <w:tc>
          <w:tcPr>
            <w:tcW w:w="780" w:type="dxa"/>
            <w:vAlign w:val="bottom"/>
            <w:tcBorders>
              <w:bottom w:val="single" w:sz="8" w:color="auto"/>
            </w:tcBorders>
          </w:tcPr>
          <w:p>
            <w:pPr>
              <w:spacing w:after="0"/>
              <w:rPr>
                <w:sz w:val="17"/>
                <w:szCs w:val="17"/>
                <w:color w:val="auto"/>
              </w:rPr>
            </w:pPr>
          </w:p>
        </w:tc>
      </w:tr>
      <w:tr>
        <w:trPr>
          <w:trHeight w:val="215"/>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2024</w:t>
            </w:r>
          </w:p>
        </w:tc>
        <w:tc>
          <w:tcPr>
            <w:tcW w:w="10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2024</w:t>
            </w:r>
          </w:p>
        </w:tc>
        <w:tc>
          <w:tcPr>
            <w:tcW w:w="10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6"/>
        </w:trPr>
        <w:tc>
          <w:tcPr>
            <w:tcW w:w="4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56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18.7</w:t>
            </w:r>
          </w:p>
        </w:tc>
        <w:tc>
          <w:tcPr>
            <w:tcW w:w="1020" w:type="dxa"/>
            <w:vAlign w:val="bottom"/>
            <w:tcBorders>
              <w:bottom w:val="single" w:sz="8" w:color="DBDBDB"/>
            </w:tcBorders>
            <w:shd w:val="clear" w:color="auto" w:fill="DBDBDB"/>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19.3</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ind w:right="4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39.4</w:t>
            </w:r>
          </w:p>
        </w:tc>
        <w:tc>
          <w:tcPr>
            <w:tcW w:w="1000" w:type="dxa"/>
            <w:vAlign w:val="bottom"/>
            <w:tcBorders>
              <w:bottom w:val="single" w:sz="8" w:color="DBDBDB"/>
            </w:tcBorders>
            <w:shd w:val="clear" w:color="auto" w:fill="DBDBDB"/>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38.4</w:t>
            </w:r>
          </w:p>
        </w:tc>
      </w:tr>
      <w:tr>
        <w:trPr>
          <w:trHeight w:val="20"/>
        </w:trPr>
        <w:tc>
          <w:tcPr>
            <w:tcW w:w="4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276" w:lineRule="exact"/>
        <w:rPr>
          <w:sz w:val="20"/>
          <w:szCs w:val="20"/>
          <w:color w:val="auto"/>
        </w:rPr>
      </w:pPr>
    </w:p>
    <w:p>
      <w:pPr>
        <w:ind w:right="540" w:firstLine="619"/>
        <w:spacing w:after="0" w:line="278" w:lineRule="auto"/>
        <w:rPr>
          <w:sz w:val="20"/>
          <w:szCs w:val="20"/>
          <w:color w:val="auto"/>
        </w:rPr>
      </w:pPr>
      <w:r>
        <w:rPr>
          <w:rFonts w:ascii="Arial" w:cs="Arial" w:eastAsia="Arial" w:hAnsi="Arial"/>
          <w:sz w:val="14"/>
          <w:szCs w:val="14"/>
          <w:color w:val="auto"/>
        </w:rPr>
        <w:t>SG&amp;A expenses decreased $0.6 million or 3% in the three months ended April 30, 2024 compared to the same period last year, primarily due to a reduction in general corporate expenses.</w:t>
      </w:r>
    </w:p>
    <w:p>
      <w:pPr>
        <w:spacing w:after="0" w:line="168" w:lineRule="exact"/>
        <w:rPr>
          <w:sz w:val="20"/>
          <w:szCs w:val="20"/>
          <w:color w:val="auto"/>
        </w:rPr>
      </w:pPr>
    </w:p>
    <w:p>
      <w:pPr>
        <w:jc w:val="both"/>
        <w:ind w:right="140" w:firstLine="619"/>
        <w:spacing w:after="0" w:line="254" w:lineRule="auto"/>
        <w:rPr>
          <w:sz w:val="20"/>
          <w:szCs w:val="20"/>
          <w:color w:val="auto"/>
        </w:rPr>
      </w:pPr>
      <w:r>
        <w:rPr>
          <w:rFonts w:ascii="Arial" w:cs="Arial" w:eastAsia="Arial" w:hAnsi="Arial"/>
          <w:sz w:val="14"/>
          <w:szCs w:val="14"/>
          <w:color w:val="auto"/>
        </w:rPr>
        <w:t>SG&amp;A expenses increased $1.0 million or 3% in the six months ended April 30, 2024 compared to the same period last year, primarily due to higher employee related costs, including performance-based incentive compensation and stock-based compensation expense. These costs were partially offset by a reduction of approximately $2.0 million in general corporate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expense</w:t>
      </w:r>
    </w:p>
    <w:p>
      <w:pPr>
        <w:spacing w:after="0" w:line="221" w:lineRule="exact"/>
        <w:rPr>
          <w:sz w:val="20"/>
          <w:szCs w:val="20"/>
          <w:color w:val="auto"/>
        </w:rPr>
      </w:pPr>
    </w:p>
    <w:p>
      <w:pPr>
        <w:ind w:right="280" w:firstLine="619"/>
        <w:spacing w:after="0" w:line="278" w:lineRule="auto"/>
        <w:rPr>
          <w:sz w:val="20"/>
          <w:szCs w:val="20"/>
          <w:color w:val="auto"/>
        </w:rPr>
      </w:pPr>
      <w:r>
        <w:rPr>
          <w:rFonts w:ascii="Arial" w:cs="Arial" w:eastAsia="Arial" w:hAnsi="Arial"/>
          <w:sz w:val="14"/>
          <w:szCs w:val="14"/>
          <w:color w:val="auto"/>
        </w:rPr>
        <w:t>Interest expense consists primarily of interest on borrowings under working capital facilities that we maintain and interest on other long-term debt used to make capital and equity investments. We also incur interest expense on finance leases, computed using each lease’s explicit or implicit borrowing rate.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2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8"/>
              </w:rPr>
              <w:t>Three Months Ended</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4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8"/>
              </w:rPr>
              <w:t>Six Months Ended</w:t>
            </w:r>
          </w:p>
        </w:tc>
        <w:tc>
          <w:tcPr>
            <w:tcW w:w="760" w:type="dxa"/>
            <w:vAlign w:val="bottom"/>
          </w:tcPr>
          <w:p>
            <w:pPr>
              <w:spacing w:after="0"/>
              <w:rPr>
                <w:sz w:val="14"/>
                <w:szCs w:val="14"/>
                <w:color w:val="auto"/>
              </w:rPr>
            </w:pPr>
          </w:p>
        </w:tc>
      </w:tr>
      <w:tr>
        <w:trPr>
          <w:trHeight w:val="196"/>
        </w:trPr>
        <w:tc>
          <w:tcPr>
            <w:tcW w:w="41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2"/>
          </w:tcPr>
          <w:p>
            <w:pPr>
              <w:jc w:val="center"/>
              <w:ind w:left="111"/>
              <w:spacing w:after="0"/>
              <w:rPr>
                <w:sz w:val="20"/>
                <w:szCs w:val="20"/>
                <w:color w:val="auto"/>
              </w:rPr>
            </w:pPr>
            <w:r>
              <w:rPr>
                <w:rFonts w:ascii="Arial" w:cs="Arial" w:eastAsia="Arial" w:hAnsi="Arial"/>
                <w:sz w:val="14"/>
                <w:szCs w:val="14"/>
                <w:b w:val="1"/>
                <w:bCs w:val="1"/>
                <w:color w:val="auto"/>
                <w:w w:val="97"/>
              </w:rPr>
              <w:t>April 30,</w:t>
            </w:r>
          </w:p>
        </w:tc>
        <w:tc>
          <w:tcPr>
            <w:tcW w:w="7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tcPr>
          <w:p>
            <w:pPr>
              <w:jc w:val="center"/>
              <w:ind w:left="71"/>
              <w:spacing w:after="0"/>
              <w:rPr>
                <w:sz w:val="20"/>
                <w:szCs w:val="20"/>
                <w:color w:val="auto"/>
              </w:rPr>
            </w:pPr>
            <w:r>
              <w:rPr>
                <w:rFonts w:ascii="Arial" w:cs="Arial" w:eastAsia="Arial" w:hAnsi="Arial"/>
                <w:sz w:val="14"/>
                <w:szCs w:val="14"/>
                <w:b w:val="1"/>
                <w:bCs w:val="1"/>
                <w:color w:val="auto"/>
                <w:w w:val="97"/>
              </w:rPr>
              <w:t>April 30,</w:t>
            </w:r>
          </w:p>
        </w:tc>
        <w:tc>
          <w:tcPr>
            <w:tcW w:w="760" w:type="dxa"/>
            <w:vAlign w:val="bottom"/>
            <w:tcBorders>
              <w:bottom w:val="single" w:sz="8" w:color="auto"/>
            </w:tcBorders>
          </w:tcPr>
          <w:p>
            <w:pPr>
              <w:spacing w:after="0"/>
              <w:rPr>
                <w:sz w:val="17"/>
                <w:szCs w:val="17"/>
                <w:color w:val="auto"/>
              </w:rPr>
            </w:pPr>
          </w:p>
        </w:tc>
      </w:tr>
      <w:tr>
        <w:trPr>
          <w:trHeight w:val="215"/>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2024</w:t>
            </w:r>
          </w:p>
        </w:tc>
        <w:tc>
          <w:tcPr>
            <w:tcW w:w="10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9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6"/>
        </w:trPr>
        <w:tc>
          <w:tcPr>
            <w:tcW w:w="4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Interest expense</w:t>
            </w:r>
          </w:p>
        </w:tc>
        <w:tc>
          <w:tcPr>
            <w:tcW w:w="56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3.4</w:t>
            </w:r>
          </w:p>
        </w:tc>
        <w:tc>
          <w:tcPr>
            <w:tcW w:w="1000" w:type="dxa"/>
            <w:vAlign w:val="bottom"/>
            <w:tcBorders>
              <w:bottom w:val="single" w:sz="8" w:color="DBDBDB"/>
            </w:tcBorders>
            <w:shd w:val="clear" w:color="auto" w:fill="DBDBDB"/>
          </w:tcPr>
          <w:p>
            <w:pPr>
              <w:jc w:val="right"/>
              <w:ind w:right="75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2.7</w:t>
            </w:r>
          </w:p>
        </w:tc>
        <w:tc>
          <w:tcPr>
            <w:tcW w:w="24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ind w:right="45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6.7</w:t>
            </w:r>
          </w:p>
        </w:tc>
        <w:tc>
          <w:tcPr>
            <w:tcW w:w="960" w:type="dxa"/>
            <w:vAlign w:val="bottom"/>
            <w:tcBorders>
              <w:bottom w:val="single" w:sz="8" w:color="DBDBDB"/>
            </w:tcBorders>
            <w:shd w:val="clear" w:color="auto" w:fill="DBDBDB"/>
          </w:tcPr>
          <w:p>
            <w:pPr>
              <w:jc w:val="right"/>
              <w:ind w:right="71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5.1</w:t>
            </w:r>
          </w:p>
        </w:tc>
      </w:tr>
      <w:tr>
        <w:trPr>
          <w:trHeight w:val="20"/>
        </w:trPr>
        <w:tc>
          <w:tcPr>
            <w:tcW w:w="4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289" w:lineRule="exact"/>
        <w:rPr>
          <w:sz w:val="20"/>
          <w:szCs w:val="20"/>
          <w:color w:val="auto"/>
        </w:rPr>
      </w:pPr>
    </w:p>
    <w:p>
      <w:pPr>
        <w:ind w:right="320" w:firstLine="619"/>
        <w:spacing w:after="0" w:line="254" w:lineRule="auto"/>
        <w:rPr>
          <w:sz w:val="20"/>
          <w:szCs w:val="20"/>
          <w:color w:val="auto"/>
        </w:rPr>
      </w:pPr>
      <w:r>
        <w:rPr>
          <w:rFonts w:ascii="Arial" w:cs="Arial" w:eastAsia="Arial" w:hAnsi="Arial"/>
          <w:sz w:val="14"/>
          <w:szCs w:val="14"/>
          <w:color w:val="auto"/>
        </w:rPr>
        <w:t>Interest expense increased $0.7 million or 26% and $1.6 million or 31% in the three and six months ended April 30, 2024, respectively, compared to the same periods last year, driven primarily by rising interest rates. Interest expense incurred from a significant financing lease in our Blueberries segment was $0.5 million and $0.4 million for the three months ended April 30, 2024 and 2023, respectively, and $1.0 million and $0.7 million in the six months ended April 30, 2024 and 2023,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method income</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4"/>
          <w:szCs w:val="14"/>
          <w:color w:val="auto"/>
        </w:rPr>
        <w:t>Our material equity method investees include Henry Avocado (“HAC”), Mr. Avocado and Copaltas.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40" w:type="dxa"/>
            <w:vAlign w:val="bottom"/>
            <w:gridSpan w:val="2"/>
          </w:tcPr>
          <w:p>
            <w:pPr>
              <w:jc w:val="center"/>
              <w:ind w:left="111"/>
              <w:spacing w:after="0"/>
              <w:rPr>
                <w:sz w:val="20"/>
                <w:szCs w:val="20"/>
                <w:color w:val="auto"/>
              </w:rPr>
            </w:pPr>
            <w:r>
              <w:rPr>
                <w:rFonts w:ascii="Arial" w:cs="Arial" w:eastAsia="Arial" w:hAnsi="Arial"/>
                <w:sz w:val="14"/>
                <w:szCs w:val="14"/>
                <w:b w:val="1"/>
                <w:bCs w:val="1"/>
                <w:color w:val="auto"/>
                <w:w w:val="98"/>
              </w:rPr>
              <w:t>Three Months Ended</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6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7"/>
              </w:rPr>
              <w:t>Six Months Ended</w:t>
            </w:r>
          </w:p>
        </w:tc>
        <w:tc>
          <w:tcPr>
            <w:tcW w:w="780" w:type="dxa"/>
            <w:vAlign w:val="bottom"/>
          </w:tcPr>
          <w:p>
            <w:pPr>
              <w:spacing w:after="0"/>
              <w:rPr>
                <w:sz w:val="14"/>
                <w:szCs w:val="14"/>
                <w:color w:val="auto"/>
              </w:rPr>
            </w:pPr>
          </w:p>
        </w:tc>
      </w:tr>
      <w:tr>
        <w:trPr>
          <w:trHeight w:val="196"/>
        </w:trPr>
        <w:tc>
          <w:tcPr>
            <w:tcW w:w="40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2"/>
          </w:tcPr>
          <w:p>
            <w:pPr>
              <w:jc w:val="center"/>
              <w:ind w:left="91"/>
              <w:spacing w:after="0"/>
              <w:rPr>
                <w:sz w:val="20"/>
                <w:szCs w:val="20"/>
                <w:color w:val="auto"/>
              </w:rPr>
            </w:pPr>
            <w:r>
              <w:rPr>
                <w:rFonts w:ascii="Arial" w:cs="Arial" w:eastAsia="Arial" w:hAnsi="Arial"/>
                <w:sz w:val="14"/>
                <w:szCs w:val="14"/>
                <w:b w:val="1"/>
                <w:bCs w:val="1"/>
                <w:color w:val="auto"/>
                <w:w w:val="97"/>
              </w:rPr>
              <w:t>April 30,</w:t>
            </w:r>
          </w:p>
        </w:tc>
        <w:tc>
          <w:tcPr>
            <w:tcW w:w="7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2"/>
          </w:tcPr>
          <w:p>
            <w:pPr>
              <w:jc w:val="center"/>
              <w:ind w:left="91"/>
              <w:spacing w:after="0"/>
              <w:rPr>
                <w:sz w:val="20"/>
                <w:szCs w:val="20"/>
                <w:color w:val="auto"/>
              </w:rPr>
            </w:pPr>
            <w:r>
              <w:rPr>
                <w:rFonts w:ascii="Arial" w:cs="Arial" w:eastAsia="Arial" w:hAnsi="Arial"/>
                <w:sz w:val="14"/>
                <w:szCs w:val="14"/>
                <w:b w:val="1"/>
                <w:bCs w:val="1"/>
                <w:color w:val="auto"/>
                <w:w w:val="97"/>
              </w:rPr>
              <w:t>April 30,</w:t>
            </w:r>
          </w:p>
        </w:tc>
        <w:tc>
          <w:tcPr>
            <w:tcW w:w="780" w:type="dxa"/>
            <w:vAlign w:val="bottom"/>
            <w:tcBorders>
              <w:bottom w:val="single" w:sz="8" w:color="auto"/>
            </w:tcBorders>
          </w:tcPr>
          <w:p>
            <w:pPr>
              <w:spacing w:after="0"/>
              <w:rPr>
                <w:sz w:val="17"/>
                <w:szCs w:val="17"/>
                <w:color w:val="auto"/>
              </w:rPr>
            </w:pPr>
          </w:p>
        </w:tc>
      </w:tr>
      <w:tr>
        <w:trPr>
          <w:trHeight w:val="215"/>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2024</w:t>
            </w:r>
          </w:p>
        </w:tc>
        <w:tc>
          <w:tcPr>
            <w:tcW w:w="10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2024</w:t>
            </w:r>
          </w:p>
        </w:tc>
        <w:tc>
          <w:tcPr>
            <w:tcW w:w="9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6"/>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Equity method income</w:t>
            </w:r>
          </w:p>
        </w:tc>
        <w:tc>
          <w:tcPr>
            <w:tcW w:w="58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0.5</w:t>
            </w:r>
          </w:p>
        </w:tc>
        <w:tc>
          <w:tcPr>
            <w:tcW w:w="1020" w:type="dxa"/>
            <w:vAlign w:val="bottom"/>
            <w:tcBorders>
              <w:bottom w:val="single" w:sz="8" w:color="DBDBDB"/>
            </w:tcBorders>
            <w:shd w:val="clear" w:color="auto" w:fill="DBDBDB"/>
          </w:tcPr>
          <w:p>
            <w:pPr>
              <w:jc w:val="right"/>
              <w:ind w:right="77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0.4</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ind w:right="45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0.9</w:t>
            </w:r>
          </w:p>
        </w:tc>
        <w:tc>
          <w:tcPr>
            <w:tcW w:w="980" w:type="dxa"/>
            <w:vAlign w:val="bottom"/>
            <w:tcBorders>
              <w:bottom w:val="single" w:sz="8" w:color="DBDBDB"/>
            </w:tcBorders>
            <w:shd w:val="clear" w:color="auto" w:fill="DBDBDB"/>
          </w:tcPr>
          <w:p>
            <w:pPr>
              <w:jc w:val="right"/>
              <w:ind w:right="71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1.4</w:t>
            </w:r>
          </w:p>
        </w:tc>
      </w:tr>
      <w:tr>
        <w:trPr>
          <w:trHeight w:val="20"/>
        </w:trPr>
        <w:tc>
          <w:tcPr>
            <w:tcW w:w="4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28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Equity method income was flat in the three months ended April 30, 2024 compared to the same period last year, as income from HAC was largely offset by losses at Mr.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Avocado resulting from low margins on fruit sold.</w:t>
      </w:r>
    </w:p>
    <w:p>
      <w:pPr>
        <w:spacing w:after="0" w:line="188" w:lineRule="exact"/>
        <w:rPr>
          <w:sz w:val="20"/>
          <w:szCs w:val="20"/>
          <w:color w:val="auto"/>
        </w:rPr>
      </w:pPr>
    </w:p>
    <w:p>
      <w:pPr>
        <w:ind w:right="400" w:firstLine="619"/>
        <w:spacing w:after="0" w:line="278" w:lineRule="auto"/>
        <w:rPr>
          <w:sz w:val="20"/>
          <w:szCs w:val="20"/>
          <w:color w:val="auto"/>
        </w:rPr>
      </w:pPr>
      <w:r>
        <w:rPr>
          <w:rFonts w:ascii="Arial" w:cs="Arial" w:eastAsia="Arial" w:hAnsi="Arial"/>
          <w:sz w:val="14"/>
          <w:szCs w:val="14"/>
          <w:color w:val="auto"/>
        </w:rPr>
        <w:t>Equity method income decreased $0.5 million or 36% in the six months ended April 30, 2024 compared to the same period last year, as losses at Mr. Avocado were only partially offset by income growth from HAC.</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income (expense), net</w:t>
      </w:r>
    </w:p>
    <w:p>
      <w:pPr>
        <w:spacing w:after="0" w:line="221" w:lineRule="exact"/>
        <w:rPr>
          <w:sz w:val="20"/>
          <w:szCs w:val="20"/>
          <w:color w:val="auto"/>
        </w:rPr>
      </w:pPr>
    </w:p>
    <w:p>
      <w:pPr>
        <w:ind w:right="380" w:firstLine="619"/>
        <w:spacing w:after="0" w:line="278" w:lineRule="auto"/>
        <w:rPr>
          <w:sz w:val="20"/>
          <w:szCs w:val="20"/>
          <w:color w:val="auto"/>
        </w:rPr>
      </w:pPr>
      <w:r>
        <w:rPr>
          <w:rFonts w:ascii="Arial" w:cs="Arial" w:eastAsia="Arial" w:hAnsi="Arial"/>
          <w:sz w:val="14"/>
          <w:szCs w:val="14"/>
          <w:color w:val="auto"/>
        </w:rPr>
        <w:t>Other income (expense), net consists of interest income, currency exchange gains or losses, interest rate derivative gains or losses and other miscellaneous income and expense items.</w:t>
      </w:r>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3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6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8"/>
              </w:rPr>
              <w:t>Three Months Ended</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80" w:type="dxa"/>
            <w:vAlign w:val="bottom"/>
          </w:tcPr>
          <w:p>
            <w:pPr>
              <w:ind w:left="520"/>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r>
      <w:tr>
        <w:trPr>
          <w:trHeight w:val="196"/>
        </w:trPr>
        <w:tc>
          <w:tcPr>
            <w:tcW w:w="39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center"/>
              <w:ind w:left="71"/>
              <w:spacing w:after="0"/>
              <w:rPr>
                <w:sz w:val="20"/>
                <w:szCs w:val="20"/>
                <w:color w:val="auto"/>
              </w:rPr>
            </w:pPr>
            <w:r>
              <w:rPr>
                <w:rFonts w:ascii="Arial" w:cs="Arial" w:eastAsia="Arial" w:hAnsi="Arial"/>
                <w:sz w:val="14"/>
                <w:szCs w:val="14"/>
                <w:b w:val="1"/>
                <w:bCs w:val="1"/>
                <w:color w:val="auto"/>
                <w:w w:val="97"/>
              </w:rPr>
              <w:t>April 30,</w:t>
            </w:r>
          </w:p>
        </w:tc>
        <w:tc>
          <w:tcPr>
            <w:tcW w:w="7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April 30,</w:t>
            </w:r>
          </w:p>
        </w:tc>
        <w:tc>
          <w:tcPr>
            <w:tcW w:w="800" w:type="dxa"/>
            <w:vAlign w:val="bottom"/>
            <w:tcBorders>
              <w:bottom w:val="single" w:sz="8" w:color="auto"/>
            </w:tcBorders>
          </w:tcPr>
          <w:p>
            <w:pPr>
              <w:spacing w:after="0"/>
              <w:rPr>
                <w:sz w:val="17"/>
                <w:szCs w:val="17"/>
                <w:color w:val="auto"/>
              </w:rPr>
            </w:pPr>
          </w:p>
        </w:tc>
      </w:tr>
      <w:tr>
        <w:trPr>
          <w:trHeight w:val="215"/>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10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1091"/>
              <w:spacing w:after="0"/>
              <w:rPr>
                <w:sz w:val="20"/>
                <w:szCs w:val="20"/>
                <w:color w:val="auto"/>
              </w:rPr>
            </w:pPr>
            <w:r>
              <w:rPr>
                <w:rFonts w:ascii="Arial" w:cs="Arial" w:eastAsia="Arial" w:hAnsi="Arial"/>
                <w:sz w:val="14"/>
                <w:szCs w:val="14"/>
                <w:b w:val="1"/>
                <w:bCs w:val="1"/>
                <w:color w:val="auto"/>
              </w:rPr>
              <w:t>2024</w:t>
            </w: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2023</w:t>
            </w:r>
          </w:p>
        </w:tc>
      </w:tr>
      <w:tr>
        <w:trPr>
          <w:trHeight w:val="196"/>
        </w:trPr>
        <w:tc>
          <w:tcPr>
            <w:tcW w:w="3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 income (expense), net</w:t>
            </w:r>
          </w:p>
        </w:tc>
        <w:tc>
          <w:tcPr>
            <w:tcW w:w="580" w:type="dxa"/>
            <w:vAlign w:val="bottom"/>
            <w:tcBorders>
              <w:bottom w:val="single" w:sz="8" w:color="DBDBDB"/>
            </w:tcBorders>
            <w:shd w:val="clear" w:color="auto" w:fill="DBDBDB"/>
          </w:tcPr>
          <w:p>
            <w:pPr>
              <w:jc w:val="right"/>
              <w:ind w:right="43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1.0</w:t>
            </w:r>
          </w:p>
        </w:tc>
        <w:tc>
          <w:tcPr>
            <w:tcW w:w="1020" w:type="dxa"/>
            <w:vAlign w:val="bottom"/>
            <w:tcBorders>
              <w:bottom w:val="single" w:sz="8" w:color="DBDBDB"/>
            </w:tcBorders>
            <w:shd w:val="clear" w:color="auto" w:fill="DBDBDB"/>
          </w:tcPr>
          <w:p>
            <w:pPr>
              <w:jc w:val="right"/>
              <w:ind w:right="77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0.6</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ind w:right="471"/>
              <w:spacing w:after="0"/>
              <w:rPr>
                <w:sz w:val="20"/>
                <w:szCs w:val="20"/>
                <w:color w:val="auto"/>
              </w:rPr>
            </w:pPr>
            <w:r>
              <w:rPr>
                <w:rFonts w:ascii="Arial" w:cs="Arial" w:eastAsia="Arial" w:hAnsi="Arial"/>
                <w:sz w:val="14"/>
                <w:szCs w:val="14"/>
                <w:color w:val="auto"/>
                <w:w w:val="76"/>
              </w:rPr>
              <w:t>$</w:t>
            </w:r>
          </w:p>
        </w:tc>
        <w:tc>
          <w:tcPr>
            <w:tcW w:w="2080" w:type="dxa"/>
            <w:vAlign w:val="bottom"/>
            <w:tcBorders>
              <w:bottom w:val="single" w:sz="8" w:color="DBDBDB"/>
            </w:tcBorders>
            <w:shd w:val="clear" w:color="auto" w:fill="DBDBDB"/>
          </w:tcPr>
          <w:p>
            <w:pPr>
              <w:ind w:left="840"/>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(0.2)</w:t>
            </w:r>
          </w:p>
        </w:tc>
      </w:tr>
      <w:tr>
        <w:trPr>
          <w:trHeight w:val="20"/>
        </w:trPr>
        <w:tc>
          <w:tcPr>
            <w:tcW w:w="3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89" w:lineRule="exact"/>
        <w:rPr>
          <w:sz w:val="20"/>
          <w:szCs w:val="20"/>
          <w:color w:val="auto"/>
        </w:rPr>
      </w:pPr>
    </w:p>
    <w:p>
      <w:pPr>
        <w:ind w:right="120" w:firstLine="619"/>
        <w:spacing w:after="0" w:line="278" w:lineRule="auto"/>
        <w:rPr>
          <w:sz w:val="20"/>
          <w:szCs w:val="20"/>
          <w:color w:val="auto"/>
        </w:rPr>
      </w:pPr>
      <w:r>
        <w:rPr>
          <w:rFonts w:ascii="Arial" w:cs="Arial" w:eastAsia="Arial" w:hAnsi="Arial"/>
          <w:sz w:val="14"/>
          <w:szCs w:val="14"/>
          <w:color w:val="auto"/>
        </w:rPr>
        <w:t>Other income increased $0.4 million or 67% in three months ended April 30, 2024 compared to the same period last year, primarily due to foreign currency transaction losses in the previous year from the weakening of the U.S. dollar relative to the Mexican peso.</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3"/>
          <w:szCs w:val="13"/>
          <w:color w:val="auto"/>
        </w:rPr>
        <w:t>Other income (expense), net was zero in the six months ended April 30, 2024 compared to expense of $0.2 million in the same period last year, primarily due to higher interest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income.</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221" w:lineRule="exact"/>
        <w:rPr>
          <w:sz w:val="20"/>
          <w:szCs w:val="20"/>
          <w:color w:val="auto"/>
        </w:rPr>
      </w:pPr>
    </w:p>
    <w:p>
      <w:pPr>
        <w:ind w:right="60" w:firstLine="619"/>
        <w:spacing w:after="0" w:line="259" w:lineRule="auto"/>
        <w:rPr>
          <w:sz w:val="20"/>
          <w:szCs w:val="20"/>
          <w:color w:val="auto"/>
        </w:rPr>
      </w:pPr>
      <w:r>
        <w:rPr>
          <w:rFonts w:ascii="Arial" w:cs="Arial" w:eastAsia="Arial" w:hAnsi="Arial"/>
          <w:sz w:val="14"/>
          <w:szCs w:val="14"/>
          <w:color w:val="auto"/>
        </w:rPr>
        <w:t>The provision for income taxes consists of the consolidation of tax provisions, computed on a separate entity basis, in each country in which we have operations. We recognize the effects of tax legislation in the period in which the law is enacted. Our deferred tax assets and liabilities are measured using enacted tax rates expected to apply to taxable income in the years we estimate the related temporary differences to reverse. Realization of deferred tax assets is dependent upon future earnings, the timing and amount of which are uncertain.</w:t>
      </w:r>
    </w:p>
    <w:p>
      <w:pPr>
        <w:spacing w:after="0" w:line="169" w:lineRule="exact"/>
        <w:rPr>
          <w:sz w:val="20"/>
          <w:szCs w:val="20"/>
          <w:color w:val="auto"/>
        </w:rPr>
      </w:pPr>
    </w:p>
    <w:p>
      <w:pPr>
        <w:ind w:right="180" w:firstLine="619"/>
        <w:spacing w:after="0" w:line="278" w:lineRule="auto"/>
        <w:rPr>
          <w:sz w:val="20"/>
          <w:szCs w:val="20"/>
          <w:color w:val="auto"/>
        </w:rPr>
      </w:pPr>
      <w:r>
        <w:rPr>
          <w:rFonts w:ascii="Arial" w:cs="Arial" w:eastAsia="Arial" w:hAnsi="Arial"/>
          <w:sz w:val="14"/>
          <w:szCs w:val="14"/>
          <w:color w:val="auto"/>
        </w:rPr>
        <w:t>We recognize a tax benefit from an uncertain tax position only if it is more likely than not the tax position will be sustained on examination by the taxing authorities, based on the technical merits of the position. The tax benefits recognized from such</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2" w:name="page23"/>
    <w:bookmarkEnd w:id="22"/>
    <w:p>
      <w:pPr>
        <w:spacing w:after="0" w:line="136" w:lineRule="exact"/>
        <w:rPr>
          <w:sz w:val="20"/>
          <w:szCs w:val="20"/>
          <w:color w:val="auto"/>
        </w:rPr>
      </w:pPr>
    </w:p>
    <w:p>
      <w:pPr>
        <w:ind w:right="280"/>
        <w:spacing w:after="0" w:line="278" w:lineRule="auto"/>
        <w:rPr>
          <w:sz w:val="20"/>
          <w:szCs w:val="20"/>
          <w:color w:val="auto"/>
        </w:rPr>
      </w:pPr>
      <w:r>
        <w:rPr>
          <w:rFonts w:ascii="Arial" w:cs="Arial" w:eastAsia="Arial" w:hAnsi="Arial"/>
          <w:sz w:val="14"/>
          <w:szCs w:val="14"/>
          <w:color w:val="auto"/>
        </w:rPr>
        <w:t>positions are then measured based on the largest benefit that has a greater than 50% likelihood of being realized upon settlement. Interest and penalties related to unrecognized tax benefits are recognized within provision for income taxes.</w:t>
      </w:r>
    </w:p>
    <w:p>
      <w:pPr>
        <w:spacing w:after="0" w:line="168" w:lineRule="exact"/>
        <w:rPr>
          <w:sz w:val="20"/>
          <w:szCs w:val="20"/>
          <w:color w:val="auto"/>
        </w:rPr>
      </w:pPr>
    </w:p>
    <w:p>
      <w:pPr>
        <w:ind w:right="360" w:firstLine="619"/>
        <w:spacing w:after="0" w:line="259" w:lineRule="auto"/>
        <w:rPr>
          <w:sz w:val="20"/>
          <w:szCs w:val="20"/>
          <w:color w:val="auto"/>
        </w:rPr>
      </w:pPr>
      <w:r>
        <w:rPr>
          <w:rFonts w:ascii="Arial" w:cs="Arial" w:eastAsia="Arial" w:hAnsi="Arial"/>
          <w:sz w:val="14"/>
          <w:szCs w:val="14"/>
          <w:color w:val="auto"/>
        </w:rPr>
        <w:t>Our effective tax rate is impacted by income attributable to foreign jurisdictions which is taxed at different rates from the U.S. federal statutory tax rate of 21%, changes in foreign exchange rates taxable in foreign jurisdictions and nondeductible tax items.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40" w:type="dxa"/>
            <w:vAlign w:val="bottom"/>
            <w:gridSpan w:val="2"/>
          </w:tcPr>
          <w:p>
            <w:pPr>
              <w:jc w:val="center"/>
              <w:ind w:left="111"/>
              <w:spacing w:after="0"/>
              <w:rPr>
                <w:sz w:val="20"/>
                <w:szCs w:val="20"/>
                <w:color w:val="auto"/>
              </w:rPr>
            </w:pPr>
            <w:r>
              <w:rPr>
                <w:rFonts w:ascii="Arial" w:cs="Arial" w:eastAsia="Arial" w:hAnsi="Arial"/>
                <w:sz w:val="14"/>
                <w:szCs w:val="14"/>
                <w:b w:val="1"/>
                <w:bCs w:val="1"/>
                <w:color w:val="auto"/>
                <w:w w:val="98"/>
              </w:rPr>
              <w:t>Three Months Ended</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00" w:type="dxa"/>
            <w:vAlign w:val="bottom"/>
            <w:gridSpan w:val="2"/>
          </w:tcPr>
          <w:p>
            <w:pPr>
              <w:jc w:val="center"/>
              <w:ind w:left="111"/>
              <w:spacing w:after="0"/>
              <w:rPr>
                <w:sz w:val="20"/>
                <w:szCs w:val="20"/>
                <w:color w:val="auto"/>
              </w:rPr>
            </w:pPr>
            <w:r>
              <w:rPr>
                <w:rFonts w:ascii="Arial" w:cs="Arial" w:eastAsia="Arial" w:hAnsi="Arial"/>
                <w:sz w:val="14"/>
                <w:szCs w:val="14"/>
                <w:b w:val="1"/>
                <w:bCs w:val="1"/>
                <w:color w:val="auto"/>
                <w:w w:val="98"/>
              </w:rPr>
              <w:t>Six Months Ended</w:t>
            </w:r>
          </w:p>
        </w:tc>
        <w:tc>
          <w:tcPr>
            <w:tcW w:w="800" w:type="dxa"/>
            <w:vAlign w:val="bottom"/>
          </w:tcPr>
          <w:p>
            <w:pPr>
              <w:spacing w:after="0"/>
              <w:rPr>
                <w:sz w:val="14"/>
                <w:szCs w:val="14"/>
                <w:color w:val="auto"/>
              </w:rPr>
            </w:pPr>
          </w:p>
        </w:tc>
      </w:tr>
      <w:tr>
        <w:trPr>
          <w:trHeight w:val="196"/>
        </w:trPr>
        <w:tc>
          <w:tcPr>
            <w:tcW w:w="39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2"/>
          </w:tcPr>
          <w:p>
            <w:pPr>
              <w:jc w:val="center"/>
              <w:ind w:left="131"/>
              <w:spacing w:after="0"/>
              <w:rPr>
                <w:sz w:val="20"/>
                <w:szCs w:val="20"/>
                <w:color w:val="auto"/>
              </w:rPr>
            </w:pPr>
            <w:r>
              <w:rPr>
                <w:rFonts w:ascii="Arial" w:cs="Arial" w:eastAsia="Arial" w:hAnsi="Arial"/>
                <w:sz w:val="14"/>
                <w:szCs w:val="14"/>
                <w:b w:val="1"/>
                <w:bCs w:val="1"/>
                <w:color w:val="auto"/>
                <w:w w:val="97"/>
              </w:rPr>
              <w:t>April 30,</w:t>
            </w:r>
          </w:p>
        </w:tc>
        <w:tc>
          <w:tcPr>
            <w:tcW w:w="8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2"/>
          </w:tcPr>
          <w:p>
            <w:pPr>
              <w:jc w:val="center"/>
              <w:ind w:left="91"/>
              <w:spacing w:after="0"/>
              <w:rPr>
                <w:sz w:val="20"/>
                <w:szCs w:val="20"/>
                <w:color w:val="auto"/>
              </w:rPr>
            </w:pPr>
            <w:r>
              <w:rPr>
                <w:rFonts w:ascii="Arial" w:cs="Arial" w:eastAsia="Arial" w:hAnsi="Arial"/>
                <w:sz w:val="14"/>
                <w:szCs w:val="14"/>
                <w:b w:val="1"/>
                <w:bCs w:val="1"/>
                <w:color w:val="auto"/>
                <w:w w:val="97"/>
              </w:rPr>
              <w:t>April 30,</w:t>
            </w:r>
          </w:p>
        </w:tc>
        <w:tc>
          <w:tcPr>
            <w:tcW w:w="800" w:type="dxa"/>
            <w:vAlign w:val="bottom"/>
            <w:tcBorders>
              <w:bottom w:val="single" w:sz="8" w:color="auto"/>
            </w:tcBorders>
          </w:tcPr>
          <w:p>
            <w:pPr>
              <w:spacing w:after="0"/>
              <w:rPr>
                <w:sz w:val="17"/>
                <w:szCs w:val="17"/>
                <w:color w:val="auto"/>
              </w:rPr>
            </w:pPr>
          </w:p>
        </w:tc>
      </w:tr>
      <w:tr>
        <w:trPr>
          <w:trHeight w:val="212"/>
        </w:trPr>
        <w:tc>
          <w:tcPr>
            <w:tcW w:w="3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9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2024</w:t>
            </w: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2023</w:t>
            </w:r>
          </w:p>
        </w:tc>
      </w:tr>
      <w:tr>
        <w:trPr>
          <w:trHeight w:val="199"/>
        </w:trPr>
        <w:tc>
          <w:tcPr>
            <w:tcW w:w="3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Provision for income taxes (in millions)</w:t>
            </w:r>
          </w:p>
        </w:tc>
        <w:tc>
          <w:tcPr>
            <w:tcW w:w="600" w:type="dxa"/>
            <w:vAlign w:val="bottom"/>
            <w:tcBorders>
              <w:bottom w:val="single" w:sz="8" w:color="DBDBDB"/>
            </w:tcBorders>
            <w:shd w:val="clear" w:color="auto" w:fill="DBDBDB"/>
          </w:tcPr>
          <w:p>
            <w:pPr>
              <w:jc w:val="right"/>
              <w:ind w:right="43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3.4</w:t>
            </w:r>
          </w:p>
        </w:tc>
        <w:tc>
          <w:tcPr>
            <w:tcW w:w="980" w:type="dxa"/>
            <w:vAlign w:val="bottom"/>
            <w:tcBorders>
              <w:bottom w:val="single" w:sz="8" w:color="DBDBDB"/>
            </w:tcBorders>
            <w:shd w:val="clear" w:color="auto" w:fill="DBDBDB"/>
          </w:tcPr>
          <w:p>
            <w:pPr>
              <w:jc w:val="right"/>
              <w:ind w:right="75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1.8</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ind w:right="47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5.5</w:t>
            </w:r>
          </w:p>
        </w:tc>
        <w:tc>
          <w:tcPr>
            <w:tcW w:w="960" w:type="dxa"/>
            <w:vAlign w:val="bottom"/>
            <w:tcBorders>
              <w:bottom w:val="single" w:sz="8" w:color="DBDBDB"/>
            </w:tcBorders>
            <w:shd w:val="clear" w:color="auto" w:fill="DBDBDB"/>
          </w:tcPr>
          <w:p>
            <w:pPr>
              <w:jc w:val="right"/>
              <w:ind w:right="73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0.1</w:t>
            </w:r>
          </w:p>
        </w:tc>
      </w:tr>
      <w:tr>
        <w:trPr>
          <w:trHeight w:val="199"/>
        </w:trPr>
        <w:tc>
          <w:tcPr>
            <w:tcW w:w="3920" w:type="dxa"/>
            <w:vAlign w:val="bottom"/>
          </w:tcPr>
          <w:p>
            <w:pPr>
              <w:ind w:left="20"/>
              <w:spacing w:after="0"/>
              <w:rPr>
                <w:sz w:val="20"/>
                <w:szCs w:val="20"/>
                <w:color w:val="auto"/>
              </w:rPr>
            </w:pPr>
            <w:r>
              <w:rPr>
                <w:rFonts w:ascii="Arial" w:cs="Arial" w:eastAsia="Arial" w:hAnsi="Arial"/>
                <w:sz w:val="14"/>
                <w:szCs w:val="14"/>
                <w:color w:val="auto"/>
              </w:rPr>
              <w:t>Effective tax rate</w:t>
            </w:r>
          </w:p>
        </w:tc>
        <w:tc>
          <w:tcPr>
            <w:tcW w:w="600" w:type="dxa"/>
            <w:vAlign w:val="bottom"/>
          </w:tcPr>
          <w:p>
            <w:pPr>
              <w:spacing w:after="0"/>
              <w:rPr>
                <w:sz w:val="17"/>
                <w:szCs w:val="17"/>
                <w:color w:val="auto"/>
              </w:rPr>
            </w:pPr>
          </w:p>
        </w:tc>
        <w:tc>
          <w:tcPr>
            <w:tcW w:w="1160" w:type="dxa"/>
            <w:vAlign w:val="bottom"/>
          </w:tcPr>
          <w:p>
            <w:pPr>
              <w:jc w:val="right"/>
              <w:ind w:right="11"/>
              <w:spacing w:after="0"/>
              <w:rPr>
                <w:sz w:val="20"/>
                <w:szCs w:val="20"/>
                <w:color w:val="auto"/>
              </w:rPr>
            </w:pPr>
            <w:r>
              <w:rPr>
                <w:rFonts w:ascii="Arial" w:cs="Arial" w:eastAsia="Arial" w:hAnsi="Arial"/>
                <w:sz w:val="14"/>
                <w:szCs w:val="14"/>
                <w:color w:val="auto"/>
              </w:rPr>
              <w:t>32.7 %</w:t>
            </w:r>
          </w:p>
        </w:tc>
        <w:tc>
          <w:tcPr>
            <w:tcW w:w="9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(62.1)%</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jc w:val="right"/>
              <w:ind w:right="31"/>
              <w:spacing w:after="0"/>
              <w:rPr>
                <w:sz w:val="20"/>
                <w:szCs w:val="20"/>
                <w:color w:val="auto"/>
              </w:rPr>
            </w:pPr>
            <w:r>
              <w:rPr>
                <w:rFonts w:ascii="Arial" w:cs="Arial" w:eastAsia="Arial" w:hAnsi="Arial"/>
                <w:sz w:val="14"/>
                <w:szCs w:val="14"/>
                <w:color w:val="auto"/>
              </w:rPr>
              <w:t>37.9 %</w:t>
            </w:r>
          </w:p>
        </w:tc>
        <w:tc>
          <w:tcPr>
            <w:tcW w:w="960" w:type="dxa"/>
            <w:vAlign w:val="bottom"/>
          </w:tcPr>
          <w:p>
            <w:pPr>
              <w:spacing w:after="0"/>
              <w:rPr>
                <w:sz w:val="17"/>
                <w:szCs w:val="17"/>
                <w:color w:val="auto"/>
              </w:rPr>
            </w:pPr>
          </w:p>
        </w:tc>
        <w:tc>
          <w:tcPr>
            <w:tcW w:w="800" w:type="dxa"/>
            <w:vAlign w:val="bottom"/>
          </w:tcPr>
          <w:p>
            <w:pPr>
              <w:ind w:left="380"/>
              <w:spacing w:after="0"/>
              <w:rPr>
                <w:sz w:val="20"/>
                <w:szCs w:val="20"/>
                <w:color w:val="auto"/>
              </w:rPr>
            </w:pPr>
            <w:r>
              <w:rPr>
                <w:rFonts w:ascii="Arial" w:cs="Arial" w:eastAsia="Arial" w:hAnsi="Arial"/>
                <w:sz w:val="14"/>
                <w:szCs w:val="14"/>
                <w:color w:val="auto"/>
                <w:w w:val="96"/>
              </w:rPr>
              <w:t>(0.7)%</w:t>
            </w: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60" w:firstLine="619"/>
        <w:spacing w:after="0" w:line="254" w:lineRule="auto"/>
        <w:rPr>
          <w:sz w:val="20"/>
          <w:szCs w:val="20"/>
          <w:color w:val="auto"/>
        </w:rPr>
      </w:pPr>
      <w:r>
        <w:rPr>
          <w:rFonts w:ascii="Arial" w:cs="Arial" w:eastAsia="Arial" w:hAnsi="Arial"/>
          <w:sz w:val="14"/>
          <w:szCs w:val="14"/>
          <w:color w:val="auto"/>
        </w:rPr>
        <w:t>The provision for income tax increased $1.6 million or 89% in the three months ended April 30, 2024 compared to the same period last year, primarily due to the effect of higher income before taxes in the current year, and a $1.8 million discrete charge recorded in the prior year related to an uncertain tax position in Mexico. Our effective tax rate was also impacted by book losses in jurisdictions where either a full valuation allowance has been recorded or where loss carryforward is disallowed.</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3"/>
          <w:szCs w:val="13"/>
          <w:color w:val="auto"/>
        </w:rPr>
        <w:t>The provision for income tax increased $5.4 million in the six months ended April 30, 2024 compared $0.1 million in the same period last year, due to the same reasons noted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above.</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Results of Operations</w:t>
      </w:r>
    </w:p>
    <w:p>
      <w:pPr>
        <w:spacing w:after="0" w:line="228" w:lineRule="exact"/>
        <w:rPr>
          <w:sz w:val="20"/>
          <w:szCs w:val="20"/>
          <w:color w:val="auto"/>
        </w:rPr>
      </w:pPr>
    </w:p>
    <w:p>
      <w:pPr>
        <w:ind w:right="60" w:firstLine="619"/>
        <w:spacing w:after="0" w:line="253" w:lineRule="auto"/>
        <w:rPr>
          <w:sz w:val="20"/>
          <w:szCs w:val="20"/>
          <w:color w:val="auto"/>
        </w:rPr>
      </w:pPr>
      <w:r>
        <w:rPr>
          <w:rFonts w:ascii="Arial" w:cs="Arial" w:eastAsia="Arial" w:hAnsi="Arial"/>
          <w:sz w:val="14"/>
          <w:szCs w:val="14"/>
          <w:color w:val="auto"/>
        </w:rPr>
        <w:t>Our CEO evaluates and monitors segment performance primarily through segment sales and segment adjusted earnings before interest expense, income taxes and depreciation and amortization (“adjusted EBITDA”). We believe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w:t>
      </w:r>
    </w:p>
    <w:p>
      <w:pPr>
        <w:spacing w:after="0" w:line="185" w:lineRule="exact"/>
        <w:rPr>
          <w:sz w:val="20"/>
          <w:szCs w:val="20"/>
          <w:color w:val="auto"/>
        </w:rPr>
      </w:pPr>
    </w:p>
    <w:p>
      <w:pPr>
        <w:ind w:right="20" w:firstLine="619"/>
        <w:spacing w:after="0" w:line="252" w:lineRule="auto"/>
        <w:rPr>
          <w:sz w:val="20"/>
          <w:szCs w:val="20"/>
          <w:color w:val="auto"/>
        </w:rPr>
      </w:pPr>
      <w:r>
        <w:rPr>
          <w:rFonts w:ascii="Arial" w:cs="Arial" w:eastAsia="Arial" w:hAnsi="Arial"/>
          <w:sz w:val="14"/>
          <w:szCs w:val="14"/>
          <w:color w:val="auto"/>
        </w:rPr>
        <w:t>Adjusted EBITDA refers to net income (loss), before interest expense, income taxes, depreciation and amortization expense, stock-based compensation expense, other income (expense), and income (loss) from equity method investees, further adjusted by asset impairment and disposals, net of insurance recoveries, farming costs for nonproductive orchards (which represents land lease costs), recognition of deferred ERP costs, transaction costs, amortization of inventory adjustments recognized from business combinations, and any special, non-recurring, or one-time items such as remeasurements or impairments, and any portion of these items attributable to the noncontrolling interest, all of which are excluded from the results the CEO reviews uses to assess segment performance and results.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sales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29"/>
        </w:trPr>
        <w:tc>
          <w:tcPr>
            <w:tcW w:w="1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48"/>
              <w:spacing w:after="0"/>
              <w:rPr>
                <w:sz w:val="20"/>
                <w:szCs w:val="20"/>
                <w:color w:val="auto"/>
              </w:rPr>
            </w:pPr>
            <w:r>
              <w:rPr>
                <w:rFonts w:ascii="Arial" w:cs="Arial" w:eastAsia="Arial" w:hAnsi="Arial"/>
                <w:sz w:val="10"/>
                <w:szCs w:val="10"/>
                <w:b w:val="1"/>
                <w:bCs w:val="1"/>
                <w:color w:val="auto"/>
              </w:rPr>
              <w:t>Marketing and</w:t>
            </w:r>
          </w:p>
        </w:tc>
        <w:tc>
          <w:tcPr>
            <w:tcW w:w="300" w:type="dxa"/>
            <w:vAlign w:val="bottom"/>
          </w:tcPr>
          <w:p>
            <w:pPr>
              <w:spacing w:after="0"/>
              <w:rPr>
                <w:sz w:val="11"/>
                <w:szCs w:val="11"/>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b w:val="1"/>
                <w:bCs w:val="1"/>
                <w:color w:val="auto"/>
              </w:rPr>
              <w:t>International</w:t>
            </w:r>
          </w:p>
        </w:tc>
        <w:tc>
          <w:tcPr>
            <w:tcW w:w="320" w:type="dxa"/>
            <w:vAlign w:val="bottom"/>
          </w:tcPr>
          <w:p>
            <w:pPr>
              <w:spacing w:after="0"/>
              <w:rPr>
                <w:sz w:val="11"/>
                <w:szCs w:val="11"/>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rPr>
              <w:t>Blueberries</w:t>
            </w:r>
          </w:p>
        </w:tc>
        <w:tc>
          <w:tcPr>
            <w:tcW w:w="440" w:type="dxa"/>
            <w:vAlign w:val="bottom"/>
          </w:tcPr>
          <w:p>
            <w:pPr>
              <w:spacing w:after="0"/>
              <w:rPr>
                <w:sz w:val="11"/>
                <w:szCs w:val="11"/>
                <w:color w:val="auto"/>
              </w:rPr>
            </w:pPr>
          </w:p>
        </w:tc>
        <w:tc>
          <w:tcPr>
            <w:tcW w:w="920" w:type="dxa"/>
            <w:vAlign w:val="bottom"/>
            <w:gridSpan w:val="2"/>
            <w:vMerge w:val="restart"/>
          </w:tcPr>
          <w:p>
            <w:pPr>
              <w:ind w:left="400"/>
              <w:spacing w:after="0"/>
              <w:rPr>
                <w:sz w:val="20"/>
                <w:szCs w:val="20"/>
                <w:color w:val="auto"/>
              </w:rPr>
            </w:pPr>
            <w:r>
              <w:rPr>
                <w:rFonts w:ascii="Arial" w:cs="Arial" w:eastAsia="Arial" w:hAnsi="Arial"/>
                <w:sz w:val="10"/>
                <w:szCs w:val="10"/>
                <w:b w:val="1"/>
                <w:bCs w:val="1"/>
                <w:color w:val="auto"/>
              </w:rPr>
              <w:t>Total</w:t>
            </w:r>
          </w:p>
        </w:tc>
        <w:tc>
          <w:tcPr>
            <w:tcW w:w="1080" w:type="dxa"/>
            <w:vAlign w:val="bottom"/>
            <w:gridSpan w:val="2"/>
          </w:tcPr>
          <w:p>
            <w:pPr>
              <w:jc w:val="right"/>
              <w:ind w:right="48"/>
              <w:spacing w:after="0"/>
              <w:rPr>
                <w:sz w:val="20"/>
                <w:szCs w:val="20"/>
                <w:color w:val="auto"/>
              </w:rPr>
            </w:pPr>
            <w:r>
              <w:rPr>
                <w:rFonts w:ascii="Arial" w:cs="Arial" w:eastAsia="Arial" w:hAnsi="Arial"/>
                <w:sz w:val="10"/>
                <w:szCs w:val="10"/>
                <w:b w:val="1"/>
                <w:bCs w:val="1"/>
                <w:color w:val="auto"/>
              </w:rPr>
              <w:t>Marketing and</w:t>
            </w:r>
          </w:p>
        </w:tc>
        <w:tc>
          <w:tcPr>
            <w:tcW w:w="300" w:type="dxa"/>
            <w:vAlign w:val="bottom"/>
          </w:tcPr>
          <w:p>
            <w:pPr>
              <w:spacing w:after="0"/>
              <w:rPr>
                <w:sz w:val="11"/>
                <w:szCs w:val="11"/>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b w:val="1"/>
                <w:bCs w:val="1"/>
                <w:color w:val="auto"/>
              </w:rPr>
              <w:t>International</w:t>
            </w:r>
          </w:p>
        </w:tc>
        <w:tc>
          <w:tcPr>
            <w:tcW w:w="320" w:type="dxa"/>
            <w:vAlign w:val="bottom"/>
          </w:tcPr>
          <w:p>
            <w:pPr>
              <w:spacing w:after="0"/>
              <w:rPr>
                <w:sz w:val="11"/>
                <w:szCs w:val="11"/>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rPr>
              <w:t>Blueberries</w:t>
            </w:r>
          </w:p>
        </w:tc>
        <w:tc>
          <w:tcPr>
            <w:tcW w:w="4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Distribution</w:t>
            </w: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Farming</w:t>
            </w: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w w:val="99"/>
              </w:rPr>
              <w:t>Distribution</w:t>
            </w: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Farming</w:t>
            </w: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gridSpan w:val="3"/>
          </w:tcPr>
          <w:p>
            <w:pPr>
              <w:jc w:val="center"/>
              <w:ind w:left="208"/>
              <w:spacing w:after="0"/>
              <w:rPr>
                <w:sz w:val="20"/>
                <w:szCs w:val="20"/>
                <w:color w:val="auto"/>
              </w:rPr>
            </w:pPr>
            <w:r>
              <w:rPr>
                <w:rFonts w:ascii="Arial" w:cs="Arial" w:eastAsia="Arial" w:hAnsi="Arial"/>
                <w:sz w:val="10"/>
                <w:szCs w:val="10"/>
                <w:b w:val="1"/>
                <w:bCs w:val="1"/>
                <w:color w:val="auto"/>
              </w:rPr>
              <w:t>Three Months Ended</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center"/>
              <w:ind w:left="188"/>
              <w:spacing w:after="0"/>
              <w:rPr>
                <w:sz w:val="20"/>
                <w:szCs w:val="20"/>
                <w:color w:val="auto"/>
              </w:rPr>
            </w:pPr>
            <w:r>
              <w:rPr>
                <w:rFonts w:ascii="Arial" w:cs="Arial" w:eastAsia="Arial" w:hAnsi="Arial"/>
                <w:sz w:val="10"/>
                <w:szCs w:val="10"/>
                <w:b w:val="1"/>
                <w:bCs w:val="1"/>
                <w:color w:val="auto"/>
              </w:rPr>
              <w:t>April 30,</w:t>
            </w:r>
          </w:p>
        </w:tc>
        <w:tc>
          <w:tcPr>
            <w:tcW w:w="6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80" w:type="dxa"/>
            <w:vAlign w:val="bottom"/>
          </w:tcPr>
          <w:p>
            <w:pPr>
              <w:ind w:left="20"/>
              <w:spacing w:after="0"/>
              <w:rPr>
                <w:sz w:val="20"/>
                <w:szCs w:val="20"/>
                <w:color w:val="auto"/>
              </w:rPr>
            </w:pPr>
            <w:r>
              <w:rPr>
                <w:rFonts w:ascii="Arial" w:cs="Arial" w:eastAsia="Arial" w:hAnsi="Arial"/>
                <w:sz w:val="10"/>
                <w:szCs w:val="10"/>
                <w:color w:val="auto"/>
              </w:rPr>
              <w:t>(In millions)</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2024</w:t>
            </w: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2023</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Third party sales</w:t>
            </w:r>
          </w:p>
        </w:tc>
        <w:tc>
          <w:tcPr>
            <w:tcW w:w="18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287.1</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0.5</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10.0</w:t>
            </w:r>
          </w:p>
        </w:tc>
        <w:tc>
          <w:tcPr>
            <w:tcW w:w="440" w:type="dxa"/>
            <w:vAlign w:val="bottom"/>
            <w:tcBorders>
              <w:bottom w:val="single" w:sz="8" w:color="DBDBDB"/>
            </w:tcBorders>
            <w:shd w:val="clear" w:color="auto" w:fill="DBDBDB"/>
          </w:tcPr>
          <w:p>
            <w:pPr>
              <w:jc w:val="right"/>
              <w:ind w:right="228"/>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297.6</w:t>
            </w:r>
          </w:p>
        </w:tc>
        <w:tc>
          <w:tcPr>
            <w:tcW w:w="260" w:type="dxa"/>
            <w:vAlign w:val="bottom"/>
            <w:tcBorders>
              <w:bottom w:val="single" w:sz="8" w:color="DBDBDB"/>
            </w:tcBorders>
            <w:shd w:val="clear" w:color="auto" w:fill="DBDBDB"/>
          </w:tcPr>
          <w:p>
            <w:pPr>
              <w:spacing w:after="0"/>
              <w:rPr>
                <w:sz w:val="13"/>
                <w:szCs w:val="13"/>
                <w:color w:val="auto"/>
              </w:rPr>
            </w:pPr>
          </w:p>
        </w:tc>
        <w:tc>
          <w:tcPr>
            <w:tcW w:w="400" w:type="dxa"/>
            <w:vAlign w:val="bottom"/>
            <w:tcBorders>
              <w:bottom w:val="single" w:sz="8" w:color="DBDBDB"/>
            </w:tcBorders>
            <w:shd w:val="clear" w:color="auto" w:fill="DBDBDB"/>
          </w:tcPr>
          <w:p>
            <w:pPr>
              <w:jc w:val="right"/>
              <w:ind w:right="28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215.3</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4.1</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1.7</w:t>
            </w:r>
          </w:p>
        </w:tc>
        <w:tc>
          <w:tcPr>
            <w:tcW w:w="4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221.1</w:t>
            </w:r>
          </w:p>
        </w:tc>
        <w:tc>
          <w:tcPr>
            <w:tcW w:w="0" w:type="dxa"/>
            <w:vAlign w:val="bottom"/>
          </w:tcPr>
          <w:p>
            <w:pPr>
              <w:spacing w:after="0"/>
              <w:rPr>
                <w:sz w:val="1"/>
                <w:szCs w:val="1"/>
                <w:color w:val="auto"/>
              </w:rPr>
            </w:pPr>
          </w:p>
        </w:tc>
      </w:tr>
      <w:tr>
        <w:trPr>
          <w:trHeight w:val="148"/>
        </w:trPr>
        <w:tc>
          <w:tcPr>
            <w:tcW w:w="1880" w:type="dxa"/>
            <w:vAlign w:val="bottom"/>
          </w:tcPr>
          <w:p>
            <w:pPr>
              <w:ind w:left="20"/>
              <w:spacing w:after="0"/>
              <w:rPr>
                <w:sz w:val="20"/>
                <w:szCs w:val="20"/>
                <w:color w:val="auto"/>
              </w:rPr>
            </w:pPr>
            <w:r>
              <w:rPr>
                <w:rFonts w:ascii="Arial" w:cs="Arial" w:eastAsia="Arial" w:hAnsi="Arial"/>
                <w:sz w:val="10"/>
                <w:szCs w:val="10"/>
                <w:color w:val="auto"/>
              </w:rPr>
              <w:t>Affiliated sales</w:t>
            </w:r>
          </w:p>
        </w:tc>
        <w:tc>
          <w:tcPr>
            <w:tcW w:w="180" w:type="dxa"/>
            <w:vAlign w:val="bottom"/>
          </w:tcPr>
          <w:p>
            <w:pPr>
              <w:spacing w:after="0"/>
              <w:rPr>
                <w:sz w:val="12"/>
                <w:szCs w:val="12"/>
                <w:color w:val="auto"/>
              </w:rPr>
            </w:pPr>
          </w:p>
        </w:tc>
        <w:tc>
          <w:tcPr>
            <w:tcW w:w="90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88"/>
              <w:spacing w:after="0"/>
              <w:rPr>
                <w:sz w:val="20"/>
                <w:szCs w:val="20"/>
                <w:color w:val="auto"/>
              </w:rPr>
            </w:pPr>
            <w:r>
              <w:rPr>
                <w:rFonts w:ascii="Arial" w:cs="Arial" w:eastAsia="Arial" w:hAnsi="Arial"/>
                <w:sz w:val="10"/>
                <w:szCs w:val="10"/>
                <w:color w:val="auto"/>
              </w:rPr>
              <w:t>0.9</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2"/>
                <w:szCs w:val="12"/>
                <w:color w:val="auto"/>
              </w:rPr>
            </w:pP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0.9</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88"/>
              <w:spacing w:after="0"/>
              <w:rPr>
                <w:sz w:val="20"/>
                <w:szCs w:val="20"/>
                <w:color w:val="auto"/>
              </w:rPr>
            </w:pPr>
            <w:r>
              <w:rPr>
                <w:rFonts w:ascii="Arial" w:cs="Arial" w:eastAsia="Arial" w:hAnsi="Arial"/>
                <w:sz w:val="10"/>
                <w:szCs w:val="10"/>
                <w:color w:val="auto"/>
              </w:rPr>
              <w:t>1.9</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620" w:type="dxa"/>
            <w:vAlign w:val="bottom"/>
          </w:tcPr>
          <w:p>
            <w:pPr>
              <w:jc w:val="right"/>
              <w:ind w:right="8"/>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32"/>
        </w:trPr>
        <w:tc>
          <w:tcPr>
            <w:tcW w:w="1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Total segment sales</w:t>
            </w:r>
          </w:p>
        </w:tc>
        <w:tc>
          <w:tcPr>
            <w:tcW w:w="18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287.1</w:t>
            </w:r>
          </w:p>
        </w:tc>
        <w:tc>
          <w:tcPr>
            <w:tcW w:w="30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1.4</w:t>
            </w:r>
          </w:p>
        </w:tc>
        <w:tc>
          <w:tcPr>
            <w:tcW w:w="32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10.0</w:t>
            </w:r>
          </w:p>
        </w:tc>
        <w:tc>
          <w:tcPr>
            <w:tcW w:w="440" w:type="dxa"/>
            <w:vAlign w:val="bottom"/>
            <w:tcBorders>
              <w:bottom w:val="single" w:sz="8" w:color="DBDBDB"/>
            </w:tcBorders>
            <w:shd w:val="clear" w:color="auto" w:fill="DBDBDB"/>
          </w:tcPr>
          <w:p>
            <w:pPr>
              <w:spacing w:after="0"/>
              <w:rPr>
                <w:sz w:val="13"/>
                <w:szCs w:val="13"/>
                <w:color w:val="auto"/>
              </w:rPr>
            </w:pP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298.5</w:t>
            </w:r>
          </w:p>
        </w:tc>
        <w:tc>
          <w:tcPr>
            <w:tcW w:w="260" w:type="dxa"/>
            <w:vAlign w:val="bottom"/>
            <w:tcBorders>
              <w:bottom w:val="single" w:sz="8" w:color="DBDBDB"/>
            </w:tcBorders>
            <w:shd w:val="clear" w:color="auto" w:fill="DBDBDB"/>
          </w:tcPr>
          <w:p>
            <w:pPr>
              <w:spacing w:after="0"/>
              <w:rPr>
                <w:sz w:val="13"/>
                <w:szCs w:val="13"/>
                <w:color w:val="auto"/>
              </w:rPr>
            </w:pPr>
          </w:p>
        </w:tc>
        <w:tc>
          <w:tcPr>
            <w:tcW w:w="400" w:type="dxa"/>
            <w:vAlign w:val="bottom"/>
            <w:tcBorders>
              <w:bottom w:val="single" w:sz="8" w:color="DBDBDB"/>
            </w:tcBorders>
            <w:shd w:val="clear" w:color="auto" w:fill="DBDBDB"/>
          </w:tcPr>
          <w:p>
            <w:pPr>
              <w:spacing w:after="0"/>
              <w:rPr>
                <w:sz w:val="13"/>
                <w:szCs w:val="13"/>
                <w:color w:val="auto"/>
              </w:rPr>
            </w:pPr>
          </w:p>
        </w:tc>
        <w:tc>
          <w:tcPr>
            <w:tcW w:w="68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215.3</w:t>
            </w:r>
          </w:p>
        </w:tc>
        <w:tc>
          <w:tcPr>
            <w:tcW w:w="30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6.0</w:t>
            </w:r>
          </w:p>
        </w:tc>
        <w:tc>
          <w:tcPr>
            <w:tcW w:w="32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1.7</w:t>
            </w:r>
          </w:p>
        </w:tc>
        <w:tc>
          <w:tcPr>
            <w:tcW w:w="480" w:type="dxa"/>
            <w:vAlign w:val="bottom"/>
            <w:tcBorders>
              <w:bottom w:val="single" w:sz="8" w:color="DBDBDB"/>
            </w:tcBorders>
            <w:shd w:val="clear" w:color="auto" w:fill="DBDBDB"/>
          </w:tcPr>
          <w:p>
            <w:pPr>
              <w:spacing w:after="0"/>
              <w:rPr>
                <w:sz w:val="13"/>
                <w:szCs w:val="13"/>
                <w:color w:val="auto"/>
              </w:rPr>
            </w:pP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223.0</w:t>
            </w:r>
          </w:p>
        </w:tc>
        <w:tc>
          <w:tcPr>
            <w:tcW w:w="0" w:type="dxa"/>
            <w:vAlign w:val="bottom"/>
          </w:tcPr>
          <w:p>
            <w:pPr>
              <w:spacing w:after="0"/>
              <w:rPr>
                <w:sz w:val="1"/>
                <w:szCs w:val="1"/>
                <w:color w:val="auto"/>
              </w:rPr>
            </w:pPr>
          </w:p>
        </w:tc>
      </w:tr>
      <w:tr>
        <w:trPr>
          <w:trHeight w:val="148"/>
        </w:trPr>
        <w:tc>
          <w:tcPr>
            <w:tcW w:w="1880" w:type="dxa"/>
            <w:vAlign w:val="bottom"/>
          </w:tcPr>
          <w:p>
            <w:pPr>
              <w:ind w:left="20"/>
              <w:spacing w:after="0"/>
              <w:rPr>
                <w:sz w:val="20"/>
                <w:szCs w:val="20"/>
                <w:color w:val="auto"/>
              </w:rPr>
            </w:pPr>
            <w:r>
              <w:rPr>
                <w:rFonts w:ascii="Arial" w:cs="Arial" w:eastAsia="Arial" w:hAnsi="Arial"/>
                <w:sz w:val="10"/>
                <w:szCs w:val="10"/>
                <w:color w:val="auto"/>
              </w:rPr>
              <w:t>Intercompany eliminations</w:t>
            </w:r>
          </w:p>
        </w:tc>
        <w:tc>
          <w:tcPr>
            <w:tcW w:w="180" w:type="dxa"/>
            <w:vAlign w:val="bottom"/>
          </w:tcPr>
          <w:p>
            <w:pPr>
              <w:spacing w:after="0"/>
              <w:rPr>
                <w:sz w:val="12"/>
                <w:szCs w:val="12"/>
                <w:color w:val="auto"/>
              </w:rPr>
            </w:pPr>
          </w:p>
        </w:tc>
        <w:tc>
          <w:tcPr>
            <w:tcW w:w="90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color w:val="auto"/>
              </w:rPr>
              <w:t>(0.9)</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(0.9)</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color w:val="auto"/>
              </w:rPr>
              <w:t>(1.9)</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32"/>
        </w:trPr>
        <w:tc>
          <w:tcPr>
            <w:tcW w:w="1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Total net sales</w:t>
            </w:r>
          </w:p>
        </w:tc>
        <w:tc>
          <w:tcPr>
            <w:tcW w:w="18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287.1</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0.5</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10.0</w:t>
            </w:r>
          </w:p>
        </w:tc>
        <w:tc>
          <w:tcPr>
            <w:tcW w:w="440" w:type="dxa"/>
            <w:vAlign w:val="bottom"/>
            <w:tcBorders>
              <w:bottom w:val="single" w:sz="8" w:color="DBDBDB"/>
            </w:tcBorders>
            <w:shd w:val="clear" w:color="auto" w:fill="DBDBDB"/>
          </w:tcPr>
          <w:p>
            <w:pPr>
              <w:jc w:val="right"/>
              <w:ind w:right="228"/>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297.6</w:t>
            </w:r>
          </w:p>
        </w:tc>
        <w:tc>
          <w:tcPr>
            <w:tcW w:w="260" w:type="dxa"/>
            <w:vAlign w:val="bottom"/>
            <w:tcBorders>
              <w:bottom w:val="single" w:sz="8" w:color="DBDBDB"/>
            </w:tcBorders>
            <w:shd w:val="clear" w:color="auto" w:fill="DBDBDB"/>
          </w:tcPr>
          <w:p>
            <w:pPr>
              <w:spacing w:after="0"/>
              <w:rPr>
                <w:sz w:val="15"/>
                <w:szCs w:val="15"/>
                <w:color w:val="auto"/>
              </w:rPr>
            </w:pPr>
          </w:p>
        </w:tc>
        <w:tc>
          <w:tcPr>
            <w:tcW w:w="400" w:type="dxa"/>
            <w:vAlign w:val="bottom"/>
            <w:tcBorders>
              <w:bottom w:val="single" w:sz="8" w:color="DBDBDB"/>
            </w:tcBorders>
            <w:shd w:val="clear" w:color="auto" w:fill="DBDBDB"/>
          </w:tcPr>
          <w:p>
            <w:pPr>
              <w:jc w:val="right"/>
              <w:ind w:right="28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215.3</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4.1</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1.7</w:t>
            </w:r>
          </w:p>
        </w:tc>
        <w:tc>
          <w:tcPr>
            <w:tcW w:w="4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221.1</w:t>
            </w:r>
          </w:p>
        </w:tc>
        <w:tc>
          <w:tcPr>
            <w:tcW w:w="0" w:type="dxa"/>
            <w:vAlign w:val="bottom"/>
          </w:tcPr>
          <w:p>
            <w:pPr>
              <w:spacing w:after="0"/>
              <w:rPr>
                <w:sz w:val="1"/>
                <w:szCs w:val="1"/>
                <w:color w:val="auto"/>
              </w:rPr>
            </w:pPr>
          </w:p>
        </w:tc>
      </w:tr>
      <w:tr>
        <w:trPr>
          <w:trHeight w:val="135"/>
        </w:trPr>
        <w:tc>
          <w:tcPr>
            <w:tcW w:w="18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3"/>
          </w:tcPr>
          <w:p>
            <w:pPr>
              <w:jc w:val="center"/>
              <w:ind w:left="208"/>
              <w:spacing w:after="0"/>
              <w:rPr>
                <w:sz w:val="20"/>
                <w:szCs w:val="20"/>
                <w:color w:val="auto"/>
              </w:rPr>
            </w:pPr>
            <w:r>
              <w:rPr>
                <w:rFonts w:ascii="Arial" w:cs="Arial" w:eastAsia="Arial" w:hAnsi="Arial"/>
                <w:sz w:val="10"/>
                <w:szCs w:val="10"/>
                <w:b w:val="1"/>
                <w:bCs w:val="1"/>
                <w:color w:val="auto"/>
              </w:rPr>
              <w:t>Six Months Ended</w:t>
            </w:r>
          </w:p>
        </w:tc>
        <w:tc>
          <w:tcPr>
            <w:tcW w:w="6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center"/>
              <w:ind w:left="188"/>
              <w:spacing w:after="0"/>
              <w:rPr>
                <w:sz w:val="20"/>
                <w:szCs w:val="20"/>
                <w:color w:val="auto"/>
              </w:rPr>
            </w:pPr>
            <w:r>
              <w:rPr>
                <w:rFonts w:ascii="Arial" w:cs="Arial" w:eastAsia="Arial" w:hAnsi="Arial"/>
                <w:sz w:val="10"/>
                <w:szCs w:val="10"/>
                <w:b w:val="1"/>
                <w:bCs w:val="1"/>
                <w:color w:val="auto"/>
              </w:rPr>
              <w:t>April 30,</w:t>
            </w:r>
          </w:p>
        </w:tc>
        <w:tc>
          <w:tcPr>
            <w:tcW w:w="6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2024</w:t>
            </w: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2023</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88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DBDBDB"/>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Third party sales</w:t>
            </w:r>
          </w:p>
        </w:tc>
        <w:tc>
          <w:tcPr>
            <w:tcW w:w="18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511.7</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2.1</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42.5</w:t>
            </w:r>
          </w:p>
        </w:tc>
        <w:tc>
          <w:tcPr>
            <w:tcW w:w="440" w:type="dxa"/>
            <w:vAlign w:val="bottom"/>
            <w:tcBorders>
              <w:bottom w:val="single" w:sz="8" w:color="DBDBDB"/>
            </w:tcBorders>
            <w:shd w:val="clear" w:color="auto" w:fill="DBDBDB"/>
          </w:tcPr>
          <w:p>
            <w:pPr>
              <w:jc w:val="right"/>
              <w:ind w:right="228"/>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556.3</w:t>
            </w:r>
          </w:p>
        </w:tc>
        <w:tc>
          <w:tcPr>
            <w:tcW w:w="260" w:type="dxa"/>
            <w:vAlign w:val="bottom"/>
            <w:tcBorders>
              <w:bottom w:val="single" w:sz="8" w:color="DBDBDB"/>
            </w:tcBorders>
            <w:shd w:val="clear" w:color="auto" w:fill="DBDBDB"/>
          </w:tcPr>
          <w:p>
            <w:pPr>
              <w:spacing w:after="0"/>
              <w:rPr>
                <w:sz w:val="13"/>
                <w:szCs w:val="13"/>
                <w:color w:val="auto"/>
              </w:rPr>
            </w:pPr>
          </w:p>
        </w:tc>
        <w:tc>
          <w:tcPr>
            <w:tcW w:w="400" w:type="dxa"/>
            <w:vAlign w:val="bottom"/>
            <w:tcBorders>
              <w:bottom w:val="single" w:sz="8" w:color="DBDBDB"/>
            </w:tcBorders>
            <w:shd w:val="clear" w:color="auto" w:fill="DBDBDB"/>
          </w:tcPr>
          <w:p>
            <w:pPr>
              <w:jc w:val="right"/>
              <w:ind w:right="28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397.1</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6.0</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31.5</w:t>
            </w:r>
          </w:p>
        </w:tc>
        <w:tc>
          <w:tcPr>
            <w:tcW w:w="4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434.6</w:t>
            </w:r>
          </w:p>
        </w:tc>
        <w:tc>
          <w:tcPr>
            <w:tcW w:w="0" w:type="dxa"/>
            <w:vAlign w:val="bottom"/>
          </w:tcPr>
          <w:p>
            <w:pPr>
              <w:spacing w:after="0"/>
              <w:rPr>
                <w:sz w:val="1"/>
                <w:szCs w:val="1"/>
                <w:color w:val="auto"/>
              </w:rPr>
            </w:pPr>
          </w:p>
        </w:tc>
      </w:tr>
      <w:tr>
        <w:trPr>
          <w:trHeight w:val="148"/>
        </w:trPr>
        <w:tc>
          <w:tcPr>
            <w:tcW w:w="1880" w:type="dxa"/>
            <w:vAlign w:val="bottom"/>
          </w:tcPr>
          <w:p>
            <w:pPr>
              <w:ind w:left="20"/>
              <w:spacing w:after="0"/>
              <w:rPr>
                <w:sz w:val="20"/>
                <w:szCs w:val="20"/>
                <w:color w:val="auto"/>
              </w:rPr>
            </w:pPr>
            <w:r>
              <w:rPr>
                <w:rFonts w:ascii="Arial" w:cs="Arial" w:eastAsia="Arial" w:hAnsi="Arial"/>
                <w:sz w:val="10"/>
                <w:szCs w:val="10"/>
                <w:color w:val="auto"/>
              </w:rPr>
              <w:t>Affiliated sales</w:t>
            </w:r>
          </w:p>
        </w:tc>
        <w:tc>
          <w:tcPr>
            <w:tcW w:w="180" w:type="dxa"/>
            <w:vAlign w:val="bottom"/>
          </w:tcPr>
          <w:p>
            <w:pPr>
              <w:spacing w:after="0"/>
              <w:rPr>
                <w:sz w:val="12"/>
                <w:szCs w:val="12"/>
                <w:color w:val="auto"/>
              </w:rPr>
            </w:pPr>
          </w:p>
        </w:tc>
        <w:tc>
          <w:tcPr>
            <w:tcW w:w="90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88"/>
              <w:spacing w:after="0"/>
              <w:rPr>
                <w:sz w:val="20"/>
                <w:szCs w:val="20"/>
                <w:color w:val="auto"/>
              </w:rPr>
            </w:pPr>
            <w:r>
              <w:rPr>
                <w:rFonts w:ascii="Arial" w:cs="Arial" w:eastAsia="Arial" w:hAnsi="Arial"/>
                <w:sz w:val="10"/>
                <w:szCs w:val="10"/>
                <w:color w:val="auto"/>
              </w:rPr>
              <w:t>5.1</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2"/>
                <w:szCs w:val="12"/>
                <w:color w:val="auto"/>
              </w:rPr>
            </w:pP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5.1</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88"/>
              <w:spacing w:after="0"/>
              <w:rPr>
                <w:sz w:val="20"/>
                <w:szCs w:val="20"/>
                <w:color w:val="auto"/>
              </w:rPr>
            </w:pPr>
            <w:r>
              <w:rPr>
                <w:rFonts w:ascii="Arial" w:cs="Arial" w:eastAsia="Arial" w:hAnsi="Arial"/>
                <w:sz w:val="10"/>
                <w:szCs w:val="10"/>
                <w:color w:val="auto"/>
              </w:rPr>
              <w:t>5.7</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620" w:type="dxa"/>
            <w:vAlign w:val="bottom"/>
          </w:tcPr>
          <w:p>
            <w:pPr>
              <w:jc w:val="right"/>
              <w:ind w:right="8"/>
              <w:spacing w:after="0"/>
              <w:rPr>
                <w:sz w:val="20"/>
                <w:szCs w:val="20"/>
                <w:color w:val="auto"/>
              </w:rPr>
            </w:pPr>
            <w:r>
              <w:rPr>
                <w:rFonts w:ascii="Arial" w:cs="Arial" w:eastAsia="Arial" w:hAnsi="Arial"/>
                <w:sz w:val="10"/>
                <w:szCs w:val="10"/>
                <w:color w:val="auto"/>
              </w:rPr>
              <w:t>5.7</w:t>
            </w:r>
          </w:p>
        </w:tc>
        <w:tc>
          <w:tcPr>
            <w:tcW w:w="0" w:type="dxa"/>
            <w:vAlign w:val="bottom"/>
          </w:tcPr>
          <w:p>
            <w:pPr>
              <w:spacing w:after="0"/>
              <w:rPr>
                <w:sz w:val="1"/>
                <w:szCs w:val="1"/>
                <w:color w:val="auto"/>
              </w:rPr>
            </w:pPr>
          </w:p>
        </w:tc>
      </w:tr>
      <w:tr>
        <w:trPr>
          <w:trHeight w:val="32"/>
        </w:trPr>
        <w:tc>
          <w:tcPr>
            <w:tcW w:w="1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Total segment sales</w:t>
            </w:r>
          </w:p>
        </w:tc>
        <w:tc>
          <w:tcPr>
            <w:tcW w:w="18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511.7</w:t>
            </w:r>
          </w:p>
        </w:tc>
        <w:tc>
          <w:tcPr>
            <w:tcW w:w="30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7.2</w:t>
            </w:r>
          </w:p>
        </w:tc>
        <w:tc>
          <w:tcPr>
            <w:tcW w:w="32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42.5</w:t>
            </w:r>
          </w:p>
        </w:tc>
        <w:tc>
          <w:tcPr>
            <w:tcW w:w="440" w:type="dxa"/>
            <w:vAlign w:val="bottom"/>
            <w:tcBorders>
              <w:bottom w:val="single" w:sz="8" w:color="DBDBDB"/>
            </w:tcBorders>
            <w:shd w:val="clear" w:color="auto" w:fill="DBDBDB"/>
          </w:tcPr>
          <w:p>
            <w:pPr>
              <w:spacing w:after="0"/>
              <w:rPr>
                <w:sz w:val="13"/>
                <w:szCs w:val="13"/>
                <w:color w:val="auto"/>
              </w:rPr>
            </w:pP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561.4</w:t>
            </w:r>
          </w:p>
        </w:tc>
        <w:tc>
          <w:tcPr>
            <w:tcW w:w="260" w:type="dxa"/>
            <w:vAlign w:val="bottom"/>
            <w:tcBorders>
              <w:bottom w:val="single" w:sz="8" w:color="DBDBDB"/>
            </w:tcBorders>
            <w:shd w:val="clear" w:color="auto" w:fill="DBDBDB"/>
          </w:tcPr>
          <w:p>
            <w:pPr>
              <w:spacing w:after="0"/>
              <w:rPr>
                <w:sz w:val="13"/>
                <w:szCs w:val="13"/>
                <w:color w:val="auto"/>
              </w:rPr>
            </w:pPr>
          </w:p>
        </w:tc>
        <w:tc>
          <w:tcPr>
            <w:tcW w:w="400" w:type="dxa"/>
            <w:vAlign w:val="bottom"/>
            <w:tcBorders>
              <w:bottom w:val="single" w:sz="8" w:color="DBDBDB"/>
            </w:tcBorders>
            <w:shd w:val="clear" w:color="auto" w:fill="DBDBDB"/>
          </w:tcPr>
          <w:p>
            <w:pPr>
              <w:spacing w:after="0"/>
              <w:rPr>
                <w:sz w:val="13"/>
                <w:szCs w:val="13"/>
                <w:color w:val="auto"/>
              </w:rPr>
            </w:pPr>
          </w:p>
        </w:tc>
        <w:tc>
          <w:tcPr>
            <w:tcW w:w="68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397.1</w:t>
            </w:r>
          </w:p>
        </w:tc>
        <w:tc>
          <w:tcPr>
            <w:tcW w:w="30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11.7</w:t>
            </w:r>
          </w:p>
        </w:tc>
        <w:tc>
          <w:tcPr>
            <w:tcW w:w="32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31.5</w:t>
            </w:r>
          </w:p>
        </w:tc>
        <w:tc>
          <w:tcPr>
            <w:tcW w:w="480" w:type="dxa"/>
            <w:vAlign w:val="bottom"/>
            <w:tcBorders>
              <w:bottom w:val="single" w:sz="8" w:color="DBDBDB"/>
            </w:tcBorders>
            <w:shd w:val="clear" w:color="auto" w:fill="DBDBDB"/>
          </w:tcPr>
          <w:p>
            <w:pPr>
              <w:spacing w:after="0"/>
              <w:rPr>
                <w:sz w:val="13"/>
                <w:szCs w:val="13"/>
                <w:color w:val="auto"/>
              </w:rPr>
            </w:pP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440.3</w:t>
            </w:r>
          </w:p>
        </w:tc>
        <w:tc>
          <w:tcPr>
            <w:tcW w:w="0" w:type="dxa"/>
            <w:vAlign w:val="bottom"/>
          </w:tcPr>
          <w:p>
            <w:pPr>
              <w:spacing w:after="0"/>
              <w:rPr>
                <w:sz w:val="1"/>
                <w:szCs w:val="1"/>
                <w:color w:val="auto"/>
              </w:rPr>
            </w:pPr>
          </w:p>
        </w:tc>
      </w:tr>
      <w:tr>
        <w:trPr>
          <w:trHeight w:val="148"/>
        </w:trPr>
        <w:tc>
          <w:tcPr>
            <w:tcW w:w="1880" w:type="dxa"/>
            <w:vAlign w:val="bottom"/>
          </w:tcPr>
          <w:p>
            <w:pPr>
              <w:ind w:left="20"/>
              <w:spacing w:after="0"/>
              <w:rPr>
                <w:sz w:val="20"/>
                <w:szCs w:val="20"/>
                <w:color w:val="auto"/>
              </w:rPr>
            </w:pPr>
            <w:r>
              <w:rPr>
                <w:rFonts w:ascii="Arial" w:cs="Arial" w:eastAsia="Arial" w:hAnsi="Arial"/>
                <w:sz w:val="10"/>
                <w:szCs w:val="10"/>
                <w:color w:val="auto"/>
              </w:rPr>
              <w:t>Intercompany eliminations</w:t>
            </w:r>
          </w:p>
        </w:tc>
        <w:tc>
          <w:tcPr>
            <w:tcW w:w="180" w:type="dxa"/>
            <w:vAlign w:val="bottom"/>
          </w:tcPr>
          <w:p>
            <w:pPr>
              <w:spacing w:after="0"/>
              <w:rPr>
                <w:sz w:val="12"/>
                <w:szCs w:val="12"/>
                <w:color w:val="auto"/>
              </w:rPr>
            </w:pPr>
          </w:p>
        </w:tc>
        <w:tc>
          <w:tcPr>
            <w:tcW w:w="90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color w:val="auto"/>
              </w:rPr>
              <w:t>(5.1)</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(5.1)</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color w:val="auto"/>
              </w:rPr>
              <w:t>(5.7)</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(5.7)</w:t>
            </w:r>
          </w:p>
        </w:tc>
        <w:tc>
          <w:tcPr>
            <w:tcW w:w="0" w:type="dxa"/>
            <w:vAlign w:val="bottom"/>
          </w:tcPr>
          <w:p>
            <w:pPr>
              <w:spacing w:after="0"/>
              <w:rPr>
                <w:sz w:val="1"/>
                <w:szCs w:val="1"/>
                <w:color w:val="auto"/>
              </w:rPr>
            </w:pPr>
          </w:p>
        </w:tc>
      </w:tr>
      <w:tr>
        <w:trPr>
          <w:trHeight w:val="32"/>
        </w:trPr>
        <w:tc>
          <w:tcPr>
            <w:tcW w:w="1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Total net sales</w:t>
            </w:r>
          </w:p>
        </w:tc>
        <w:tc>
          <w:tcPr>
            <w:tcW w:w="18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511.7</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2.1</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42.5</w:t>
            </w:r>
          </w:p>
        </w:tc>
        <w:tc>
          <w:tcPr>
            <w:tcW w:w="440" w:type="dxa"/>
            <w:vAlign w:val="bottom"/>
            <w:tcBorders>
              <w:bottom w:val="single" w:sz="8" w:color="DBDBDB"/>
            </w:tcBorders>
            <w:shd w:val="clear" w:color="auto" w:fill="DBDBDB"/>
          </w:tcPr>
          <w:p>
            <w:pPr>
              <w:jc w:val="right"/>
              <w:ind w:right="228"/>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556.3</w:t>
            </w:r>
          </w:p>
        </w:tc>
        <w:tc>
          <w:tcPr>
            <w:tcW w:w="260" w:type="dxa"/>
            <w:vAlign w:val="bottom"/>
            <w:tcBorders>
              <w:bottom w:val="single" w:sz="8" w:color="DBDBDB"/>
            </w:tcBorders>
            <w:shd w:val="clear" w:color="auto" w:fill="DBDBDB"/>
          </w:tcPr>
          <w:p>
            <w:pPr>
              <w:spacing w:after="0"/>
              <w:rPr>
                <w:sz w:val="13"/>
                <w:szCs w:val="13"/>
                <w:color w:val="auto"/>
              </w:rPr>
            </w:pPr>
          </w:p>
        </w:tc>
        <w:tc>
          <w:tcPr>
            <w:tcW w:w="400" w:type="dxa"/>
            <w:vAlign w:val="bottom"/>
            <w:tcBorders>
              <w:bottom w:val="single" w:sz="8" w:color="DBDBDB"/>
            </w:tcBorders>
            <w:shd w:val="clear" w:color="auto" w:fill="DBDBDB"/>
          </w:tcPr>
          <w:p>
            <w:pPr>
              <w:jc w:val="right"/>
              <w:ind w:right="28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397.1</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6.0</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31.5</w:t>
            </w:r>
          </w:p>
        </w:tc>
        <w:tc>
          <w:tcPr>
            <w:tcW w:w="4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434.6</w:t>
            </w: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Adjusted EBITDA</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60" w:type="dxa"/>
            <w:vAlign w:val="bottom"/>
            <w:gridSpan w:val="2"/>
          </w:tcPr>
          <w:p>
            <w:pPr>
              <w:jc w:val="right"/>
              <w:ind w:right="251"/>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60" w:type="dxa"/>
            <w:vAlign w:val="bottom"/>
            <w:gridSpan w:val="2"/>
          </w:tcPr>
          <w:p>
            <w:pPr>
              <w:jc w:val="right"/>
              <w:ind w:right="291"/>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4"/>
                <w:szCs w:val="14"/>
                <w:color w:val="auto"/>
              </w:rPr>
            </w:pPr>
          </w:p>
        </w:tc>
      </w:tr>
      <w:tr>
        <w:trPr>
          <w:trHeight w:val="196"/>
        </w:trPr>
        <w:tc>
          <w:tcPr>
            <w:tcW w:w="40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right"/>
              <w:ind w:right="651"/>
              <w:spacing w:after="0"/>
              <w:rPr>
                <w:sz w:val="20"/>
                <w:szCs w:val="20"/>
                <w:color w:val="auto"/>
              </w:rPr>
            </w:pPr>
            <w:r>
              <w:rPr>
                <w:rFonts w:ascii="Arial" w:cs="Arial" w:eastAsia="Arial" w:hAnsi="Arial"/>
                <w:sz w:val="14"/>
                <w:szCs w:val="14"/>
                <w:b w:val="1"/>
                <w:bCs w:val="1"/>
                <w:color w:val="auto"/>
              </w:rPr>
              <w:t>April 30,</w:t>
            </w:r>
          </w:p>
        </w:tc>
        <w:tc>
          <w:tcPr>
            <w:tcW w:w="7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2"/>
          </w:tcPr>
          <w:p>
            <w:pPr>
              <w:jc w:val="right"/>
              <w:ind w:right="611"/>
              <w:spacing w:after="0"/>
              <w:rPr>
                <w:sz w:val="20"/>
                <w:szCs w:val="20"/>
                <w:color w:val="auto"/>
              </w:rPr>
            </w:pPr>
            <w:r>
              <w:rPr>
                <w:rFonts w:ascii="Arial" w:cs="Arial" w:eastAsia="Arial" w:hAnsi="Arial"/>
                <w:sz w:val="14"/>
                <w:szCs w:val="14"/>
                <w:b w:val="1"/>
                <w:bCs w:val="1"/>
                <w:color w:val="auto"/>
              </w:rPr>
              <w:t>April 30,</w:t>
            </w:r>
          </w:p>
        </w:tc>
        <w:tc>
          <w:tcPr>
            <w:tcW w:w="780" w:type="dxa"/>
            <w:vAlign w:val="bottom"/>
            <w:tcBorders>
              <w:bottom w:val="single" w:sz="8" w:color="auto"/>
            </w:tcBorders>
          </w:tcPr>
          <w:p>
            <w:pPr>
              <w:spacing w:after="0"/>
              <w:rPr>
                <w:sz w:val="17"/>
                <w:szCs w:val="17"/>
                <w:color w:val="auto"/>
              </w:rPr>
            </w:pPr>
          </w:p>
        </w:tc>
      </w:tr>
      <w:tr>
        <w:trPr>
          <w:trHeight w:val="212"/>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10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9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9"/>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Marketing and Distribution adjusted EBITDA</w:t>
            </w:r>
          </w:p>
        </w:tc>
        <w:tc>
          <w:tcPr>
            <w:tcW w:w="56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21.7</w:t>
            </w:r>
          </w:p>
        </w:tc>
        <w:tc>
          <w:tcPr>
            <w:tcW w:w="1000" w:type="dxa"/>
            <w:vAlign w:val="bottom"/>
            <w:tcBorders>
              <w:bottom w:val="single" w:sz="8" w:color="DBDBDB"/>
            </w:tcBorders>
            <w:shd w:val="clear" w:color="auto" w:fill="DBDBDB"/>
          </w:tcPr>
          <w:p>
            <w:pPr>
              <w:jc w:val="right"/>
              <w:ind w:right="77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8.6</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ind w:right="45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32.7</w:t>
            </w:r>
          </w:p>
        </w:tc>
        <w:tc>
          <w:tcPr>
            <w:tcW w:w="960" w:type="dxa"/>
            <w:vAlign w:val="bottom"/>
            <w:tcBorders>
              <w:bottom w:val="single" w:sz="8" w:color="DBDBDB"/>
            </w:tcBorders>
            <w:shd w:val="clear" w:color="auto" w:fill="DBDBDB"/>
          </w:tcPr>
          <w:p>
            <w:pPr>
              <w:jc w:val="right"/>
              <w:ind w:right="71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13.2</w:t>
            </w:r>
          </w:p>
        </w:tc>
      </w:tr>
      <w:tr>
        <w:trPr>
          <w:trHeight w:val="199"/>
        </w:trPr>
        <w:tc>
          <w:tcPr>
            <w:tcW w:w="4060" w:type="dxa"/>
            <w:vAlign w:val="bottom"/>
          </w:tcPr>
          <w:p>
            <w:pPr>
              <w:ind w:left="20"/>
              <w:spacing w:after="0"/>
              <w:rPr>
                <w:sz w:val="20"/>
                <w:szCs w:val="20"/>
                <w:color w:val="auto"/>
              </w:rPr>
            </w:pPr>
            <w:r>
              <w:rPr>
                <w:rFonts w:ascii="Arial" w:cs="Arial" w:eastAsia="Arial" w:hAnsi="Arial"/>
                <w:sz w:val="14"/>
                <w:szCs w:val="14"/>
                <w:color w:val="auto"/>
              </w:rPr>
              <w:t>International Farming adjusted EBITDA</w:t>
            </w:r>
          </w:p>
        </w:tc>
        <w:tc>
          <w:tcPr>
            <w:tcW w:w="560" w:type="dxa"/>
            <w:vAlign w:val="bottom"/>
          </w:tcPr>
          <w:p>
            <w:pPr>
              <w:spacing w:after="0"/>
              <w:rPr>
                <w:sz w:val="17"/>
                <w:szCs w:val="17"/>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(2.2)</w:t>
            </w:r>
          </w:p>
        </w:tc>
        <w:tc>
          <w:tcPr>
            <w:tcW w:w="10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11"/>
              <w:spacing w:after="0"/>
              <w:rPr>
                <w:sz w:val="20"/>
                <w:szCs w:val="20"/>
                <w:color w:val="auto"/>
              </w:rPr>
            </w:pPr>
            <w:r>
              <w:rPr>
                <w:rFonts w:ascii="Arial" w:cs="Arial" w:eastAsia="Arial" w:hAnsi="Arial"/>
                <w:sz w:val="14"/>
                <w:szCs w:val="14"/>
                <w:color w:val="auto"/>
              </w:rPr>
              <w:t>(2.7)</w:t>
            </w:r>
          </w:p>
        </w:tc>
        <w:tc>
          <w:tcPr>
            <w:tcW w:w="9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0"/>
        </w:trPr>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4"/>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Blueberries adjusted EBITDA</w:t>
            </w:r>
          </w:p>
        </w:tc>
        <w:tc>
          <w:tcPr>
            <w:tcW w:w="56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0.7</w:t>
            </w:r>
          </w:p>
        </w:tc>
        <w:tc>
          <w:tcPr>
            <w:tcW w:w="100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0.1</w:t>
            </w:r>
          </w:p>
        </w:tc>
        <w:tc>
          <w:tcPr>
            <w:tcW w:w="260" w:type="dxa"/>
            <w:vAlign w:val="bottom"/>
            <w:tcBorders>
              <w:bottom w:val="single" w:sz="8" w:color="DBDBDB"/>
            </w:tcBorders>
            <w:shd w:val="clear" w:color="auto" w:fill="DBDBDB"/>
          </w:tcPr>
          <w:p>
            <w:pPr>
              <w:spacing w:after="0"/>
              <w:rPr>
                <w:sz w:val="19"/>
                <w:szCs w:val="19"/>
                <w:color w:val="auto"/>
              </w:rPr>
            </w:pPr>
          </w:p>
        </w:tc>
        <w:tc>
          <w:tcPr>
            <w:tcW w:w="620" w:type="dxa"/>
            <w:vAlign w:val="bottom"/>
            <w:tcBorders>
              <w:bottom w:val="single" w:sz="8" w:color="DBDBDB"/>
            </w:tcBorders>
            <w:shd w:val="clear" w:color="auto" w:fill="DBDBDB"/>
          </w:tcPr>
          <w:p>
            <w:pPr>
              <w:spacing w:after="0"/>
              <w:rPr>
                <w:sz w:val="19"/>
                <w:szCs w:val="19"/>
                <w:color w:val="auto"/>
              </w:rPr>
            </w:pP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9.4</w:t>
            </w:r>
          </w:p>
        </w:tc>
        <w:tc>
          <w:tcPr>
            <w:tcW w:w="960" w:type="dxa"/>
            <w:vAlign w:val="bottom"/>
            <w:tcBorders>
              <w:bottom w:val="single" w:sz="8" w:color="DBDBDB"/>
            </w:tcBorders>
            <w:shd w:val="clear" w:color="auto" w:fill="DBDBDB"/>
          </w:tcPr>
          <w:p>
            <w:pPr>
              <w:spacing w:after="0"/>
              <w:rPr>
                <w:sz w:val="19"/>
                <w:szCs w:val="19"/>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(0.4)</w:t>
            </w:r>
          </w:p>
        </w:tc>
      </w:tr>
      <w:tr>
        <w:trPr>
          <w:trHeight w:val="192"/>
        </w:trPr>
        <w:tc>
          <w:tcPr>
            <w:tcW w:w="40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reportable segment adjusted EBITDA</w:t>
            </w:r>
          </w:p>
        </w:tc>
        <w:tc>
          <w:tcPr>
            <w:tcW w:w="5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20.2</w:t>
            </w:r>
          </w:p>
        </w:tc>
        <w:tc>
          <w:tcPr>
            <w:tcW w:w="10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2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451"/>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39.4</w:t>
            </w:r>
          </w:p>
        </w:tc>
        <w:tc>
          <w:tcPr>
            <w:tcW w:w="960" w:type="dxa"/>
            <w:vAlign w:val="bottom"/>
            <w:tcBorders>
              <w:top w:val="single" w:sz="8" w:color="auto"/>
            </w:tcBorders>
          </w:tcPr>
          <w:p>
            <w:pPr>
              <w:jc w:val="right"/>
              <w:ind w:right="7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w:t>
            </w: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2"/>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income (loss)</w:t>
            </w:r>
          </w:p>
        </w:tc>
        <w:tc>
          <w:tcPr>
            <w:tcW w:w="56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7.0</w:t>
            </w:r>
          </w:p>
        </w:tc>
        <w:tc>
          <w:tcPr>
            <w:tcW w:w="100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(4.7)</w:t>
            </w:r>
          </w:p>
        </w:tc>
        <w:tc>
          <w:tcPr>
            <w:tcW w:w="260" w:type="dxa"/>
            <w:vAlign w:val="bottom"/>
            <w:tcBorders>
              <w:bottom w:val="single" w:sz="8" w:color="DBDBDB"/>
            </w:tcBorders>
            <w:shd w:val="clear" w:color="auto" w:fill="DBDBDB"/>
          </w:tcPr>
          <w:p>
            <w:pPr>
              <w:spacing w:after="0"/>
              <w:rPr>
                <w:sz w:val="16"/>
                <w:szCs w:val="16"/>
                <w:color w:val="auto"/>
              </w:rPr>
            </w:pPr>
          </w:p>
        </w:tc>
        <w:tc>
          <w:tcPr>
            <w:tcW w:w="62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9.0</w:t>
            </w:r>
          </w:p>
        </w:tc>
        <w:tc>
          <w:tcPr>
            <w:tcW w:w="96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(15.3)</w:t>
            </w:r>
          </w:p>
        </w:tc>
      </w:tr>
      <w:tr>
        <w:trPr>
          <w:trHeight w:val="199"/>
        </w:trPr>
        <w:tc>
          <w:tcPr>
            <w:tcW w:w="40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560" w:type="dxa"/>
            <w:vAlign w:val="bottom"/>
          </w:tcPr>
          <w:p>
            <w:pPr>
              <w:spacing w:after="0"/>
              <w:rPr>
                <w:sz w:val="17"/>
                <w:szCs w:val="17"/>
                <w:color w:val="auto"/>
              </w:rPr>
            </w:pP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3.4</w:t>
            </w:r>
          </w:p>
        </w:tc>
        <w:tc>
          <w:tcPr>
            <w:tcW w:w="10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6.7</w:t>
            </w:r>
          </w:p>
        </w:tc>
        <w:tc>
          <w:tcPr>
            <w:tcW w:w="9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0"/>
        </w:trPr>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Provision for income taxes</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3.4</w:t>
            </w:r>
          </w:p>
        </w:tc>
        <w:tc>
          <w:tcPr>
            <w:tcW w:w="100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1.8</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5.5</w:t>
            </w:r>
          </w:p>
        </w:tc>
        <w:tc>
          <w:tcPr>
            <w:tcW w:w="9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0.1</w:t>
            </w:r>
          </w:p>
        </w:tc>
      </w:tr>
      <w:tr>
        <w:trPr>
          <w:trHeight w:val="219"/>
        </w:trPr>
        <w:tc>
          <w:tcPr>
            <w:tcW w:w="4060" w:type="dxa"/>
            <w:vAlign w:val="bottom"/>
          </w:tcPr>
          <w:p>
            <w:pPr>
              <w:ind w:left="20"/>
              <w:spacing w:after="0"/>
              <w:rPr>
                <w:sz w:val="20"/>
                <w:szCs w:val="20"/>
                <w:color w:val="auto"/>
              </w:rPr>
            </w:pPr>
            <w:r>
              <w:rPr>
                <w:rFonts w:ascii="Arial" w:cs="Arial" w:eastAsia="Arial" w:hAnsi="Arial"/>
                <w:sz w:val="14"/>
                <w:szCs w:val="14"/>
                <w:color w:val="auto"/>
              </w:rPr>
              <w:t>Depreciation and amortization</w:t>
            </w:r>
            <w:r>
              <w:rPr>
                <w:rFonts w:ascii="Arial" w:cs="Arial" w:eastAsia="Arial" w:hAnsi="Arial"/>
                <w:sz w:val="17"/>
                <w:szCs w:val="17"/>
                <w:color w:val="auto"/>
                <w:vertAlign w:val="superscript"/>
              </w:rPr>
              <w:t>(1)</w:t>
            </w:r>
          </w:p>
        </w:tc>
        <w:tc>
          <w:tcPr>
            <w:tcW w:w="56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5.7</w:t>
            </w:r>
          </w:p>
        </w:tc>
        <w:tc>
          <w:tcPr>
            <w:tcW w:w="10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18.6</w:t>
            </w:r>
          </w:p>
        </w:tc>
        <w:tc>
          <w:tcPr>
            <w:tcW w:w="9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15.2</w:t>
            </w:r>
          </w:p>
        </w:tc>
      </w:tr>
      <w:tr>
        <w:trPr>
          <w:trHeight w:val="199"/>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Equity method income</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(0.5)</w:t>
            </w:r>
          </w:p>
        </w:tc>
        <w:tc>
          <w:tcPr>
            <w:tcW w:w="100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(0.4)</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(0.9)</w:t>
            </w:r>
          </w:p>
        </w:tc>
        <w:tc>
          <w:tcPr>
            <w:tcW w:w="9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(1.4)</w:t>
            </w:r>
          </w:p>
        </w:tc>
      </w:tr>
      <w:tr>
        <w:trPr>
          <w:trHeight w:val="199"/>
        </w:trPr>
        <w:tc>
          <w:tcPr>
            <w:tcW w:w="40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560" w:type="dxa"/>
            <w:vAlign w:val="bottom"/>
          </w:tcPr>
          <w:p>
            <w:pPr>
              <w:spacing w:after="0"/>
              <w:rPr>
                <w:sz w:val="17"/>
                <w:szCs w:val="17"/>
                <w:color w:val="auto"/>
              </w:rPr>
            </w:pP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1.6</w:t>
            </w:r>
          </w:p>
        </w:tc>
        <w:tc>
          <w:tcPr>
            <w:tcW w:w="10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3.0</w:t>
            </w:r>
          </w:p>
        </w:tc>
        <w:tc>
          <w:tcPr>
            <w:tcW w:w="9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0"/>
        </w:trPr>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Asset impairment and disposals, net of insurance recoveries</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0.2</w:t>
            </w:r>
          </w:p>
        </w:tc>
        <w:tc>
          <w:tcPr>
            <w:tcW w:w="100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0.5</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0.4</w:t>
            </w:r>
          </w:p>
        </w:tc>
        <w:tc>
          <w:tcPr>
            <w:tcW w:w="9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0.8</w:t>
            </w:r>
          </w:p>
        </w:tc>
      </w:tr>
      <w:tr>
        <w:trPr>
          <w:trHeight w:val="199"/>
        </w:trPr>
        <w:tc>
          <w:tcPr>
            <w:tcW w:w="4060" w:type="dxa"/>
            <w:vAlign w:val="bottom"/>
          </w:tcPr>
          <w:p>
            <w:pPr>
              <w:ind w:left="20"/>
              <w:spacing w:after="0"/>
              <w:rPr>
                <w:sz w:val="20"/>
                <w:szCs w:val="20"/>
                <w:color w:val="auto"/>
              </w:rPr>
            </w:pPr>
            <w:r>
              <w:rPr>
                <w:rFonts w:ascii="Arial" w:cs="Arial" w:eastAsia="Arial" w:hAnsi="Arial"/>
                <w:sz w:val="14"/>
                <w:szCs w:val="14"/>
                <w:color w:val="auto"/>
              </w:rPr>
              <w:t>Farming costs for nonproductive orchards</w:t>
            </w:r>
          </w:p>
        </w:tc>
        <w:tc>
          <w:tcPr>
            <w:tcW w:w="560" w:type="dxa"/>
            <w:vAlign w:val="bottom"/>
          </w:tcPr>
          <w:p>
            <w:pPr>
              <w:spacing w:after="0"/>
              <w:rPr>
                <w:sz w:val="17"/>
                <w:szCs w:val="17"/>
                <w:color w:val="auto"/>
              </w:rPr>
            </w:pP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0.3</w:t>
            </w:r>
          </w:p>
        </w:tc>
        <w:tc>
          <w:tcPr>
            <w:tcW w:w="10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0.4</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0.8</w:t>
            </w:r>
          </w:p>
        </w:tc>
        <w:tc>
          <w:tcPr>
            <w:tcW w:w="9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0"/>
        </w:trPr>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Recognition of deferred ERP costs</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0.6</w:t>
            </w:r>
          </w:p>
        </w:tc>
        <w:tc>
          <w:tcPr>
            <w:tcW w:w="100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0.5</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1.1</w:t>
            </w:r>
          </w:p>
        </w:tc>
        <w:tc>
          <w:tcPr>
            <w:tcW w:w="9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1.1</w:t>
            </w:r>
          </w:p>
        </w:tc>
      </w:tr>
      <w:tr>
        <w:trPr>
          <w:trHeight w:val="199"/>
        </w:trPr>
        <w:tc>
          <w:tcPr>
            <w:tcW w:w="4060" w:type="dxa"/>
            <w:vAlign w:val="bottom"/>
          </w:tcPr>
          <w:p>
            <w:pPr>
              <w:ind w:left="20"/>
              <w:spacing w:after="0"/>
              <w:rPr>
                <w:sz w:val="20"/>
                <w:szCs w:val="20"/>
                <w:color w:val="auto"/>
              </w:rPr>
            </w:pPr>
            <w:r>
              <w:rPr>
                <w:rFonts w:ascii="Arial" w:cs="Arial" w:eastAsia="Arial" w:hAnsi="Arial"/>
                <w:sz w:val="14"/>
                <w:szCs w:val="14"/>
                <w:color w:val="auto"/>
              </w:rPr>
              <w:t>Severance</w:t>
            </w:r>
          </w:p>
        </w:tc>
        <w:tc>
          <w:tcPr>
            <w:tcW w:w="560" w:type="dxa"/>
            <w:vAlign w:val="bottom"/>
          </w:tcPr>
          <w:p>
            <w:pPr>
              <w:spacing w:after="0"/>
              <w:rPr>
                <w:sz w:val="17"/>
                <w:szCs w:val="17"/>
                <w:color w:val="auto"/>
              </w:rPr>
            </w:pP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1.3</w:t>
            </w:r>
          </w:p>
        </w:tc>
        <w:tc>
          <w:tcPr>
            <w:tcW w:w="9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Legal settlement</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gridSpan w:val="2"/>
            <w:shd w:val="clear" w:color="auto" w:fill="DBDBDB"/>
          </w:tcPr>
          <w:p>
            <w:pPr>
              <w:jc w:val="right"/>
              <w:ind w:right="3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0.2</w:t>
            </w:r>
          </w:p>
        </w:tc>
        <w:tc>
          <w:tcPr>
            <w:tcW w:w="9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4060" w:type="dxa"/>
            <w:vAlign w:val="bottom"/>
          </w:tcPr>
          <w:p>
            <w:pPr>
              <w:ind w:left="20"/>
              <w:spacing w:after="0"/>
              <w:rPr>
                <w:sz w:val="20"/>
                <w:szCs w:val="20"/>
                <w:color w:val="auto"/>
              </w:rPr>
            </w:pPr>
            <w:r>
              <w:rPr>
                <w:rFonts w:ascii="Arial" w:cs="Arial" w:eastAsia="Arial" w:hAnsi="Arial"/>
                <w:sz w:val="14"/>
                <w:szCs w:val="14"/>
                <w:color w:val="auto"/>
              </w:rPr>
              <w:t>Transaction costs</w:t>
            </w:r>
          </w:p>
        </w:tc>
        <w:tc>
          <w:tcPr>
            <w:tcW w:w="560" w:type="dxa"/>
            <w:vAlign w:val="bottom"/>
          </w:tcPr>
          <w:p>
            <w:pPr>
              <w:spacing w:after="0"/>
              <w:rPr>
                <w:sz w:val="17"/>
                <w:szCs w:val="17"/>
                <w:color w:val="auto"/>
              </w:rPr>
            </w:pP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0.2</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0"/>
        </w:trPr>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6"/>
        </w:trPr>
        <w:tc>
          <w:tcPr>
            <w:tcW w:w="4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Amortization of inventory adjustment recognized from business</w:t>
            </w:r>
          </w:p>
        </w:tc>
        <w:tc>
          <w:tcPr>
            <w:tcW w:w="56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spacing w:after="0"/>
              <w:rPr>
                <w:sz w:val="16"/>
                <w:szCs w:val="16"/>
                <w:color w:val="auto"/>
              </w:rPr>
            </w:pPr>
          </w:p>
        </w:tc>
        <w:tc>
          <w:tcPr>
            <w:tcW w:w="1000" w:type="dxa"/>
            <w:vAlign w:val="bottom"/>
            <w:gridSpan w:val="2"/>
            <w:shd w:val="clear" w:color="auto" w:fill="DBDBDB"/>
          </w:tcPr>
          <w:p>
            <w:pPr>
              <w:jc w:val="right"/>
              <w:ind w:right="320"/>
              <w:spacing w:after="0"/>
              <w:rPr>
                <w:sz w:val="20"/>
                <w:szCs w:val="20"/>
                <w:color w:val="auto"/>
              </w:rPr>
            </w:pPr>
            <w:r>
              <w:rPr>
                <w:rFonts w:ascii="Arial" w:cs="Arial" w:eastAsia="Arial" w:hAnsi="Arial"/>
                <w:sz w:val="14"/>
                <w:szCs w:val="14"/>
                <w:color w:val="auto"/>
              </w:rPr>
              <w:t>—</w:t>
            </w:r>
          </w:p>
        </w:tc>
        <w:tc>
          <w:tcPr>
            <w:tcW w:w="62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auto"/>
              </w:rPr>
              <w:t>—</w:t>
            </w:r>
          </w:p>
        </w:tc>
        <w:tc>
          <w:tcPr>
            <w:tcW w:w="96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0.7</w:t>
            </w:r>
          </w:p>
        </w:tc>
      </w:tr>
      <w:tr>
        <w:trPr>
          <w:trHeight w:val="181"/>
        </w:trPr>
        <w:tc>
          <w:tcPr>
            <w:tcW w:w="40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rPr>
              <w:t>combination</w:t>
            </w:r>
          </w:p>
        </w:tc>
        <w:tc>
          <w:tcPr>
            <w:tcW w:w="56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spacing w:after="0"/>
              <w:rPr>
                <w:sz w:val="15"/>
                <w:szCs w:val="15"/>
                <w:color w:val="auto"/>
              </w:rPr>
            </w:pPr>
          </w:p>
        </w:tc>
        <w:tc>
          <w:tcPr>
            <w:tcW w:w="74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spacing w:after="0"/>
              <w:rPr>
                <w:sz w:val="15"/>
                <w:szCs w:val="15"/>
                <w:color w:val="auto"/>
              </w:rPr>
            </w:pPr>
          </w:p>
        </w:tc>
        <w:tc>
          <w:tcPr>
            <w:tcW w:w="6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spacing w:after="0"/>
              <w:rPr>
                <w:sz w:val="15"/>
                <w:szCs w:val="15"/>
                <w:color w:val="auto"/>
              </w:rPr>
            </w:pPr>
          </w:p>
        </w:tc>
        <w:tc>
          <w:tcPr>
            <w:tcW w:w="780" w:type="dxa"/>
            <w:vAlign w:val="bottom"/>
            <w:tcBorders>
              <w:bottom w:val="single" w:sz="8" w:color="DBDBDB"/>
            </w:tcBorders>
            <w:shd w:val="clear" w:color="auto" w:fill="DBDBDB"/>
          </w:tcPr>
          <w:p>
            <w:pPr>
              <w:spacing w:after="0"/>
              <w:rPr>
                <w:sz w:val="15"/>
                <w:szCs w:val="15"/>
                <w:color w:val="auto"/>
              </w:rPr>
            </w:pPr>
          </w:p>
        </w:tc>
      </w:tr>
      <w:tr>
        <w:trPr>
          <w:trHeight w:val="199"/>
        </w:trPr>
        <w:tc>
          <w:tcPr>
            <w:tcW w:w="406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560" w:type="dxa"/>
            <w:vAlign w:val="bottom"/>
          </w:tcPr>
          <w:p>
            <w:pPr>
              <w:spacing w:after="0"/>
              <w:rPr>
                <w:sz w:val="17"/>
                <w:szCs w:val="17"/>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(1.0)</w:t>
            </w:r>
          </w:p>
        </w:tc>
        <w:tc>
          <w:tcPr>
            <w:tcW w:w="10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(0.6)</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0"/>
        </w:trPr>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9"/>
        </w:trPr>
        <w:tc>
          <w:tcPr>
            <w:tcW w:w="40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Noncontrolling interest</w:t>
            </w:r>
            <w:r>
              <w:rPr>
                <w:rFonts w:ascii="Arial" w:cs="Arial" w:eastAsia="Arial" w:hAnsi="Arial"/>
                <w:sz w:val="17"/>
                <w:szCs w:val="17"/>
                <w:color w:val="auto"/>
                <w:vertAlign w:val="superscript"/>
              </w:rPr>
              <w:t>(2)</w:t>
            </w:r>
          </w:p>
        </w:tc>
        <w:tc>
          <w:tcPr>
            <w:tcW w:w="56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4"/>
                <w:szCs w:val="14"/>
                <w:color w:val="auto"/>
              </w:rPr>
              <w:t>(0.5)</w:t>
            </w:r>
          </w:p>
        </w:tc>
        <w:tc>
          <w:tcPr>
            <w:tcW w:w="100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gridSpan w:val="2"/>
            <w:shd w:val="clear" w:color="auto" w:fill="DBDBDB"/>
          </w:tcPr>
          <w:p>
            <w:pPr>
              <w:jc w:val="right"/>
              <w:ind w:right="3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(6.3)</w:t>
            </w:r>
          </w:p>
        </w:tc>
        <w:tc>
          <w:tcPr>
            <w:tcW w:w="96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0.3</w:t>
            </w:r>
          </w:p>
        </w:tc>
      </w:tr>
      <w:tr>
        <w:trPr>
          <w:trHeight w:val="192"/>
        </w:trPr>
        <w:tc>
          <w:tcPr>
            <w:tcW w:w="4060" w:type="dxa"/>
            <w:vAlign w:val="bottom"/>
          </w:tcPr>
          <w:p>
            <w:pPr>
              <w:ind w:left="20"/>
              <w:spacing w:after="0"/>
              <w:rPr>
                <w:sz w:val="20"/>
                <w:szCs w:val="20"/>
                <w:color w:val="auto"/>
              </w:rPr>
            </w:pPr>
            <w:r>
              <w:rPr>
                <w:rFonts w:ascii="Arial" w:cs="Arial" w:eastAsia="Arial" w:hAnsi="Arial"/>
                <w:sz w:val="14"/>
                <w:szCs w:val="14"/>
                <w:color w:val="auto"/>
              </w:rPr>
              <w:t>Total adjusted EBITDA</w:t>
            </w:r>
          </w:p>
        </w:tc>
        <w:tc>
          <w:tcPr>
            <w:tcW w:w="560" w:type="dxa"/>
            <w:vAlign w:val="bottom"/>
          </w:tcPr>
          <w:p>
            <w:pPr>
              <w:jc w:val="right"/>
              <w:ind w:right="41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20.2</w:t>
            </w:r>
          </w:p>
        </w:tc>
        <w:tc>
          <w:tcPr>
            <w:tcW w:w="1000" w:type="dxa"/>
            <w:vAlign w:val="bottom"/>
          </w:tcPr>
          <w:p>
            <w:pPr>
              <w:jc w:val="right"/>
              <w:ind w:right="77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7.6</w:t>
            </w:r>
          </w:p>
        </w:tc>
        <w:tc>
          <w:tcPr>
            <w:tcW w:w="260" w:type="dxa"/>
            <w:vAlign w:val="bottom"/>
          </w:tcPr>
          <w:p>
            <w:pPr>
              <w:spacing w:after="0"/>
              <w:rPr>
                <w:sz w:val="16"/>
                <w:szCs w:val="16"/>
                <w:color w:val="auto"/>
              </w:rPr>
            </w:pPr>
          </w:p>
        </w:tc>
        <w:tc>
          <w:tcPr>
            <w:tcW w:w="620" w:type="dxa"/>
            <w:vAlign w:val="bottom"/>
          </w:tcPr>
          <w:p>
            <w:pPr>
              <w:jc w:val="right"/>
              <w:ind w:right="45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39.4</w:t>
            </w:r>
          </w:p>
        </w:tc>
        <w:tc>
          <w:tcPr>
            <w:tcW w:w="960" w:type="dxa"/>
            <w:vAlign w:val="bottom"/>
          </w:tcPr>
          <w:p>
            <w:pPr>
              <w:jc w:val="right"/>
              <w:ind w:right="71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160" w:right="80" w:hanging="154"/>
        <w:spacing w:after="0" w:line="245" w:lineRule="auto"/>
        <w:rPr>
          <w:sz w:val="20"/>
          <w:szCs w:val="20"/>
          <w:color w:val="auto"/>
        </w:rPr>
      </w:pPr>
      <w:r>
        <w:rPr>
          <w:rFonts w:ascii="Arial" w:cs="Arial" w:eastAsia="Arial" w:hAnsi="Arial"/>
          <w:sz w:val="12"/>
          <w:szCs w:val="12"/>
          <w:color w:val="auto"/>
        </w:rPr>
        <w:t>(1)Includes depreciation and amortization of purchase accounting assets of $0.4 million and $0.1 million for the three months ended April 30, 2024 and 2023, respectively, and $3.3 million and $1.7 million for the six months ended April 30, 2024 and 2023, respectively. The six months ended April 30, 2024 include $4.1 million of accelerated depreciation expense for certain blueberry plants determined to have no</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2"/>
          <w:szCs w:val="12"/>
          <w:color w:val="auto"/>
        </w:rPr>
        <w:t>remaining useful life.</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(2)Represents net income (loss) attributable to noncontrolling interest plus the impact of non-GAAP adjustments, allocable to the noncontrolling owner based on their percentage of ownership interest.</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Marketing and Distribution</w:t>
      </w:r>
    </w:p>
    <w:p>
      <w:pPr>
        <w:spacing w:after="0" w:line="213" w:lineRule="exact"/>
        <w:rPr>
          <w:sz w:val="20"/>
          <w:szCs w:val="20"/>
          <w:color w:val="auto"/>
        </w:rPr>
      </w:pPr>
    </w:p>
    <w:p>
      <w:pPr>
        <w:ind w:right="20" w:firstLine="619"/>
        <w:spacing w:after="0" w:line="278" w:lineRule="auto"/>
        <w:rPr>
          <w:sz w:val="20"/>
          <w:szCs w:val="20"/>
          <w:color w:val="auto"/>
        </w:rPr>
      </w:pPr>
      <w:r>
        <w:rPr>
          <w:rFonts w:ascii="Arial" w:cs="Arial" w:eastAsia="Arial" w:hAnsi="Arial"/>
          <w:sz w:val="14"/>
          <w:szCs w:val="14"/>
          <w:color w:val="auto"/>
        </w:rPr>
        <w:t>Net sales in our Marketing and Distribution segment increased $71.8 million or 33% in the three months ended April 30, 2024 compared to the same period last year, driven by avocado pricing and volume increases as described above.</w:t>
      </w:r>
    </w:p>
    <w:p>
      <w:pPr>
        <w:spacing w:after="0" w:line="168" w:lineRule="exact"/>
        <w:rPr>
          <w:sz w:val="20"/>
          <w:szCs w:val="20"/>
          <w:color w:val="auto"/>
        </w:rPr>
      </w:pPr>
    </w:p>
    <w:p>
      <w:pPr>
        <w:ind w:firstLine="619"/>
        <w:spacing w:after="0" w:line="259" w:lineRule="auto"/>
        <w:rPr>
          <w:sz w:val="20"/>
          <w:szCs w:val="20"/>
          <w:color w:val="auto"/>
        </w:rPr>
      </w:pPr>
      <w:r>
        <w:rPr>
          <w:rFonts w:ascii="Arial" w:cs="Arial" w:eastAsia="Arial" w:hAnsi="Arial"/>
          <w:sz w:val="14"/>
          <w:szCs w:val="14"/>
          <w:color w:val="auto"/>
        </w:rPr>
        <w:t>Segment adjusted EBITDA increased $13.1 million or 152% in the three months ended April 30, 2024 compared to the same period last year primarily due to improved per-unit gross margin on avocados sold.</w:t>
      </w:r>
    </w:p>
    <w:p>
      <w:pPr>
        <w:spacing w:after="0" w:line="181" w:lineRule="exact"/>
        <w:rPr>
          <w:sz w:val="20"/>
          <w:szCs w:val="20"/>
          <w:color w:val="auto"/>
        </w:rPr>
      </w:pPr>
    </w:p>
    <w:p>
      <w:pPr>
        <w:ind w:right="100" w:firstLine="619"/>
        <w:spacing w:after="0" w:line="278" w:lineRule="auto"/>
        <w:rPr>
          <w:sz w:val="20"/>
          <w:szCs w:val="20"/>
          <w:color w:val="auto"/>
        </w:rPr>
      </w:pPr>
      <w:r>
        <w:rPr>
          <w:rFonts w:ascii="Arial" w:cs="Arial" w:eastAsia="Arial" w:hAnsi="Arial"/>
          <w:sz w:val="14"/>
          <w:szCs w:val="14"/>
          <w:color w:val="auto"/>
        </w:rPr>
        <w:t>Net sales in our Marketing and Distribution segment increased $114.6 million or 29% in the six months ended April 30, 2024 compared to the same period last year, driven by avocado pricing and volume increases as described above.</w:t>
      </w:r>
    </w:p>
    <w:p>
      <w:pPr>
        <w:spacing w:after="0" w:line="168" w:lineRule="exact"/>
        <w:rPr>
          <w:sz w:val="20"/>
          <w:szCs w:val="20"/>
          <w:color w:val="auto"/>
        </w:rPr>
      </w:pPr>
    </w:p>
    <w:p>
      <w:pPr>
        <w:ind w:right="140" w:firstLine="619"/>
        <w:spacing w:after="0" w:line="278" w:lineRule="auto"/>
        <w:rPr>
          <w:sz w:val="20"/>
          <w:szCs w:val="20"/>
          <w:color w:val="auto"/>
        </w:rPr>
      </w:pPr>
      <w:r>
        <w:rPr>
          <w:rFonts w:ascii="Arial" w:cs="Arial" w:eastAsia="Arial" w:hAnsi="Arial"/>
          <w:sz w:val="14"/>
          <w:szCs w:val="14"/>
          <w:color w:val="auto"/>
        </w:rPr>
        <w:t>Segment adjusted EBITDA increased $19.5 million or 148% in the six months ended April 30, 2024 compared to the same period last year primarily due to improved per-unit gross margin on avocados sold.</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International Farming</w:t>
      </w:r>
    </w:p>
    <w:p>
      <w:pPr>
        <w:spacing w:after="0" w:line="213" w:lineRule="exact"/>
        <w:rPr>
          <w:sz w:val="20"/>
          <w:szCs w:val="20"/>
          <w:color w:val="auto"/>
        </w:rPr>
      </w:pPr>
    </w:p>
    <w:p>
      <w:pPr>
        <w:ind w:firstLine="619"/>
        <w:spacing w:after="0" w:line="251" w:lineRule="auto"/>
        <w:rPr>
          <w:sz w:val="20"/>
          <w:szCs w:val="20"/>
          <w:color w:val="auto"/>
        </w:rPr>
      </w:pPr>
      <w:r>
        <w:rPr>
          <w:rFonts w:ascii="Arial" w:cs="Arial" w:eastAsia="Arial" w:hAnsi="Arial"/>
          <w:sz w:val="14"/>
          <w:szCs w:val="14"/>
          <w:color w:val="auto"/>
        </w:rPr>
        <w:t>The vast majority of fruit sales from our International Farming segment are made to the Marketing and Distribution segment, with the remainder of revenue largely derived from services provided to third parties and our Blueberries segment. Affiliated sales are concentrated in the second half of the fiscal year in alignment with the Peruvian avocado harvest season, which typically runs from April through September of each year. As a result, adjusted EBITDA for the International Farming segment is generally concentrated in the third and fourth quarters of the fiscal year in alignment with the timing of sales. In addition, the Company operates approximately 700 acres of mangos in Peru that are largely in an early stage of production. The timing of the mango harvest is generally concentrated in the fiscal second quarter. However, in the current fiscal year, the harvest was largely concluded by the end of the first fiscal quarter.</w:t>
      </w:r>
    </w:p>
    <w:p>
      <w:pPr>
        <w:spacing w:after="0" w:line="189" w:lineRule="exact"/>
        <w:rPr>
          <w:sz w:val="20"/>
          <w:szCs w:val="20"/>
          <w:color w:val="auto"/>
        </w:rPr>
      </w:pPr>
    </w:p>
    <w:p>
      <w:pPr>
        <w:ind w:right="120" w:firstLine="619"/>
        <w:spacing w:after="0" w:line="278" w:lineRule="auto"/>
        <w:rPr>
          <w:sz w:val="20"/>
          <w:szCs w:val="20"/>
          <w:color w:val="auto"/>
        </w:rPr>
      </w:pPr>
      <w:r>
        <w:rPr>
          <w:rFonts w:ascii="Arial" w:cs="Arial" w:eastAsia="Arial" w:hAnsi="Arial"/>
          <w:sz w:val="14"/>
          <w:szCs w:val="14"/>
          <w:color w:val="auto"/>
        </w:rPr>
        <w:t>Total segment sales in our International Farming segment decreased by $4.6 million or 77% in the three months ended April 30, 2024, compared to the same period last year primarily due to lower third-party avocado packing service revenue associated with the later start of the 2024 avocado season in Peru.</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4" w:name="page25"/>
    <w:bookmarkEnd w:id="24"/>
    <w:p>
      <w:pPr>
        <w:spacing w:after="0" w:line="136" w:lineRule="exact"/>
        <w:rPr>
          <w:sz w:val="20"/>
          <w:szCs w:val="20"/>
          <w:color w:val="auto"/>
        </w:rPr>
      </w:pPr>
    </w:p>
    <w:p>
      <w:pPr>
        <w:ind w:right="260" w:firstLine="619"/>
        <w:spacing w:after="0" w:line="278" w:lineRule="auto"/>
        <w:rPr>
          <w:sz w:val="20"/>
          <w:szCs w:val="20"/>
          <w:color w:val="auto"/>
        </w:rPr>
      </w:pPr>
      <w:r>
        <w:rPr>
          <w:rFonts w:ascii="Arial" w:cs="Arial" w:eastAsia="Arial" w:hAnsi="Arial"/>
          <w:sz w:val="14"/>
          <w:szCs w:val="14"/>
          <w:color w:val="auto"/>
        </w:rPr>
        <w:t>Segment adjusted EBITDA was $(2.2) million in the three months ended April 30, 2024, compared to $(1.1) million in the same period last year primarily due to lower third-party avocado packing service revenue associated with the later start of the avocado season.</w:t>
      </w:r>
    </w:p>
    <w:p>
      <w:pPr>
        <w:spacing w:after="0" w:line="168" w:lineRule="exact"/>
        <w:rPr>
          <w:sz w:val="20"/>
          <w:szCs w:val="20"/>
          <w:color w:val="auto"/>
        </w:rPr>
      </w:pPr>
    </w:p>
    <w:p>
      <w:pPr>
        <w:ind w:right="260" w:firstLine="619"/>
        <w:spacing w:after="0" w:line="259" w:lineRule="auto"/>
        <w:rPr>
          <w:sz w:val="20"/>
          <w:szCs w:val="20"/>
          <w:color w:val="auto"/>
        </w:rPr>
      </w:pPr>
      <w:r>
        <w:rPr>
          <w:rFonts w:ascii="Arial" w:cs="Arial" w:eastAsia="Arial" w:hAnsi="Arial"/>
          <w:sz w:val="14"/>
          <w:szCs w:val="14"/>
          <w:color w:val="auto"/>
        </w:rPr>
        <w:t>Total segment sales in our International Farming segment decreased by $4.5 million or 38% in the six months ended April 30, 2024, compared to the same period last year primarily due to lower third-party avocado packing service revenue associated with the later start of the avocado season.</w:t>
      </w:r>
    </w:p>
    <w:p>
      <w:pPr>
        <w:spacing w:after="0" w:line="181" w:lineRule="exact"/>
        <w:rPr>
          <w:sz w:val="20"/>
          <w:szCs w:val="20"/>
          <w:color w:val="auto"/>
        </w:rPr>
      </w:pPr>
    </w:p>
    <w:p>
      <w:pPr>
        <w:ind w:right="280" w:firstLine="619"/>
        <w:spacing w:after="0" w:line="278" w:lineRule="auto"/>
        <w:rPr>
          <w:sz w:val="20"/>
          <w:szCs w:val="20"/>
          <w:color w:val="auto"/>
        </w:rPr>
      </w:pPr>
      <w:r>
        <w:rPr>
          <w:rFonts w:ascii="Arial" w:cs="Arial" w:eastAsia="Arial" w:hAnsi="Arial"/>
          <w:sz w:val="14"/>
          <w:szCs w:val="14"/>
          <w:color w:val="auto"/>
        </w:rPr>
        <w:t>Segment adjusted EBITDA improved by $0.2 million or 7% in the six months ended April 30, 2024, compared to the same period last year, primarily driven by cost savings measures in our mango farms, packing operations, and SG&amp;A in Peru.</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Blueberries</w:t>
      </w:r>
    </w:p>
    <w:p>
      <w:pPr>
        <w:spacing w:after="0" w:line="213" w:lineRule="exact"/>
        <w:rPr>
          <w:sz w:val="20"/>
          <w:szCs w:val="20"/>
          <w:color w:val="auto"/>
        </w:rPr>
      </w:pPr>
    </w:p>
    <w:p>
      <w:pPr>
        <w:ind w:right="320" w:firstLine="619"/>
        <w:spacing w:after="0" w:line="259" w:lineRule="auto"/>
        <w:rPr>
          <w:sz w:val="20"/>
          <w:szCs w:val="20"/>
          <w:color w:val="auto"/>
        </w:rPr>
      </w:pPr>
      <w:r>
        <w:rPr>
          <w:rFonts w:ascii="Arial" w:cs="Arial" w:eastAsia="Arial" w:hAnsi="Arial"/>
          <w:sz w:val="14"/>
          <w:szCs w:val="14"/>
          <w:color w:val="auto"/>
        </w:rPr>
        <w:t>Sales in our Blueberries segment have been concentrated in the first and fourth quarters of our fiscal year in alignment with the Peruvian blueberry harvest season, which typically runs from July through February.</w:t>
      </w:r>
    </w:p>
    <w:p>
      <w:pPr>
        <w:spacing w:after="0" w:line="181" w:lineRule="exact"/>
        <w:rPr>
          <w:sz w:val="20"/>
          <w:szCs w:val="20"/>
          <w:color w:val="auto"/>
        </w:rPr>
      </w:pPr>
    </w:p>
    <w:p>
      <w:pPr>
        <w:ind w:right="20" w:firstLine="619"/>
        <w:spacing w:after="0" w:line="278" w:lineRule="auto"/>
        <w:rPr>
          <w:sz w:val="20"/>
          <w:szCs w:val="20"/>
          <w:color w:val="auto"/>
        </w:rPr>
      </w:pPr>
      <w:r>
        <w:rPr>
          <w:rFonts w:ascii="Arial" w:cs="Arial" w:eastAsia="Arial" w:hAnsi="Arial"/>
          <w:sz w:val="14"/>
          <w:szCs w:val="14"/>
          <w:color w:val="auto"/>
        </w:rPr>
        <w:t>Net sales in our Blueberries segment increased $8.3 million or 488% in the three months ended April 30, 2024 compared to the same period last year, driven by higher volume resulting from an extended harvest season compared to the same period last year.</w:t>
      </w:r>
    </w:p>
    <w:p>
      <w:pPr>
        <w:spacing w:after="0" w:line="168" w:lineRule="exact"/>
        <w:rPr>
          <w:sz w:val="20"/>
          <w:szCs w:val="20"/>
          <w:color w:val="auto"/>
        </w:rPr>
      </w:pPr>
    </w:p>
    <w:p>
      <w:pPr>
        <w:ind w:right="260" w:firstLine="619"/>
        <w:spacing w:after="0" w:line="278" w:lineRule="auto"/>
        <w:rPr>
          <w:sz w:val="20"/>
          <w:szCs w:val="20"/>
          <w:color w:val="auto"/>
        </w:rPr>
      </w:pPr>
      <w:r>
        <w:rPr>
          <w:rFonts w:ascii="Arial" w:cs="Arial" w:eastAsia="Arial" w:hAnsi="Arial"/>
          <w:sz w:val="14"/>
          <w:szCs w:val="14"/>
          <w:color w:val="auto"/>
        </w:rPr>
        <w:t>Segment adjusted EBITDA increased $0.6 million or 600% for the three months ended April 30, 2024 compared to the same period last year, primarily due to gross margin improvement driven by higher sales volume.</w:t>
      </w:r>
    </w:p>
    <w:p>
      <w:pPr>
        <w:spacing w:after="0" w:line="156" w:lineRule="exact"/>
        <w:rPr>
          <w:sz w:val="20"/>
          <w:szCs w:val="20"/>
          <w:color w:val="auto"/>
        </w:rPr>
      </w:pPr>
    </w:p>
    <w:p>
      <w:pPr>
        <w:ind w:right="260" w:firstLine="619"/>
        <w:spacing w:after="0" w:line="264" w:lineRule="auto"/>
        <w:rPr>
          <w:sz w:val="20"/>
          <w:szCs w:val="20"/>
          <w:color w:val="auto"/>
        </w:rPr>
      </w:pPr>
      <w:r>
        <w:rPr>
          <w:rFonts w:ascii="Arial" w:cs="Arial" w:eastAsia="Arial" w:hAnsi="Arial"/>
          <w:sz w:val="14"/>
          <w:szCs w:val="14"/>
          <w:color w:val="auto"/>
        </w:rPr>
        <w:t>Net sales in our Blueberries segment increased $11.0 million or 35% in the six months ended April 30, 2024 compared to the same period last year, primarily due to a 63% increase in average per-unit sales price, partially offset by a 17% decrease in volume sold. Pricing in the first quarter of 2024 was favorably impacted by industry supply constraints during the Peru harvest season.</w:t>
      </w:r>
    </w:p>
    <w:p>
      <w:pPr>
        <w:spacing w:after="0" w:line="178" w:lineRule="exact"/>
        <w:rPr>
          <w:sz w:val="20"/>
          <w:szCs w:val="20"/>
          <w:color w:val="auto"/>
        </w:rPr>
      </w:pPr>
    </w:p>
    <w:p>
      <w:pPr>
        <w:ind w:right="340" w:firstLine="619"/>
        <w:spacing w:after="0" w:line="278" w:lineRule="auto"/>
        <w:rPr>
          <w:sz w:val="20"/>
          <w:szCs w:val="20"/>
          <w:color w:val="auto"/>
        </w:rPr>
      </w:pPr>
      <w:r>
        <w:rPr>
          <w:rFonts w:ascii="Arial" w:cs="Arial" w:eastAsia="Arial" w:hAnsi="Arial"/>
          <w:sz w:val="14"/>
          <w:szCs w:val="14"/>
          <w:color w:val="auto"/>
        </w:rPr>
        <w:t>Segment adjusted EBITDA was $9.4 million for the six months ended April 30, 2024 compared to $(0.4) million in the same period last year, primarily due to gross margin improvement driven by elevated sales pricing.</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activities</w:t>
      </w:r>
    </w:p>
    <w:p>
      <w:pPr>
        <w:spacing w:after="0" w:line="234" w:lineRule="exact"/>
        <w:rPr>
          <w:sz w:val="20"/>
          <w:szCs w:val="20"/>
          <w:color w:val="auto"/>
        </w:rPr>
      </w:pPr>
    </w:p>
    <w:p>
      <w:pPr>
        <w:ind w:right="20" w:firstLine="619"/>
        <w:spacing w:after="0" w:line="253" w:lineRule="auto"/>
        <w:rPr>
          <w:sz w:val="20"/>
          <w:szCs w:val="20"/>
          <w:color w:val="auto"/>
        </w:rPr>
      </w:pPr>
      <w:r>
        <w:rPr>
          <w:rFonts w:ascii="Arial" w:cs="Arial" w:eastAsia="Arial" w:hAnsi="Arial"/>
          <w:sz w:val="14"/>
          <w:szCs w:val="14"/>
          <w:color w:val="auto"/>
        </w:rPr>
        <w:t>Operating cash flows are seasonal in nature. We typically see increases in working capital during the first half of our fiscal year as our supply is predominantly sourced from Mexico under payment terms that are shorter than terms established for other source markets. In addition, we are building our growing crops inventory in our International Farming segment during the first half of the year for ultimate harvest and sale that will occur during the second half of the fiscal year. While these increases in working capital can cause operating cash flows to be unfavorable in individual quarters, it is not indicative of operating cash performance that we expect to realize for the full year.</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40" w:type="dxa"/>
            <w:vAlign w:val="bottom"/>
            <w:gridSpan w:val="2"/>
          </w:tcPr>
          <w:p>
            <w:pPr>
              <w:jc w:val="right"/>
              <w:ind w:right="311"/>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r>
      <w:tr>
        <w:trPr>
          <w:trHeight w:val="196"/>
        </w:trPr>
        <w:tc>
          <w:tcPr>
            <w:tcW w:w="764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2"/>
          </w:tcPr>
          <w:p>
            <w:pPr>
              <w:jc w:val="right"/>
              <w:ind w:right="631"/>
              <w:spacing w:after="0"/>
              <w:rPr>
                <w:sz w:val="20"/>
                <w:szCs w:val="20"/>
                <w:color w:val="auto"/>
              </w:rPr>
            </w:pPr>
            <w:r>
              <w:rPr>
                <w:rFonts w:ascii="Arial" w:cs="Arial" w:eastAsia="Arial" w:hAnsi="Arial"/>
                <w:sz w:val="14"/>
                <w:szCs w:val="14"/>
                <w:b w:val="1"/>
                <w:bCs w:val="1"/>
                <w:color w:val="auto"/>
              </w:rPr>
              <w:t>April 30,</w:t>
            </w:r>
          </w:p>
        </w:tc>
        <w:tc>
          <w:tcPr>
            <w:tcW w:w="820" w:type="dxa"/>
            <w:vAlign w:val="bottom"/>
            <w:tcBorders>
              <w:bottom w:val="single" w:sz="8" w:color="auto"/>
            </w:tcBorders>
          </w:tcPr>
          <w:p>
            <w:pPr>
              <w:spacing w:after="0"/>
              <w:rPr>
                <w:sz w:val="17"/>
                <w:szCs w:val="17"/>
                <w:color w:val="auto"/>
              </w:rPr>
            </w:pPr>
          </w:p>
        </w:tc>
      </w:tr>
      <w:tr>
        <w:trPr>
          <w:trHeight w:val="215"/>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2024</w:t>
            </w:r>
          </w:p>
        </w:tc>
        <w:tc>
          <w:tcPr>
            <w:tcW w:w="9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6"/>
        </w:trPr>
        <w:tc>
          <w:tcPr>
            <w:tcW w:w="7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income (loss)</w:t>
            </w:r>
          </w:p>
        </w:tc>
        <w:tc>
          <w:tcPr>
            <w:tcW w:w="640" w:type="dxa"/>
            <w:vAlign w:val="bottom"/>
            <w:tcBorders>
              <w:bottom w:val="single" w:sz="8" w:color="DBDBDB"/>
            </w:tcBorders>
            <w:shd w:val="clear" w:color="auto" w:fill="DBDBDB"/>
          </w:tcPr>
          <w:p>
            <w:pPr>
              <w:jc w:val="right"/>
              <w:ind w:right="49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9.0</w:t>
            </w:r>
          </w:p>
        </w:tc>
        <w:tc>
          <w:tcPr>
            <w:tcW w:w="980" w:type="dxa"/>
            <w:vAlign w:val="bottom"/>
            <w:tcBorders>
              <w:bottom w:val="single" w:sz="8" w:color="DBDBDB"/>
            </w:tcBorders>
            <w:shd w:val="clear" w:color="auto" w:fill="DBDBDB"/>
          </w:tcPr>
          <w:p>
            <w:pPr>
              <w:jc w:val="right"/>
              <w:ind w:right="69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(15.3)</w:t>
            </w:r>
          </w:p>
        </w:tc>
      </w:tr>
      <w:tr>
        <w:trPr>
          <w:trHeight w:val="199"/>
        </w:trPr>
        <w:tc>
          <w:tcPr>
            <w:tcW w:w="7640" w:type="dxa"/>
            <w:vAlign w:val="bottom"/>
          </w:tcPr>
          <w:p>
            <w:pPr>
              <w:ind w:left="320"/>
              <w:spacing w:after="0"/>
              <w:rPr>
                <w:sz w:val="20"/>
                <w:szCs w:val="20"/>
                <w:color w:val="auto"/>
              </w:rPr>
            </w:pPr>
            <w:r>
              <w:rPr>
                <w:rFonts w:ascii="Arial" w:cs="Arial" w:eastAsia="Arial" w:hAnsi="Arial"/>
                <w:sz w:val="14"/>
                <w:szCs w:val="14"/>
                <w:color w:val="auto"/>
              </w:rPr>
              <w:t>Depreciation and amortization</w:t>
            </w:r>
          </w:p>
        </w:tc>
        <w:tc>
          <w:tcPr>
            <w:tcW w:w="640" w:type="dxa"/>
            <w:vAlign w:val="bottom"/>
          </w:tcPr>
          <w:p>
            <w:pPr>
              <w:spacing w:after="0"/>
              <w:rPr>
                <w:sz w:val="17"/>
                <w:szCs w:val="17"/>
                <w:color w:val="auto"/>
              </w:rPr>
            </w:pPr>
          </w:p>
        </w:tc>
        <w:tc>
          <w:tcPr>
            <w:tcW w:w="1160" w:type="dxa"/>
            <w:vAlign w:val="bottom"/>
          </w:tcPr>
          <w:p>
            <w:pPr>
              <w:jc w:val="right"/>
              <w:ind w:right="131"/>
              <w:spacing w:after="0"/>
              <w:rPr>
                <w:sz w:val="20"/>
                <w:szCs w:val="20"/>
                <w:color w:val="auto"/>
              </w:rPr>
            </w:pPr>
            <w:r>
              <w:rPr>
                <w:rFonts w:ascii="Arial" w:cs="Arial" w:eastAsia="Arial" w:hAnsi="Arial"/>
                <w:sz w:val="14"/>
                <w:szCs w:val="14"/>
                <w:color w:val="auto"/>
              </w:rPr>
              <w:t>18.6</w:t>
            </w:r>
          </w:p>
        </w:tc>
        <w:tc>
          <w:tcPr>
            <w:tcW w:w="9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15.2</w:t>
            </w:r>
          </w:p>
        </w:tc>
      </w:tr>
      <w:tr>
        <w:trPr>
          <w:trHeight w:val="20"/>
        </w:trPr>
        <w:tc>
          <w:tcPr>
            <w:tcW w:w="7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9"/>
        </w:trPr>
        <w:tc>
          <w:tcPr>
            <w:tcW w:w="764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4"/>
                <w:szCs w:val="14"/>
                <w:color w:val="auto"/>
              </w:rPr>
              <w:t>Equity method income</w:t>
            </w:r>
          </w:p>
        </w:tc>
        <w:tc>
          <w:tcPr>
            <w:tcW w:w="64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(0.9)</w:t>
            </w:r>
          </w:p>
        </w:tc>
        <w:tc>
          <w:tcPr>
            <w:tcW w:w="98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(1.4)</w:t>
            </w:r>
          </w:p>
        </w:tc>
      </w:tr>
      <w:tr>
        <w:trPr>
          <w:trHeight w:val="199"/>
        </w:trPr>
        <w:tc>
          <w:tcPr>
            <w:tcW w:w="7640" w:type="dxa"/>
            <w:vAlign w:val="bottom"/>
          </w:tcPr>
          <w:p>
            <w:pPr>
              <w:ind w:left="320"/>
              <w:spacing w:after="0"/>
              <w:rPr>
                <w:sz w:val="20"/>
                <w:szCs w:val="20"/>
                <w:color w:val="auto"/>
              </w:rPr>
            </w:pPr>
            <w:r>
              <w:rPr>
                <w:rFonts w:ascii="Arial" w:cs="Arial" w:eastAsia="Arial" w:hAnsi="Arial"/>
                <w:sz w:val="14"/>
                <w:szCs w:val="14"/>
                <w:color w:val="auto"/>
              </w:rPr>
              <w:t>Noncash lease expense</w:t>
            </w:r>
          </w:p>
        </w:tc>
        <w:tc>
          <w:tcPr>
            <w:tcW w:w="640" w:type="dxa"/>
            <w:vAlign w:val="bottom"/>
          </w:tcPr>
          <w:p>
            <w:pPr>
              <w:spacing w:after="0"/>
              <w:rPr>
                <w:sz w:val="17"/>
                <w:szCs w:val="17"/>
                <w:color w:val="auto"/>
              </w:rPr>
            </w:pPr>
          </w:p>
        </w:tc>
        <w:tc>
          <w:tcPr>
            <w:tcW w:w="1160" w:type="dxa"/>
            <w:vAlign w:val="bottom"/>
          </w:tcPr>
          <w:p>
            <w:pPr>
              <w:jc w:val="right"/>
              <w:ind w:right="131"/>
              <w:spacing w:after="0"/>
              <w:rPr>
                <w:sz w:val="20"/>
                <w:szCs w:val="20"/>
                <w:color w:val="auto"/>
              </w:rPr>
            </w:pPr>
            <w:r>
              <w:rPr>
                <w:rFonts w:ascii="Arial" w:cs="Arial" w:eastAsia="Arial" w:hAnsi="Arial"/>
                <w:sz w:val="14"/>
                <w:szCs w:val="14"/>
                <w:color w:val="auto"/>
              </w:rPr>
              <w:t>3.1</w:t>
            </w:r>
          </w:p>
        </w:tc>
        <w:tc>
          <w:tcPr>
            <w:tcW w:w="9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0"/>
        </w:trPr>
        <w:tc>
          <w:tcPr>
            <w:tcW w:w="7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9"/>
        </w:trPr>
        <w:tc>
          <w:tcPr>
            <w:tcW w:w="764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4"/>
                <w:szCs w:val="14"/>
                <w:color w:val="auto"/>
              </w:rPr>
              <w:t>Stock-based compensation</w:t>
            </w:r>
          </w:p>
        </w:tc>
        <w:tc>
          <w:tcPr>
            <w:tcW w:w="64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3.0</w:t>
            </w:r>
          </w:p>
        </w:tc>
        <w:tc>
          <w:tcPr>
            <w:tcW w:w="98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2.0</w:t>
            </w:r>
          </w:p>
        </w:tc>
      </w:tr>
      <w:tr>
        <w:trPr>
          <w:trHeight w:val="199"/>
        </w:trPr>
        <w:tc>
          <w:tcPr>
            <w:tcW w:w="7640" w:type="dxa"/>
            <w:vAlign w:val="bottom"/>
          </w:tcPr>
          <w:p>
            <w:pPr>
              <w:ind w:left="320"/>
              <w:spacing w:after="0"/>
              <w:rPr>
                <w:sz w:val="20"/>
                <w:szCs w:val="20"/>
                <w:color w:val="auto"/>
              </w:rPr>
            </w:pPr>
            <w:r>
              <w:rPr>
                <w:rFonts w:ascii="Arial" w:cs="Arial" w:eastAsia="Arial" w:hAnsi="Arial"/>
                <w:sz w:val="14"/>
                <w:szCs w:val="14"/>
                <w:color w:val="auto"/>
              </w:rPr>
              <w:t>Dividends received from equity method investees</w:t>
            </w:r>
          </w:p>
        </w:tc>
        <w:tc>
          <w:tcPr>
            <w:tcW w:w="640" w:type="dxa"/>
            <w:vAlign w:val="bottom"/>
          </w:tcPr>
          <w:p>
            <w:pPr>
              <w:spacing w:after="0"/>
              <w:rPr>
                <w:sz w:val="17"/>
                <w:szCs w:val="17"/>
                <w:color w:val="auto"/>
              </w:rPr>
            </w:pPr>
          </w:p>
        </w:tc>
        <w:tc>
          <w:tcPr>
            <w:tcW w:w="1160" w:type="dxa"/>
            <w:vAlign w:val="bottom"/>
          </w:tcPr>
          <w:p>
            <w:pPr>
              <w:jc w:val="right"/>
              <w:ind w:right="131"/>
              <w:spacing w:after="0"/>
              <w:rPr>
                <w:sz w:val="20"/>
                <w:szCs w:val="20"/>
                <w:color w:val="auto"/>
              </w:rPr>
            </w:pPr>
            <w:r>
              <w:rPr>
                <w:rFonts w:ascii="Arial" w:cs="Arial" w:eastAsia="Arial" w:hAnsi="Arial"/>
                <w:sz w:val="14"/>
                <w:szCs w:val="14"/>
                <w:color w:val="auto"/>
              </w:rPr>
              <w:t>3.2</w:t>
            </w:r>
          </w:p>
        </w:tc>
        <w:tc>
          <w:tcPr>
            <w:tcW w:w="9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0"/>
        </w:trPr>
        <w:tc>
          <w:tcPr>
            <w:tcW w:w="7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9"/>
        </w:trPr>
        <w:tc>
          <w:tcPr>
            <w:tcW w:w="764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4"/>
                <w:szCs w:val="14"/>
                <w:color w:val="auto"/>
              </w:rPr>
              <w:t>Deferred income taxes</w:t>
            </w:r>
          </w:p>
        </w:tc>
        <w:tc>
          <w:tcPr>
            <w:tcW w:w="64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(1.0)</w:t>
            </w:r>
          </w:p>
        </w:tc>
        <w:tc>
          <w:tcPr>
            <w:tcW w:w="98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(0.9)</w:t>
            </w:r>
          </w:p>
        </w:tc>
      </w:tr>
      <w:tr>
        <w:trPr>
          <w:trHeight w:val="199"/>
        </w:trPr>
        <w:tc>
          <w:tcPr>
            <w:tcW w:w="7640" w:type="dxa"/>
            <w:vAlign w:val="bottom"/>
          </w:tcPr>
          <w:p>
            <w:pPr>
              <w:ind w:left="320"/>
              <w:spacing w:after="0"/>
              <w:rPr>
                <w:sz w:val="20"/>
                <w:szCs w:val="20"/>
                <w:color w:val="auto"/>
              </w:rPr>
            </w:pPr>
            <w:r>
              <w:rPr>
                <w:rFonts w:ascii="Arial" w:cs="Arial" w:eastAsia="Arial" w:hAnsi="Arial"/>
                <w:sz w:val="14"/>
                <w:szCs w:val="14"/>
                <w:color w:val="auto"/>
              </w:rPr>
              <w:t>Other</w:t>
            </w:r>
          </w:p>
        </w:tc>
        <w:tc>
          <w:tcPr>
            <w:tcW w:w="640" w:type="dxa"/>
            <w:vAlign w:val="bottom"/>
          </w:tcPr>
          <w:p>
            <w:pPr>
              <w:spacing w:after="0"/>
              <w:rPr>
                <w:sz w:val="17"/>
                <w:szCs w:val="17"/>
                <w:color w:val="auto"/>
              </w:rPr>
            </w:pPr>
          </w:p>
        </w:tc>
        <w:tc>
          <w:tcPr>
            <w:tcW w:w="1160" w:type="dxa"/>
            <w:vAlign w:val="bottom"/>
          </w:tcPr>
          <w:p>
            <w:pPr>
              <w:jc w:val="right"/>
              <w:ind w:right="131"/>
              <w:spacing w:after="0"/>
              <w:rPr>
                <w:sz w:val="20"/>
                <w:szCs w:val="20"/>
                <w:color w:val="auto"/>
              </w:rPr>
            </w:pPr>
            <w:r>
              <w:rPr>
                <w:rFonts w:ascii="Arial" w:cs="Arial" w:eastAsia="Arial" w:hAnsi="Arial"/>
                <w:sz w:val="14"/>
                <w:szCs w:val="14"/>
                <w:color w:val="auto"/>
              </w:rPr>
              <w:t>1.6</w:t>
            </w:r>
          </w:p>
        </w:tc>
        <w:tc>
          <w:tcPr>
            <w:tcW w:w="9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0"/>
        </w:trPr>
        <w:tc>
          <w:tcPr>
            <w:tcW w:w="7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4"/>
        </w:trPr>
        <w:tc>
          <w:tcPr>
            <w:tcW w:w="7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Changes in working capital</w:t>
            </w:r>
          </w:p>
        </w:tc>
        <w:tc>
          <w:tcPr>
            <w:tcW w:w="64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(23.7)</w:t>
            </w:r>
          </w:p>
        </w:tc>
        <w:tc>
          <w:tcPr>
            <w:tcW w:w="980" w:type="dxa"/>
            <w:vAlign w:val="bottom"/>
            <w:tcBorders>
              <w:bottom w:val="single" w:sz="8" w:color="DBDBDB"/>
            </w:tcBorders>
            <w:shd w:val="clear" w:color="auto" w:fill="DBDBDB"/>
          </w:tcPr>
          <w:p>
            <w:pPr>
              <w:spacing w:after="0"/>
              <w:rPr>
                <w:sz w:val="19"/>
                <w:szCs w:val="19"/>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(32.2)</w:t>
            </w:r>
          </w:p>
        </w:tc>
      </w:tr>
      <w:tr>
        <w:trPr>
          <w:trHeight w:val="192"/>
        </w:trPr>
        <w:tc>
          <w:tcPr>
            <w:tcW w:w="76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64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rPr>
              <w:t>12.9</w:t>
            </w:r>
          </w:p>
        </w:tc>
        <w:tc>
          <w:tcPr>
            <w:tcW w:w="980" w:type="dxa"/>
            <w:vAlign w:val="bottom"/>
            <w:tcBorders>
              <w:top w:val="single" w:sz="8" w:color="auto"/>
            </w:tcBorders>
          </w:tcPr>
          <w:p>
            <w:pPr>
              <w:jc w:val="right"/>
              <w:ind w:right="69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(26.1)</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firstLine="619"/>
        <w:spacing w:after="0" w:line="254" w:lineRule="auto"/>
        <w:rPr>
          <w:sz w:val="20"/>
          <w:szCs w:val="20"/>
          <w:color w:val="auto"/>
        </w:rPr>
      </w:pPr>
      <w:r>
        <w:rPr>
          <w:rFonts w:ascii="Arial" w:cs="Arial" w:eastAsia="Arial" w:hAnsi="Arial"/>
          <w:sz w:val="14"/>
          <w:szCs w:val="14"/>
          <w:color w:val="auto"/>
        </w:rPr>
        <w:t>Net cash provided by operating activities was $12.9 million for the six months ended April 30, 2024, compared to cash used of $26.1 million in the same period last year, driven by improved operating performance and working capital management. Within working capital, favorable changes in grower payables were partially offset by changes in accounts receivable, correlated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36" w:lineRule="exact"/>
        <w:rPr>
          <w:sz w:val="20"/>
          <w:szCs w:val="20"/>
          <w:color w:val="auto"/>
        </w:rPr>
      </w:pPr>
    </w:p>
    <w:p>
      <w:pPr>
        <w:ind w:right="80"/>
        <w:spacing w:after="0" w:line="264" w:lineRule="auto"/>
        <w:rPr>
          <w:sz w:val="20"/>
          <w:szCs w:val="20"/>
          <w:color w:val="auto"/>
        </w:rPr>
      </w:pPr>
      <w:r>
        <w:rPr>
          <w:rFonts w:ascii="Arial" w:cs="Arial" w:eastAsia="Arial" w:hAnsi="Arial"/>
          <w:sz w:val="14"/>
          <w:szCs w:val="14"/>
          <w:color w:val="auto"/>
        </w:rPr>
        <w:t>the higher avocado pricing and higher volume as previously discussed. Changes in net inventory were consistent with prior year as higher per-unit cost of purchased avocados on-hand was largely offset by lower avocado growing crop inventory in Peru. Also impacting working capital was a net favorable change in accounts payable and accrued expenses and other long-term liabilities, related to the timing of payables and correlated to the later end of the blueberry harvest season.</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Investing activities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40" w:type="dxa"/>
            <w:vAlign w:val="bottom"/>
            <w:gridSpan w:val="2"/>
          </w:tcPr>
          <w:p>
            <w:pPr>
              <w:jc w:val="right"/>
              <w:ind w:right="311"/>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r>
      <w:tr>
        <w:trPr>
          <w:trHeight w:val="196"/>
        </w:trPr>
        <w:tc>
          <w:tcPr>
            <w:tcW w:w="764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2"/>
          </w:tcPr>
          <w:p>
            <w:pPr>
              <w:jc w:val="right"/>
              <w:ind w:right="631"/>
              <w:spacing w:after="0"/>
              <w:rPr>
                <w:sz w:val="20"/>
                <w:szCs w:val="20"/>
                <w:color w:val="auto"/>
              </w:rPr>
            </w:pPr>
            <w:r>
              <w:rPr>
                <w:rFonts w:ascii="Arial" w:cs="Arial" w:eastAsia="Arial" w:hAnsi="Arial"/>
                <w:sz w:val="14"/>
                <w:szCs w:val="14"/>
                <w:b w:val="1"/>
                <w:bCs w:val="1"/>
                <w:color w:val="auto"/>
              </w:rPr>
              <w:t>April 30,</w:t>
            </w:r>
          </w:p>
        </w:tc>
        <w:tc>
          <w:tcPr>
            <w:tcW w:w="820" w:type="dxa"/>
            <w:vAlign w:val="bottom"/>
            <w:tcBorders>
              <w:bottom w:val="single" w:sz="8" w:color="auto"/>
            </w:tcBorders>
          </w:tcPr>
          <w:p>
            <w:pPr>
              <w:spacing w:after="0"/>
              <w:rPr>
                <w:sz w:val="17"/>
                <w:szCs w:val="17"/>
                <w:color w:val="auto"/>
              </w:rPr>
            </w:pPr>
          </w:p>
        </w:tc>
      </w:tr>
      <w:tr>
        <w:trPr>
          <w:trHeight w:val="215"/>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2024</w:t>
            </w:r>
          </w:p>
        </w:tc>
        <w:tc>
          <w:tcPr>
            <w:tcW w:w="9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6"/>
        </w:trPr>
        <w:tc>
          <w:tcPr>
            <w:tcW w:w="7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640" w:type="dxa"/>
            <w:vAlign w:val="bottom"/>
            <w:tcBorders>
              <w:bottom w:val="single" w:sz="8" w:color="DBDBDB"/>
            </w:tcBorders>
            <w:shd w:val="clear" w:color="auto" w:fill="DBDBDB"/>
          </w:tcPr>
          <w:p>
            <w:pPr>
              <w:jc w:val="right"/>
              <w:ind w:right="49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(17.7)</w:t>
            </w:r>
          </w:p>
        </w:tc>
        <w:tc>
          <w:tcPr>
            <w:tcW w:w="980" w:type="dxa"/>
            <w:vAlign w:val="bottom"/>
            <w:tcBorders>
              <w:bottom w:val="single" w:sz="8" w:color="DBDBDB"/>
            </w:tcBorders>
            <w:shd w:val="clear" w:color="auto" w:fill="DBDBDB"/>
          </w:tcPr>
          <w:p>
            <w:pPr>
              <w:jc w:val="right"/>
              <w:ind w:right="69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(34.9)</w:t>
            </w:r>
          </w:p>
        </w:tc>
      </w:tr>
      <w:tr>
        <w:trPr>
          <w:trHeight w:val="199"/>
        </w:trPr>
        <w:tc>
          <w:tcPr>
            <w:tcW w:w="7640" w:type="dxa"/>
            <w:vAlign w:val="bottom"/>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640" w:type="dxa"/>
            <w:vAlign w:val="bottom"/>
          </w:tcPr>
          <w:p>
            <w:pPr>
              <w:spacing w:after="0"/>
              <w:rPr>
                <w:sz w:val="17"/>
                <w:szCs w:val="17"/>
                <w:color w:val="auto"/>
              </w:rPr>
            </w:pPr>
          </w:p>
        </w:tc>
        <w:tc>
          <w:tcPr>
            <w:tcW w:w="116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0"/>
        </w:trPr>
        <w:tc>
          <w:tcPr>
            <w:tcW w:w="7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9"/>
        </w:trPr>
        <w:tc>
          <w:tcPr>
            <w:tcW w:w="7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Investment in equity method investees</w:t>
            </w:r>
          </w:p>
        </w:tc>
        <w:tc>
          <w:tcPr>
            <w:tcW w:w="64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(0.6)</w:t>
            </w:r>
          </w:p>
        </w:tc>
        <w:tc>
          <w:tcPr>
            <w:tcW w:w="98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(0.3)</w:t>
            </w:r>
          </w:p>
        </w:tc>
      </w:tr>
      <w:tr>
        <w:trPr>
          <w:trHeight w:val="199"/>
        </w:trPr>
        <w:tc>
          <w:tcPr>
            <w:tcW w:w="7640" w:type="dxa"/>
            <w:vAlign w:val="bottom"/>
          </w:tcPr>
          <w:p>
            <w:pPr>
              <w:ind w:left="20"/>
              <w:spacing w:after="0"/>
              <w:rPr>
                <w:sz w:val="20"/>
                <w:szCs w:val="20"/>
                <w:color w:val="auto"/>
              </w:rPr>
            </w:pPr>
            <w:r>
              <w:rPr>
                <w:rFonts w:ascii="Arial" w:cs="Arial" w:eastAsia="Arial" w:hAnsi="Arial"/>
                <w:sz w:val="14"/>
                <w:szCs w:val="14"/>
                <w:color w:val="auto"/>
              </w:rPr>
              <w:t>Purchase of other investment</w:t>
            </w:r>
          </w:p>
        </w:tc>
        <w:tc>
          <w:tcPr>
            <w:tcW w:w="640" w:type="dxa"/>
            <w:vAlign w:val="bottom"/>
          </w:tcPr>
          <w:p>
            <w:pPr>
              <w:spacing w:after="0"/>
              <w:rPr>
                <w:sz w:val="17"/>
                <w:szCs w:val="17"/>
                <w:color w:val="auto"/>
              </w:rPr>
            </w:pPr>
          </w:p>
        </w:tc>
        <w:tc>
          <w:tcPr>
            <w:tcW w:w="116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
        </w:trPr>
        <w:tc>
          <w:tcPr>
            <w:tcW w:w="7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4"/>
        </w:trPr>
        <w:tc>
          <w:tcPr>
            <w:tcW w:w="7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w:t>
            </w:r>
          </w:p>
        </w:tc>
        <w:tc>
          <w:tcPr>
            <w:tcW w:w="64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spacing w:after="0"/>
              <w:rPr>
                <w:sz w:val="19"/>
                <w:szCs w:val="19"/>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(0.1)</w:t>
            </w:r>
          </w:p>
        </w:tc>
      </w:tr>
      <w:tr>
        <w:trPr>
          <w:trHeight w:val="192"/>
        </w:trPr>
        <w:tc>
          <w:tcPr>
            <w:tcW w:w="76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cash used in investing activities</w:t>
            </w:r>
          </w:p>
        </w:tc>
        <w:tc>
          <w:tcPr>
            <w:tcW w:w="64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rPr>
              <w:t>(18.3)</w:t>
            </w:r>
          </w:p>
        </w:tc>
        <w:tc>
          <w:tcPr>
            <w:tcW w:w="980" w:type="dxa"/>
            <w:vAlign w:val="bottom"/>
            <w:tcBorders>
              <w:top w:val="single" w:sz="8" w:color="auto"/>
            </w:tcBorders>
          </w:tcPr>
          <w:p>
            <w:pPr>
              <w:jc w:val="right"/>
              <w:ind w:right="69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(37.5)</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Property, plant and equipment</w:t>
      </w:r>
    </w:p>
    <w:p>
      <w:pPr>
        <w:spacing w:after="0" w:line="288"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Six Months Ended</w:t>
      </w:r>
    </w:p>
    <w:p>
      <w:pPr>
        <w:spacing w:after="0" w:line="21"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17780</wp:posOffset>
            </wp:positionV>
            <wp:extent cx="22923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92350" cy="8255"/>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7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2024</w:t>
            </w:r>
          </w:p>
        </w:tc>
        <w:tc>
          <w:tcPr>
            <w:tcW w:w="8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6"/>
        </w:trPr>
        <w:tc>
          <w:tcPr>
            <w:tcW w:w="5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Purchases of property, plant and equipment by segment:</w:t>
            </w:r>
          </w:p>
        </w:tc>
        <w:tc>
          <w:tcPr>
            <w:tcW w:w="274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spacing w:after="0"/>
              <w:rPr>
                <w:sz w:val="17"/>
                <w:szCs w:val="17"/>
                <w:color w:val="auto"/>
              </w:rPr>
            </w:pPr>
          </w:p>
        </w:tc>
      </w:tr>
      <w:tr>
        <w:trPr>
          <w:trHeight w:val="199"/>
        </w:trPr>
        <w:tc>
          <w:tcPr>
            <w:tcW w:w="5560" w:type="dxa"/>
            <w:vAlign w:val="bottom"/>
          </w:tcPr>
          <w:p>
            <w:pPr>
              <w:ind w:left="220"/>
              <w:spacing w:after="0"/>
              <w:rPr>
                <w:sz w:val="20"/>
                <w:szCs w:val="20"/>
                <w:color w:val="auto"/>
              </w:rPr>
            </w:pPr>
            <w:r>
              <w:rPr>
                <w:rFonts w:ascii="Arial" w:cs="Arial" w:eastAsia="Arial" w:hAnsi="Arial"/>
                <w:sz w:val="14"/>
                <w:szCs w:val="14"/>
                <w:color w:val="auto"/>
              </w:rPr>
              <w:t>Marketing and Distribution</w:t>
            </w:r>
          </w:p>
        </w:tc>
        <w:tc>
          <w:tcPr>
            <w:tcW w:w="2740" w:type="dxa"/>
            <w:vAlign w:val="bottom"/>
          </w:tcPr>
          <w:p>
            <w:pPr>
              <w:jc w:val="right"/>
              <w:ind w:right="511"/>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5.5</w:t>
            </w:r>
          </w:p>
        </w:tc>
        <w:tc>
          <w:tcPr>
            <w:tcW w:w="820" w:type="dxa"/>
            <w:vAlign w:val="bottom"/>
          </w:tcPr>
          <w:p>
            <w:pPr>
              <w:jc w:val="right"/>
              <w:ind w:right="511"/>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0"/>
        </w:trPr>
        <w:tc>
          <w:tcPr>
            <w:tcW w:w="5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9"/>
        </w:trPr>
        <w:tc>
          <w:tcPr>
            <w:tcW w:w="55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International Farming</w:t>
            </w:r>
          </w:p>
        </w:tc>
        <w:tc>
          <w:tcPr>
            <w:tcW w:w="274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7.6</w:t>
            </w:r>
          </w:p>
        </w:tc>
        <w:tc>
          <w:tcPr>
            <w:tcW w:w="82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18.6</w:t>
            </w:r>
          </w:p>
        </w:tc>
      </w:tr>
      <w:tr>
        <w:trPr>
          <w:trHeight w:val="199"/>
        </w:trPr>
        <w:tc>
          <w:tcPr>
            <w:tcW w:w="5560" w:type="dxa"/>
            <w:vAlign w:val="bottom"/>
          </w:tcPr>
          <w:p>
            <w:pPr>
              <w:ind w:left="220"/>
              <w:spacing w:after="0"/>
              <w:rPr>
                <w:sz w:val="20"/>
                <w:szCs w:val="20"/>
                <w:color w:val="auto"/>
              </w:rPr>
            </w:pPr>
            <w:r>
              <w:rPr>
                <w:rFonts w:ascii="Arial" w:cs="Arial" w:eastAsia="Arial" w:hAnsi="Arial"/>
                <w:sz w:val="14"/>
                <w:szCs w:val="14"/>
                <w:color w:val="auto"/>
              </w:rPr>
              <w:t>Blueberries</w:t>
            </w:r>
          </w:p>
        </w:tc>
        <w:tc>
          <w:tcPr>
            <w:tcW w:w="2740" w:type="dxa"/>
            <w:vAlign w:val="bottom"/>
          </w:tcPr>
          <w:p>
            <w:pPr>
              <w:spacing w:after="0"/>
              <w:rPr>
                <w:sz w:val="17"/>
                <w:szCs w:val="17"/>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4.6</w:t>
            </w:r>
          </w:p>
        </w:tc>
        <w:tc>
          <w:tcPr>
            <w:tcW w:w="8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2"/>
        </w:trPr>
        <w:tc>
          <w:tcPr>
            <w:tcW w:w="5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purchases of property, plant and equipment</w:t>
            </w:r>
          </w:p>
        </w:tc>
        <w:tc>
          <w:tcPr>
            <w:tcW w:w="274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17.7</w:t>
            </w:r>
          </w:p>
        </w:tc>
        <w:tc>
          <w:tcPr>
            <w:tcW w:w="82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34.9</w:t>
            </w:r>
          </w:p>
        </w:tc>
      </w:tr>
      <w:tr>
        <w:trPr>
          <w:trHeight w:val="20"/>
        </w:trPr>
        <w:tc>
          <w:tcPr>
            <w:tcW w:w="556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89" w:lineRule="exact"/>
        <w:rPr>
          <w:sz w:val="20"/>
          <w:szCs w:val="20"/>
          <w:color w:val="auto"/>
        </w:rPr>
      </w:pPr>
    </w:p>
    <w:p>
      <w:pPr>
        <w:jc w:val="both"/>
        <w:ind w:right="200" w:firstLine="619"/>
        <w:spacing w:after="0" w:line="254" w:lineRule="auto"/>
        <w:rPr>
          <w:sz w:val="20"/>
          <w:szCs w:val="20"/>
          <w:color w:val="auto"/>
        </w:rPr>
      </w:pPr>
      <w:r>
        <w:rPr>
          <w:rFonts w:ascii="Arial" w:cs="Arial" w:eastAsia="Arial" w:hAnsi="Arial"/>
          <w:sz w:val="14"/>
          <w:szCs w:val="14"/>
          <w:color w:val="auto"/>
        </w:rPr>
        <w:t>In the six months ended April 30, 2024 and 2023, capital expenditures were comprised primarily of avocado orchard development, pre-production orchard maintenance and land improvements in Guatemala; pre-production avocado orchard maintenance, blueberry land development and plant cultivation, and blueberry cooling facility construction costs in Peru; and distribution facility construction costs in the UK.</w:t>
      </w:r>
    </w:p>
    <w:p>
      <w:pPr>
        <w:spacing w:after="0" w:line="185" w:lineRule="exact"/>
        <w:rPr>
          <w:sz w:val="20"/>
          <w:szCs w:val="20"/>
          <w:color w:val="auto"/>
        </w:rPr>
      </w:pPr>
    </w:p>
    <w:p>
      <w:pPr>
        <w:ind w:right="60" w:firstLine="619"/>
        <w:spacing w:after="0" w:line="278" w:lineRule="auto"/>
        <w:rPr>
          <w:sz w:val="20"/>
          <w:szCs w:val="20"/>
          <w:color w:val="auto"/>
        </w:rPr>
      </w:pPr>
      <w:r>
        <w:rPr>
          <w:rFonts w:ascii="Arial" w:cs="Arial" w:eastAsia="Arial" w:hAnsi="Arial"/>
          <w:sz w:val="14"/>
          <w:szCs w:val="14"/>
          <w:color w:val="auto"/>
        </w:rPr>
        <w:t>From time to time, we may make capital contributions or loans to equity method investees to support capital expansion or working capital needs. Capital contributions made in six months ended April 30, 2024 and 2023 were to Mr. Avocado.</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investment</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In the six months ended April 30, 2023, we acquired a 5.1% interest in shares of common stock of a private entity in South Africa.</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Financing activities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gridSpan w:val="2"/>
          </w:tcPr>
          <w:p>
            <w:pPr>
              <w:ind w:left="580"/>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r>
      <w:tr>
        <w:trPr>
          <w:trHeight w:val="196"/>
        </w:trPr>
        <w:tc>
          <w:tcPr>
            <w:tcW w:w="754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April 30,</w:t>
            </w:r>
          </w:p>
        </w:tc>
        <w:tc>
          <w:tcPr>
            <w:tcW w:w="860" w:type="dxa"/>
            <w:vAlign w:val="bottom"/>
            <w:tcBorders>
              <w:bottom w:val="single" w:sz="8" w:color="auto"/>
            </w:tcBorders>
          </w:tcPr>
          <w:p>
            <w:pPr>
              <w:spacing w:after="0"/>
              <w:rPr>
                <w:sz w:val="17"/>
                <w:szCs w:val="17"/>
                <w:color w:val="auto"/>
              </w:rPr>
            </w:pPr>
          </w:p>
        </w:tc>
      </w:tr>
      <w:tr>
        <w:trPr>
          <w:trHeight w:val="215"/>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2024</w:t>
            </w:r>
          </w:p>
        </w:tc>
        <w:tc>
          <w:tcPr>
            <w:tcW w:w="10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6"/>
        </w:trPr>
        <w:tc>
          <w:tcPr>
            <w:tcW w:w="7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Borrowings on revolving credit facility</w:t>
            </w:r>
          </w:p>
        </w:tc>
        <w:tc>
          <w:tcPr>
            <w:tcW w:w="68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BDBDB"/>
            </w:tcBorders>
            <w:shd w:val="clear" w:color="auto" w:fill="DBDBDB"/>
          </w:tcPr>
          <w:p>
            <w:pPr>
              <w:jc w:val="right"/>
              <w:ind w:right="151"/>
              <w:spacing w:after="0"/>
              <w:rPr>
                <w:sz w:val="20"/>
                <w:szCs w:val="20"/>
                <w:color w:val="auto"/>
              </w:rPr>
            </w:pPr>
            <w:r>
              <w:rPr>
                <w:rFonts w:ascii="Arial" w:cs="Arial" w:eastAsia="Arial" w:hAnsi="Arial"/>
                <w:sz w:val="14"/>
                <w:szCs w:val="14"/>
                <w:color w:val="auto"/>
              </w:rPr>
              <w:t>40.0</w:t>
            </w:r>
          </w:p>
        </w:tc>
        <w:tc>
          <w:tcPr>
            <w:tcW w:w="1000" w:type="dxa"/>
            <w:vAlign w:val="bottom"/>
            <w:tcBorders>
              <w:bottom w:val="single" w:sz="8" w:color="DBDBDB"/>
            </w:tcBorders>
            <w:shd w:val="clear" w:color="auto" w:fill="DBDBDB"/>
          </w:tcPr>
          <w:p>
            <w:pPr>
              <w:jc w:val="right"/>
              <w:ind w:right="67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135.0</w:t>
            </w:r>
          </w:p>
        </w:tc>
      </w:tr>
      <w:tr>
        <w:trPr>
          <w:trHeight w:val="199"/>
        </w:trPr>
        <w:tc>
          <w:tcPr>
            <w:tcW w:w="7540" w:type="dxa"/>
            <w:vAlign w:val="bottom"/>
          </w:tcPr>
          <w:p>
            <w:pPr>
              <w:ind w:left="20"/>
              <w:spacing w:after="0"/>
              <w:rPr>
                <w:sz w:val="20"/>
                <w:szCs w:val="20"/>
                <w:color w:val="auto"/>
              </w:rPr>
            </w:pPr>
            <w:r>
              <w:rPr>
                <w:rFonts w:ascii="Arial" w:cs="Arial" w:eastAsia="Arial" w:hAnsi="Arial"/>
                <w:sz w:val="14"/>
                <w:szCs w:val="14"/>
                <w:color w:val="auto"/>
              </w:rPr>
              <w:t>Payments on revolving credit facility</w:t>
            </w:r>
          </w:p>
        </w:tc>
        <w:tc>
          <w:tcPr>
            <w:tcW w:w="680" w:type="dxa"/>
            <w:vAlign w:val="bottom"/>
          </w:tcPr>
          <w:p>
            <w:pPr>
              <w:spacing w:after="0"/>
              <w:rPr>
                <w:sz w:val="17"/>
                <w:szCs w:val="17"/>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(20.0)</w:t>
            </w:r>
          </w:p>
        </w:tc>
        <w:tc>
          <w:tcPr>
            <w:tcW w:w="10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20"/>
        </w:trPr>
        <w:tc>
          <w:tcPr>
            <w:tcW w:w="7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9"/>
        </w:trPr>
        <w:tc>
          <w:tcPr>
            <w:tcW w:w="7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Repayment of short-term borrowings</w:t>
            </w:r>
          </w:p>
        </w:tc>
        <w:tc>
          <w:tcPr>
            <w:tcW w:w="6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(2.8)</w:t>
            </w:r>
          </w:p>
        </w:tc>
        <w:tc>
          <w:tcPr>
            <w:tcW w:w="100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(2.5)</w:t>
            </w:r>
          </w:p>
        </w:tc>
      </w:tr>
      <w:tr>
        <w:trPr>
          <w:trHeight w:val="199"/>
        </w:trPr>
        <w:tc>
          <w:tcPr>
            <w:tcW w:w="7540" w:type="dxa"/>
            <w:vAlign w:val="bottom"/>
          </w:tcPr>
          <w:p>
            <w:pPr>
              <w:ind w:left="20"/>
              <w:spacing w:after="0"/>
              <w:rPr>
                <w:sz w:val="20"/>
                <w:szCs w:val="20"/>
                <w:color w:val="auto"/>
              </w:rPr>
            </w:pPr>
            <w:r>
              <w:rPr>
                <w:rFonts w:ascii="Arial" w:cs="Arial" w:eastAsia="Arial" w:hAnsi="Arial"/>
                <w:sz w:val="14"/>
                <w:szCs w:val="14"/>
                <w:color w:val="auto"/>
              </w:rPr>
              <w:t>Principal payments on long-term debt obligations</w:t>
            </w:r>
          </w:p>
        </w:tc>
        <w:tc>
          <w:tcPr>
            <w:tcW w:w="680" w:type="dxa"/>
            <w:vAlign w:val="bottom"/>
          </w:tcPr>
          <w:p>
            <w:pPr>
              <w:spacing w:after="0"/>
              <w:rPr>
                <w:sz w:val="17"/>
                <w:szCs w:val="17"/>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(1.8)</w:t>
            </w:r>
          </w:p>
        </w:tc>
        <w:tc>
          <w:tcPr>
            <w:tcW w:w="10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
        </w:trPr>
        <w:tc>
          <w:tcPr>
            <w:tcW w:w="7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9"/>
        </w:trPr>
        <w:tc>
          <w:tcPr>
            <w:tcW w:w="7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Principal payments on finance lease obligations</w:t>
            </w:r>
          </w:p>
        </w:tc>
        <w:tc>
          <w:tcPr>
            <w:tcW w:w="6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(2.6)</w:t>
            </w:r>
          </w:p>
        </w:tc>
        <w:tc>
          <w:tcPr>
            <w:tcW w:w="100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(2.0)</w:t>
            </w:r>
          </w:p>
        </w:tc>
      </w:tr>
      <w:tr>
        <w:trPr>
          <w:trHeight w:val="199"/>
        </w:trPr>
        <w:tc>
          <w:tcPr>
            <w:tcW w:w="7540" w:type="dxa"/>
            <w:vAlign w:val="bottom"/>
          </w:tcPr>
          <w:p>
            <w:pPr>
              <w:ind w:left="20"/>
              <w:spacing w:after="0"/>
              <w:rPr>
                <w:sz w:val="20"/>
                <w:szCs w:val="20"/>
                <w:color w:val="auto"/>
              </w:rPr>
            </w:pPr>
            <w:r>
              <w:rPr>
                <w:rFonts w:ascii="Arial" w:cs="Arial" w:eastAsia="Arial" w:hAnsi="Arial"/>
                <w:sz w:val="14"/>
                <w:szCs w:val="14"/>
                <w:color w:val="auto"/>
              </w:rPr>
              <w:t>Proceeds from loan from noncontrolling interest holder</w:t>
            </w:r>
          </w:p>
        </w:tc>
        <w:tc>
          <w:tcPr>
            <w:tcW w:w="680" w:type="dxa"/>
            <w:vAlign w:val="bottom"/>
          </w:tcPr>
          <w:p>
            <w:pPr>
              <w:spacing w:after="0"/>
              <w:rPr>
                <w:sz w:val="17"/>
                <w:szCs w:val="17"/>
                <w:color w:val="auto"/>
              </w:rPr>
            </w:pPr>
          </w:p>
        </w:tc>
        <w:tc>
          <w:tcPr>
            <w:tcW w:w="116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7"/>
                <w:szCs w:val="17"/>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2.4</w:t>
            </w:r>
          </w:p>
        </w:tc>
      </w:tr>
      <w:tr>
        <w:trPr>
          <w:trHeight w:val="20"/>
        </w:trPr>
        <w:tc>
          <w:tcPr>
            <w:tcW w:w="7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9"/>
        </w:trPr>
        <w:tc>
          <w:tcPr>
            <w:tcW w:w="7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Principal payments on loans due to noncontrolling interest holder</w:t>
            </w:r>
          </w:p>
        </w:tc>
        <w:tc>
          <w:tcPr>
            <w:tcW w:w="6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(0.5)</w:t>
            </w:r>
          </w:p>
        </w:tc>
        <w:tc>
          <w:tcPr>
            <w:tcW w:w="100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w:t>
            </w:r>
          </w:p>
        </w:tc>
      </w:tr>
      <w:tr>
        <w:trPr>
          <w:trHeight w:val="199"/>
        </w:trPr>
        <w:tc>
          <w:tcPr>
            <w:tcW w:w="7540" w:type="dxa"/>
            <w:vAlign w:val="bottom"/>
          </w:tcPr>
          <w:p>
            <w:pPr>
              <w:ind w:left="20"/>
              <w:spacing w:after="0"/>
              <w:rPr>
                <w:sz w:val="20"/>
                <w:szCs w:val="20"/>
                <w:color w:val="auto"/>
              </w:rPr>
            </w:pPr>
            <w:r>
              <w:rPr>
                <w:rFonts w:ascii="Arial" w:cs="Arial" w:eastAsia="Arial" w:hAnsi="Arial"/>
                <w:sz w:val="14"/>
                <w:szCs w:val="14"/>
                <w:color w:val="auto"/>
              </w:rPr>
              <w:t>Payments for long-term supplier financing</w:t>
            </w:r>
          </w:p>
        </w:tc>
        <w:tc>
          <w:tcPr>
            <w:tcW w:w="680" w:type="dxa"/>
            <w:vAlign w:val="bottom"/>
          </w:tcPr>
          <w:p>
            <w:pPr>
              <w:spacing w:after="0"/>
              <w:rPr>
                <w:sz w:val="17"/>
                <w:szCs w:val="17"/>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(0.3)</w:t>
            </w:r>
          </w:p>
        </w:tc>
        <w:tc>
          <w:tcPr>
            <w:tcW w:w="1000" w:type="dxa"/>
            <w:vAlign w:val="bottom"/>
          </w:tcPr>
          <w:p>
            <w:pPr>
              <w:spacing w:after="0"/>
              <w:rPr>
                <w:sz w:val="17"/>
                <w:szCs w:val="17"/>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0"/>
        </w:trPr>
        <w:tc>
          <w:tcPr>
            <w:tcW w:w="7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9"/>
        </w:trPr>
        <w:tc>
          <w:tcPr>
            <w:tcW w:w="7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Payments to noncontrolling interest holder for long-term supply financing</w:t>
            </w:r>
          </w:p>
        </w:tc>
        <w:tc>
          <w:tcPr>
            <w:tcW w:w="680" w:type="dxa"/>
            <w:vAlign w:val="bottom"/>
            <w:shd w:val="clear" w:color="auto" w:fill="DBDBDB"/>
          </w:tcPr>
          <w:p>
            <w:pPr>
              <w:spacing w:after="0"/>
              <w:rPr>
                <w:sz w:val="17"/>
                <w:szCs w:val="17"/>
                <w:color w:val="auto"/>
              </w:rPr>
            </w:pPr>
          </w:p>
        </w:tc>
        <w:tc>
          <w:tcPr>
            <w:tcW w:w="1160" w:type="dxa"/>
            <w:vAlign w:val="bottom"/>
            <w:shd w:val="clear" w:color="auto" w:fill="DBDBDB"/>
          </w:tcPr>
          <w:p>
            <w:pPr>
              <w:jc w:val="right"/>
              <w:ind w:right="111"/>
              <w:spacing w:after="0"/>
              <w:rPr>
                <w:sz w:val="20"/>
                <w:szCs w:val="20"/>
                <w:color w:val="auto"/>
              </w:rPr>
            </w:pPr>
            <w:r>
              <w:rPr>
                <w:rFonts w:ascii="Arial" w:cs="Arial" w:eastAsia="Arial" w:hAnsi="Arial"/>
                <w:sz w:val="14"/>
                <w:szCs w:val="14"/>
                <w:color w:val="auto"/>
              </w:rPr>
              <w:t>(1.9)</w:t>
            </w:r>
          </w:p>
        </w:tc>
        <w:tc>
          <w:tcPr>
            <w:tcW w:w="1000" w:type="dxa"/>
            <w:vAlign w:val="bottom"/>
            <w:shd w:val="clear" w:color="auto" w:fill="DBDBDB"/>
          </w:tcPr>
          <w:p>
            <w:pPr>
              <w:spacing w:after="0"/>
              <w:rPr>
                <w:sz w:val="17"/>
                <w:szCs w:val="17"/>
                <w:color w:val="auto"/>
              </w:rPr>
            </w:pPr>
          </w:p>
        </w:tc>
        <w:tc>
          <w:tcPr>
            <w:tcW w:w="860" w:type="dxa"/>
            <w:vAlign w:val="bottom"/>
            <w:shd w:val="clear" w:color="auto" w:fill="DBDBDB"/>
          </w:tcPr>
          <w:p>
            <w:pPr>
              <w:jc w:val="right"/>
              <w:ind w:right="11"/>
              <w:spacing w:after="0"/>
              <w:rPr>
                <w:sz w:val="20"/>
                <w:szCs w:val="20"/>
                <w:color w:val="auto"/>
              </w:rPr>
            </w:pPr>
            <w:r>
              <w:rPr>
                <w:rFonts w:ascii="Arial" w:cs="Arial" w:eastAsia="Arial" w:hAnsi="Arial"/>
                <w:sz w:val="14"/>
                <w:szCs w:val="14"/>
                <w:color w:val="auto"/>
              </w:rPr>
              <w:t>—</w:t>
            </w:r>
          </w:p>
        </w:tc>
      </w:tr>
      <w:tr>
        <w:trPr>
          <w:trHeight w:val="20"/>
        </w:trPr>
        <w:tc>
          <w:tcPr>
            <w:tcW w:w="7540" w:type="dxa"/>
            <w:vAlign w:val="bottom"/>
            <w:shd w:val="clear" w:color="auto" w:fill="DBDBDB"/>
          </w:tcPr>
          <w:p>
            <w:pPr>
              <w:spacing w:after="0" w:line="20" w:lineRule="exact"/>
              <w:rPr>
                <w:sz w:val="1"/>
                <w:szCs w:val="1"/>
                <w:color w:val="auto"/>
              </w:rPr>
            </w:pPr>
          </w:p>
        </w:tc>
        <w:tc>
          <w:tcPr>
            <w:tcW w:w="680" w:type="dxa"/>
            <w:vAlign w:val="bottom"/>
            <w:shd w:val="clear" w:color="auto" w:fill="DBDBDB"/>
          </w:tcPr>
          <w:p>
            <w:pPr>
              <w:spacing w:after="0" w:line="20" w:lineRule="exact"/>
              <w:rPr>
                <w:sz w:val="1"/>
                <w:szCs w:val="1"/>
                <w:color w:val="auto"/>
              </w:rPr>
            </w:pPr>
          </w:p>
        </w:tc>
        <w:tc>
          <w:tcPr>
            <w:tcW w:w="1160" w:type="dxa"/>
            <w:vAlign w:val="bottom"/>
            <w:shd w:val="clear" w:color="auto" w:fill="DBDBDB"/>
          </w:tcPr>
          <w:p>
            <w:pPr>
              <w:spacing w:after="0" w:line="20" w:lineRule="exact"/>
              <w:rPr>
                <w:sz w:val="1"/>
                <w:szCs w:val="1"/>
                <w:color w:val="auto"/>
              </w:rPr>
            </w:pPr>
          </w:p>
        </w:tc>
        <w:tc>
          <w:tcPr>
            <w:tcW w:w="1000" w:type="dxa"/>
            <w:vAlign w:val="bottom"/>
            <w:shd w:val="clear" w:color="auto" w:fill="DBDBDB"/>
          </w:tcPr>
          <w:p>
            <w:pPr>
              <w:spacing w:after="0" w:line="20" w:lineRule="exact"/>
              <w:rPr>
                <w:sz w:val="1"/>
                <w:szCs w:val="1"/>
                <w:color w:val="auto"/>
              </w:rPr>
            </w:pPr>
          </w:p>
        </w:tc>
        <w:tc>
          <w:tcPr>
            <w:tcW w:w="860" w:type="dxa"/>
            <w:vAlign w:val="bottom"/>
            <w:shd w:val="clear" w:color="auto" w:fill="DBDBDB"/>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6" w:name="page27"/>
    <w:bookmarkEnd w:id="26"/>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80" w:type="dxa"/>
            <w:vAlign w:val="bottom"/>
            <w:gridSpan w:val="2"/>
          </w:tcPr>
          <w:p>
            <w:pPr>
              <w:ind w:left="580"/>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6"/>
        </w:trPr>
        <w:tc>
          <w:tcPr>
            <w:tcW w:w="754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April 30,</w:t>
            </w:r>
          </w:p>
        </w:tc>
        <w:tc>
          <w:tcPr>
            <w:tcW w:w="840" w:type="dxa"/>
            <w:vAlign w:val="bottom"/>
            <w:tcBorders>
              <w:bottom w:val="single" w:sz="8" w:color="auto"/>
            </w:tcBorders>
          </w:tcPr>
          <w:p>
            <w:pPr>
              <w:spacing w:after="0"/>
              <w:rPr>
                <w:sz w:val="17"/>
                <w:szCs w:val="17"/>
                <w:color w:val="auto"/>
              </w:rPr>
            </w:pPr>
          </w:p>
        </w:tc>
      </w:tr>
      <w:tr>
        <w:trPr>
          <w:trHeight w:val="215"/>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2024</w:t>
            </w:r>
          </w:p>
        </w:tc>
        <w:tc>
          <w:tcPr>
            <w:tcW w:w="10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r>
      <w:tr>
        <w:trPr>
          <w:trHeight w:val="195"/>
        </w:trPr>
        <w:tc>
          <w:tcPr>
            <w:tcW w:w="7540" w:type="dxa"/>
            <w:vAlign w:val="bottom"/>
          </w:tcPr>
          <w:p>
            <w:pPr>
              <w:ind w:left="20"/>
              <w:spacing w:after="0"/>
              <w:rPr>
                <w:sz w:val="20"/>
                <w:szCs w:val="20"/>
                <w:color w:val="auto"/>
              </w:rPr>
            </w:pPr>
            <w:r>
              <w:rPr>
                <w:rFonts w:ascii="Arial" w:cs="Arial" w:eastAsia="Arial" w:hAnsi="Arial"/>
                <w:sz w:val="14"/>
                <w:szCs w:val="14"/>
                <w:color w:val="auto"/>
              </w:rPr>
              <w:t>Payments of minimum withholding taxes on net share settlement of equity awards</w:t>
            </w:r>
          </w:p>
        </w:tc>
        <w:tc>
          <w:tcPr>
            <w:tcW w:w="680" w:type="dxa"/>
            <w:vAlign w:val="bottom"/>
          </w:tcPr>
          <w:p>
            <w:pPr>
              <w:spacing w:after="0"/>
              <w:rPr>
                <w:sz w:val="16"/>
                <w:szCs w:val="16"/>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(0.8)</w:t>
            </w:r>
          </w:p>
        </w:tc>
        <w:tc>
          <w:tcPr>
            <w:tcW w:w="10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0"/>
        </w:trPr>
        <w:tc>
          <w:tcPr>
            <w:tcW w:w="7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4"/>
        </w:trPr>
        <w:tc>
          <w:tcPr>
            <w:tcW w:w="7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Equity contributions from noncontrolling interest holders</w:t>
            </w:r>
          </w:p>
        </w:tc>
        <w:tc>
          <w:tcPr>
            <w:tcW w:w="68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jc w:val="right"/>
              <w:ind w:right="15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shd w:val="clear" w:color="auto" w:fill="DBDBDB"/>
          </w:tcPr>
          <w:p>
            <w:pPr>
              <w:spacing w:after="0"/>
              <w:rPr>
                <w:sz w:val="19"/>
                <w:szCs w:val="19"/>
                <w:color w:val="auto"/>
              </w:rPr>
            </w:pPr>
          </w:p>
        </w:tc>
        <w:tc>
          <w:tcPr>
            <w:tcW w:w="84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1.4</w:t>
            </w:r>
          </w:p>
        </w:tc>
      </w:tr>
      <w:tr>
        <w:trPr>
          <w:trHeight w:val="192"/>
        </w:trPr>
        <w:tc>
          <w:tcPr>
            <w:tcW w:w="75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680" w:type="dxa"/>
            <w:vAlign w:val="bottom"/>
            <w:tcBorders>
              <w:top w:val="single" w:sz="8" w:color="auto"/>
            </w:tcBorders>
          </w:tcPr>
          <w:p>
            <w:pPr>
              <w:jc w:val="right"/>
              <w:ind w:right="511"/>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color w:val="auto"/>
              </w:rPr>
              <w:t>9.3</w:t>
            </w:r>
          </w:p>
        </w:tc>
        <w:tc>
          <w:tcPr>
            <w:tcW w:w="1020" w:type="dxa"/>
            <w:vAlign w:val="bottom"/>
            <w:tcBorders>
              <w:top w:val="single" w:sz="8" w:color="auto"/>
            </w:tcBorders>
          </w:tcPr>
          <w:p>
            <w:pPr>
              <w:jc w:val="right"/>
              <w:ind w:right="69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32.1</w:t>
            </w:r>
          </w:p>
        </w:tc>
      </w:tr>
      <w:tr>
        <w:trPr>
          <w:trHeight w:val="20"/>
        </w:trPr>
        <w:tc>
          <w:tcPr>
            <w:tcW w:w="7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Borrowings and repayments of debt</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We utilize a revolving line of credit for short-term working capital purposes. Principal payments on our credit facility are made in accordance with debt maturity schedules.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Blueberries</w:t>
      </w:r>
    </w:p>
    <w:p>
      <w:pPr>
        <w:spacing w:after="0" w:line="213" w:lineRule="exact"/>
        <w:rPr>
          <w:sz w:val="20"/>
          <w:szCs w:val="20"/>
          <w:color w:val="auto"/>
        </w:rPr>
      </w:pPr>
    </w:p>
    <w:p>
      <w:pPr>
        <w:jc w:val="both"/>
        <w:ind w:right="60" w:firstLine="619"/>
        <w:spacing w:after="0" w:line="253" w:lineRule="auto"/>
        <w:rPr>
          <w:sz w:val="20"/>
          <w:szCs w:val="20"/>
          <w:color w:val="auto"/>
        </w:rPr>
      </w:pPr>
      <w:r>
        <w:rPr>
          <w:rFonts w:ascii="Arial" w:cs="Arial" w:eastAsia="Arial" w:hAnsi="Arial"/>
          <w:sz w:val="14"/>
          <w:szCs w:val="14"/>
          <w:color w:val="auto"/>
        </w:rPr>
        <w:t>Financing of our Blueberries segment consists of shareholder contributions and loans, as well as short-term bank borrowings, as needed. Principal payments on shareholder loans are made in accordance with loan agreements. Principal payments on finance lease obligations primarily relate to a long-term land lease, which for accounting purposes has been classified as a finance lease. Certain supply purchases are made under long-term financing arrangements, a significant portion of which are with the noncontrolling interest holder of the entity.</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Capital resources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April 30, 2024</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2023</w:t>
            </w:r>
          </w:p>
        </w:tc>
      </w:tr>
      <w:tr>
        <w:trPr>
          <w:trHeight w:val="196"/>
        </w:trPr>
        <w:tc>
          <w:tcPr>
            <w:tcW w:w="4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Cash and cash equivalents</w:t>
            </w:r>
          </w:p>
        </w:tc>
        <w:tc>
          <w:tcPr>
            <w:tcW w:w="340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46.2</w:t>
            </w:r>
          </w:p>
        </w:tc>
        <w:tc>
          <w:tcPr>
            <w:tcW w:w="4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42.9</w:t>
            </w:r>
          </w:p>
        </w:tc>
      </w:tr>
      <w:tr>
        <w:trPr>
          <w:trHeight w:val="219"/>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Working capital</w:t>
            </w:r>
            <w:r>
              <w:rPr>
                <w:rFonts w:ascii="Arial" w:cs="Arial" w:eastAsia="Arial" w:hAnsi="Arial"/>
                <w:sz w:val="17"/>
                <w:szCs w:val="17"/>
                <w:color w:val="auto"/>
                <w:vertAlign w:val="superscript"/>
              </w:rPr>
              <w:t>(1)</w:t>
            </w:r>
          </w:p>
        </w:tc>
        <w:tc>
          <w:tcPr>
            <w:tcW w:w="3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154.6</w:t>
            </w:r>
          </w:p>
        </w:tc>
        <w:tc>
          <w:tcPr>
            <w:tcW w:w="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122.6</w:t>
            </w:r>
          </w:p>
        </w:tc>
      </w:tr>
    </w:tbl>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(1)C</w:t>
      </w:r>
      <w:r>
        <w:rPr>
          <w:rFonts w:ascii="Arial" w:cs="Arial" w:eastAsia="Arial" w:hAnsi="Arial"/>
          <w:sz w:val="13"/>
          <w:szCs w:val="13"/>
          <w:color w:val="auto"/>
        </w:rPr>
        <w:t>urrent assets minus current liabilities.</w:t>
      </w:r>
    </w:p>
    <w:p>
      <w:pPr>
        <w:spacing w:after="0" w:line="224" w:lineRule="exact"/>
        <w:rPr>
          <w:sz w:val="20"/>
          <w:szCs w:val="20"/>
          <w:color w:val="auto"/>
        </w:rPr>
      </w:pPr>
    </w:p>
    <w:p>
      <w:pPr>
        <w:ind w:right="340" w:firstLine="619"/>
        <w:spacing w:after="0" w:line="278" w:lineRule="auto"/>
        <w:rPr>
          <w:sz w:val="20"/>
          <w:szCs w:val="20"/>
          <w:color w:val="auto"/>
        </w:rPr>
      </w:pPr>
      <w:r>
        <w:rPr>
          <w:rFonts w:ascii="Arial" w:cs="Arial" w:eastAsia="Arial" w:hAnsi="Arial"/>
          <w:sz w:val="14"/>
          <w:szCs w:val="14"/>
          <w:color w:val="auto"/>
        </w:rPr>
        <w:t>Capital resources include cash flows from operations, cash and cash equivalents, and debt financing. Our Blueberries segment may from time to time also receive capital contributions or loans from shareholders.</w:t>
      </w:r>
    </w:p>
    <w:p>
      <w:pPr>
        <w:spacing w:after="0" w:line="168" w:lineRule="exact"/>
        <w:rPr>
          <w:sz w:val="20"/>
          <w:szCs w:val="20"/>
          <w:color w:val="auto"/>
        </w:rPr>
      </w:pPr>
    </w:p>
    <w:p>
      <w:pPr>
        <w:jc w:val="both"/>
        <w:ind w:right="80" w:firstLine="619"/>
        <w:spacing w:after="0" w:line="253" w:lineRule="auto"/>
        <w:rPr>
          <w:sz w:val="20"/>
          <w:szCs w:val="20"/>
          <w:color w:val="auto"/>
        </w:rPr>
      </w:pPr>
      <w:r>
        <w:rPr>
          <w:rFonts w:ascii="Arial" w:cs="Arial" w:eastAsia="Arial" w:hAnsi="Arial"/>
          <w:sz w:val="14"/>
          <w:szCs w:val="14"/>
          <w:color w:val="auto"/>
        </w:rPr>
        <w:t>Our syndicated credit facility with Bank of America has a total borrowing capacity of $250 million. The credit facility is comprised of two senior term loans totaling $100 million and a revolving credit agreement of $150 million. The loans are secured by assets of the Company, including certain real property, personal property and capital stock of the Company’s subsidiaries. Borrowings under the credit facility bear interest at a spread over SOFR ranging from 1.5% to 2.5% depending on the Company’s consolidated total net leverage ratio. We pay fees on unused commitments on the credit facility.</w:t>
      </w:r>
    </w:p>
    <w:p>
      <w:pPr>
        <w:spacing w:after="0" w:line="185" w:lineRule="exact"/>
        <w:rPr>
          <w:sz w:val="20"/>
          <w:szCs w:val="20"/>
          <w:color w:val="auto"/>
        </w:rPr>
      </w:pPr>
    </w:p>
    <w:p>
      <w:pPr>
        <w:ind w:right="80" w:firstLine="619"/>
        <w:spacing w:after="0" w:line="264" w:lineRule="auto"/>
        <w:rPr>
          <w:sz w:val="20"/>
          <w:szCs w:val="20"/>
          <w:color w:val="auto"/>
        </w:rPr>
      </w:pPr>
      <w:r>
        <w:rPr>
          <w:rFonts w:ascii="Arial" w:cs="Arial" w:eastAsia="Arial" w:hAnsi="Arial"/>
          <w:sz w:val="14"/>
          <w:szCs w:val="14"/>
          <w:color w:val="auto"/>
        </w:rPr>
        <w:t>As of April 30, 2024, we were required to comply with the following financial covenants: (a) a quarterly consolidated leverage ratio of not more than 3.5 to 1.00 and (b) a quarterly consolidated fixed charge coverage ratio of not less than 1.25 to 1.00. As of April 30, 2024, our consolidated leverage ratio was 2.14 to 1.00 and our consolidated fixed charge coverage ratio was 2.25 to 1.00 and we were in compliance with all such covenants of the credit facility.</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cash requirements</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Capital expenditures</w:t>
      </w:r>
    </w:p>
    <w:p>
      <w:pPr>
        <w:spacing w:after="0" w:line="200" w:lineRule="exact"/>
        <w:rPr>
          <w:sz w:val="20"/>
          <w:szCs w:val="20"/>
          <w:color w:val="auto"/>
        </w:rPr>
      </w:pPr>
    </w:p>
    <w:p>
      <w:pPr>
        <w:ind w:right="300" w:firstLine="619"/>
        <w:spacing w:after="0" w:line="278" w:lineRule="auto"/>
        <w:rPr>
          <w:sz w:val="20"/>
          <w:szCs w:val="20"/>
          <w:color w:val="auto"/>
        </w:rPr>
      </w:pPr>
      <w:r>
        <w:rPr>
          <w:rFonts w:ascii="Arial" w:cs="Arial" w:eastAsia="Arial" w:hAnsi="Arial"/>
          <w:sz w:val="14"/>
          <w:szCs w:val="14"/>
          <w:color w:val="auto"/>
        </w:rPr>
        <w:t>We have various capital projects in progress for farming expansion and facility improvements which we intend to fund through our operating cash flow as well as cash and cash equivalents on hand. For fiscal 2024, we expect capital expenditures to be between $40 million to $45 million.</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Moruga Blueberry Project</w:t>
      </w:r>
    </w:p>
    <w:p>
      <w:pPr>
        <w:spacing w:after="0" w:line="213" w:lineRule="exact"/>
        <w:rPr>
          <w:sz w:val="20"/>
          <w:szCs w:val="20"/>
          <w:color w:val="auto"/>
        </w:rPr>
      </w:pPr>
    </w:p>
    <w:p>
      <w:pPr>
        <w:jc w:val="both"/>
        <w:ind w:right="80" w:firstLine="619"/>
        <w:spacing w:after="0" w:line="254" w:lineRule="auto"/>
        <w:rPr>
          <w:sz w:val="20"/>
          <w:szCs w:val="20"/>
          <w:color w:val="auto"/>
        </w:rPr>
      </w:pPr>
      <w:r>
        <w:rPr>
          <w:rFonts w:ascii="Arial" w:cs="Arial" w:eastAsia="Arial" w:hAnsi="Arial"/>
          <w:sz w:val="14"/>
          <w:szCs w:val="14"/>
          <w:color w:val="auto"/>
        </w:rPr>
        <w:t>In fiscal year 2023, Moruga commenced a long-term project to farm approximately 1,500 additional acres of blueberries in the Olmos region of Peru. The project is funded by cash flow generated by Moruga and supplemented by pro-rata shareholder contributions based on each shareholders’ respective ownership interest. As of April 30, 2024, the estimated remaining capital expenditures related to the project were approximately $35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Leases</w:t>
      </w:r>
    </w:p>
    <w:p>
      <w:pPr>
        <w:spacing w:after="0" w:line="213" w:lineRule="exact"/>
        <w:rPr>
          <w:sz w:val="20"/>
          <w:szCs w:val="20"/>
          <w:color w:val="auto"/>
        </w:rPr>
      </w:pPr>
    </w:p>
    <w:p>
      <w:pPr>
        <w:ind w:right="140" w:firstLine="619"/>
        <w:spacing w:after="0" w:line="278" w:lineRule="auto"/>
        <w:rPr>
          <w:sz w:val="20"/>
          <w:szCs w:val="20"/>
          <w:color w:val="auto"/>
        </w:rPr>
      </w:pPr>
      <w:r>
        <w:rPr>
          <w:rFonts w:ascii="Arial" w:cs="Arial" w:eastAsia="Arial" w:hAnsi="Arial"/>
          <w:sz w:val="14"/>
          <w:szCs w:val="14"/>
          <w:color w:val="auto"/>
        </w:rPr>
        <w:t>We are party to various leases, the most material of which are for facilities and land. Our undiscounted cash liabilities were approximately $175.3 million as of April 30, 2024, of which, approximately $107.8 million was for long-term land leases in our International Farming and Blueberries segments.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Long-term debt</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As of April 30, 2024, remaining maturities on our term loans and notes were $170.6 million. See Note 6 to the consolidated financial statements for more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estimates</w:t>
      </w:r>
    </w:p>
    <w:p>
      <w:pPr>
        <w:spacing w:after="0" w:line="221" w:lineRule="exact"/>
        <w:rPr>
          <w:sz w:val="20"/>
          <w:szCs w:val="20"/>
          <w:color w:val="auto"/>
        </w:rPr>
      </w:pPr>
    </w:p>
    <w:p>
      <w:pPr>
        <w:ind w:right="100" w:firstLine="619"/>
        <w:spacing w:after="0" w:line="264" w:lineRule="auto"/>
        <w:rPr>
          <w:sz w:val="20"/>
          <w:szCs w:val="20"/>
          <w:color w:val="auto"/>
        </w:rPr>
      </w:pPr>
      <w:r>
        <w:rPr>
          <w:rFonts w:ascii="Arial" w:cs="Arial" w:eastAsia="Arial" w:hAnsi="Arial"/>
          <w:sz w:val="14"/>
          <w:szCs w:val="14"/>
          <w:color w:val="auto"/>
        </w:rPr>
        <w:t>For a discussion of our critical accounting estimates, see “Part II, Item 7. Management’s Discussion and Analysis of Financial Condition and Operations” in our Annual Report on Form 10-K for the year ended October 31, 2023, filed with the SEC on December 21, 2023. There have been no material changes to the critical accounting estimates disclosed in such Annual Report on Form 10-K.</w:t>
      </w:r>
    </w:p>
    <w:p>
      <w:pPr>
        <w:spacing w:after="0" w:line="293"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1" w:lineRule="exact"/>
        <w:rPr>
          <w:sz w:val="20"/>
          <w:szCs w:val="20"/>
          <w:color w:val="auto"/>
        </w:rPr>
      </w:pPr>
    </w:p>
    <w:p>
      <w:pPr>
        <w:ind w:right="100" w:firstLine="619"/>
        <w:spacing w:after="0" w:line="278" w:lineRule="auto"/>
        <w:rPr>
          <w:sz w:val="20"/>
          <w:szCs w:val="20"/>
          <w:color w:val="auto"/>
        </w:rPr>
      </w:pPr>
      <w:r>
        <w:rPr>
          <w:rFonts w:ascii="Arial" w:cs="Arial" w:eastAsia="Arial" w:hAnsi="Arial"/>
          <w:sz w:val="14"/>
          <w:szCs w:val="14"/>
          <w:color w:val="auto"/>
        </w:rPr>
        <w:t>There have been no material changes to “Part II, Item 7A. Quantitative and Qualitative Disclosures About Market Risk” in our Annual Report on Form 10-K for the year ended October 31, 2023.</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Evaluation of Disclosure Controls and Procedures</w:t>
      </w:r>
    </w:p>
    <w:p>
      <w:pPr>
        <w:spacing w:after="0" w:line="221" w:lineRule="exact"/>
        <w:rPr>
          <w:sz w:val="20"/>
          <w:szCs w:val="20"/>
          <w:color w:val="auto"/>
        </w:rPr>
      </w:pPr>
    </w:p>
    <w:p>
      <w:pPr>
        <w:ind w:firstLine="619"/>
        <w:spacing w:after="0" w:line="251" w:lineRule="auto"/>
        <w:rPr>
          <w:sz w:val="20"/>
          <w:szCs w:val="20"/>
          <w:color w:val="auto"/>
        </w:rPr>
      </w:pPr>
      <w:r>
        <w:rPr>
          <w:rFonts w:ascii="Arial" w:cs="Arial" w:eastAsia="Arial" w:hAnsi="Arial"/>
          <w:sz w:val="14"/>
          <w:szCs w:val="14"/>
          <w:color w:val="auto"/>
        </w:rPr>
        <w:t>Our management, with the participation and supervision of our Chief Executive Officer and our Chief Financial Officer, have evaluated the effectiveness of our disclosure controls and procedures (as defined in Rules 13a-15(e) and 15d-15(e)) under the Securities Exchange Act of 1934, as amended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221" w:lineRule="exact"/>
        <w:rPr>
          <w:sz w:val="20"/>
          <w:szCs w:val="20"/>
          <w:color w:val="auto"/>
        </w:rPr>
      </w:pPr>
    </w:p>
    <w:p>
      <w:pPr>
        <w:ind w:right="600" w:firstLine="619"/>
        <w:spacing w:after="0" w:line="278" w:lineRule="auto"/>
        <w:rPr>
          <w:sz w:val="20"/>
          <w:szCs w:val="20"/>
          <w:color w:val="auto"/>
        </w:rPr>
      </w:pPr>
      <w:r>
        <w:rPr>
          <w:rFonts w:ascii="Arial" w:cs="Arial" w:eastAsia="Arial" w:hAnsi="Arial"/>
          <w:sz w:val="14"/>
          <w:szCs w:val="14"/>
          <w:color w:val="auto"/>
        </w:rPr>
        <w:t>There were no changes in our internal control over financial reporting during the quarter ended April 30, 2024 that have materially affected, or are reasonably likely to materially affect, our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Limitations on Effectiveness of Controls and Procedures</w:t>
      </w:r>
    </w:p>
    <w:p>
      <w:pPr>
        <w:spacing w:after="0" w:line="221" w:lineRule="exact"/>
        <w:rPr>
          <w:sz w:val="20"/>
          <w:szCs w:val="20"/>
          <w:color w:val="auto"/>
        </w:rPr>
      </w:pPr>
    </w:p>
    <w:p>
      <w:pPr>
        <w:ind w:right="220" w:firstLine="619"/>
        <w:spacing w:after="0" w:line="278" w:lineRule="auto"/>
        <w:rPr>
          <w:sz w:val="20"/>
          <w:szCs w:val="20"/>
          <w:color w:val="auto"/>
        </w:rPr>
      </w:pPr>
      <w:r>
        <w:rPr>
          <w:rFonts w:ascii="Arial" w:cs="Arial" w:eastAsia="Arial" w:hAnsi="Arial"/>
          <w:sz w:val="13"/>
          <w:szCs w:val="13"/>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PART II- OTHER INFORMATION</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34" w:lineRule="exact"/>
        <w:rPr>
          <w:sz w:val="20"/>
          <w:szCs w:val="20"/>
          <w:color w:val="auto"/>
        </w:rPr>
      </w:pPr>
    </w:p>
    <w:p>
      <w:pPr>
        <w:ind w:right="660" w:firstLine="619"/>
        <w:spacing w:after="0" w:line="278" w:lineRule="auto"/>
        <w:rPr>
          <w:sz w:val="20"/>
          <w:szCs w:val="20"/>
          <w:color w:val="auto"/>
        </w:rPr>
      </w:pPr>
      <w:r>
        <w:rPr>
          <w:rFonts w:ascii="Arial" w:cs="Arial" w:eastAsia="Arial" w:hAnsi="Arial"/>
          <w:sz w:val="14"/>
          <w:szCs w:val="14"/>
          <w:color w:val="auto"/>
        </w:rPr>
        <w:t>We are from time to time involved in legal proceedings and investigations arising in the ordinary course of business, including those relating to employment matters, relationships with clients and contractors, intellectual property disputes and other business matters.</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following updates the matter discussed in “Part I, Item 3. Legal Proceedings” in our Annual Report on Form 10-K for the year ended October 31, 2023:</w:t>
      </w:r>
    </w:p>
    <w:p>
      <w:pPr>
        <w:spacing w:after="0" w:line="213" w:lineRule="exact"/>
        <w:rPr>
          <w:sz w:val="20"/>
          <w:szCs w:val="20"/>
          <w:color w:val="auto"/>
        </w:rPr>
      </w:pPr>
    </w:p>
    <w:p>
      <w:pPr>
        <w:ind w:firstLine="619"/>
        <w:spacing w:after="0" w:line="251" w:lineRule="auto"/>
        <w:rPr>
          <w:sz w:val="20"/>
          <w:szCs w:val="20"/>
          <w:color w:val="auto"/>
        </w:rPr>
      </w:pPr>
      <w:r>
        <w:rPr>
          <w:rFonts w:ascii="Arial" w:cs="Arial" w:eastAsia="Arial" w:hAnsi="Arial"/>
          <w:sz w:val="14"/>
          <w:szCs w:val="14"/>
          <w:color w:val="auto"/>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seek damages primarily consisting of class certification and payment of wages earned and owed, plus other consequential and special damages. While the Company believes that it did not violate any wage or labor laws, in May 2021, the plaintiffs in both class action lawsuits and the Company agreed to settle the class action cases. Per the terms of the settlement agreement between the parties, the total amount of the settlement is $1.5 million. A final approval hearing is scheduled for June 2024.</w:t>
      </w:r>
    </w:p>
    <w:p>
      <w:pPr>
        <w:spacing w:after="0" w:line="188" w:lineRule="exact"/>
        <w:rPr>
          <w:sz w:val="20"/>
          <w:szCs w:val="20"/>
          <w:color w:val="auto"/>
        </w:rPr>
      </w:pPr>
    </w:p>
    <w:p>
      <w:pPr>
        <w:ind w:right="300" w:firstLine="619"/>
        <w:spacing w:after="0" w:line="254" w:lineRule="auto"/>
        <w:rPr>
          <w:sz w:val="20"/>
          <w:szCs w:val="20"/>
          <w:color w:val="auto"/>
        </w:rPr>
      </w:pPr>
      <w:r>
        <w:rPr>
          <w:rFonts w:ascii="Arial" w:cs="Arial" w:eastAsia="Arial" w:hAnsi="Arial"/>
          <w:sz w:val="14"/>
          <w:szCs w:val="14"/>
          <w:color w:val="auto"/>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b w:val="1"/>
          <w:bCs w:val="1"/>
          <w:color w:val="auto"/>
        </w:rPr>
        <w:t>Item 1A.</w:t>
      </w:r>
      <w:r>
        <w:rPr>
          <w:sz w:val="20"/>
          <w:szCs w:val="20"/>
          <w:color w:val="auto"/>
        </w:rPr>
        <w:tab/>
      </w:r>
      <w:r>
        <w:rPr>
          <w:rFonts w:ascii="Arial" w:cs="Arial" w:eastAsia="Arial" w:hAnsi="Arial"/>
          <w:sz w:val="18"/>
          <w:szCs w:val="18"/>
          <w:b w:val="1"/>
          <w:bCs w:val="1"/>
          <w:color w:val="auto"/>
        </w:rPr>
        <w:t>Risk Factors</w:t>
      </w:r>
    </w:p>
    <w:p>
      <w:pPr>
        <w:spacing w:after="0" w:line="234" w:lineRule="exact"/>
        <w:rPr>
          <w:sz w:val="20"/>
          <w:szCs w:val="20"/>
          <w:color w:val="auto"/>
        </w:rPr>
      </w:pPr>
    </w:p>
    <w:p>
      <w:pPr>
        <w:ind w:right="20" w:firstLine="619"/>
        <w:spacing w:after="0" w:line="251" w:lineRule="auto"/>
        <w:rPr>
          <w:sz w:val="20"/>
          <w:szCs w:val="20"/>
          <w:color w:val="auto"/>
        </w:rPr>
      </w:pPr>
      <w:r>
        <w:rPr>
          <w:rFonts w:ascii="Arial" w:cs="Arial" w:eastAsia="Arial" w:hAnsi="Arial"/>
          <w:sz w:val="14"/>
          <w:szCs w:val="14"/>
          <w:color w:val="auto"/>
        </w:rPr>
        <w:t>For a discussion of our risk factors, see “Part I, Item 1A. Risk Factors” in our Annual Report on Form 10-K for the year ended October 31, 2023, filed with the SEC on December 21, 2023. There have been no material changes from the risk factors previously disclosed in such Annual Report on Form 10-K, except as set forth below. The risks and uncertainties that we face are not limited to those set forth in the 2023 Form 10-K and in this quarterly report. You should carefully consider the risk factors in the 2023 Form 10-K, together with the other information contained in this quarterly report on Form 10-Q, including our financial statements and the related notes and “Management’s Discussion and Analysis of Financial Condition and Results of Operations,” before making a decision to purchase or sell shares of our common stock. Additional risks and uncertainties not presently known to us or that we currently believe to be immaterial may also adversely affect our business and the trading price of our common stock.</w:t>
      </w:r>
    </w:p>
    <w:p>
      <w:pPr>
        <w:spacing w:after="0" w:line="175"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repurchase program</w:t>
      </w:r>
    </w:p>
    <w:p>
      <w:pPr>
        <w:spacing w:after="0" w:line="228" w:lineRule="exact"/>
        <w:rPr>
          <w:sz w:val="20"/>
          <w:szCs w:val="20"/>
          <w:color w:val="auto"/>
        </w:rPr>
      </w:pPr>
    </w:p>
    <w:p>
      <w:pPr>
        <w:ind w:right="40" w:firstLine="619"/>
        <w:spacing w:after="0" w:line="259" w:lineRule="auto"/>
        <w:rPr>
          <w:sz w:val="20"/>
          <w:szCs w:val="20"/>
          <w:color w:val="auto"/>
        </w:rPr>
      </w:pPr>
      <w:r>
        <w:rPr>
          <w:rFonts w:ascii="Arial" w:cs="Arial" w:eastAsia="Arial" w:hAnsi="Arial"/>
          <w:sz w:val="14"/>
          <w:szCs w:val="14"/>
          <w:color w:val="auto"/>
        </w:rPr>
        <w:t>On September 6, 2023, the Board of Directors approved a stock repurchase program, which permits the Company to repurchase up to $20 million of shares of the Company’s common stock within 36 months from adoption. Share repurchases may be made from time to time in open market or privately negotiated transactions and/or pursuant to Rule 10b5-1 trading plans in such quantities and at such prices as may be authorized by certain designated officers of the Company and are subject to market conditions, applicable legal requirements, trading restrictions under the Company’s insider trading policy and other relevant factors.</w:t>
      </w:r>
    </w:p>
    <w:p>
      <w:pPr>
        <w:spacing w:after="0" w:line="169" w:lineRule="exact"/>
        <w:rPr>
          <w:sz w:val="20"/>
          <w:szCs w:val="20"/>
          <w:color w:val="auto"/>
        </w:rPr>
      </w:pPr>
    </w:p>
    <w:p>
      <w:pPr>
        <w:ind w:right="60" w:firstLine="619"/>
        <w:spacing w:after="0" w:line="278" w:lineRule="auto"/>
        <w:rPr>
          <w:sz w:val="20"/>
          <w:szCs w:val="20"/>
          <w:color w:val="auto"/>
        </w:rPr>
      </w:pPr>
      <w:r>
        <w:rPr>
          <w:rFonts w:ascii="Arial" w:cs="Arial" w:eastAsia="Arial" w:hAnsi="Arial"/>
          <w:sz w:val="14"/>
          <w:szCs w:val="14"/>
          <w:color w:val="auto"/>
        </w:rPr>
        <w:t>No repurchases were made by us or our “affiliated purchasers” (as defined in Rule 10b-18(a)(3) of the Exchange Act) of registered equity securities during the second quarter of 2024. As of April 30, 2024, the approximate dollar value of shares that may yet be purchased as part of our stock repurchase program was $19.4 million.</w:t>
      </w:r>
    </w:p>
    <w:p>
      <w:pPr>
        <w:spacing w:after="0" w:line="154" w:lineRule="exact"/>
        <w:rPr>
          <w:sz w:val="20"/>
          <w:szCs w:val="20"/>
          <w:color w:val="auto"/>
        </w:rPr>
      </w:pPr>
    </w:p>
    <w:p>
      <w:pPr>
        <w:spacing w:after="0"/>
        <w:tabs>
          <w:tab w:leader="none" w:pos="80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8"/>
          <w:szCs w:val="18"/>
          <w:b w:val="1"/>
          <w:bCs w:val="1"/>
          <w:color w:val="auto"/>
        </w:rPr>
        <w:t>Defaults Upon Senior Securities</w:t>
      </w:r>
    </w:p>
    <w:p>
      <w:pPr>
        <w:spacing w:after="0" w:line="23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None.</w:t>
      </w:r>
    </w:p>
    <w:p>
      <w:pPr>
        <w:spacing w:after="0" w:line="186" w:lineRule="exact"/>
        <w:rPr>
          <w:sz w:val="20"/>
          <w:szCs w:val="20"/>
          <w:color w:val="auto"/>
        </w:rPr>
      </w:pPr>
    </w:p>
    <w:p>
      <w:pPr>
        <w:spacing w:after="0"/>
        <w:tabs>
          <w:tab w:leader="none" w:pos="80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23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122" w:lineRule="exact"/>
        <w:rPr>
          <w:sz w:val="20"/>
          <w:szCs w:val="20"/>
          <w:color w:val="auto"/>
        </w:rPr>
      </w:pPr>
    </w:p>
    <w:p>
      <w:pPr>
        <w:spacing w:after="0"/>
        <w:tabs>
          <w:tab w:leader="none" w:pos="800" w:val="left"/>
        </w:tabs>
        <w:rPr>
          <w:sz w:val="20"/>
          <w:szCs w:val="20"/>
          <w:color w:val="auto"/>
        </w:rPr>
      </w:pPr>
      <w:r>
        <w:rPr>
          <w:rFonts w:ascii="Arial" w:cs="Arial" w:eastAsia="Arial" w:hAnsi="Arial"/>
          <w:sz w:val="19"/>
          <w:szCs w:val="19"/>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10b-5(1) Trading Plans</w:t>
      </w:r>
    </w:p>
    <w:p>
      <w:pPr>
        <w:spacing w:after="0" w:line="221" w:lineRule="exact"/>
        <w:rPr>
          <w:sz w:val="20"/>
          <w:szCs w:val="20"/>
          <w:color w:val="auto"/>
        </w:rPr>
      </w:pPr>
    </w:p>
    <w:p>
      <w:pPr>
        <w:ind w:right="100" w:firstLine="619"/>
        <w:spacing w:after="0" w:line="252" w:lineRule="auto"/>
        <w:rPr>
          <w:sz w:val="20"/>
          <w:szCs w:val="20"/>
          <w:color w:val="auto"/>
        </w:rPr>
      </w:pPr>
      <w:r>
        <w:rPr>
          <w:rFonts w:ascii="Arial" w:cs="Arial" w:eastAsia="Arial" w:hAnsi="Arial"/>
          <w:sz w:val="14"/>
          <w:szCs w:val="14"/>
          <w:color w:val="auto"/>
        </w:rPr>
        <w:t>Jay A. Pack, one of the Company’s directors, has adopted a trading plan that is intended to satisfy the affirmative defense of Rule 10b5-1(c) (the “Pack Sales Plan”) to sell a maximum of 150,000 shares which are held indirectly through PFP Investments, Ltd. The Pack Sales Plan was adopted on April 3, 2024, with sales commencing under the Pack Sales Plan, subject to the conditions of the Pack Sales Plan, on July 18, 2024. The Pack Sales Plan terminates on the earliest to occur of (a) July 17, 2025; (b) the completion of all sales contemplated under the Pack Sales Plan; and (c) the date the Pack Sales Plan is terminated in connection with certain events or transactions as specified by the terms of the Pack Sales Plan.</w:t>
      </w:r>
    </w:p>
    <w:p>
      <w:pPr>
        <w:spacing w:after="0" w:line="172"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6.</w:t>
      </w:r>
      <w:r>
        <w:rPr>
          <w:sz w:val="20"/>
          <w:szCs w:val="20"/>
          <w:color w:val="auto"/>
        </w:rPr>
        <w:tab/>
      </w:r>
      <w:r>
        <w:rPr>
          <w:rFonts w:ascii="Arial" w:cs="Arial" w:eastAsia="Arial" w:hAnsi="Arial"/>
          <w:sz w:val="19"/>
          <w:szCs w:val="19"/>
          <w:b w:val="1"/>
          <w:bCs w:val="1"/>
          <w:color w:val="auto"/>
        </w:rPr>
        <w:t>Exhibits</w:t>
      </w:r>
    </w:p>
    <w:p>
      <w:pPr>
        <w:spacing w:after="0" w:line="23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documents set forth are filed herewith or incorporated herein by reference.</w:t>
      </w:r>
    </w:p>
    <w:p>
      <w:pPr>
        <w:spacing w:after="0" w:line="24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INDEX</w:t>
      </w:r>
    </w:p>
    <w:p>
      <w:pPr>
        <w:spacing w:after="0" w:line="102" w:lineRule="exact"/>
        <w:rPr>
          <w:sz w:val="20"/>
          <w:szCs w:val="20"/>
          <w:color w:val="auto"/>
        </w:rPr>
      </w:pPr>
    </w:p>
    <w:tbl>
      <w:tblPr>
        <w:tblLayout w:type="fixed"/>
        <w:tblInd w:w="620" w:type="dxa"/>
        <w:tblCellMar>
          <w:top w:w="0" w:type="dxa"/>
          <w:left w:w="0" w:type="dxa"/>
          <w:bottom w:w="0" w:type="dxa"/>
          <w:right w:w="0" w:type="dxa"/>
        </w:tblCellMar>
      </w:tblPr>
      <w:tr>
        <w:trPr>
          <w:trHeight w:val="165"/>
        </w:trPr>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00" w:type="dxa"/>
            <w:vAlign w:val="bottom"/>
          </w:tcPr>
          <w:p>
            <w:pPr>
              <w:ind w:left="140"/>
              <w:spacing w:after="0"/>
              <w:rPr>
                <w:sz w:val="20"/>
                <w:szCs w:val="20"/>
                <w:color w:val="auto"/>
              </w:rPr>
            </w:pPr>
            <w:r>
              <w:rPr>
                <w:rFonts w:ascii="Arial" w:cs="Arial" w:eastAsia="Arial" w:hAnsi="Arial"/>
                <w:sz w:val="12"/>
                <w:szCs w:val="12"/>
                <w:b w:val="1"/>
                <w:bCs w:val="1"/>
                <w:color w:val="auto"/>
              </w:rPr>
              <w:t>Incorporated by Reference</w:t>
            </w: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Exhibit No.</w:t>
            </w:r>
          </w:p>
        </w:tc>
        <w:tc>
          <w:tcPr>
            <w:tcW w:w="1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vMerge w:val="restart"/>
          </w:tcPr>
          <w:p>
            <w:pPr>
              <w:ind w:left="460"/>
              <w:spacing w:after="0"/>
              <w:rPr>
                <w:sz w:val="20"/>
                <w:szCs w:val="20"/>
                <w:color w:val="auto"/>
              </w:rPr>
            </w:pPr>
            <w:r>
              <w:rPr>
                <w:rFonts w:ascii="Arial" w:cs="Arial" w:eastAsia="Arial" w:hAnsi="Arial"/>
                <w:sz w:val="12"/>
                <w:szCs w:val="12"/>
                <w:b w:val="1"/>
                <w:bCs w:val="1"/>
                <w:color w:val="auto"/>
                <w:w w:val="93"/>
              </w:rPr>
              <w:t>Fi</w:t>
            </w:r>
          </w:p>
        </w:tc>
        <w:tc>
          <w:tcPr>
            <w:tcW w:w="0" w:type="dxa"/>
            <w:vAlign w:val="bottom"/>
          </w:tcPr>
          <w:p>
            <w:pPr>
              <w:spacing w:after="0"/>
              <w:rPr>
                <w:sz w:val="1"/>
                <w:szCs w:val="1"/>
                <w:color w:val="auto"/>
              </w:rPr>
            </w:pPr>
          </w:p>
        </w:tc>
      </w:tr>
      <w:tr>
        <w:trPr>
          <w:trHeight w:val="130"/>
        </w:trPr>
        <w:tc>
          <w:tcPr>
            <w:tcW w:w="1000" w:type="dxa"/>
            <w:vAlign w:val="bottom"/>
            <w:vMerge w:val="continue"/>
          </w:tcPr>
          <w:p>
            <w:pPr>
              <w:spacing w:after="0"/>
              <w:rPr>
                <w:sz w:val="11"/>
                <w:szCs w:val="11"/>
                <w:color w:val="auto"/>
              </w:rPr>
            </w:pPr>
          </w:p>
        </w:tc>
        <w:tc>
          <w:tcPr>
            <w:tcW w:w="1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380" w:type="dxa"/>
            <w:vAlign w:val="bottom"/>
            <w:gridSpan w:val="9"/>
          </w:tcPr>
          <w:p>
            <w:pPr>
              <w:ind w:left="740"/>
              <w:spacing w:after="0"/>
              <w:rPr>
                <w:sz w:val="20"/>
                <w:szCs w:val="20"/>
                <w:color w:val="auto"/>
              </w:rPr>
            </w:pPr>
            <w:r>
              <w:rPr>
                <w:rFonts w:ascii="Arial" w:cs="Arial" w:eastAsia="Arial" w:hAnsi="Arial"/>
                <w:sz w:val="12"/>
                <w:szCs w:val="12"/>
                <w:b w:val="1"/>
                <w:bCs w:val="1"/>
                <w:color w:val="auto"/>
              </w:rPr>
              <w:t>Exhibit Description</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9"/>
              </w:rPr>
              <w:t>Form</w:t>
            </w:r>
          </w:p>
        </w:tc>
        <w:tc>
          <w:tcPr>
            <w:tcW w:w="1700" w:type="dxa"/>
            <w:vAlign w:val="bottom"/>
          </w:tcPr>
          <w:p>
            <w:pPr>
              <w:jc w:val="center"/>
              <w:ind w:right="100"/>
              <w:spacing w:after="0"/>
              <w:rPr>
                <w:sz w:val="20"/>
                <w:szCs w:val="20"/>
                <w:color w:val="auto"/>
              </w:rPr>
            </w:pPr>
            <w:r>
              <w:rPr>
                <w:rFonts w:ascii="Arial" w:cs="Arial" w:eastAsia="Arial" w:hAnsi="Arial"/>
                <w:sz w:val="12"/>
                <w:szCs w:val="12"/>
                <w:b w:val="1"/>
                <w:bCs w:val="1"/>
                <w:color w:val="auto"/>
                <w:w w:val="99"/>
              </w:rPr>
              <w:t>Date</w:t>
            </w:r>
          </w:p>
        </w:tc>
        <w:tc>
          <w:tcPr>
            <w:tcW w:w="740" w:type="dxa"/>
            <w:vAlign w:val="bottom"/>
          </w:tcPr>
          <w:p>
            <w:pPr>
              <w:jc w:val="center"/>
              <w:ind w:right="160"/>
              <w:spacing w:after="0"/>
              <w:rPr>
                <w:sz w:val="20"/>
                <w:szCs w:val="20"/>
                <w:color w:val="auto"/>
              </w:rPr>
            </w:pPr>
            <w:r>
              <w:rPr>
                <w:rFonts w:ascii="Arial" w:cs="Arial" w:eastAsia="Arial" w:hAnsi="Arial"/>
                <w:sz w:val="12"/>
                <w:szCs w:val="12"/>
                <w:b w:val="1"/>
                <w:bCs w:val="1"/>
                <w:color w:val="auto"/>
                <w:w w:val="96"/>
              </w:rPr>
              <w:t>Number</w:t>
            </w:r>
          </w:p>
        </w:tc>
        <w:tc>
          <w:tcPr>
            <w:tcW w:w="580" w:type="dxa"/>
            <w:vAlign w:val="bottom"/>
          </w:tcPr>
          <w:p>
            <w:pPr>
              <w:ind w:left="360"/>
              <w:spacing w:after="0"/>
              <w:rPr>
                <w:sz w:val="20"/>
                <w:szCs w:val="20"/>
                <w:color w:val="auto"/>
              </w:rPr>
            </w:pPr>
            <w:r>
              <w:rPr>
                <w:rFonts w:ascii="Arial" w:cs="Arial" w:eastAsia="Arial" w:hAnsi="Arial"/>
                <w:sz w:val="12"/>
                <w:szCs w:val="12"/>
                <w:b w:val="1"/>
                <w:bCs w:val="1"/>
                <w:color w:val="auto"/>
                <w:w w:val="99"/>
              </w:rPr>
              <w:t>Her</w:t>
            </w:r>
          </w:p>
        </w:tc>
        <w:tc>
          <w:tcPr>
            <w:tcW w:w="0" w:type="dxa"/>
            <w:vAlign w:val="bottom"/>
          </w:tcPr>
          <w:p>
            <w:pPr>
              <w:spacing w:after="0"/>
              <w:rPr>
                <w:sz w:val="1"/>
                <w:szCs w:val="1"/>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000" w:type="dxa"/>
            <w:vAlign w:val="bottom"/>
            <w:shd w:val="clear" w:color="auto" w:fill="DBDBDB"/>
          </w:tcPr>
          <w:p>
            <w:pPr>
              <w:jc w:val="center"/>
              <w:ind w:right="60"/>
              <w:spacing w:after="0" w:line="135" w:lineRule="exact"/>
              <w:rPr>
                <w:sz w:val="20"/>
                <w:szCs w:val="20"/>
                <w:color w:val="auto"/>
              </w:rPr>
            </w:pPr>
            <w:r>
              <w:rPr>
                <w:rFonts w:ascii="Arial" w:cs="Arial" w:eastAsia="Arial" w:hAnsi="Arial"/>
                <w:sz w:val="12"/>
                <w:szCs w:val="12"/>
                <w:color w:val="auto"/>
              </w:rPr>
              <w:t>3.1#</w:t>
            </w:r>
          </w:p>
        </w:tc>
        <w:tc>
          <w:tcPr>
            <w:tcW w:w="6060" w:type="dxa"/>
            <w:vAlign w:val="bottom"/>
            <w:gridSpan w:val="10"/>
            <w:shd w:val="clear" w:color="auto" w:fill="DBDBDB"/>
          </w:tcPr>
          <w:p>
            <w:pPr>
              <w:spacing w:after="0" w:line="135" w:lineRule="exact"/>
              <w:rPr>
                <w:rFonts w:ascii="Arial" w:cs="Arial" w:eastAsia="Arial" w:hAnsi="Arial"/>
                <w:sz w:val="12"/>
                <w:szCs w:val="12"/>
                <w:color w:val="auto"/>
              </w:rPr>
            </w:pPr>
            <w:hyperlink r:id="rId44">
              <w:r>
                <w:rPr>
                  <w:rFonts w:ascii="Arial" w:cs="Arial" w:eastAsia="Arial" w:hAnsi="Arial"/>
                  <w:sz w:val="12"/>
                  <w:szCs w:val="12"/>
                  <w:color w:val="auto"/>
                </w:rPr>
                <w:t>Amended and Restated Certificate of Incorporation</w:t>
              </w:r>
            </w:hyperlink>
          </w:p>
        </w:tc>
        <w:tc>
          <w:tcPr>
            <w:tcW w:w="640" w:type="dxa"/>
            <w:vAlign w:val="bottom"/>
            <w:shd w:val="clear" w:color="auto" w:fill="DBDBDB"/>
          </w:tcPr>
          <w:p>
            <w:pPr>
              <w:jc w:val="center"/>
              <w:spacing w:after="0" w:line="135" w:lineRule="exact"/>
              <w:rPr>
                <w:sz w:val="20"/>
                <w:szCs w:val="20"/>
                <w:color w:val="auto"/>
              </w:rPr>
            </w:pPr>
            <w:r>
              <w:rPr>
                <w:rFonts w:ascii="Arial" w:cs="Arial" w:eastAsia="Arial" w:hAnsi="Arial"/>
                <w:sz w:val="12"/>
                <w:szCs w:val="12"/>
                <w:color w:val="auto"/>
              </w:rPr>
              <w:t>8-K</w:t>
            </w:r>
          </w:p>
        </w:tc>
        <w:tc>
          <w:tcPr>
            <w:tcW w:w="1700" w:type="dxa"/>
            <w:vAlign w:val="bottom"/>
            <w:shd w:val="clear" w:color="auto" w:fill="DBDBDB"/>
          </w:tcPr>
          <w:p>
            <w:pPr>
              <w:jc w:val="center"/>
              <w:ind w:right="100"/>
              <w:spacing w:after="0" w:line="135" w:lineRule="exact"/>
              <w:rPr>
                <w:sz w:val="20"/>
                <w:szCs w:val="20"/>
                <w:color w:val="auto"/>
              </w:rPr>
            </w:pPr>
            <w:r>
              <w:rPr>
                <w:rFonts w:ascii="Arial" w:cs="Arial" w:eastAsia="Arial" w:hAnsi="Arial"/>
                <w:sz w:val="12"/>
                <w:szCs w:val="12"/>
                <w:color w:val="auto"/>
              </w:rPr>
              <w:t>10/7/2020</w:t>
            </w:r>
          </w:p>
        </w:tc>
        <w:tc>
          <w:tcPr>
            <w:tcW w:w="740" w:type="dxa"/>
            <w:vAlign w:val="bottom"/>
            <w:shd w:val="clear" w:color="auto" w:fill="DBDBDB"/>
          </w:tcPr>
          <w:p>
            <w:pPr>
              <w:jc w:val="center"/>
              <w:ind w:right="160"/>
              <w:spacing w:after="0" w:line="135" w:lineRule="exact"/>
              <w:rPr>
                <w:sz w:val="20"/>
                <w:szCs w:val="20"/>
                <w:color w:val="auto"/>
              </w:rPr>
            </w:pPr>
            <w:r>
              <w:rPr>
                <w:rFonts w:ascii="Arial" w:cs="Arial" w:eastAsia="Arial" w:hAnsi="Arial"/>
                <w:sz w:val="12"/>
                <w:szCs w:val="12"/>
                <w:color w:val="auto"/>
                <w:w w:val="95"/>
              </w:rPr>
              <w:t>3.2</w:t>
            </w:r>
          </w:p>
        </w:tc>
        <w:tc>
          <w:tcPr>
            <w:tcW w:w="58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1000" w:type="dxa"/>
            <w:vAlign w:val="bottom"/>
            <w:tcBorders>
              <w:top w:val="single" w:sz="8" w:color="DBDBDB"/>
            </w:tcBorders>
            <w:shd w:val="clear" w:color="auto" w:fill="DBDBDB"/>
          </w:tcPr>
          <w:p>
            <w:pPr>
              <w:spacing w:after="0"/>
              <w:rPr>
                <w:sz w:val="2"/>
                <w:szCs w:val="2"/>
                <w:color w:val="auto"/>
              </w:rPr>
            </w:pPr>
          </w:p>
        </w:tc>
        <w:tc>
          <w:tcPr>
            <w:tcW w:w="1680" w:type="dxa"/>
            <w:vAlign w:val="bottom"/>
            <w:tcBorders>
              <w:top w:val="single" w:sz="8" w:color="auto"/>
            </w:tcBorders>
            <w:shd w:val="clear" w:color="auto" w:fill="DBDBDB"/>
          </w:tcPr>
          <w:p>
            <w:pPr>
              <w:spacing w:after="0"/>
              <w:rPr>
                <w:sz w:val="2"/>
                <w:szCs w:val="2"/>
                <w:color w:val="auto"/>
              </w:rPr>
            </w:pPr>
          </w:p>
        </w:tc>
        <w:tc>
          <w:tcPr>
            <w:tcW w:w="1020" w:type="dxa"/>
            <w:vAlign w:val="bottom"/>
            <w:tcBorders>
              <w:top w:val="single" w:sz="8" w:color="auto"/>
            </w:tcBorders>
            <w:shd w:val="clear" w:color="auto" w:fill="DBDBDB"/>
          </w:tcPr>
          <w:p>
            <w:pPr>
              <w:spacing w:after="0"/>
              <w:rPr>
                <w:sz w:val="2"/>
                <w:szCs w:val="2"/>
                <w:color w:val="auto"/>
              </w:rPr>
            </w:pPr>
          </w:p>
        </w:tc>
        <w:tc>
          <w:tcPr>
            <w:tcW w:w="240" w:type="dxa"/>
            <w:vAlign w:val="bottom"/>
            <w:tcBorders>
              <w:top w:val="single" w:sz="8" w:color="DBDBDB"/>
            </w:tcBorders>
            <w:shd w:val="clear" w:color="auto" w:fill="DBDBDB"/>
          </w:tcPr>
          <w:p>
            <w:pPr>
              <w:spacing w:after="0"/>
              <w:rPr>
                <w:sz w:val="2"/>
                <w:szCs w:val="2"/>
                <w:color w:val="auto"/>
              </w:rPr>
            </w:pPr>
          </w:p>
        </w:tc>
        <w:tc>
          <w:tcPr>
            <w:tcW w:w="580" w:type="dxa"/>
            <w:vAlign w:val="bottom"/>
            <w:tcBorders>
              <w:top w:val="single" w:sz="8" w:color="DBDBDB"/>
            </w:tcBorders>
            <w:shd w:val="clear" w:color="auto" w:fill="DBDBDB"/>
          </w:tcPr>
          <w:p>
            <w:pPr>
              <w:spacing w:after="0"/>
              <w:rPr>
                <w:sz w:val="2"/>
                <w:szCs w:val="2"/>
                <w:color w:val="auto"/>
              </w:rPr>
            </w:pPr>
          </w:p>
        </w:tc>
        <w:tc>
          <w:tcPr>
            <w:tcW w:w="1520" w:type="dxa"/>
            <w:vAlign w:val="bottom"/>
            <w:tcBorders>
              <w:top w:val="single" w:sz="8" w:color="DBDBDB"/>
            </w:tcBorders>
            <w:shd w:val="clear" w:color="auto" w:fill="DBDBDB"/>
          </w:tcPr>
          <w:p>
            <w:pPr>
              <w:spacing w:after="0"/>
              <w:rPr>
                <w:sz w:val="2"/>
                <w:szCs w:val="2"/>
                <w:color w:val="auto"/>
              </w:rPr>
            </w:pPr>
          </w:p>
        </w:tc>
        <w:tc>
          <w:tcPr>
            <w:tcW w:w="120" w:type="dxa"/>
            <w:vAlign w:val="bottom"/>
            <w:tcBorders>
              <w:top w:val="single" w:sz="8" w:color="DBDBDB"/>
            </w:tcBorders>
            <w:shd w:val="clear" w:color="auto" w:fill="DBDBDB"/>
          </w:tcPr>
          <w:p>
            <w:pPr>
              <w:spacing w:after="0"/>
              <w:rPr>
                <w:sz w:val="2"/>
                <w:szCs w:val="2"/>
                <w:color w:val="auto"/>
              </w:rPr>
            </w:pPr>
          </w:p>
        </w:tc>
        <w:tc>
          <w:tcPr>
            <w:tcW w:w="40" w:type="dxa"/>
            <w:vAlign w:val="bottom"/>
            <w:tcBorders>
              <w:top w:val="single" w:sz="8" w:color="DBDBDB"/>
            </w:tcBorders>
            <w:shd w:val="clear" w:color="auto" w:fill="DBDBDB"/>
          </w:tcPr>
          <w:p>
            <w:pPr>
              <w:spacing w:after="0"/>
              <w:rPr>
                <w:sz w:val="2"/>
                <w:szCs w:val="2"/>
                <w:color w:val="auto"/>
              </w:rPr>
            </w:pPr>
          </w:p>
        </w:tc>
        <w:tc>
          <w:tcPr>
            <w:tcW w:w="400" w:type="dxa"/>
            <w:vAlign w:val="bottom"/>
            <w:tcBorders>
              <w:top w:val="single" w:sz="8" w:color="DBDBDB"/>
            </w:tcBorders>
            <w:shd w:val="clear" w:color="auto" w:fill="DBDBDB"/>
          </w:tcPr>
          <w:p>
            <w:pPr>
              <w:spacing w:after="0"/>
              <w:rPr>
                <w:sz w:val="2"/>
                <w:szCs w:val="2"/>
                <w:color w:val="auto"/>
              </w:rPr>
            </w:pPr>
          </w:p>
        </w:tc>
        <w:tc>
          <w:tcPr>
            <w:tcW w:w="40" w:type="dxa"/>
            <w:vAlign w:val="bottom"/>
            <w:tcBorders>
              <w:top w:val="single" w:sz="8" w:color="DBDBDB"/>
            </w:tcBorders>
            <w:shd w:val="clear" w:color="auto" w:fill="DBDBDB"/>
          </w:tcPr>
          <w:p>
            <w:pPr>
              <w:spacing w:after="0"/>
              <w:rPr>
                <w:sz w:val="2"/>
                <w:szCs w:val="2"/>
                <w:color w:val="auto"/>
              </w:rPr>
            </w:pPr>
          </w:p>
        </w:tc>
        <w:tc>
          <w:tcPr>
            <w:tcW w:w="420" w:type="dxa"/>
            <w:vAlign w:val="bottom"/>
            <w:tcBorders>
              <w:top w:val="single" w:sz="8" w:color="DBDBDB"/>
            </w:tcBorders>
            <w:shd w:val="clear" w:color="auto" w:fill="DBDBDB"/>
          </w:tcPr>
          <w:p>
            <w:pPr>
              <w:spacing w:after="0"/>
              <w:rPr>
                <w:sz w:val="2"/>
                <w:szCs w:val="2"/>
                <w:color w:val="auto"/>
              </w:rPr>
            </w:pPr>
          </w:p>
        </w:tc>
        <w:tc>
          <w:tcPr>
            <w:tcW w:w="640" w:type="dxa"/>
            <w:vAlign w:val="bottom"/>
            <w:tcBorders>
              <w:top w:val="single" w:sz="8" w:color="DBDBDB"/>
            </w:tcBorders>
            <w:shd w:val="clear" w:color="auto" w:fill="DBDBDB"/>
          </w:tcPr>
          <w:p>
            <w:pPr>
              <w:spacing w:after="0"/>
              <w:rPr>
                <w:sz w:val="2"/>
                <w:szCs w:val="2"/>
                <w:color w:val="auto"/>
              </w:rPr>
            </w:pPr>
          </w:p>
        </w:tc>
        <w:tc>
          <w:tcPr>
            <w:tcW w:w="1700" w:type="dxa"/>
            <w:vAlign w:val="bottom"/>
            <w:tcBorders>
              <w:top w:val="single" w:sz="8" w:color="DBDBDB"/>
            </w:tcBorders>
            <w:shd w:val="clear" w:color="auto" w:fill="DBDBDB"/>
          </w:tcPr>
          <w:p>
            <w:pPr>
              <w:spacing w:after="0"/>
              <w:rPr>
                <w:sz w:val="2"/>
                <w:szCs w:val="2"/>
                <w:color w:val="auto"/>
              </w:rPr>
            </w:pPr>
          </w:p>
        </w:tc>
        <w:tc>
          <w:tcPr>
            <w:tcW w:w="740" w:type="dxa"/>
            <w:vAlign w:val="bottom"/>
            <w:tcBorders>
              <w:top w:val="single" w:sz="8" w:color="DBDBDB"/>
            </w:tcBorders>
            <w:shd w:val="clear" w:color="auto" w:fill="DBDBDB"/>
          </w:tcPr>
          <w:p>
            <w:pPr>
              <w:spacing w:after="0"/>
              <w:rPr>
                <w:sz w:val="2"/>
                <w:szCs w:val="2"/>
                <w:color w:val="auto"/>
              </w:rPr>
            </w:pPr>
          </w:p>
        </w:tc>
        <w:tc>
          <w:tcPr>
            <w:tcW w:w="58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1000" w:type="dxa"/>
            <w:vAlign w:val="bottom"/>
          </w:tcPr>
          <w:p>
            <w:pPr>
              <w:jc w:val="center"/>
              <w:ind w:right="40"/>
              <w:spacing w:after="0"/>
              <w:rPr>
                <w:sz w:val="20"/>
                <w:szCs w:val="20"/>
                <w:color w:val="auto"/>
              </w:rPr>
            </w:pPr>
            <w:r>
              <w:rPr>
                <w:rFonts w:ascii="Arial" w:cs="Arial" w:eastAsia="Arial" w:hAnsi="Arial"/>
                <w:sz w:val="12"/>
                <w:szCs w:val="12"/>
                <w:color w:val="auto"/>
              </w:rPr>
              <w:t>3.2</w:t>
            </w:r>
          </w:p>
        </w:tc>
        <w:tc>
          <w:tcPr>
            <w:tcW w:w="6060" w:type="dxa"/>
            <w:vAlign w:val="bottom"/>
            <w:gridSpan w:val="10"/>
          </w:tcPr>
          <w:p>
            <w:pPr>
              <w:spacing w:after="0"/>
              <w:rPr>
                <w:sz w:val="20"/>
                <w:szCs w:val="20"/>
                <w:color w:val="auto"/>
              </w:rPr>
            </w:pPr>
            <w:r>
              <w:rPr>
                <w:rFonts w:ascii="Arial" w:cs="Arial" w:eastAsia="Arial" w:hAnsi="Arial"/>
                <w:sz w:val="12"/>
                <w:szCs w:val="12"/>
                <w:color w:val="auto"/>
              </w:rPr>
              <w:t>Amendment to Amended and Restated Certificate of Incorporation</w:t>
            </w:r>
          </w:p>
        </w:tc>
        <w:tc>
          <w:tcPr>
            <w:tcW w:w="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00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000" w:type="dxa"/>
            <w:vAlign w:val="bottom"/>
            <w:tcBorders>
              <w:bottom w:val="single" w:sz="8" w:color="DBDBDB"/>
            </w:tcBorders>
            <w:shd w:val="clear" w:color="auto" w:fill="DBDBDB"/>
          </w:tcPr>
          <w:p>
            <w:pPr>
              <w:jc w:val="center"/>
              <w:ind w:right="60"/>
              <w:spacing w:after="0"/>
              <w:rPr>
                <w:sz w:val="20"/>
                <w:szCs w:val="20"/>
                <w:color w:val="auto"/>
              </w:rPr>
            </w:pPr>
            <w:r>
              <w:rPr>
                <w:rFonts w:ascii="Arial" w:cs="Arial" w:eastAsia="Arial" w:hAnsi="Arial"/>
                <w:sz w:val="12"/>
                <w:szCs w:val="12"/>
                <w:color w:val="auto"/>
              </w:rPr>
              <w:t>3.3#</w:t>
            </w:r>
          </w:p>
        </w:tc>
        <w:tc>
          <w:tcPr>
            <w:tcW w:w="1680" w:type="dxa"/>
            <w:vAlign w:val="bottom"/>
            <w:tcBorders>
              <w:bottom w:val="single" w:sz="8" w:color="auto"/>
            </w:tcBorders>
            <w:shd w:val="clear" w:color="auto" w:fill="DBDBDB"/>
          </w:tcPr>
          <w:p>
            <w:pPr>
              <w:spacing w:after="0"/>
              <w:rPr>
                <w:rFonts w:ascii="Arial" w:cs="Arial" w:eastAsia="Arial" w:hAnsi="Arial"/>
                <w:sz w:val="12"/>
                <w:szCs w:val="12"/>
                <w:color w:val="auto"/>
                <w:w w:val="99"/>
              </w:rPr>
            </w:pPr>
            <w:hyperlink r:id="rId45">
              <w:r>
                <w:rPr>
                  <w:rFonts w:ascii="Arial" w:cs="Arial" w:eastAsia="Arial" w:hAnsi="Arial"/>
                  <w:sz w:val="12"/>
                  <w:szCs w:val="12"/>
                  <w:color w:val="auto"/>
                  <w:w w:val="99"/>
                </w:rPr>
                <w:t>Amended and Restated Bylaws</w:t>
              </w:r>
            </w:hyperlink>
          </w:p>
        </w:tc>
        <w:tc>
          <w:tcPr>
            <w:tcW w:w="4380" w:type="dxa"/>
            <w:vAlign w:val="bottom"/>
            <w:tcBorders>
              <w:bottom w:val="single" w:sz="8" w:color="DBDBDB"/>
            </w:tcBorders>
            <w:gridSpan w:val="9"/>
            <w:shd w:val="clear" w:color="auto" w:fill="DBDBDB"/>
          </w:tcPr>
          <w:p>
            <w:pPr>
              <w:spacing w:after="0"/>
              <w:rPr>
                <w:sz w:val="15"/>
                <w:szCs w:val="15"/>
                <w:color w:val="auto"/>
              </w:rPr>
            </w:pPr>
          </w:p>
        </w:tc>
        <w:tc>
          <w:tcPr>
            <w:tcW w:w="6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rPr>
              <w:t>8-K</w:t>
            </w:r>
          </w:p>
        </w:tc>
        <w:tc>
          <w:tcPr>
            <w:tcW w:w="1700" w:type="dxa"/>
            <w:vAlign w:val="bottom"/>
            <w:tcBorders>
              <w:bottom w:val="single" w:sz="8" w:color="DBDBDB"/>
            </w:tcBorders>
            <w:shd w:val="clear" w:color="auto" w:fill="DBDBDB"/>
          </w:tcPr>
          <w:p>
            <w:pPr>
              <w:jc w:val="center"/>
              <w:ind w:right="100"/>
              <w:spacing w:after="0"/>
              <w:rPr>
                <w:sz w:val="20"/>
                <w:szCs w:val="20"/>
                <w:color w:val="auto"/>
              </w:rPr>
            </w:pPr>
            <w:r>
              <w:rPr>
                <w:rFonts w:ascii="Arial" w:cs="Arial" w:eastAsia="Arial" w:hAnsi="Arial"/>
                <w:sz w:val="12"/>
                <w:szCs w:val="12"/>
                <w:color w:val="auto"/>
              </w:rPr>
              <w:t>10/7/2020</w:t>
            </w:r>
          </w:p>
        </w:tc>
        <w:tc>
          <w:tcPr>
            <w:tcW w:w="740" w:type="dxa"/>
            <w:vAlign w:val="bottom"/>
            <w:tcBorders>
              <w:bottom w:val="single" w:sz="8" w:color="DBDBDB"/>
            </w:tcBorders>
            <w:shd w:val="clear" w:color="auto" w:fill="DBDBDB"/>
          </w:tcPr>
          <w:p>
            <w:pPr>
              <w:jc w:val="center"/>
              <w:ind w:right="160"/>
              <w:spacing w:after="0"/>
              <w:rPr>
                <w:sz w:val="20"/>
                <w:szCs w:val="20"/>
                <w:color w:val="auto"/>
              </w:rPr>
            </w:pPr>
            <w:r>
              <w:rPr>
                <w:rFonts w:ascii="Arial" w:cs="Arial" w:eastAsia="Arial" w:hAnsi="Arial"/>
                <w:sz w:val="12"/>
                <w:szCs w:val="12"/>
                <w:color w:val="auto"/>
                <w:w w:val="95"/>
              </w:rPr>
              <w:t>3.2</w:t>
            </w:r>
          </w:p>
        </w:tc>
        <w:tc>
          <w:tcPr>
            <w:tcW w:w="58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Pr>
          <w:p>
            <w:pPr>
              <w:jc w:val="center"/>
              <w:ind w:right="40"/>
              <w:spacing w:after="0"/>
              <w:rPr>
                <w:sz w:val="20"/>
                <w:szCs w:val="20"/>
                <w:color w:val="auto"/>
              </w:rPr>
            </w:pPr>
            <w:r>
              <w:rPr>
                <w:rFonts w:ascii="Arial" w:cs="Arial" w:eastAsia="Arial" w:hAnsi="Arial"/>
                <w:sz w:val="12"/>
                <w:szCs w:val="12"/>
                <w:color w:val="auto"/>
                <w:w w:val="98"/>
              </w:rPr>
              <w:t>10.26+^</w:t>
            </w:r>
          </w:p>
        </w:tc>
        <w:tc>
          <w:tcPr>
            <w:tcW w:w="6060" w:type="dxa"/>
            <w:vAlign w:val="bottom"/>
            <w:gridSpan w:val="10"/>
          </w:tcPr>
          <w:p>
            <w:pPr>
              <w:spacing w:after="0"/>
              <w:rPr>
                <w:sz w:val="20"/>
                <w:szCs w:val="20"/>
                <w:color w:val="auto"/>
              </w:rPr>
            </w:pPr>
            <w:r>
              <w:rPr>
                <w:rFonts w:ascii="Arial" w:cs="Arial" w:eastAsia="Arial" w:hAnsi="Arial"/>
                <w:sz w:val="12"/>
                <w:szCs w:val="12"/>
                <w:color w:val="auto"/>
              </w:rPr>
              <w:t>Offer letter dated February 21, 2024 to John Pawlowski</w:t>
            </w:r>
          </w:p>
        </w:tc>
        <w:tc>
          <w:tcPr>
            <w:tcW w:w="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00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1000" w:type="dxa"/>
            <w:vAlign w:val="bottom"/>
            <w:shd w:val="clear" w:color="auto" w:fill="DBDBDB"/>
          </w:tcPr>
          <w:p>
            <w:pPr>
              <w:jc w:val="center"/>
              <w:ind w:right="60"/>
              <w:spacing w:after="0"/>
              <w:rPr>
                <w:sz w:val="20"/>
                <w:szCs w:val="20"/>
                <w:color w:val="auto"/>
              </w:rPr>
            </w:pPr>
            <w:r>
              <w:rPr>
                <w:rFonts w:ascii="Arial" w:cs="Arial" w:eastAsia="Arial" w:hAnsi="Arial"/>
                <w:sz w:val="12"/>
                <w:szCs w:val="12"/>
                <w:color w:val="auto"/>
                <w:w w:val="99"/>
              </w:rPr>
              <w:t>31.1*</w:t>
            </w:r>
          </w:p>
        </w:tc>
        <w:tc>
          <w:tcPr>
            <w:tcW w:w="6060" w:type="dxa"/>
            <w:vAlign w:val="bottom"/>
            <w:gridSpan w:val="10"/>
            <w:shd w:val="clear" w:color="auto" w:fill="DBDBDB"/>
          </w:tcPr>
          <w:p>
            <w:pPr>
              <w:spacing w:after="0"/>
              <w:rPr>
                <w:sz w:val="20"/>
                <w:szCs w:val="20"/>
                <w:color w:val="auto"/>
              </w:rPr>
            </w:pPr>
            <w:r>
              <w:rPr>
                <w:rFonts w:ascii="Arial" w:cs="Arial" w:eastAsia="Arial" w:hAnsi="Arial"/>
                <w:sz w:val="12"/>
                <w:szCs w:val="12"/>
                <w:color w:val="auto"/>
              </w:rPr>
              <w:t>Certification of Principal Executive Officer Pursuant to Rules 13a-14(a) and 15d-14(a) under the Securities</w:t>
            </w:r>
          </w:p>
        </w:tc>
        <w:tc>
          <w:tcPr>
            <w:tcW w:w="640" w:type="dxa"/>
            <w:vAlign w:val="bottom"/>
            <w:shd w:val="clear" w:color="auto" w:fill="DBDBDB"/>
          </w:tcPr>
          <w:p>
            <w:pPr>
              <w:spacing w:after="0"/>
              <w:rPr>
                <w:sz w:val="12"/>
                <w:szCs w:val="12"/>
                <w:color w:val="auto"/>
              </w:rPr>
            </w:pPr>
          </w:p>
        </w:tc>
        <w:tc>
          <w:tcPr>
            <w:tcW w:w="170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00" w:type="dxa"/>
            <w:vAlign w:val="bottom"/>
            <w:tcBorders>
              <w:top w:val="single" w:sz="8" w:color="DBDBDB"/>
              <w:bottom w:val="single" w:sz="8" w:color="DBDBDB"/>
            </w:tcBorders>
            <w:shd w:val="clear" w:color="auto" w:fill="DBDBDB"/>
          </w:tcPr>
          <w:p>
            <w:pPr>
              <w:spacing w:after="0"/>
              <w:rPr>
                <w:sz w:val="13"/>
                <w:szCs w:val="13"/>
                <w:color w:val="auto"/>
              </w:rPr>
            </w:pPr>
          </w:p>
        </w:tc>
        <w:tc>
          <w:tcPr>
            <w:tcW w:w="5040" w:type="dxa"/>
            <w:vAlign w:val="bottom"/>
            <w:tcBorders>
              <w:top w:val="single" w:sz="8" w:color="auto"/>
              <w:bottom w:val="single" w:sz="8" w:color="auto"/>
            </w:tcBorders>
            <w:gridSpan w:val="5"/>
            <w:shd w:val="clear" w:color="auto" w:fill="DBDBDB"/>
          </w:tcPr>
          <w:p>
            <w:pPr>
              <w:spacing w:after="0" w:line="122" w:lineRule="exact"/>
              <w:rPr>
                <w:sz w:val="20"/>
                <w:szCs w:val="20"/>
                <w:color w:val="auto"/>
              </w:rPr>
            </w:pPr>
            <w:r>
              <w:rPr>
                <w:rFonts w:ascii="Arial" w:cs="Arial" w:eastAsia="Arial" w:hAnsi="Arial"/>
                <w:sz w:val="12"/>
                <w:szCs w:val="12"/>
                <w:color w:val="auto"/>
                <w:w w:val="99"/>
              </w:rPr>
              <w:t>Exchange Act of 1934, as Adopted Pursuant to Section 302 of the Sarbanes-Oxley Act of 2002</w:t>
            </w:r>
          </w:p>
        </w:tc>
        <w:tc>
          <w:tcPr>
            <w:tcW w:w="600" w:type="dxa"/>
            <w:vAlign w:val="bottom"/>
            <w:tcBorders>
              <w:top w:val="single" w:sz="8" w:color="auto"/>
              <w:bottom w:val="single" w:sz="8" w:color="DBDBDB"/>
            </w:tcBorders>
            <w:gridSpan w:val="4"/>
            <w:shd w:val="clear" w:color="auto" w:fill="DBDBDB"/>
          </w:tcPr>
          <w:p>
            <w:pPr>
              <w:spacing w:after="0"/>
              <w:rPr>
                <w:sz w:val="13"/>
                <w:szCs w:val="13"/>
                <w:color w:val="auto"/>
              </w:rPr>
            </w:pPr>
          </w:p>
        </w:tc>
        <w:tc>
          <w:tcPr>
            <w:tcW w:w="420" w:type="dxa"/>
            <w:vAlign w:val="bottom"/>
            <w:tcBorders>
              <w:top w:val="single" w:sz="8" w:color="DBDBDB"/>
              <w:bottom w:val="single" w:sz="8" w:color="DBDBDB"/>
            </w:tcBorders>
            <w:shd w:val="clear" w:color="auto" w:fill="DBDBDB"/>
          </w:tcPr>
          <w:p>
            <w:pPr>
              <w:spacing w:after="0"/>
              <w:rPr>
                <w:sz w:val="13"/>
                <w:szCs w:val="13"/>
                <w:color w:val="auto"/>
              </w:rPr>
            </w:pPr>
          </w:p>
        </w:tc>
        <w:tc>
          <w:tcPr>
            <w:tcW w:w="640" w:type="dxa"/>
            <w:vAlign w:val="bottom"/>
            <w:tcBorders>
              <w:top w:val="single" w:sz="8" w:color="DBDBDB"/>
              <w:bottom w:val="single" w:sz="8" w:color="DBDBDB"/>
            </w:tcBorders>
            <w:shd w:val="clear" w:color="auto" w:fill="DBDBDB"/>
          </w:tcPr>
          <w:p>
            <w:pPr>
              <w:spacing w:after="0"/>
              <w:rPr>
                <w:sz w:val="13"/>
                <w:szCs w:val="13"/>
                <w:color w:val="auto"/>
              </w:rPr>
            </w:pPr>
          </w:p>
        </w:tc>
        <w:tc>
          <w:tcPr>
            <w:tcW w:w="1700" w:type="dxa"/>
            <w:vAlign w:val="bottom"/>
            <w:tcBorders>
              <w:top w:val="single" w:sz="8" w:color="DBDBDB"/>
              <w:bottom w:val="single" w:sz="8" w:color="DBDBDB"/>
            </w:tcBorders>
            <w:shd w:val="clear" w:color="auto" w:fill="DBDBDB"/>
          </w:tcPr>
          <w:p>
            <w:pPr>
              <w:spacing w:after="0"/>
              <w:rPr>
                <w:sz w:val="13"/>
                <w:szCs w:val="13"/>
                <w:color w:val="auto"/>
              </w:rPr>
            </w:pPr>
          </w:p>
        </w:tc>
        <w:tc>
          <w:tcPr>
            <w:tcW w:w="740" w:type="dxa"/>
            <w:vAlign w:val="bottom"/>
            <w:tcBorders>
              <w:top w:val="single" w:sz="8" w:color="DBDBDB"/>
              <w:bottom w:val="single" w:sz="8" w:color="DBDBDB"/>
            </w:tcBorders>
            <w:shd w:val="clear" w:color="auto" w:fill="DBDBDB"/>
          </w:tcPr>
          <w:p>
            <w:pPr>
              <w:spacing w:after="0"/>
              <w:rPr>
                <w:sz w:val="13"/>
                <w:szCs w:val="13"/>
                <w:color w:val="auto"/>
              </w:rPr>
            </w:pPr>
          </w:p>
        </w:tc>
        <w:tc>
          <w:tcPr>
            <w:tcW w:w="580" w:type="dxa"/>
            <w:vAlign w:val="bottom"/>
            <w:tcBorders>
              <w:top w:val="single" w:sz="8" w:color="DBDBDB"/>
              <w:bottom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0" w:type="dxa"/>
            <w:vAlign w:val="bottom"/>
          </w:tcPr>
          <w:p>
            <w:pPr>
              <w:jc w:val="center"/>
              <w:ind w:right="60"/>
              <w:spacing w:after="0"/>
              <w:rPr>
                <w:sz w:val="20"/>
                <w:szCs w:val="20"/>
                <w:color w:val="auto"/>
              </w:rPr>
            </w:pPr>
            <w:r>
              <w:rPr>
                <w:rFonts w:ascii="Arial" w:cs="Arial" w:eastAsia="Arial" w:hAnsi="Arial"/>
                <w:sz w:val="12"/>
                <w:szCs w:val="12"/>
                <w:color w:val="auto"/>
                <w:w w:val="99"/>
              </w:rPr>
              <w:t>31.2*</w:t>
            </w:r>
          </w:p>
        </w:tc>
        <w:tc>
          <w:tcPr>
            <w:tcW w:w="6060" w:type="dxa"/>
            <w:vAlign w:val="bottom"/>
            <w:gridSpan w:val="10"/>
          </w:tcPr>
          <w:p>
            <w:pPr>
              <w:spacing w:after="0"/>
              <w:rPr>
                <w:sz w:val="20"/>
                <w:szCs w:val="20"/>
                <w:color w:val="auto"/>
              </w:rPr>
            </w:pPr>
            <w:r>
              <w:rPr>
                <w:rFonts w:ascii="Arial" w:cs="Arial" w:eastAsia="Arial" w:hAnsi="Arial"/>
                <w:sz w:val="12"/>
                <w:szCs w:val="12"/>
                <w:color w:val="auto"/>
              </w:rPr>
              <w:t>Certification of Principal Financial Officer Pursuant to Rules 13a-14(a) and 15d-14(a) under the Securities</w:t>
            </w:r>
          </w:p>
        </w:tc>
        <w:tc>
          <w:tcPr>
            <w:tcW w:w="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5600" w:type="dxa"/>
            <w:vAlign w:val="bottom"/>
            <w:tcBorders>
              <w:top w:val="single" w:sz="8" w:color="auto"/>
            </w:tcBorders>
            <w:gridSpan w:val="8"/>
          </w:tcPr>
          <w:p>
            <w:pPr>
              <w:spacing w:after="0" w:line="122" w:lineRule="exact"/>
              <w:rPr>
                <w:sz w:val="20"/>
                <w:szCs w:val="20"/>
                <w:color w:val="auto"/>
              </w:rPr>
            </w:pPr>
            <w:r>
              <w:rPr>
                <w:rFonts w:ascii="Arial" w:cs="Arial" w:eastAsia="Arial" w:hAnsi="Arial"/>
                <w:sz w:val="12"/>
                <w:szCs w:val="12"/>
                <w:color w:val="auto"/>
              </w:rPr>
              <w:t>Exchange Act of 1934, as Adopted Pursuant to Section 302 of the Sarbanes-Oxley Act of 2002</w:t>
            </w:r>
          </w:p>
        </w:tc>
        <w:tc>
          <w:tcPr>
            <w:tcW w:w="460" w:type="dxa"/>
            <w:vAlign w:val="bottom"/>
            <w:gridSpan w:val="2"/>
          </w:tcPr>
          <w:p>
            <w:pPr>
              <w:spacing w:after="0"/>
              <w:rPr>
                <w:sz w:val="10"/>
                <w:szCs w:val="10"/>
                <w:color w:val="auto"/>
              </w:rPr>
            </w:pPr>
          </w:p>
        </w:tc>
        <w:tc>
          <w:tcPr>
            <w:tcW w:w="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100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000" w:type="dxa"/>
            <w:vAlign w:val="bottom"/>
            <w:tcBorders>
              <w:bottom w:val="single" w:sz="8" w:color="DBDBDB"/>
            </w:tcBorders>
            <w:shd w:val="clear" w:color="auto" w:fill="DBDBDB"/>
          </w:tcPr>
          <w:p>
            <w:pPr>
              <w:jc w:val="center"/>
              <w:ind w:right="60"/>
              <w:spacing w:after="0"/>
              <w:rPr>
                <w:sz w:val="20"/>
                <w:szCs w:val="20"/>
                <w:color w:val="auto"/>
              </w:rPr>
            </w:pPr>
            <w:r>
              <w:rPr>
                <w:rFonts w:ascii="Arial" w:cs="Arial" w:eastAsia="Arial" w:hAnsi="Arial"/>
                <w:sz w:val="12"/>
                <w:szCs w:val="12"/>
                <w:color w:val="auto"/>
                <w:w w:val="99"/>
              </w:rPr>
              <w:t>32.1*</w:t>
            </w:r>
          </w:p>
        </w:tc>
        <w:tc>
          <w:tcPr>
            <w:tcW w:w="5200" w:type="dxa"/>
            <w:vAlign w:val="bottom"/>
            <w:tcBorders>
              <w:bottom w:val="single" w:sz="8" w:color="auto"/>
            </w:tcBorders>
            <w:gridSpan w:val="7"/>
            <w:shd w:val="clear" w:color="auto" w:fill="DBDBDB"/>
          </w:tcPr>
          <w:p>
            <w:pPr>
              <w:spacing w:after="0"/>
              <w:rPr>
                <w:sz w:val="20"/>
                <w:szCs w:val="20"/>
                <w:color w:val="auto"/>
              </w:rPr>
            </w:pPr>
            <w:r>
              <w:rPr>
                <w:rFonts w:ascii="Arial" w:cs="Arial" w:eastAsia="Arial" w:hAnsi="Arial"/>
                <w:sz w:val="12"/>
                <w:szCs w:val="12"/>
                <w:color w:val="auto"/>
                <w:w w:val="99"/>
              </w:rPr>
              <w:t>Certification of Chief Executive Officer pursuant to Section 906 of the Sarbanes-Oxley Act of 2002</w:t>
            </w:r>
          </w:p>
        </w:tc>
        <w:tc>
          <w:tcPr>
            <w:tcW w:w="860" w:type="dxa"/>
            <w:vAlign w:val="bottom"/>
            <w:tcBorders>
              <w:bottom w:val="single" w:sz="8" w:color="DBDBDB"/>
            </w:tcBorders>
            <w:gridSpan w:val="3"/>
            <w:shd w:val="clear" w:color="auto" w:fill="DBDBDB"/>
          </w:tcPr>
          <w:p>
            <w:pPr>
              <w:spacing w:after="0"/>
              <w:rPr>
                <w:sz w:val="15"/>
                <w:szCs w:val="15"/>
                <w:color w:val="auto"/>
              </w:rPr>
            </w:pPr>
          </w:p>
        </w:tc>
        <w:tc>
          <w:tcPr>
            <w:tcW w:w="640" w:type="dxa"/>
            <w:vAlign w:val="bottom"/>
            <w:tcBorders>
              <w:bottom w:val="single" w:sz="8" w:color="DBDBDB"/>
            </w:tcBorders>
            <w:shd w:val="clear" w:color="auto" w:fill="DBDBDB"/>
          </w:tcPr>
          <w:p>
            <w:pPr>
              <w:spacing w:after="0"/>
              <w:rPr>
                <w:sz w:val="15"/>
                <w:szCs w:val="15"/>
                <w:color w:val="auto"/>
              </w:rPr>
            </w:pPr>
          </w:p>
        </w:tc>
        <w:tc>
          <w:tcPr>
            <w:tcW w:w="1700" w:type="dxa"/>
            <w:vAlign w:val="bottom"/>
            <w:tcBorders>
              <w:bottom w:val="single" w:sz="8" w:color="DBDBDB"/>
            </w:tcBorders>
            <w:shd w:val="clear" w:color="auto" w:fill="DBDBDB"/>
          </w:tcPr>
          <w:p>
            <w:pPr>
              <w:spacing w:after="0"/>
              <w:rPr>
                <w:sz w:val="15"/>
                <w:szCs w:val="15"/>
                <w:color w:val="auto"/>
              </w:rPr>
            </w:pPr>
          </w:p>
        </w:tc>
        <w:tc>
          <w:tcPr>
            <w:tcW w:w="740" w:type="dxa"/>
            <w:vAlign w:val="bottom"/>
            <w:tcBorders>
              <w:bottom w:val="single" w:sz="8" w:color="DBDBDB"/>
            </w:tcBorders>
            <w:shd w:val="clear" w:color="auto" w:fill="DBDBDB"/>
          </w:tcPr>
          <w:p>
            <w:pPr>
              <w:spacing w:after="0"/>
              <w:rPr>
                <w:sz w:val="15"/>
                <w:szCs w:val="15"/>
                <w:color w:val="auto"/>
              </w:rPr>
            </w:pPr>
          </w:p>
        </w:tc>
        <w:tc>
          <w:tcPr>
            <w:tcW w:w="58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Pr>
          <w:p>
            <w:pPr>
              <w:jc w:val="center"/>
              <w:ind w:right="60"/>
              <w:spacing w:after="0"/>
              <w:rPr>
                <w:sz w:val="20"/>
                <w:szCs w:val="20"/>
                <w:color w:val="auto"/>
              </w:rPr>
            </w:pPr>
            <w:r>
              <w:rPr>
                <w:rFonts w:ascii="Arial" w:cs="Arial" w:eastAsia="Arial" w:hAnsi="Arial"/>
                <w:sz w:val="12"/>
                <w:szCs w:val="12"/>
                <w:color w:val="auto"/>
                <w:w w:val="99"/>
              </w:rPr>
              <w:t>32.2*</w:t>
            </w:r>
          </w:p>
        </w:tc>
        <w:tc>
          <w:tcPr>
            <w:tcW w:w="5160" w:type="dxa"/>
            <w:vAlign w:val="bottom"/>
            <w:tcBorders>
              <w:bottom w:val="single" w:sz="8" w:color="auto"/>
            </w:tcBorders>
            <w:gridSpan w:val="6"/>
          </w:tcPr>
          <w:p>
            <w:pPr>
              <w:spacing w:after="0"/>
              <w:rPr>
                <w:sz w:val="20"/>
                <w:szCs w:val="20"/>
                <w:color w:val="auto"/>
              </w:rPr>
            </w:pPr>
            <w:r>
              <w:rPr>
                <w:rFonts w:ascii="Arial" w:cs="Arial" w:eastAsia="Arial" w:hAnsi="Arial"/>
                <w:sz w:val="12"/>
                <w:szCs w:val="12"/>
                <w:color w:val="auto"/>
                <w:w w:val="99"/>
              </w:rPr>
              <w:t>Certification of Chief Financial Officer pursuant to Section 906 of the Sarbanes-Oxley Act of 2002</w:t>
            </w:r>
          </w:p>
        </w:tc>
        <w:tc>
          <w:tcPr>
            <w:tcW w:w="900" w:type="dxa"/>
            <w:vAlign w:val="bottom"/>
            <w:gridSpan w:val="4"/>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24765</wp:posOffset>
            </wp:positionV>
            <wp:extent cx="6805930" cy="581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6805930" cy="581025"/>
                    </a:xfrm>
                    <a:prstGeom prst="rect">
                      <a:avLst/>
                    </a:prstGeom>
                    <a:noFill/>
                  </pic:spPr>
                </pic:pic>
              </a:graphicData>
            </a:graphic>
          </wp:anchor>
        </w:drawing>
      </w:r>
    </w:p>
    <w:p>
      <w:pPr>
        <w:spacing w:after="0" w:line="27" w:lineRule="exact"/>
        <w:rPr>
          <w:sz w:val="20"/>
          <w:szCs w:val="20"/>
          <w:color w:val="auto"/>
        </w:rPr>
      </w:pPr>
    </w:p>
    <w:p>
      <w:pPr>
        <w:ind w:left="1620" w:right="3920" w:hanging="654"/>
        <w:spacing w:after="0" w:line="258" w:lineRule="auto"/>
        <w:tabs>
          <w:tab w:leader="none" w:pos="16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following financial statements from the Company's Quarterly Report on Form 10-Q for the quarter ended April 30, 2024 formatted in Inline XBRL: (i) Condensed Consolidated Balance Sheets, (ii) Condensed Consolidated Statements of Income (Loss), (iii) Condensed Consolidated Statements of Income (Loss) (iv) Condensed Consolidated Statements of Changes in Equity, (v) Condensed Consolidated Statements of Cash Flows, and (vi) Notes to Consolidated Financial Statements, tagged as blocks of text and including detailed tags.</w:t>
      </w:r>
    </w:p>
    <w:p>
      <w:pPr>
        <w:spacing w:after="0" w:line="25" w:lineRule="exact"/>
        <w:rPr>
          <w:sz w:val="20"/>
          <w:szCs w:val="20"/>
          <w:color w:val="auto"/>
        </w:rPr>
      </w:pPr>
    </w:p>
    <w:p>
      <w:pPr>
        <w:ind w:left="1620" w:hanging="654"/>
        <w:spacing w:after="0"/>
        <w:tabs>
          <w:tab w:leader="none" w:pos="1620" w:val="left"/>
        </w:tabs>
        <w:numPr>
          <w:ilvl w:val="1"/>
          <w:numId w:val="16"/>
        </w:numPr>
        <w:rPr>
          <w:rFonts w:ascii="Arial" w:cs="Arial" w:eastAsia="Arial" w:hAnsi="Arial"/>
          <w:sz w:val="12"/>
          <w:szCs w:val="12"/>
          <w:color w:val="auto"/>
        </w:rPr>
      </w:pPr>
      <w:r>
        <w:rPr>
          <w:rFonts w:ascii="Arial" w:cs="Arial" w:eastAsia="Arial" w:hAnsi="Arial"/>
          <w:sz w:val="12"/>
          <w:szCs w:val="12"/>
          <w:color w:val="auto"/>
        </w:rPr>
        <w:t>Cover Page Interactive Data File (formatted as Inline XBRL and contained in Exhibit 101)</w:t>
      </w:r>
    </w:p>
    <w:p>
      <w:pPr>
        <w:spacing w:after="0" w:line="184" w:lineRule="exact"/>
        <w:rPr>
          <w:rFonts w:ascii="Arial" w:cs="Arial" w:eastAsia="Arial" w:hAnsi="Arial"/>
          <w:sz w:val="12"/>
          <w:szCs w:val="12"/>
          <w:color w:val="auto"/>
        </w:rPr>
      </w:pPr>
    </w:p>
    <w:p>
      <w:pPr>
        <w:ind w:left="540" w:hanging="99"/>
        <w:spacing w:after="0"/>
        <w:tabs>
          <w:tab w:leader="none" w:pos="5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-173990</wp:posOffset>
            </wp:positionV>
            <wp:extent cx="68059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 Indicates management contract or compensatory plan.</w:t>
      </w:r>
    </w:p>
    <w:p>
      <w:pPr>
        <w:spacing w:after="0" w:line="55" w:lineRule="exact"/>
        <w:rPr>
          <w:sz w:val="20"/>
          <w:szCs w:val="20"/>
          <w:color w:val="auto"/>
        </w:rPr>
      </w:pPr>
    </w:p>
    <w:p>
      <w:pPr>
        <w:ind w:left="540" w:right="220" w:hanging="79"/>
        <w:spacing w:after="0" w:line="282" w:lineRule="auto"/>
        <w:tabs>
          <w:tab w:leader="none" w:pos="5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11" w:lineRule="exact"/>
        <w:rPr>
          <w:sz w:val="20"/>
          <w:szCs w:val="20"/>
          <w:color w:val="auto"/>
        </w:rPr>
      </w:pPr>
    </w:p>
    <w:p>
      <w:pPr>
        <w:ind w:left="540" w:right="140" w:hanging="88"/>
        <w:spacing w:after="0" w:line="282" w:lineRule="auto"/>
        <w:tabs>
          <w:tab w:leader="none" w:pos="5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Pursuant to Item 601(b)(10)(iv) of Regulation S-K promulgated by the Securities and Exchange Commission, certain portions of this exhibit have been redacted. The Registrant hereby agrees to furnish supplementally to the Securities and Exchange Commission, upon its request, an unredacted copy of this exhibit.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0" w:name="page31"/>
    <w:bookmarkEnd w:id="30"/>
    <w:p>
      <w:pPr>
        <w:spacing w:after="0" w:line="19"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SIGNATURES</w:t>
      </w:r>
    </w:p>
    <w:p>
      <w:pPr>
        <w:spacing w:after="0" w:line="234" w:lineRule="exact"/>
        <w:rPr>
          <w:sz w:val="20"/>
          <w:szCs w:val="20"/>
          <w:color w:val="auto"/>
        </w:rPr>
      </w:pPr>
    </w:p>
    <w:p>
      <w:pPr>
        <w:ind w:firstLine="619"/>
        <w:spacing w:after="0" w:line="259"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quarterly report to be signed on its behalf by the undersigned, thereunto duly authorized, on June 6, 2024.</w:t>
      </w:r>
    </w:p>
    <w:p>
      <w:pPr>
        <w:spacing w:after="0" w:line="252" w:lineRule="exact"/>
        <w:rPr>
          <w:sz w:val="20"/>
          <w:szCs w:val="20"/>
          <w:color w:val="auto"/>
        </w:rPr>
      </w:pPr>
    </w:p>
    <w:p>
      <w:pPr>
        <w:ind w:left="8060"/>
        <w:spacing w:after="0"/>
        <w:rPr>
          <w:sz w:val="20"/>
          <w:szCs w:val="20"/>
          <w:color w:val="auto"/>
        </w:rPr>
      </w:pPr>
      <w:r>
        <w:rPr>
          <w:rFonts w:ascii="Arial" w:cs="Arial" w:eastAsia="Arial" w:hAnsi="Arial"/>
          <w:sz w:val="15"/>
          <w:szCs w:val="15"/>
          <w:b w:val="1"/>
          <w:bCs w:val="1"/>
          <w:color w:val="auto"/>
        </w:rPr>
        <w:t>MISSION PRODUCE, INC.</w:t>
      </w:r>
    </w:p>
    <w:p>
      <w:pPr>
        <w:spacing w:after="0" w:line="311" w:lineRule="exact"/>
        <w:rPr>
          <w:sz w:val="20"/>
          <w:szCs w:val="20"/>
          <w:color w:val="auto"/>
        </w:rPr>
      </w:pPr>
    </w:p>
    <w:p>
      <w:pPr>
        <w:ind w:left="8320"/>
        <w:spacing w:after="0"/>
        <w:rPr>
          <w:sz w:val="20"/>
          <w:szCs w:val="20"/>
          <w:color w:val="auto"/>
        </w:rPr>
      </w:pPr>
      <w:r>
        <w:rPr>
          <w:rFonts w:ascii="Arial" w:cs="Arial" w:eastAsia="Arial" w:hAnsi="Arial"/>
          <w:sz w:val="14"/>
          <w:szCs w:val="14"/>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17145</wp:posOffset>
            </wp:positionV>
            <wp:extent cx="28568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856865" cy="8255"/>
                    </a:xfrm>
                    <a:prstGeom prst="rect">
                      <a:avLst/>
                    </a:prstGeom>
                    <a:noFill/>
                  </pic:spPr>
                </pic:pic>
              </a:graphicData>
            </a:graphic>
          </wp:anchor>
        </w:drawing>
      </w:r>
    </w:p>
    <w:p>
      <w:pPr>
        <w:spacing w:after="0" w:line="38"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Stephen J. Barnard</w:t>
      </w:r>
    </w:p>
    <w:p>
      <w:pPr>
        <w:spacing w:after="0" w:line="45" w:lineRule="exact"/>
        <w:rPr>
          <w:sz w:val="20"/>
          <w:szCs w:val="20"/>
          <w:color w:val="auto"/>
        </w:rPr>
      </w:pPr>
    </w:p>
    <w:p>
      <w:pPr>
        <w:ind w:left="8300"/>
        <w:spacing w:after="0"/>
        <w:rPr>
          <w:sz w:val="20"/>
          <w:szCs w:val="20"/>
          <w:color w:val="auto"/>
        </w:rPr>
      </w:pPr>
      <w:r>
        <w:rPr>
          <w:rFonts w:ascii="Arial" w:cs="Arial" w:eastAsia="Arial" w:hAnsi="Arial"/>
          <w:sz w:val="14"/>
          <w:szCs w:val="14"/>
          <w:i w:val="1"/>
          <w:iCs w:val="1"/>
          <w:color w:val="auto"/>
        </w:rPr>
        <w:t>Chief Executive Officer</w:t>
      </w:r>
    </w:p>
    <w:p>
      <w:pPr>
        <w:spacing w:after="0" w:line="290" w:lineRule="exact"/>
        <w:rPr>
          <w:sz w:val="20"/>
          <w:szCs w:val="20"/>
          <w:color w:val="auto"/>
        </w:rPr>
      </w:pPr>
    </w:p>
    <w:p>
      <w:pPr>
        <w:ind w:left="8460"/>
        <w:spacing w:after="0"/>
        <w:rPr>
          <w:sz w:val="20"/>
          <w:szCs w:val="20"/>
          <w:color w:val="auto"/>
        </w:rPr>
      </w:pPr>
      <w:r>
        <w:rPr>
          <w:rFonts w:ascii="Arial" w:cs="Arial" w:eastAsia="Arial" w:hAnsi="Arial"/>
          <w:sz w:val="14"/>
          <w:szCs w:val="14"/>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17145</wp:posOffset>
            </wp:positionV>
            <wp:extent cx="28568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856865" cy="8255"/>
                    </a:xfrm>
                    <a:prstGeom prst="rect">
                      <a:avLst/>
                    </a:prstGeom>
                    <a:noFill/>
                  </pic:spPr>
                </pic:pic>
              </a:graphicData>
            </a:graphic>
          </wp:anchor>
        </w:drawing>
      </w:r>
    </w:p>
    <w:p>
      <w:pPr>
        <w:spacing w:after="0" w:line="38" w:lineRule="exact"/>
        <w:rPr>
          <w:sz w:val="20"/>
          <w:szCs w:val="20"/>
          <w:color w:val="auto"/>
        </w:rPr>
      </w:pPr>
    </w:p>
    <w:p>
      <w:pPr>
        <w:ind w:left="8560"/>
        <w:spacing w:after="0"/>
        <w:rPr>
          <w:sz w:val="20"/>
          <w:szCs w:val="20"/>
          <w:color w:val="auto"/>
        </w:rPr>
      </w:pPr>
      <w:r>
        <w:rPr>
          <w:rFonts w:ascii="Arial" w:cs="Arial" w:eastAsia="Arial" w:hAnsi="Arial"/>
          <w:sz w:val="14"/>
          <w:szCs w:val="14"/>
          <w:color w:val="auto"/>
        </w:rPr>
        <w:t>Bryan E. Giles</w:t>
      </w:r>
    </w:p>
    <w:p>
      <w:pPr>
        <w:spacing w:after="0" w:line="45" w:lineRule="exact"/>
        <w:rPr>
          <w:sz w:val="20"/>
          <w:szCs w:val="20"/>
          <w:color w:val="auto"/>
        </w:rPr>
      </w:pPr>
    </w:p>
    <w:p>
      <w:pPr>
        <w:ind w:left="8320"/>
        <w:spacing w:after="0"/>
        <w:rPr>
          <w:sz w:val="20"/>
          <w:szCs w:val="20"/>
          <w:color w:val="auto"/>
        </w:rPr>
      </w:pPr>
      <w:r>
        <w:rPr>
          <w:rFonts w:ascii="Arial" w:cs="Arial" w:eastAsia="Arial" w:hAnsi="Arial"/>
          <w:sz w:val="14"/>
          <w:szCs w:val="14"/>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040"/>
          </w:cols>
          <w:pgMar w:left="320" w:top="1440" w:right="539" w:bottom="1440" w:gutter="0" w:footer="0" w:header="0"/>
        </w:sectPr>
      </w:pPr>
    </w:p>
    <w:bookmarkStart w:id="31" w:name="page32"/>
    <w:bookmarkEnd w:id="31"/>
    <w:p>
      <w:pPr>
        <w:spacing w:after="0"/>
        <w:rPr>
          <w:sz w:val="20"/>
          <w:szCs w:val="20"/>
          <w:color w:val="auto"/>
        </w:rPr>
      </w:pPr>
      <w:r>
        <w:rPr>
          <w:rFonts w:ascii="Arial" w:cs="Arial" w:eastAsia="Arial" w:hAnsi="Arial"/>
          <w:sz w:val="21"/>
          <w:szCs w:val="21"/>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CERTIFICATE OF AMENDMENT</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RESTATED CERTIFICATE OF INCORPORATION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MISSION PRODUCE, INC.</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(Pursuant to Section 242 of the General Corporation Law of the State of Delaware)</w:t>
      </w:r>
    </w:p>
    <w:p>
      <w:pPr>
        <w:spacing w:after="0" w:line="200" w:lineRule="exact"/>
        <w:rPr>
          <w:sz w:val="20"/>
          <w:szCs w:val="20"/>
          <w:color w:val="auto"/>
        </w:rPr>
      </w:pPr>
    </w:p>
    <w:p>
      <w:pPr>
        <w:spacing w:after="0" w:line="24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Mission Produce, Inc., a corporation duly organized and existing under the General Corporation Law of the State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Delaware (the “Corporation”), does hereby certify that:</w:t>
      </w:r>
    </w:p>
    <w:p>
      <w:pPr>
        <w:spacing w:after="0" w:line="188" w:lineRule="exact"/>
        <w:rPr>
          <w:sz w:val="20"/>
          <w:szCs w:val="20"/>
          <w:color w:val="auto"/>
        </w:rPr>
      </w:pPr>
    </w:p>
    <w:p>
      <w:pPr>
        <w:ind w:firstLine="1241"/>
        <w:spacing w:after="0" w:line="269" w:lineRule="auto"/>
        <w:tabs>
          <w:tab w:leader="none" w:pos="1685"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Amended and Restated Certificate of Incorporation of the Corporation is hereby amended by adding a new Article XII, which in its entirety shall state: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ARTICLE XII</w:t>
      </w:r>
    </w:p>
    <w:p>
      <w:pPr>
        <w:spacing w:after="0" w:line="227" w:lineRule="exact"/>
        <w:rPr>
          <w:sz w:val="20"/>
          <w:szCs w:val="20"/>
          <w:color w:val="auto"/>
        </w:rPr>
      </w:pPr>
    </w:p>
    <w:p>
      <w:pPr>
        <w:jc w:val="both"/>
        <w:ind w:left="1240" w:right="1240"/>
        <w:spacing w:after="0" w:line="247" w:lineRule="auto"/>
        <w:rPr>
          <w:sz w:val="20"/>
          <w:szCs w:val="20"/>
          <w:color w:val="auto"/>
        </w:rPr>
      </w:pPr>
      <w:r>
        <w:rPr>
          <w:rFonts w:ascii="Times New Roman" w:cs="Times New Roman" w:eastAsia="Times New Roman" w:hAnsi="Times New Roman"/>
          <w:sz w:val="21"/>
          <w:szCs w:val="21"/>
          <w:color w:val="auto"/>
        </w:rPr>
        <w:t>No officer of the Corporation shall have any personal liability to the Corporation or its stockholders for monetary damages for any breach of fiduciary duty as an officer, except to the extent such exemption from liability or limitation thereof is not permitted under the DGCL as the same exists or hereafter may be amended. Any amendment, repeal or modification of this Article XII, or the adoption of any provision of the Restated Certificate inconsistent with this Article XII, shall not adversely affect any right or protection of an officer of the Corporation with respect to any act or omission occurring prior to such amendment, repeal, modification or adoption. If the DGCL is amended after approval by the stockholders of this Article XII to authorize corporate action further eliminating or limiting the personal liability of officers, then the liability of an officer of the Corporation shall be eliminated or limited to the fullest extent permitted by the DGCL as so amended.”</w:t>
      </w:r>
    </w:p>
    <w:p>
      <w:pPr>
        <w:spacing w:after="0" w:line="196" w:lineRule="exact"/>
        <w:rPr>
          <w:sz w:val="20"/>
          <w:szCs w:val="20"/>
          <w:color w:val="auto"/>
        </w:rPr>
      </w:pPr>
    </w:p>
    <w:p>
      <w:pPr>
        <w:ind w:firstLine="1241"/>
        <w:spacing w:after="0" w:line="269" w:lineRule="auto"/>
        <w:tabs>
          <w:tab w:leader="none" w:pos="1613"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amendment described herein has been duly adopted in accordance with Section 242 of the General Corporation Law of the State of Delaware.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26" w:right="339" w:bottom="1440" w:gutter="0" w:footer="0" w:header="0"/>
        </w:sectPr>
      </w:pPr>
    </w:p>
    <w:bookmarkStart w:id="32" w:name="page33"/>
    <w:bookmarkEnd w:id="32"/>
    <w:p>
      <w:pPr>
        <w:spacing w:after="0"/>
        <w:rPr>
          <w:sz w:val="20"/>
          <w:szCs w:val="20"/>
          <w:color w:val="auto"/>
        </w:rPr>
      </w:pPr>
      <w:r>
        <w:rPr>
          <w:rFonts w:ascii="Arial" w:cs="Arial" w:eastAsia="Arial" w:hAnsi="Arial"/>
          <w:sz w:val="21"/>
          <w:szCs w:val="21"/>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firstLine="1238"/>
        <w:spacing w:after="0" w:line="281" w:lineRule="auto"/>
        <w:rPr>
          <w:sz w:val="20"/>
          <w:szCs w:val="20"/>
          <w:color w:val="auto"/>
        </w:rPr>
      </w:pPr>
      <w:r>
        <w:rPr>
          <w:rFonts w:ascii="Times New Roman" w:cs="Times New Roman" w:eastAsia="Times New Roman" w:hAnsi="Times New Roman"/>
          <w:sz w:val="21"/>
          <w:szCs w:val="21"/>
          <w:color w:val="auto"/>
        </w:rPr>
        <w:t>IN WITNESS WHEREOF, the Corporation has caused this Certificate to be executed by its duly authorized officer on this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day of April, 2024.</w:t>
      </w:r>
    </w:p>
    <w:p>
      <w:pPr>
        <w:spacing w:after="0" w:line="200" w:lineRule="exact"/>
        <w:rPr>
          <w:sz w:val="20"/>
          <w:szCs w:val="20"/>
          <w:color w:val="auto"/>
        </w:rPr>
      </w:pPr>
    </w:p>
    <w:p>
      <w:pPr>
        <w:spacing w:after="0" w:line="29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MISSION PRODUCE, INC.</w:t>
      </w:r>
    </w:p>
    <w:p>
      <w:pPr>
        <w:spacing w:after="0" w:line="200" w:lineRule="exact"/>
        <w:rPr>
          <w:sz w:val="20"/>
          <w:szCs w:val="20"/>
          <w:color w:val="auto"/>
        </w:rPr>
      </w:pPr>
    </w:p>
    <w:p>
      <w:pPr>
        <w:spacing w:after="0" w:line="27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By: /s/ Joanne C. Wu</w:t>
      </w:r>
    </w:p>
    <w:p>
      <w:pPr>
        <w:spacing w:after="0" w:line="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Name: Joanne C. Wu</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Title: General Counsel and Secretary</w:t>
      </w:r>
    </w:p>
    <w:p>
      <w:pPr>
        <w:sectPr>
          <w:pgSz w:w="11900" w:h="16838" w:orient="portrait"/>
          <w:cols w:equalWidth="0" w:num="1">
            <w:col w:w="11240"/>
          </w:cols>
          <w:pgMar w:left="320" w:top="126" w:right="339" w:bottom="1440" w:gutter="0" w:footer="0" w:header="0"/>
        </w:sectPr>
      </w:pPr>
    </w:p>
    <w:bookmarkStart w:id="33" w:name="page34"/>
    <w:bookmarkEnd w:id="33"/>
    <w:p>
      <w:pPr>
        <w:spacing w:after="0"/>
        <w:rPr>
          <w:sz w:val="20"/>
          <w:szCs w:val="20"/>
          <w:color w:val="auto"/>
        </w:rPr>
      </w:pPr>
      <w:r>
        <w:rPr>
          <w:rFonts w:ascii="Arial" w:cs="Arial" w:eastAsia="Arial" w:hAnsi="Arial"/>
          <w:sz w:val="21"/>
          <w:szCs w:val="21"/>
          <w:b w:val="1"/>
          <w:bCs w:val="1"/>
          <w:color w:val="auto"/>
        </w:rPr>
        <w:t>Exhibit 10.26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1083310</wp:posOffset>
            </wp:positionV>
            <wp:extent cx="1842135" cy="786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1842135" cy="78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21,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John Pawlowski</w:t>
      </w:r>
    </w:p>
    <w:p>
      <w:pPr>
        <w:spacing w:after="0"/>
        <w:rPr>
          <w:sz w:val="20"/>
          <w:szCs w:val="20"/>
          <w:color w:val="auto"/>
        </w:rPr>
      </w:pPr>
      <w:r>
        <w:rPr>
          <w:rFonts w:ascii="Times New Roman" w:cs="Times New Roman" w:eastAsia="Times New Roman" w:hAnsi="Times New Roman"/>
          <w:sz w:val="21"/>
          <w:szCs w:val="21"/>
          <w:color w:val="auto"/>
        </w:rPr>
        <w:t>[Email]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John,</w:t>
      </w:r>
    </w:p>
    <w:p>
      <w:pPr>
        <w:spacing w:after="0" w:line="19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Mission Produce, Inc. (the “Company”) is pleased to formally offer you the position of President and Chief Operating Officer reporting to Stephen Barnard, Chief Executive Officer. We are confident you will exemplify our Core Values: Fun, Innovative, Reliable, Successful, and Trustworthy. Please note this offer is subject to any required Board of Directors approvals.</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Your annual base salary will be $600,000.00 less payroll deductions and withholdings and will be paid in accordance with our bi-weekly payroll disbursement schedule.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You will receive a biweekly car allowance of $881.00 ($22,906.00 annually).</w:t>
      </w:r>
    </w:p>
    <w:p>
      <w:pPr>
        <w:spacing w:after="0" w:line="197"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You will receive a cash signing bonus in the amount of $125,000.00 which will be earned in two increments: (i) half, or $62,500, will be earned and payable at the completion of your third month of employment following your start date; and (ii) the other half, or $62,500, will be earned and payable at the completion of your sixth month of employment following your start date. If you cease to be employed by the Company prior to the completion of the third and/or sixth month of employment as referenced above, you will not be entitled to receive the cash signing bonus associated with the applicable earnout date. The cash signing bonus is subject to standard payroll deductions and withholdings.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full-time, exempt employee, you will be eligible to participate in the following compensation and benefit programs offered by the</w:t>
      </w:r>
    </w:p>
    <w:p>
      <w:pPr>
        <w:spacing w:after="0"/>
        <w:rPr>
          <w:sz w:val="20"/>
          <w:szCs w:val="20"/>
          <w:color w:val="auto"/>
        </w:rPr>
      </w:pPr>
      <w:r>
        <w:rPr>
          <w:rFonts w:ascii="Times New Roman" w:cs="Times New Roman" w:eastAsia="Times New Roman" w:hAnsi="Times New Roman"/>
          <w:sz w:val="21"/>
          <w:szCs w:val="21"/>
          <w:color w:val="auto"/>
        </w:rPr>
        <w:t>Company, subject to program terms and generally applicable Company policies:</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u w:val="single" w:color="auto"/>
          <w:color w:val="auto"/>
        </w:rPr>
        <w:t>FY2024 Annual Cash Bonus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fiscal 2024, you will receive a guaranteed cash bonus equal to 100% of your annual base salary,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pro-rated based on the number of months between your start date and October 31, 2024. Amounts are payable, when and if earned, after the completion of the 2024 fiscal year.</w:t>
      </w:r>
    </w:p>
    <w:p>
      <w:pPr>
        <w:spacing w:after="0" w:line="16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u w:val="single" w:color="auto"/>
          <w:color w:val="auto"/>
        </w:rPr>
        <w:t>Annual Cash Incentive Plan</w:t>
      </w:r>
      <w:r>
        <w:rPr>
          <w:rFonts w:ascii="Times New Roman" w:cs="Times New Roman" w:eastAsia="Times New Roman" w:hAnsi="Times New Roman"/>
          <w:sz w:val="21"/>
          <w:szCs w:val="21"/>
          <w:color w:val="auto"/>
        </w:rPr>
        <w:t>: Beginning in fiscal year 2025, you will be eligible to participate in the Company’s annual cash incentive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 as approved by the Compensation Committee of the Board of Directors. Your annual target bonus potential under the annual cash incentive plan will be 100% of your annual base salary.</w:t>
      </w:r>
    </w:p>
    <w:p>
      <w:pPr>
        <w:spacing w:after="0" w:line="16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b w:val="1"/>
          <w:bCs w:val="1"/>
          <w:u w:val="single" w:color="auto"/>
          <w:color w:val="auto"/>
        </w:rPr>
        <w:t>Long-Term Equity Incentive Program: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will also be eligible to participate in the Company’s long-term equity incentive program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a total award value equal to $1,000,000</w:t>
      </w:r>
    </w:p>
    <w:p>
      <w:pPr>
        <w:sectPr>
          <w:pgSz w:w="11900" w:h="16838" w:orient="portrait"/>
          <w:cols w:equalWidth="0" w:num="1">
            <w:col w:w="11240"/>
          </w:cols>
          <w:pgMar w:left="320" w:top="1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1"/>
          <w:szCs w:val="21"/>
          <w:color w:val="auto"/>
        </w:rPr>
        <w:t>John Pawlowski</w:t>
      </w:r>
    </w:p>
    <w:p>
      <w:pPr>
        <w:spacing w:after="0"/>
        <w:rPr>
          <w:sz w:val="20"/>
          <w:szCs w:val="20"/>
          <w:color w:val="auto"/>
        </w:rPr>
      </w:pPr>
      <w:r>
        <w:rPr>
          <w:rFonts w:ascii="Times New Roman" w:cs="Times New Roman" w:eastAsia="Times New Roman" w:hAnsi="Times New Roman"/>
          <w:sz w:val="21"/>
          <w:szCs w:val="21"/>
          <w:color w:val="auto"/>
        </w:rPr>
        <w:t>February 21,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which will be split as follows: (i) 50% in the form of restricted stock units (RSUs) which vest ratably over three years, and (ii) 50% in the form of performance share units (PSUs) which are subject to the Company’s achievement of cumulative adjusted net income per share targets over a three-year performance period (2024-2026) and cliff vest, if at all, at the end of the three-year performance period.</w:t>
      </w:r>
    </w:p>
    <w:p>
      <w:pPr>
        <w:spacing w:after="0" w:line="17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All equity awards granted per the above are subject to our equity grant practices, including, but not limited to, the following: (i) the number of units granted will be based on the Company’s thirty-day trailing average stock price from the grant date; (ii) the grant date will be the first Friday of the month following your start date; and (iii) all grants are subject to the Company’s 2020 Incentive Award Plan, any applicable award agreements, and any required approvals.</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b w:val="1"/>
          <w:bCs w:val="1"/>
          <w:u w:val="single" w:color="auto"/>
          <w:color w:val="auto"/>
        </w:rPr>
        <w:t>Medical, Dental, and Vision Insurance and FSA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will be eligible for medical, dental, and vision insurance and the flexible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spending plan, effective the first of the month following date of hire. Our current healthcare plan provider is Anthem Blue Cross.</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b w:val="1"/>
          <w:bCs w:val="1"/>
          <w:u w:val="single" w:color="auto"/>
          <w:color w:val="auto"/>
        </w:rPr>
        <w:t>401(K) Plan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will be eligible to participate in the Company’s 401(k) Plan through Fidelity Investments. You may enroll on any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following dates occurring after your date of hire: January 1, April 1, July 1, or October 1. The Company matches 100% of the first 3% in eligible compensation deferred and 50% of the next 2% in eligible compensation deferred. You are 100% vested immediately on the employer match.</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u w:val="single" w:color="auto"/>
          <w:color w:val="auto"/>
        </w:rPr>
        <w:t>Life and AD&amp;D Insurance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will be eligible for our Company Sponsored Plans: Life and AD &amp; D insurance at 1.5 times your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Basic Annual Earnings and Long-Term Disability with a monthly benefit equal to 60% of monthly pre-disability pay, up to a maximum of $6,000.00 per month.</w:t>
      </w:r>
    </w:p>
    <w:p>
      <w:pPr>
        <w:spacing w:after="0" w:line="14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u w:val="single" w:color="auto"/>
          <w:color w:val="auto"/>
        </w:rPr>
        <w:t>Paid Time Off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will earn and accrue 3.69 hours per pay period beginning with your first day of employment. You are eligible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accrue up to 96 total hours or 12 days and a maximum accrual of 192 hours or 24 days. Paid Time Off (“PTO”) will be available and may be used in accordance with the terms of the Company’s PTO policy.</w:t>
      </w:r>
    </w:p>
    <w:p>
      <w:pPr>
        <w:spacing w:after="0" w:line="1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b w:val="1"/>
          <w:bCs w:val="1"/>
          <w:u w:val="single" w:color="auto"/>
          <w:color w:val="auto"/>
        </w:rPr>
        <w:t>Holidays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are eligible for six (6) paid holidays, ½ day on Christmas Eve and New Year’s Eve, and any other additional flex days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be provided per Company policy or practice.</w:t>
      </w:r>
    </w:p>
    <w:p>
      <w:pPr>
        <w:spacing w:after="0" w:line="16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b w:val="1"/>
          <w:bCs w:val="1"/>
          <w:u w:val="single" w:color="auto"/>
          <w:color w:val="auto"/>
        </w:rPr>
        <w:t>Relocation Benefits: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 needed, Mission Produce will provide you and your family with temporary housing. The Company will also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reimburse you for reasonable, documented, out-of-pocket expenses associated with your relocation.</w:t>
      </w:r>
    </w:p>
    <w:p>
      <w:pPr>
        <w:spacing w:after="0" w:line="16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u w:val="single" w:color="auto"/>
          <w:color w:val="auto"/>
        </w:rPr>
        <w:t>Repayment Obligation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 you voluntarily terminate your employment with the Company or if your employment is terminated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cause prior to the expiration of two years from your effective date of hire/assignment—you must repay all relocation benefits covered by the Company as set forth in the schedule below:</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-Less than 1 year - 100% of all relocation benefits paid or reimbursed by the Company.</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-1 year to 2 years - 50% of all relocation benefits paid or reimbursed by the Company.</w:t>
      </w:r>
    </w:p>
    <w:p>
      <w:pPr>
        <w:spacing w:after="0" w:line="1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As a full-time exempt salaried employee, you will be expected to work the Company’s normal business hours as well as additional hours as required by the nature of your work assignments, and you will not be eligible for overtime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Page | 2</w:t>
      </w:r>
    </w:p>
    <w:p>
      <w:pPr>
        <w:sectPr>
          <w:pgSz w:w="11900" w:h="16838" w:orient="portrait"/>
          <w:cols w:equalWidth="0" w:num="1">
            <w:col w:w="11240"/>
          </w:cols>
          <w:pgMar w:left="320" w:top="8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1"/>
          <w:szCs w:val="21"/>
          <w:color w:val="auto"/>
        </w:rPr>
        <w:t>John Pawlowski</w:t>
      </w:r>
    </w:p>
    <w:p>
      <w:pPr>
        <w:spacing w:after="0"/>
        <w:rPr>
          <w:sz w:val="20"/>
          <w:szCs w:val="20"/>
          <w:color w:val="auto"/>
        </w:rPr>
      </w:pPr>
      <w:r>
        <w:rPr>
          <w:rFonts w:ascii="Times New Roman" w:cs="Times New Roman" w:eastAsia="Times New Roman" w:hAnsi="Times New Roman"/>
          <w:sz w:val="21"/>
          <w:szCs w:val="21"/>
          <w:color w:val="auto"/>
        </w:rPr>
        <w:t>February 21,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Neither the policies nor practices described in this document, nor the document itself, create an express or implied contract of employment or any other contractual commitment. The Company may modify the terms outlined herein at its sole discretion without notice, at any time, consistent with applicable law. </w:t>
      </w:r>
      <w:r>
        <w:rPr>
          <w:rFonts w:ascii="Times New Roman" w:cs="Times New Roman" w:eastAsia="Times New Roman" w:hAnsi="Times New Roman"/>
          <w:sz w:val="21"/>
          <w:szCs w:val="21"/>
          <w:b w:val="1"/>
          <w:bCs w:val="1"/>
          <w:color w:val="auto"/>
        </w:rPr>
        <w:t>Employment with the Company is on an at-will basis</w:t>
      </w:r>
      <w:r>
        <w:rPr>
          <w:rFonts w:ascii="Times New Roman" w:cs="Times New Roman" w:eastAsia="Times New Roman" w:hAnsi="Times New Roman"/>
          <w:sz w:val="21"/>
          <w:szCs w:val="21"/>
          <w:color w:val="auto"/>
        </w:rPr>
        <w:t>, which means that either you or the Company may terminate the employment relationship at any time for any or no reason, consistent with applicable law.</w:t>
      </w:r>
    </w:p>
    <w:p>
      <w:pPr>
        <w:spacing w:after="0" w:line="17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As a Company employee, you will be expected to abide by all applicable Company rules and policies. You will be asked to sign and comply with the Company’s Employee Confidential Information and Work Product Assignment Agreement. Further, to ensure the rapid and economical resolution of disputes that may arise in connection with your employment with the Company, you will also be asked to sign the Company’s binding Arbitration Agreement. Finally, you will be asked to acknowledge other Company policies and procedures, including the Company’s Employee Handbook and Code of Ethics and Conduct.</w:t>
      </w:r>
    </w:p>
    <w:p>
      <w:pPr>
        <w:spacing w:after="0" w:line="17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At the Company’s sole discretion, this offer may be contingent upon a satisfactory reference check and satisfactory proof of your right to work in the United States. You agree to assist as needed and to complete any documentation at the Company’s request to meet these conditions.</w:t>
      </w:r>
    </w:p>
    <w:p>
      <w:pPr>
        <w:spacing w:after="0" w:line="17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If any provision of this offer letter is determined to be invalid or unenforceable, in whole or in part, this determination shall not affect any other provision of this offer letter and the provision in question shall be modified so as to be rendered enforceable in a manner consistent with the intent of the parties insofar as possible under applicable law.</w:t>
      </w:r>
    </w:p>
    <w:p>
      <w:pPr>
        <w:spacing w:after="0" w:line="17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We believe you will find the Company’s environment to be challenging, stimulating, and rewarding. Please sign and return the offer within three (3) days. This offer of employment will lapse at that time. This letter may be delivered and executed via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Upon execution, please return the signed letter by emailing a copy to me with a copy to Anita Lemos.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am confident that you will undoubtedly be instrumental to our business. I look forward to working with you in this new capacity.</w:t>
      </w:r>
    </w:p>
    <w:p>
      <w:pPr>
        <w:spacing w:after="0"/>
        <w:rPr>
          <w:sz w:val="20"/>
          <w:szCs w:val="20"/>
          <w:color w:val="auto"/>
        </w:rPr>
      </w:pPr>
      <w:r>
        <w:rPr>
          <w:rFonts w:ascii="Times New Roman" w:cs="Times New Roman" w:eastAsia="Times New Roman" w:hAnsi="Times New Roman"/>
          <w:sz w:val="21"/>
          <w:szCs w:val="21"/>
          <w:color w:val="auto"/>
        </w:rPr>
        <w:t>Please feel free to contact me directly if you have questions.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Sincerely,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Stephen J. Barnard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Stephen J. Barnard</w:t>
      </w:r>
    </w:p>
    <w:p>
      <w:pPr>
        <w:spacing w:after="0"/>
        <w:rPr>
          <w:sz w:val="20"/>
          <w:szCs w:val="20"/>
          <w:color w:val="auto"/>
        </w:rPr>
      </w:pP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Page | 3</w:t>
      </w:r>
    </w:p>
    <w:p>
      <w:pPr>
        <w:sectPr>
          <w:pgSz w:w="11900" w:h="16838" w:orient="portrait"/>
          <w:cols w:equalWidth="0" w:num="1">
            <w:col w:w="11240"/>
          </w:cols>
          <w:pgMar w:left="320" w:top="8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1"/>
          <w:szCs w:val="21"/>
          <w:color w:val="auto"/>
        </w:rPr>
        <w:t>John Pawlowski</w:t>
      </w:r>
    </w:p>
    <w:p>
      <w:pPr>
        <w:spacing w:after="0"/>
        <w:rPr>
          <w:sz w:val="20"/>
          <w:szCs w:val="20"/>
          <w:color w:val="auto"/>
        </w:rPr>
      </w:pPr>
      <w:r>
        <w:rPr>
          <w:rFonts w:ascii="Times New Roman" w:cs="Times New Roman" w:eastAsia="Times New Roman" w:hAnsi="Times New Roman"/>
          <w:sz w:val="21"/>
          <w:szCs w:val="21"/>
          <w:color w:val="auto"/>
        </w:rPr>
        <w:t>February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822960</wp:posOffset>
            </wp:positionV>
            <wp:extent cx="7122160" cy="1031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22160" cy="1031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0" w:right="140"/>
        <w:spacing w:after="0" w:line="237" w:lineRule="auto"/>
        <w:rPr>
          <w:sz w:val="20"/>
          <w:szCs w:val="20"/>
          <w:color w:val="auto"/>
        </w:rPr>
      </w:pPr>
      <w:r>
        <w:rPr>
          <w:rFonts w:ascii="Times New Roman" w:cs="Times New Roman" w:eastAsia="Times New Roman" w:hAnsi="Times New Roman"/>
          <w:sz w:val="21"/>
          <w:szCs w:val="21"/>
          <w:b w:val="1"/>
          <w:bCs w:val="1"/>
          <w:color w:val="auto"/>
        </w:rPr>
        <w:t>I acknowledge receipt of this offer. I have read and understand the conditions of employment. By signing below, I have agreed and accepted the terms and conditions of your offer as stated above.</w:t>
      </w:r>
    </w:p>
    <w:p>
      <w:pPr>
        <w:spacing w:after="0" w:line="172" w:lineRule="exact"/>
        <w:rPr>
          <w:sz w:val="20"/>
          <w:szCs w:val="20"/>
          <w:color w:val="auto"/>
        </w:rPr>
      </w:pPr>
    </w:p>
    <w:tbl>
      <w:tblPr>
        <w:tblLayout w:type="fixed"/>
        <w:tblInd w:w="100" w:type="dxa"/>
        <w:tblCellMar>
          <w:top w:w="0" w:type="dxa"/>
          <w:left w:w="0" w:type="dxa"/>
          <w:bottom w:w="0" w:type="dxa"/>
          <w:right w:w="0" w:type="dxa"/>
        </w:tblCellMar>
      </w:tblPr>
      <w:tr>
        <w:trPr>
          <w:trHeight w:val="268"/>
        </w:trPr>
        <w:tc>
          <w:tcPr>
            <w:tcW w:w="1940" w:type="dxa"/>
            <w:vAlign w:val="bottom"/>
          </w:tcPr>
          <w:p>
            <w:pPr>
              <w:spacing w:after="0"/>
              <w:rPr>
                <w:sz w:val="20"/>
                <w:szCs w:val="20"/>
                <w:color w:val="auto"/>
              </w:rPr>
            </w:pPr>
            <w:r>
              <w:rPr>
                <w:rFonts w:ascii="Times New Roman" w:cs="Times New Roman" w:eastAsia="Times New Roman" w:hAnsi="Times New Roman"/>
                <w:sz w:val="21"/>
                <w:szCs w:val="21"/>
                <w:color w:val="auto"/>
              </w:rPr>
              <w:t>/s/ John Pawlowski</w:t>
            </w:r>
          </w:p>
        </w:tc>
        <w:tc>
          <w:tcPr>
            <w:tcW w:w="2800" w:type="dxa"/>
            <w:vAlign w:val="bottom"/>
          </w:tcPr>
          <w:p>
            <w:pPr>
              <w:jc w:val="right"/>
              <w:ind w:right="777"/>
              <w:spacing w:after="0"/>
              <w:rPr>
                <w:sz w:val="20"/>
                <w:szCs w:val="20"/>
                <w:color w:val="auto"/>
              </w:rPr>
            </w:pPr>
            <w:r>
              <w:rPr>
                <w:rFonts w:ascii="Times New Roman" w:cs="Times New Roman" w:eastAsia="Times New Roman" w:hAnsi="Times New Roman"/>
                <w:sz w:val="21"/>
                <w:szCs w:val="21"/>
                <w:color w:val="auto"/>
              </w:rPr>
              <w:t>2/27/2024</w:t>
            </w:r>
          </w:p>
        </w:tc>
      </w:tr>
      <w:tr>
        <w:trPr>
          <w:trHeight w:val="157"/>
        </w:trPr>
        <w:tc>
          <w:tcPr>
            <w:tcW w:w="194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tcPr>
          <w:p>
            <w:pPr>
              <w:spacing w:after="0"/>
              <w:rPr>
                <w:sz w:val="13"/>
                <w:szCs w:val="13"/>
                <w:color w:val="auto"/>
              </w:rPr>
            </w:pPr>
          </w:p>
        </w:tc>
      </w:tr>
      <w:tr>
        <w:trPr>
          <w:trHeight w:val="265"/>
        </w:trPr>
        <w:tc>
          <w:tcPr>
            <w:tcW w:w="194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John Pawlowski</w:t>
            </w:r>
          </w:p>
        </w:tc>
        <w:tc>
          <w:tcPr>
            <w:tcW w:w="2800" w:type="dxa"/>
            <w:vAlign w:val="bottom"/>
          </w:tcPr>
          <w:p>
            <w:pPr>
              <w:jc w:val="right"/>
              <w:ind w:right="1937"/>
              <w:spacing w:after="0"/>
              <w:rPr>
                <w:sz w:val="20"/>
                <w:szCs w:val="20"/>
                <w:color w:val="auto"/>
              </w:rPr>
            </w:pPr>
            <w:r>
              <w:rPr>
                <w:rFonts w:ascii="Times New Roman" w:cs="Times New Roman" w:eastAsia="Times New Roman" w:hAnsi="Times New Roman"/>
                <w:sz w:val="21"/>
                <w:szCs w:val="21"/>
                <w:b w:val="1"/>
                <w:bCs w:val="1"/>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Page | 4</w:t>
      </w:r>
    </w:p>
    <w:p>
      <w:pPr>
        <w:sectPr>
          <w:pgSz w:w="11900" w:h="16838" w:orient="portrait"/>
          <w:cols w:equalWidth="0" w:num="1">
            <w:col w:w="11240"/>
          </w:cols>
          <w:pgMar w:left="320" w:top="88" w:right="339" w:bottom="1440" w:gutter="0" w:footer="0" w:header="0"/>
        </w:sectPr>
      </w:pPr>
    </w:p>
    <w:bookmarkStart w:id="37" w:name="page38"/>
    <w:bookmarkEnd w:id="37"/>
    <w:p>
      <w:pPr>
        <w:spacing w:after="0"/>
        <w:rPr>
          <w:sz w:val="20"/>
          <w:szCs w:val="20"/>
          <w:color w:val="auto"/>
        </w:rPr>
      </w:pPr>
      <w:r>
        <w:rPr>
          <w:rFonts w:ascii="Arial" w:cs="Arial" w:eastAsia="Arial" w:hAnsi="Arial"/>
          <w:sz w:val="19"/>
          <w:szCs w:val="19"/>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I, Stephen J. Barnard, certify that:</w:t>
      </w:r>
    </w:p>
    <w:p>
      <w:pPr>
        <w:spacing w:after="0" w:line="213" w:lineRule="exact"/>
        <w:rPr>
          <w:sz w:val="20"/>
          <w:szCs w:val="20"/>
          <w:color w:val="auto"/>
        </w:rPr>
      </w:pPr>
    </w:p>
    <w:p>
      <w:pPr>
        <w:ind w:left="620" w:hanging="307"/>
        <w:spacing w:after="0"/>
        <w:tabs>
          <w:tab w:leader="none" w:pos="6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Mission Produce, Inc.;</w:t>
      </w:r>
    </w:p>
    <w:p>
      <w:pPr>
        <w:spacing w:after="0" w:line="212" w:lineRule="exact"/>
        <w:rPr>
          <w:rFonts w:ascii="Arial" w:cs="Arial" w:eastAsia="Arial" w:hAnsi="Arial"/>
          <w:sz w:val="14"/>
          <w:szCs w:val="14"/>
          <w:color w:val="auto"/>
        </w:rPr>
      </w:pPr>
    </w:p>
    <w:p>
      <w:pPr>
        <w:ind w:left="620" w:hanging="307"/>
        <w:spacing w:after="0" w:line="259" w:lineRule="auto"/>
        <w:tabs>
          <w:tab w:leader="none" w:pos="618"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4"/>
          <w:szCs w:val="14"/>
          <w:color w:val="auto"/>
        </w:rPr>
      </w:pPr>
    </w:p>
    <w:p>
      <w:pPr>
        <w:ind w:left="620" w:right="60" w:hanging="307"/>
        <w:spacing w:after="0" w:line="278" w:lineRule="auto"/>
        <w:tabs>
          <w:tab w:leader="none" w:pos="618"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4"/>
          <w:szCs w:val="14"/>
          <w:color w:val="auto"/>
        </w:rPr>
      </w:pPr>
    </w:p>
    <w:p>
      <w:pPr>
        <w:ind w:left="620" w:right="240" w:hanging="307"/>
        <w:spacing w:after="0" w:line="278" w:lineRule="auto"/>
        <w:tabs>
          <w:tab w:leader="none" w:pos="618"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4"/>
          <w:szCs w:val="14"/>
          <w:color w:val="auto"/>
        </w:rPr>
      </w:pPr>
    </w:p>
    <w:p>
      <w:pPr>
        <w:ind w:left="1240" w:hanging="309"/>
        <w:spacing w:after="0" w:line="264" w:lineRule="auto"/>
        <w:tabs>
          <w:tab w:leader="none" w:pos="1227" w:val="left"/>
        </w:tabs>
        <w:numPr>
          <w:ilvl w:val="1"/>
          <w:numId w:val="2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4"/>
          <w:szCs w:val="14"/>
          <w:color w:val="auto"/>
        </w:rPr>
      </w:pPr>
    </w:p>
    <w:p>
      <w:pPr>
        <w:ind w:left="1240" w:right="200" w:hanging="309"/>
        <w:spacing w:after="0" w:line="254" w:lineRule="auto"/>
        <w:tabs>
          <w:tab w:leader="none" w:pos="1227" w:val="left"/>
        </w:tabs>
        <w:numPr>
          <w:ilvl w:val="1"/>
          <w:numId w:val="21"/>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4"/>
          <w:szCs w:val="14"/>
          <w:color w:val="auto"/>
        </w:rPr>
      </w:pPr>
    </w:p>
    <w:p>
      <w:pPr>
        <w:ind w:left="1240" w:right="520" w:hanging="309"/>
        <w:spacing w:after="0" w:line="278" w:lineRule="auto"/>
        <w:tabs>
          <w:tab w:leader="none" w:pos="1233" w:val="left"/>
        </w:tabs>
        <w:numPr>
          <w:ilvl w:val="1"/>
          <w:numId w:val="2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4"/>
          <w:szCs w:val="14"/>
          <w:color w:val="auto"/>
        </w:rPr>
      </w:pPr>
    </w:p>
    <w:p>
      <w:pPr>
        <w:ind w:left="1240" w:right="20" w:hanging="309"/>
        <w:spacing w:after="0" w:line="254" w:lineRule="auto"/>
        <w:tabs>
          <w:tab w:leader="none" w:pos="1227" w:val="left"/>
        </w:tabs>
        <w:numPr>
          <w:ilvl w:val="1"/>
          <w:numId w:val="21"/>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4"/>
          <w:szCs w:val="14"/>
          <w:color w:val="auto"/>
        </w:rPr>
      </w:pPr>
    </w:p>
    <w:p>
      <w:pPr>
        <w:ind w:left="620" w:right="120" w:hanging="307"/>
        <w:spacing w:after="0" w:line="278" w:lineRule="auto"/>
        <w:tabs>
          <w:tab w:leader="none" w:pos="618"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4"/>
          <w:szCs w:val="14"/>
          <w:color w:val="auto"/>
        </w:rPr>
      </w:pPr>
    </w:p>
    <w:p>
      <w:pPr>
        <w:ind w:left="1240" w:right="280" w:hanging="309"/>
        <w:spacing w:after="0" w:line="278" w:lineRule="auto"/>
        <w:tabs>
          <w:tab w:leader="none" w:pos="1227" w:val="left"/>
        </w:tabs>
        <w:numPr>
          <w:ilvl w:val="1"/>
          <w:numId w:val="2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4"/>
          <w:szCs w:val="14"/>
          <w:color w:val="auto"/>
        </w:rPr>
      </w:pPr>
    </w:p>
    <w:p>
      <w:pPr>
        <w:ind w:left="1240" w:right="500" w:hanging="309"/>
        <w:spacing w:after="0" w:line="278" w:lineRule="auto"/>
        <w:tabs>
          <w:tab w:leader="none" w:pos="1227" w:val="left"/>
        </w:tabs>
        <w:numPr>
          <w:ilvl w:val="1"/>
          <w:numId w:val="2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2" w:lineRule="exact"/>
        <w:rPr>
          <w:sz w:val="20"/>
          <w:szCs w:val="20"/>
          <w:color w:val="auto"/>
        </w:rPr>
      </w:pPr>
    </w:p>
    <w:p>
      <w:pPr>
        <w:ind w:left="8160"/>
        <w:spacing w:after="0"/>
        <w:rPr>
          <w:sz w:val="20"/>
          <w:szCs w:val="20"/>
          <w:color w:val="auto"/>
        </w:rPr>
      </w:pPr>
      <w:r>
        <w:rPr>
          <w:rFonts w:ascii="Arial" w:cs="Arial" w:eastAsia="Arial" w:hAnsi="Arial"/>
          <w:sz w:val="14"/>
          <w:szCs w:val="14"/>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25400</wp:posOffset>
            </wp:positionV>
            <wp:extent cx="30537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51" w:lineRule="exact"/>
        <w:rPr>
          <w:sz w:val="20"/>
          <w:szCs w:val="20"/>
          <w:color w:val="auto"/>
        </w:rPr>
      </w:pPr>
    </w:p>
    <w:p>
      <w:pPr>
        <w:ind w:left="8240"/>
        <w:spacing w:after="0"/>
        <w:rPr>
          <w:sz w:val="20"/>
          <w:szCs w:val="20"/>
          <w:color w:val="auto"/>
        </w:rPr>
      </w:pPr>
      <w:r>
        <w:rPr>
          <w:rFonts w:ascii="Arial" w:cs="Arial" w:eastAsia="Arial" w:hAnsi="Arial"/>
          <w:sz w:val="14"/>
          <w:szCs w:val="14"/>
          <w:color w:val="auto"/>
        </w:rPr>
        <w:t>Stephen J. Barnard</w:t>
      </w:r>
    </w:p>
    <w:p>
      <w:pPr>
        <w:spacing w:after="0" w:line="58" w:lineRule="exact"/>
        <w:rPr>
          <w:sz w:val="20"/>
          <w:szCs w:val="20"/>
          <w:color w:val="auto"/>
        </w:rPr>
      </w:pPr>
    </w:p>
    <w:p>
      <w:pPr>
        <w:ind w:left="7760"/>
        <w:spacing w:after="0"/>
        <w:rPr>
          <w:sz w:val="20"/>
          <w:szCs w:val="20"/>
          <w:color w:val="auto"/>
        </w:rPr>
      </w:pPr>
      <w:r>
        <w:rPr>
          <w:rFonts w:ascii="Arial" w:cs="Arial" w:eastAsia="Arial" w:hAnsi="Arial"/>
          <w:sz w:val="14"/>
          <w:szCs w:val="14"/>
          <w:color w:val="auto"/>
        </w:rPr>
        <w:t>Chief Executive Officer and Director</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Date: June 6, 2024</w:t>
      </w:r>
    </w:p>
    <w:p>
      <w:pPr>
        <w:sectPr>
          <w:pgSz w:w="11900" w:h="16838" w:orient="portrait"/>
          <w:cols w:equalWidth="0" w:num="1">
            <w:col w:w="11220"/>
          </w:cols>
          <w:pgMar w:left="320" w:top="118" w:right="359" w:bottom="1440" w:gutter="0" w:footer="0" w:header="0"/>
        </w:sectPr>
      </w:pPr>
    </w:p>
    <w:bookmarkStart w:id="38" w:name="page39"/>
    <w:bookmarkEnd w:id="38"/>
    <w:p>
      <w:pPr>
        <w:spacing w:after="0"/>
        <w:rPr>
          <w:sz w:val="20"/>
          <w:szCs w:val="20"/>
          <w:color w:val="auto"/>
        </w:rPr>
      </w:pPr>
      <w:r>
        <w:rPr>
          <w:rFonts w:ascii="Arial" w:cs="Arial" w:eastAsia="Arial" w:hAnsi="Arial"/>
          <w:sz w:val="19"/>
          <w:szCs w:val="19"/>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I, Bryan E. Giles, certify that:</w:t>
      </w:r>
    </w:p>
    <w:p>
      <w:pPr>
        <w:spacing w:after="0" w:line="213" w:lineRule="exact"/>
        <w:rPr>
          <w:sz w:val="20"/>
          <w:szCs w:val="20"/>
          <w:color w:val="auto"/>
        </w:rPr>
      </w:pPr>
    </w:p>
    <w:p>
      <w:pPr>
        <w:ind w:left="620" w:hanging="307"/>
        <w:spacing w:after="0"/>
        <w:tabs>
          <w:tab w:leader="none" w:pos="6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Mission Produce, Inc.;</w:t>
      </w:r>
    </w:p>
    <w:p>
      <w:pPr>
        <w:spacing w:after="0" w:line="212" w:lineRule="exact"/>
        <w:rPr>
          <w:rFonts w:ascii="Arial" w:cs="Arial" w:eastAsia="Arial" w:hAnsi="Arial"/>
          <w:sz w:val="14"/>
          <w:szCs w:val="14"/>
          <w:color w:val="auto"/>
        </w:rPr>
      </w:pPr>
    </w:p>
    <w:p>
      <w:pPr>
        <w:ind w:left="620" w:hanging="307"/>
        <w:spacing w:after="0" w:line="259" w:lineRule="auto"/>
        <w:tabs>
          <w:tab w:leader="none" w:pos="618" w:val="left"/>
        </w:tabs>
        <w:numPr>
          <w:ilvl w:val="0"/>
          <w:numId w:val="2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4"/>
          <w:szCs w:val="14"/>
          <w:color w:val="auto"/>
        </w:rPr>
      </w:pPr>
    </w:p>
    <w:p>
      <w:pPr>
        <w:ind w:left="620" w:right="60" w:hanging="307"/>
        <w:spacing w:after="0" w:line="278" w:lineRule="auto"/>
        <w:tabs>
          <w:tab w:leader="none" w:pos="618" w:val="left"/>
        </w:tabs>
        <w:numPr>
          <w:ilvl w:val="0"/>
          <w:numId w:val="2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4"/>
          <w:szCs w:val="14"/>
          <w:color w:val="auto"/>
        </w:rPr>
      </w:pPr>
    </w:p>
    <w:p>
      <w:pPr>
        <w:ind w:left="620" w:right="240" w:hanging="307"/>
        <w:spacing w:after="0" w:line="278" w:lineRule="auto"/>
        <w:tabs>
          <w:tab w:leader="none" w:pos="618"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4"/>
          <w:szCs w:val="14"/>
          <w:color w:val="auto"/>
        </w:rPr>
      </w:pPr>
    </w:p>
    <w:p>
      <w:pPr>
        <w:ind w:left="1240" w:hanging="309"/>
        <w:spacing w:after="0" w:line="264" w:lineRule="auto"/>
        <w:tabs>
          <w:tab w:leader="none" w:pos="1227" w:val="left"/>
        </w:tabs>
        <w:numPr>
          <w:ilvl w:val="1"/>
          <w:numId w:val="22"/>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4"/>
          <w:szCs w:val="14"/>
          <w:color w:val="auto"/>
        </w:rPr>
      </w:pPr>
    </w:p>
    <w:p>
      <w:pPr>
        <w:ind w:left="1240" w:right="200" w:hanging="309"/>
        <w:spacing w:after="0" w:line="254" w:lineRule="auto"/>
        <w:tabs>
          <w:tab w:leader="none" w:pos="1227" w:val="left"/>
        </w:tabs>
        <w:numPr>
          <w:ilvl w:val="1"/>
          <w:numId w:val="22"/>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4"/>
          <w:szCs w:val="14"/>
          <w:color w:val="auto"/>
        </w:rPr>
      </w:pPr>
    </w:p>
    <w:p>
      <w:pPr>
        <w:ind w:left="1240" w:right="520" w:hanging="309"/>
        <w:spacing w:after="0" w:line="278" w:lineRule="auto"/>
        <w:tabs>
          <w:tab w:leader="none" w:pos="1233" w:val="left"/>
        </w:tabs>
        <w:numPr>
          <w:ilvl w:val="1"/>
          <w:numId w:val="2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4"/>
          <w:szCs w:val="14"/>
          <w:color w:val="auto"/>
        </w:rPr>
      </w:pPr>
    </w:p>
    <w:p>
      <w:pPr>
        <w:ind w:left="1240" w:right="20" w:hanging="309"/>
        <w:spacing w:after="0" w:line="254" w:lineRule="auto"/>
        <w:tabs>
          <w:tab w:leader="none" w:pos="1227" w:val="left"/>
        </w:tabs>
        <w:numPr>
          <w:ilvl w:val="1"/>
          <w:numId w:val="22"/>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4"/>
          <w:szCs w:val="14"/>
          <w:color w:val="auto"/>
        </w:rPr>
      </w:pPr>
    </w:p>
    <w:p>
      <w:pPr>
        <w:ind w:left="620" w:right="120" w:hanging="307"/>
        <w:spacing w:after="0" w:line="278" w:lineRule="auto"/>
        <w:tabs>
          <w:tab w:leader="none" w:pos="618"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4"/>
          <w:szCs w:val="14"/>
          <w:color w:val="auto"/>
        </w:rPr>
      </w:pPr>
    </w:p>
    <w:p>
      <w:pPr>
        <w:ind w:left="1240" w:right="280" w:hanging="309"/>
        <w:spacing w:after="0" w:line="278" w:lineRule="auto"/>
        <w:tabs>
          <w:tab w:leader="none" w:pos="1227" w:val="left"/>
        </w:tabs>
        <w:numPr>
          <w:ilvl w:val="1"/>
          <w:numId w:val="2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4"/>
          <w:szCs w:val="14"/>
          <w:color w:val="auto"/>
        </w:rPr>
      </w:pPr>
    </w:p>
    <w:p>
      <w:pPr>
        <w:ind w:left="1240" w:right="500" w:hanging="309"/>
        <w:spacing w:after="0" w:line="278" w:lineRule="auto"/>
        <w:tabs>
          <w:tab w:leader="none" w:pos="1227" w:val="left"/>
        </w:tabs>
        <w:numPr>
          <w:ilvl w:val="1"/>
          <w:numId w:val="2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2" w:lineRule="exact"/>
        <w:rPr>
          <w:sz w:val="20"/>
          <w:szCs w:val="20"/>
          <w:color w:val="auto"/>
        </w:rPr>
      </w:pPr>
    </w:p>
    <w:p>
      <w:pPr>
        <w:ind w:left="8320"/>
        <w:spacing w:after="0"/>
        <w:rPr>
          <w:sz w:val="20"/>
          <w:szCs w:val="20"/>
          <w:color w:val="auto"/>
        </w:rPr>
      </w:pPr>
      <w:r>
        <w:rPr>
          <w:rFonts w:ascii="Arial" w:cs="Arial" w:eastAsia="Arial" w:hAnsi="Arial"/>
          <w:sz w:val="14"/>
          <w:szCs w:val="14"/>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25400</wp:posOffset>
            </wp:positionV>
            <wp:extent cx="30537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51"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Bryan E. Giles</w:t>
      </w:r>
    </w:p>
    <w:p>
      <w:pPr>
        <w:spacing w:after="0" w:line="58" w:lineRule="exact"/>
        <w:rPr>
          <w:sz w:val="20"/>
          <w:szCs w:val="20"/>
          <w:color w:val="auto"/>
        </w:rPr>
      </w:pPr>
    </w:p>
    <w:p>
      <w:pPr>
        <w:ind w:left="8160"/>
        <w:spacing w:after="0"/>
        <w:rPr>
          <w:sz w:val="20"/>
          <w:szCs w:val="20"/>
          <w:color w:val="auto"/>
        </w:rPr>
      </w:pPr>
      <w:r>
        <w:rPr>
          <w:rFonts w:ascii="Arial" w:cs="Arial" w:eastAsia="Arial" w:hAnsi="Arial"/>
          <w:sz w:val="14"/>
          <w:szCs w:val="14"/>
          <w:color w:val="auto"/>
        </w:rPr>
        <w:t>Chief Financial Officer</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Date: June 6, 2024</w:t>
      </w:r>
    </w:p>
    <w:p>
      <w:pPr>
        <w:sectPr>
          <w:pgSz w:w="11900" w:h="16838" w:orient="portrait"/>
          <w:cols w:equalWidth="0" w:num="1">
            <w:col w:w="11220"/>
          </w:cols>
          <w:pgMar w:left="320" w:top="118" w:right="359" w:bottom="1440" w:gutter="0" w:footer="0" w:header="0"/>
        </w:sectPr>
      </w:pPr>
    </w:p>
    <w:bookmarkStart w:id="39" w:name="page40"/>
    <w:bookmarkEnd w:id="39"/>
    <w:p>
      <w:pPr>
        <w:spacing w:after="0"/>
        <w:rPr>
          <w:sz w:val="20"/>
          <w:szCs w:val="20"/>
          <w:color w:val="auto"/>
        </w:rPr>
      </w:pPr>
      <w:r>
        <w:rPr>
          <w:rFonts w:ascii="Arial" w:cs="Arial" w:eastAsia="Arial" w:hAnsi="Arial"/>
          <w:sz w:val="19"/>
          <w:szCs w:val="19"/>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62"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0" w:firstLine="619"/>
        <w:spacing w:after="0" w:line="278" w:lineRule="auto"/>
        <w:rPr>
          <w:sz w:val="20"/>
          <w:szCs w:val="20"/>
          <w:color w:val="auto"/>
        </w:rPr>
      </w:pPr>
      <w:r>
        <w:rPr>
          <w:rFonts w:ascii="Arial" w:cs="Arial" w:eastAsia="Arial" w:hAnsi="Arial"/>
          <w:sz w:val="14"/>
          <w:szCs w:val="14"/>
          <w:color w:val="auto"/>
        </w:rPr>
        <w:t>Pursuant to 18 U.S.C. Section 1350, as created by Section 906 of the Sarbanes-Oxley Act of 2002, the undersigned officer of Mission Produce, Inc. (the “Company”) hereby certifies, to the best of his knowledge, that:</w:t>
      </w:r>
    </w:p>
    <w:p>
      <w:pPr>
        <w:spacing w:after="0" w:line="168" w:lineRule="exact"/>
        <w:rPr>
          <w:sz w:val="20"/>
          <w:szCs w:val="20"/>
          <w:color w:val="auto"/>
        </w:rPr>
      </w:pPr>
    </w:p>
    <w:p>
      <w:pPr>
        <w:ind w:left="620" w:hanging="307"/>
        <w:spacing w:after="0" w:line="259" w:lineRule="auto"/>
        <w:tabs>
          <w:tab w:leader="none" w:pos="613"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Quarterly Report on Form 10-Q of the Company for the quarter ended April 30, 2024 (the “Report”) fully complies with the requirements of Section 13(a) or Section 15(d), as applicable, of the Securities Exchange Act of 1934, as amended; and</w:t>
      </w:r>
    </w:p>
    <w:p>
      <w:pPr>
        <w:spacing w:after="0" w:line="181" w:lineRule="exact"/>
        <w:rPr>
          <w:rFonts w:ascii="Arial" w:cs="Arial" w:eastAsia="Arial" w:hAnsi="Arial"/>
          <w:sz w:val="14"/>
          <w:szCs w:val="14"/>
          <w:color w:val="auto"/>
        </w:rPr>
      </w:pPr>
    </w:p>
    <w:p>
      <w:pPr>
        <w:ind w:left="620" w:hanging="307"/>
        <w:spacing w:after="0"/>
        <w:tabs>
          <w:tab w:leader="none" w:pos="6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160"/>
        <w:spacing w:after="0"/>
        <w:rPr>
          <w:sz w:val="20"/>
          <w:szCs w:val="20"/>
          <w:color w:val="auto"/>
        </w:rPr>
      </w:pPr>
      <w:r>
        <w:rPr>
          <w:rFonts w:ascii="Arial" w:cs="Arial" w:eastAsia="Arial" w:hAnsi="Arial"/>
          <w:sz w:val="14"/>
          <w:szCs w:val="14"/>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25400</wp:posOffset>
            </wp:positionV>
            <wp:extent cx="30537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51" w:lineRule="exact"/>
        <w:rPr>
          <w:sz w:val="20"/>
          <w:szCs w:val="20"/>
          <w:color w:val="auto"/>
        </w:rPr>
      </w:pPr>
    </w:p>
    <w:p>
      <w:pPr>
        <w:ind w:left="8240"/>
        <w:spacing w:after="0"/>
        <w:rPr>
          <w:sz w:val="20"/>
          <w:szCs w:val="20"/>
          <w:color w:val="auto"/>
        </w:rPr>
      </w:pPr>
      <w:r>
        <w:rPr>
          <w:rFonts w:ascii="Arial" w:cs="Arial" w:eastAsia="Arial" w:hAnsi="Arial"/>
          <w:sz w:val="14"/>
          <w:szCs w:val="14"/>
          <w:color w:val="auto"/>
        </w:rPr>
        <w:t>Stephen J. Barnard</w:t>
      </w:r>
    </w:p>
    <w:p>
      <w:pPr>
        <w:spacing w:after="0" w:line="58" w:lineRule="exact"/>
        <w:rPr>
          <w:sz w:val="20"/>
          <w:szCs w:val="20"/>
          <w:color w:val="auto"/>
        </w:rPr>
      </w:pPr>
    </w:p>
    <w:p>
      <w:pPr>
        <w:ind w:left="7760"/>
        <w:spacing w:after="0"/>
        <w:rPr>
          <w:sz w:val="20"/>
          <w:szCs w:val="20"/>
          <w:color w:val="auto"/>
        </w:rPr>
      </w:pPr>
      <w:r>
        <w:rPr>
          <w:rFonts w:ascii="Arial" w:cs="Arial" w:eastAsia="Arial" w:hAnsi="Arial"/>
          <w:sz w:val="14"/>
          <w:szCs w:val="14"/>
          <w:color w:val="auto"/>
        </w:rPr>
        <w:t>Chief Executive Officer and Director</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Date: June 6, 2024</w:t>
      </w:r>
    </w:p>
    <w:p>
      <w:pPr>
        <w:sectPr>
          <w:pgSz w:w="11900" w:h="16838" w:orient="portrait"/>
          <w:cols w:equalWidth="0" w:num="1">
            <w:col w:w="11100"/>
          </w:cols>
          <w:pgMar w:left="320" w:top="118" w:right="479" w:bottom="1440" w:gutter="0" w:footer="0" w:header="0"/>
        </w:sectPr>
      </w:pPr>
    </w:p>
    <w:bookmarkStart w:id="40" w:name="page41"/>
    <w:bookmarkEnd w:id="40"/>
    <w:p>
      <w:pPr>
        <w:spacing w:after="0"/>
        <w:rPr>
          <w:sz w:val="20"/>
          <w:szCs w:val="20"/>
          <w:color w:val="auto"/>
        </w:rPr>
      </w:pPr>
      <w:r>
        <w:rPr>
          <w:rFonts w:ascii="Arial" w:cs="Arial" w:eastAsia="Arial" w:hAnsi="Arial"/>
          <w:sz w:val="19"/>
          <w:szCs w:val="19"/>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62"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228" w:lineRule="exact"/>
        <w:rPr>
          <w:sz w:val="20"/>
          <w:szCs w:val="20"/>
          <w:color w:val="auto"/>
        </w:rPr>
      </w:pPr>
    </w:p>
    <w:p>
      <w:pPr>
        <w:ind w:right="20" w:firstLine="619"/>
        <w:spacing w:after="0" w:line="278" w:lineRule="auto"/>
        <w:rPr>
          <w:sz w:val="20"/>
          <w:szCs w:val="20"/>
          <w:color w:val="auto"/>
        </w:rPr>
      </w:pPr>
      <w:r>
        <w:rPr>
          <w:rFonts w:ascii="Arial" w:cs="Arial" w:eastAsia="Arial" w:hAnsi="Arial"/>
          <w:sz w:val="14"/>
          <w:szCs w:val="14"/>
          <w:color w:val="auto"/>
        </w:rPr>
        <w:t>Pursuant to 18 U.S.C. Section 1350, as created by Section 906 of the Sarbanes-Oxley Act of 2002, the undersigned officer of Mission Produce, Inc. (the “Company”) hereby certifies, to the best of his knowledge, that:</w:t>
      </w:r>
    </w:p>
    <w:p>
      <w:pPr>
        <w:spacing w:after="0" w:line="168" w:lineRule="exact"/>
        <w:rPr>
          <w:sz w:val="20"/>
          <w:szCs w:val="20"/>
          <w:color w:val="auto"/>
        </w:rPr>
      </w:pPr>
    </w:p>
    <w:p>
      <w:pPr>
        <w:ind w:left="620" w:hanging="307"/>
        <w:spacing w:after="0" w:line="259" w:lineRule="auto"/>
        <w:tabs>
          <w:tab w:leader="none" w:pos="613"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Quarterly Report on Form 10-Q of the Company for the quarter ended April 30, 2024 (the “Report”) fully complies with the requirements of Section 13(a) or Section 15(d), as applicable, of the Securities Exchange Act of 1934, as amended; and</w:t>
      </w:r>
    </w:p>
    <w:p>
      <w:pPr>
        <w:spacing w:after="0" w:line="181" w:lineRule="exact"/>
        <w:rPr>
          <w:rFonts w:ascii="Arial" w:cs="Arial" w:eastAsia="Arial" w:hAnsi="Arial"/>
          <w:sz w:val="14"/>
          <w:szCs w:val="14"/>
          <w:color w:val="auto"/>
        </w:rPr>
      </w:pPr>
    </w:p>
    <w:p>
      <w:pPr>
        <w:ind w:left="620" w:hanging="307"/>
        <w:spacing w:after="0"/>
        <w:tabs>
          <w:tab w:leader="none" w:pos="6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320"/>
        <w:spacing w:after="0"/>
        <w:rPr>
          <w:sz w:val="20"/>
          <w:szCs w:val="20"/>
          <w:color w:val="auto"/>
        </w:rPr>
      </w:pPr>
      <w:r>
        <w:rPr>
          <w:rFonts w:ascii="Arial" w:cs="Arial" w:eastAsia="Arial" w:hAnsi="Arial"/>
          <w:sz w:val="14"/>
          <w:szCs w:val="14"/>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25400</wp:posOffset>
            </wp:positionV>
            <wp:extent cx="30537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51"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Bryan E. Giles</w:t>
      </w:r>
    </w:p>
    <w:p>
      <w:pPr>
        <w:spacing w:after="0" w:line="58" w:lineRule="exact"/>
        <w:rPr>
          <w:sz w:val="20"/>
          <w:szCs w:val="20"/>
          <w:color w:val="auto"/>
        </w:rPr>
      </w:pPr>
    </w:p>
    <w:p>
      <w:pPr>
        <w:ind w:left="8160"/>
        <w:spacing w:after="0"/>
        <w:rPr>
          <w:sz w:val="20"/>
          <w:szCs w:val="20"/>
          <w:color w:val="auto"/>
        </w:rPr>
      </w:pPr>
      <w:r>
        <w:rPr>
          <w:rFonts w:ascii="Arial" w:cs="Arial" w:eastAsia="Arial" w:hAnsi="Arial"/>
          <w:sz w:val="14"/>
          <w:szCs w:val="14"/>
          <w:color w:val="auto"/>
        </w:rPr>
        <w:t>Chief Financial Officer</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Date: June 6, 2024</w:t>
      </w:r>
    </w:p>
    <w:sectPr>
      <w:pgSz w:w="11900" w:h="16838" w:orient="portrait"/>
      <w:cols w:equalWidth="0" w:num="1">
        <w:col w:w="11100"/>
      </w:cols>
      <w:pgMar w:left="320" w:top="11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5"/>
    </w:lvl>
  </w:abstractNum>
  <w:abstractNum w:abstractNumId="6">
    <w:nsid w:val="41A7C4C9"/>
    <w:multiLevelType w:val="hybridMultilevel"/>
    <w:lvl w:ilvl="0">
      <w:lvlJc w:val="left"/>
      <w:lvlText w:val="%1."/>
      <w:numFmt w:val="decimal"/>
      <w:start w:val="6"/>
    </w:lvl>
  </w:abstractNum>
  <w:abstractNum w:abstractNumId="7">
    <w:nsid w:val="6B68079A"/>
    <w:multiLevelType w:val="hybridMultilevel"/>
    <w:lvl w:ilvl="0">
      <w:lvlJc w:val="left"/>
      <w:lvlText w:val="%1."/>
      <w:numFmt w:val="decimal"/>
      <w:start w:val="7"/>
    </w:lvl>
  </w:abstractNum>
  <w:abstractNum w:abstractNumId="8">
    <w:nsid w:val="4E6AFB66"/>
    <w:multiLevelType w:val="hybridMultilevel"/>
    <w:lvl w:ilvl="0">
      <w:lvlJc w:val="left"/>
      <w:lvlText w:val="%1."/>
      <w:numFmt w:val="decimal"/>
      <w:start w:val="8"/>
    </w:lvl>
  </w:abstractNum>
  <w:abstractNum w:abstractNumId="9">
    <w:nsid w:val="25E45D32"/>
    <w:multiLevelType w:val="hybridMultilevel"/>
    <w:lvl w:ilvl="0">
      <w:lvlJc w:val="left"/>
      <w:lvlText w:val="%1."/>
      <w:numFmt w:val="decimal"/>
      <w:start w:val="9"/>
    </w:lvl>
  </w:abstractNum>
  <w:abstractNum w:abstractNumId="10">
    <w:nsid w:val="519B500D"/>
    <w:multiLevelType w:val="hybridMultilevel"/>
    <w:lvl w:ilvl="0">
      <w:lvlJc w:val="left"/>
      <w:lvlText w:val="%1."/>
      <w:numFmt w:val="decimal"/>
      <w:start w:val="11"/>
    </w:lvl>
  </w:abstractNum>
  <w:abstractNum w:abstractNumId="11">
    <w:nsid w:val="431BD7B7"/>
    <w:multiLevelType w:val="hybridMultilevel"/>
    <w:lvl w:ilvl="0">
      <w:lvlJc w:val="left"/>
      <w:lvlText w:val="%1."/>
      <w:numFmt w:val="decimal"/>
      <w:start w:val="12"/>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01"/>
    </w:lvl>
  </w:abstractNum>
  <w:abstractNum w:abstractNumId="15">
    <w:nsid w:val="62BBD95A"/>
    <w:multiLevelType w:val="hybridMultilevel"/>
    <w:lvl w:ilvl="0">
      <w:lvlJc w:val="left"/>
      <w:lvlText w:val="#"/>
      <w:numFmt w:val="bullet"/>
      <w:start w:val="1"/>
    </w:lvl>
    <w:lvl w:ilvl="1">
      <w:lvlJc w:val="left"/>
      <w:lvlText w:val="%2"/>
      <w:numFmt w:val="decimal"/>
      <w:start w:val="104"/>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2"/>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lowerRoman"/>
      <w:start w:val="1"/>
    </w:lvl>
  </w:abstractNum>
  <w:abstractNum w:abstractNumId="23">
    <w:nsid w:val="75A2A8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jpe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44" Type="http://schemas.openxmlformats.org/officeDocument/2006/relationships/hyperlink" Target="https://www.sec.gov/Archives/edgar/data/1802974/000119312520265099/d32849dex31.htm" TargetMode="External"/><Relationship Id="rId45" Type="http://schemas.openxmlformats.org/officeDocument/2006/relationships/hyperlink" Target="https://www.sec.gov/Archives/edgar/data/1802974/000119312520265099/d3284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2024-06-06T16:30:49Z</dcterms:created>
  <dcterms:modified xsi:type="dcterms:W3CDTF">2024-06-06T16:30:49Z</dcterms:modified>
</cp:coreProperties>
</file>