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532765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558165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jc w:val="center"/>
        <w:ind w:right="-59"/>
        <w:spacing w:after="0" w:line="235" w:lineRule="auto"/>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ind w:left="5240"/>
        <w:spacing w:after="0"/>
        <w:rPr>
          <w:sz w:val="20"/>
          <w:szCs w:val="20"/>
          <w:color w:val="auto"/>
        </w:rPr>
      </w:pPr>
      <w:r>
        <w:rPr>
          <w:rFonts w:ascii="Arial" w:cs="Arial" w:eastAsia="Arial" w:hAnsi="Arial"/>
          <w:sz w:val="11"/>
          <w:szCs w:val="11"/>
          <w:u w:val="single" w:color="auto"/>
          <w:color w:val="auto"/>
        </w:rPr>
        <w:t>_____________</w:t>
      </w: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2" w:lineRule="exact"/>
        <w:rPr>
          <w:sz w:val="24"/>
          <w:szCs w:val="24"/>
          <w:color w:val="auto"/>
        </w:rPr>
      </w:pPr>
    </w:p>
    <w:p>
      <w:pPr>
        <w:ind w:left="5240"/>
        <w:spacing w:after="0"/>
        <w:rPr>
          <w:sz w:val="20"/>
          <w:szCs w:val="20"/>
          <w:color w:val="auto"/>
        </w:rPr>
      </w:pPr>
      <w:r>
        <w:rPr>
          <w:rFonts w:ascii="Arial" w:cs="Arial" w:eastAsia="Arial" w:hAnsi="Arial"/>
          <w:sz w:val="11"/>
          <w:szCs w:val="11"/>
          <w:u w:val="single" w:color="auto"/>
          <w:color w:val="auto"/>
        </w:rPr>
        <w:t>_____________</w:t>
      </w:r>
    </w:p>
    <w:p>
      <w:pPr>
        <w:spacing w:after="0" w:line="23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8" w:lineRule="exact"/>
        <w:rPr>
          <w:sz w:val="24"/>
          <w:szCs w:val="24"/>
          <w:color w:val="auto"/>
        </w:rPr>
      </w:pPr>
    </w:p>
    <w:p>
      <w:pPr>
        <w:ind w:left="400" w:hanging="375"/>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quarterly period ended July 31, 2023</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291" w:lineRule="exact"/>
        <w:rPr>
          <w:sz w:val="24"/>
          <w:szCs w:val="24"/>
          <w:color w:val="auto"/>
        </w:rPr>
      </w:pPr>
    </w:p>
    <w:p>
      <w:pPr>
        <w:ind w:left="400" w:hanging="375"/>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0" w:lineRule="exact"/>
        <w:rPr>
          <w:sz w:val="24"/>
          <w:szCs w:val="24"/>
          <w:color w:val="auto"/>
        </w:rPr>
      </w:pPr>
    </w:p>
    <w:tbl>
      <w:tblPr>
        <w:tblLayout w:type="fixed"/>
        <w:tblInd w:w="3700" w:type="dxa"/>
        <w:tblCellMar>
          <w:top w:w="0" w:type="dxa"/>
          <w:left w:w="0" w:type="dxa"/>
          <w:bottom w:w="0" w:type="dxa"/>
          <w:right w:w="0" w:type="dxa"/>
        </w:tblCellMar>
      </w:tblPr>
      <w:tr>
        <w:trPr>
          <w:trHeight w:val="161"/>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For the transition period from</w:t>
            </w:r>
          </w:p>
        </w:tc>
        <w:tc>
          <w:tcPr>
            <w:tcW w:w="800" w:type="dxa"/>
            <w:vAlign w:val="bottom"/>
            <w:tcBorders>
              <w:bottom w:val="single" w:sz="8" w:color="auto"/>
            </w:tcBorders>
            <w:gridSpan w:val="2"/>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800" w:type="dxa"/>
            <w:vAlign w:val="bottom"/>
            <w:tcBorders>
              <w:bottom w:val="single" w:sz="8" w:color="auto"/>
            </w:tcBorders>
          </w:tcPr>
          <w:p>
            <w:pPr>
              <w:spacing w:after="0"/>
              <w:rPr>
                <w:sz w:val="14"/>
                <w:szCs w:val="14"/>
                <w:color w:val="auto"/>
              </w:rPr>
            </w:pPr>
          </w:p>
        </w:tc>
      </w:tr>
      <w:tr>
        <w:trPr>
          <w:trHeight w:val="197"/>
        </w:trPr>
        <w:tc>
          <w:tcPr>
            <w:tcW w:w="38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Commission file number: 001-39561</w:t>
            </w:r>
          </w:p>
        </w:tc>
      </w:tr>
      <w:tr>
        <w:trPr>
          <w:trHeight w:val="119"/>
        </w:trPr>
        <w:tc>
          <w:tcPr>
            <w:tcW w:w="2320" w:type="dxa"/>
            <w:vAlign w:val="bottom"/>
            <w:gridSpan w:val="3"/>
          </w:tcPr>
          <w:p>
            <w:pPr>
              <w:jc w:val="right"/>
              <w:spacing w:after="0" w:line="119" w:lineRule="exact"/>
              <w:rPr>
                <w:sz w:val="20"/>
                <w:szCs w:val="20"/>
                <w:color w:val="auto"/>
              </w:rPr>
            </w:pPr>
            <w:r>
              <w:rPr>
                <w:rFonts w:ascii="Arial" w:cs="Arial" w:eastAsia="Arial" w:hAnsi="Arial"/>
                <w:sz w:val="11"/>
                <w:szCs w:val="11"/>
                <w:color w:val="auto"/>
              </w:rPr>
              <w:t>_____________</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0"/>
        </w:trPr>
        <w:tc>
          <w:tcPr>
            <w:tcW w:w="1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327" w:lineRule="exact"/>
        <w:rPr>
          <w:sz w:val="24"/>
          <w:szCs w:val="24"/>
          <w:color w:val="auto"/>
        </w:rPr>
      </w:pPr>
    </w:p>
    <w:tbl>
      <w:tblPr>
        <w:tblLayout w:type="fixed"/>
        <w:tblInd w:w="1660" w:type="dxa"/>
        <w:tblCellMar>
          <w:top w:w="0" w:type="dxa"/>
          <w:left w:w="0" w:type="dxa"/>
          <w:bottom w:w="0" w:type="dxa"/>
          <w:right w:w="0" w:type="dxa"/>
        </w:tblCellMar>
      </w:tblPr>
      <w:tr>
        <w:trPr>
          <w:trHeight w:val="399"/>
        </w:trPr>
        <w:tc>
          <w:tcPr>
            <w:tcW w:w="1980" w:type="dxa"/>
            <w:vAlign w:val="bottom"/>
          </w:tcPr>
          <w:p>
            <w:pPr>
              <w:spacing w:after="0"/>
              <w:rPr>
                <w:sz w:val="24"/>
                <w:szCs w:val="24"/>
                <w:color w:val="auto"/>
              </w:rPr>
            </w:pPr>
          </w:p>
        </w:tc>
        <w:tc>
          <w:tcPr>
            <w:tcW w:w="5440" w:type="dxa"/>
            <w:vAlign w:val="bottom"/>
            <w:gridSpan w:val="3"/>
          </w:tcPr>
          <w:p>
            <w:pPr>
              <w:jc w:val="center"/>
              <w:ind w:right="1412"/>
              <w:spacing w:after="0"/>
              <w:rPr>
                <w:sz w:val="20"/>
                <w:szCs w:val="20"/>
                <w:color w:val="auto"/>
              </w:rPr>
            </w:pPr>
            <w:r>
              <w:rPr>
                <w:rFonts w:ascii="Arial" w:cs="Arial" w:eastAsia="Arial" w:hAnsi="Arial"/>
                <w:sz w:val="32"/>
                <w:szCs w:val="32"/>
                <w:b w:val="1"/>
                <w:bCs w:val="1"/>
                <w:color w:val="auto"/>
              </w:rPr>
              <w:t>MISSION PRODUCE, INC.</w:t>
            </w:r>
          </w:p>
        </w:tc>
      </w:tr>
      <w:tr>
        <w:trPr>
          <w:trHeight w:val="163"/>
        </w:trPr>
        <w:tc>
          <w:tcPr>
            <w:tcW w:w="1980" w:type="dxa"/>
            <w:vAlign w:val="bottom"/>
          </w:tcPr>
          <w:p>
            <w:pPr>
              <w:spacing w:after="0"/>
              <w:rPr>
                <w:sz w:val="14"/>
                <w:szCs w:val="14"/>
                <w:color w:val="auto"/>
              </w:rPr>
            </w:pPr>
          </w:p>
        </w:tc>
        <w:tc>
          <w:tcPr>
            <w:tcW w:w="5440" w:type="dxa"/>
            <w:vAlign w:val="bottom"/>
            <w:gridSpan w:val="3"/>
          </w:tcPr>
          <w:p>
            <w:pPr>
              <w:jc w:val="center"/>
              <w:ind w:right="1392"/>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19"/>
        </w:trPr>
        <w:tc>
          <w:tcPr>
            <w:tcW w:w="1980" w:type="dxa"/>
            <w:vAlign w:val="bottom"/>
          </w:tcPr>
          <w:p>
            <w:pPr>
              <w:spacing w:after="0"/>
              <w:rPr>
                <w:sz w:val="10"/>
                <w:szCs w:val="10"/>
                <w:color w:val="auto"/>
              </w:rPr>
            </w:pPr>
          </w:p>
        </w:tc>
        <w:tc>
          <w:tcPr>
            <w:tcW w:w="270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_____________</w:t>
            </w:r>
          </w:p>
        </w:tc>
        <w:tc>
          <w:tcPr>
            <w:tcW w:w="2740" w:type="dxa"/>
            <w:vAlign w:val="bottom"/>
          </w:tcPr>
          <w:p>
            <w:pPr>
              <w:spacing w:after="0"/>
              <w:rPr>
                <w:sz w:val="10"/>
                <w:szCs w:val="10"/>
                <w:color w:val="auto"/>
              </w:rPr>
            </w:pPr>
          </w:p>
        </w:tc>
      </w:tr>
      <w:tr>
        <w:trPr>
          <w:trHeight w:val="383"/>
        </w:trPr>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Delaware</w:t>
            </w:r>
          </w:p>
        </w:tc>
        <w:tc>
          <w:tcPr>
            <w:tcW w:w="19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740" w:type="dxa"/>
            <w:vAlign w:val="bottom"/>
          </w:tcPr>
          <w:p>
            <w:pPr>
              <w:jc w:val="right"/>
              <w:ind w:right="132"/>
              <w:spacing w:after="0"/>
              <w:rPr>
                <w:sz w:val="20"/>
                <w:szCs w:val="20"/>
                <w:color w:val="auto"/>
              </w:rPr>
            </w:pPr>
            <w:r>
              <w:rPr>
                <w:rFonts w:ascii="Arial" w:cs="Arial" w:eastAsia="Arial" w:hAnsi="Arial"/>
                <w:sz w:val="14"/>
                <w:szCs w:val="14"/>
                <w:b w:val="1"/>
                <w:bCs w:val="1"/>
                <w:color w:val="auto"/>
              </w:rPr>
              <w:t>95-3847744</w:t>
            </w:r>
          </w:p>
        </w:tc>
      </w:tr>
      <w:tr>
        <w:trPr>
          <w:trHeight w:val="158"/>
        </w:trPr>
        <w:tc>
          <w:tcPr>
            <w:tcW w:w="1980" w:type="dxa"/>
            <w:vAlign w:val="bottom"/>
          </w:tcPr>
          <w:p>
            <w:pPr>
              <w:jc w:val="center"/>
              <w:spacing w:after="0"/>
              <w:rPr>
                <w:sz w:val="20"/>
                <w:szCs w:val="20"/>
                <w:color w:val="auto"/>
              </w:rPr>
            </w:pPr>
            <w:r>
              <w:rPr>
                <w:rFonts w:ascii="Arial" w:cs="Arial" w:eastAsia="Arial" w:hAnsi="Arial"/>
                <w:sz w:val="13"/>
                <w:szCs w:val="13"/>
                <w:b w:val="1"/>
                <w:bCs w:val="1"/>
                <w:color w:val="auto"/>
              </w:rPr>
              <w:t>(State or Other Jurisdiction of</w:t>
            </w:r>
          </w:p>
        </w:tc>
        <w:tc>
          <w:tcPr>
            <w:tcW w:w="1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740" w:type="dxa"/>
            <w:vAlign w:val="bottom"/>
          </w:tcPr>
          <w:p>
            <w:pPr>
              <w:jc w:val="center"/>
              <w:ind w:left="1532"/>
              <w:spacing w:after="0"/>
              <w:rPr>
                <w:sz w:val="20"/>
                <w:szCs w:val="20"/>
                <w:color w:val="auto"/>
              </w:rPr>
            </w:pPr>
            <w:r>
              <w:rPr>
                <w:rFonts w:ascii="Arial" w:cs="Arial" w:eastAsia="Arial" w:hAnsi="Arial"/>
                <w:sz w:val="13"/>
                <w:szCs w:val="13"/>
                <w:b w:val="1"/>
                <w:bCs w:val="1"/>
                <w:color w:val="auto"/>
              </w:rPr>
              <w:t>(I.R.S. Employer</w:t>
            </w:r>
          </w:p>
        </w:tc>
      </w:tr>
      <w:tr>
        <w:trPr>
          <w:trHeight w:val="201"/>
        </w:trPr>
        <w:tc>
          <w:tcPr>
            <w:tcW w:w="1980" w:type="dxa"/>
            <w:vAlign w:val="bottom"/>
          </w:tcPr>
          <w:p>
            <w:pPr>
              <w:jc w:val="center"/>
              <w:spacing w:after="0"/>
              <w:rPr>
                <w:sz w:val="20"/>
                <w:szCs w:val="20"/>
                <w:color w:val="auto"/>
              </w:rPr>
            </w:pPr>
            <w:r>
              <w:rPr>
                <w:rFonts w:ascii="Arial" w:cs="Arial" w:eastAsia="Arial" w:hAnsi="Arial"/>
                <w:sz w:val="13"/>
                <w:szCs w:val="13"/>
                <w:b w:val="1"/>
                <w:bCs w:val="1"/>
                <w:color w:val="auto"/>
              </w:rPr>
              <w:t>Incorporation or Organization)</w:t>
            </w:r>
          </w:p>
        </w:tc>
        <w:tc>
          <w:tcPr>
            <w:tcW w:w="1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740" w:type="dxa"/>
            <w:vAlign w:val="bottom"/>
          </w:tcPr>
          <w:p>
            <w:pPr>
              <w:jc w:val="center"/>
              <w:ind w:left="1532"/>
              <w:spacing w:after="0"/>
              <w:rPr>
                <w:sz w:val="20"/>
                <w:szCs w:val="20"/>
                <w:color w:val="auto"/>
              </w:rPr>
            </w:pPr>
            <w:r>
              <w:rPr>
                <w:rFonts w:ascii="Arial" w:cs="Arial" w:eastAsia="Arial" w:hAnsi="Arial"/>
                <w:sz w:val="13"/>
                <w:szCs w:val="13"/>
                <w:b w:val="1"/>
                <w:bCs w:val="1"/>
                <w:color w:val="auto"/>
              </w:rPr>
              <w:t>Identification No.)</w:t>
            </w:r>
          </w:p>
        </w:tc>
      </w:tr>
      <w:tr>
        <w:trPr>
          <w:trHeight w:val="300"/>
        </w:trPr>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2710 Camino Del Sol</w:t>
            </w:r>
          </w:p>
        </w:tc>
        <w:tc>
          <w:tcPr>
            <w:tcW w:w="544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93030</w:t>
            </w:r>
          </w:p>
        </w:tc>
      </w:tr>
      <w:tr>
        <w:trPr>
          <w:trHeight w:val="187"/>
        </w:trPr>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Oxnard, California</w:t>
            </w:r>
          </w:p>
        </w:tc>
        <w:tc>
          <w:tcPr>
            <w:tcW w:w="1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740" w:type="dxa"/>
            <w:vAlign w:val="bottom"/>
          </w:tcPr>
          <w:p>
            <w:pPr>
              <w:jc w:val="center"/>
              <w:ind w:left="1532"/>
              <w:spacing w:after="0"/>
              <w:rPr>
                <w:sz w:val="20"/>
                <w:szCs w:val="20"/>
                <w:color w:val="auto"/>
              </w:rPr>
            </w:pPr>
            <w:r>
              <w:rPr>
                <w:rFonts w:ascii="Arial" w:cs="Arial" w:eastAsia="Arial" w:hAnsi="Arial"/>
                <w:sz w:val="13"/>
                <w:szCs w:val="13"/>
                <w:b w:val="1"/>
                <w:bCs w:val="1"/>
                <w:color w:val="auto"/>
              </w:rPr>
              <w:t>(Zip Code)</w:t>
            </w:r>
          </w:p>
        </w:tc>
      </w:tr>
    </w:tbl>
    <w:p>
      <w:pPr>
        <w:ind w:left="136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 (805) 981-3650</w:t>
      </w:r>
    </w:p>
    <w:p>
      <w:pPr>
        <w:spacing w:after="0" w:line="10" w:lineRule="exact"/>
        <w:rPr>
          <w:sz w:val="24"/>
          <w:szCs w:val="24"/>
          <w:color w:val="auto"/>
        </w:rPr>
      </w:pPr>
    </w:p>
    <w:p>
      <w:pPr>
        <w:ind w:left="5240"/>
        <w:spacing w:after="0"/>
        <w:rPr>
          <w:sz w:val="20"/>
          <w:szCs w:val="20"/>
          <w:color w:val="auto"/>
        </w:rPr>
      </w:pPr>
      <w:r>
        <w:rPr>
          <w:rFonts w:ascii="Arial" w:cs="Arial" w:eastAsia="Arial" w:hAnsi="Arial"/>
          <w:sz w:val="11"/>
          <w:szCs w:val="11"/>
          <w:u w:val="single" w:color="auto"/>
          <w:color w:val="auto"/>
        </w:rPr>
        <w:t>_____________</w:t>
      </w:r>
    </w:p>
    <w:p>
      <w:pPr>
        <w:spacing w:after="0" w:line="9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36" w:lineRule="exact"/>
        <w:rPr>
          <w:sz w:val="24"/>
          <w:szCs w:val="24"/>
          <w:color w:val="auto"/>
        </w:rPr>
      </w:pPr>
    </w:p>
    <w:tbl>
      <w:tblPr>
        <w:tblLayout w:type="fixed"/>
        <w:tblInd w:w="860" w:type="dxa"/>
        <w:tblCellMar>
          <w:top w:w="0" w:type="dxa"/>
          <w:left w:w="0" w:type="dxa"/>
          <w:bottom w:w="0" w:type="dxa"/>
          <w:right w:w="0" w:type="dxa"/>
        </w:tblCellMar>
      </w:tblPr>
      <w:tr>
        <w:trPr>
          <w:trHeight w:val="20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7"/>
                <w:szCs w:val="17"/>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4"/>
        </w:trPr>
        <w:tc>
          <w:tcPr>
            <w:tcW w:w="3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Common Stock, par value $0.001 per share</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AVO</w:t>
            </w: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200" w:lineRule="exact"/>
        <w:rPr>
          <w:sz w:val="24"/>
          <w:szCs w:val="24"/>
          <w:color w:val="auto"/>
        </w:rPr>
      </w:pPr>
    </w:p>
    <w:p>
      <w:pPr>
        <w:spacing w:after="0" w:line="231" w:lineRule="exact"/>
        <w:rPr>
          <w:sz w:val="24"/>
          <w:szCs w:val="24"/>
          <w:color w:val="auto"/>
        </w:rPr>
      </w:pPr>
    </w:p>
    <w:p>
      <w:pPr>
        <w:ind w:right="240" w:firstLine="439"/>
        <w:spacing w:after="0" w:line="15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 w:lineRule="exact"/>
        <w:rPr>
          <w:sz w:val="24"/>
          <w:szCs w:val="24"/>
          <w:color w:val="auto"/>
        </w:rPr>
      </w:pPr>
    </w:p>
    <w:p>
      <w:pPr>
        <w:ind w:right="100" w:firstLine="439"/>
        <w:spacing w:after="0" w:line="15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 w:lineRule="exact"/>
        <w:rPr>
          <w:sz w:val="24"/>
          <w:szCs w:val="24"/>
          <w:color w:val="auto"/>
        </w:rPr>
      </w:pPr>
    </w:p>
    <w:p>
      <w:pPr>
        <w:ind w:right="340" w:firstLine="439"/>
        <w:spacing w:after="0" w:line="23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7" w:lineRule="exact"/>
        <w:rPr>
          <w:sz w:val="24"/>
          <w:szCs w:val="24"/>
          <w:color w:val="auto"/>
        </w:rPr>
      </w:pPr>
    </w:p>
    <w:tbl>
      <w:tblPr>
        <w:tblLayout w:type="fixed"/>
        <w:tblInd w:w="680" w:type="dxa"/>
        <w:tblCellMar>
          <w:top w:w="0" w:type="dxa"/>
          <w:left w:w="0" w:type="dxa"/>
          <w:bottom w:w="0" w:type="dxa"/>
          <w:right w:w="0" w:type="dxa"/>
        </w:tblCellMar>
      </w:tblPr>
      <w:tr>
        <w:trPr>
          <w:trHeight w:val="175"/>
        </w:trPr>
        <w:tc>
          <w:tcPr>
            <w:tcW w:w="18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9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ind w:left="2460"/>
              <w:spacing w:after="0"/>
              <w:rPr>
                <w:sz w:val="20"/>
                <w:szCs w:val="20"/>
                <w:color w:val="auto"/>
              </w:rPr>
            </w:pPr>
            <w:r>
              <w:rPr>
                <w:rFonts w:ascii="Arial" w:cs="Arial" w:eastAsia="Arial" w:hAnsi="Arial"/>
                <w:sz w:val="13"/>
                <w:szCs w:val="13"/>
                <w:color w:val="auto"/>
              </w:rPr>
              <w:t>Accelerated filer</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5"/>
        </w:trPr>
        <w:tc>
          <w:tcPr>
            <w:tcW w:w="1800" w:type="dxa"/>
            <w:vAlign w:val="bottom"/>
          </w:tcPr>
          <w:p>
            <w:pPr>
              <w:spacing w:after="0"/>
              <w:rPr>
                <w:sz w:val="20"/>
                <w:szCs w:val="20"/>
                <w:color w:val="auto"/>
              </w:rPr>
            </w:pPr>
            <w:r>
              <w:rPr>
                <w:rFonts w:ascii="Arial" w:cs="Arial" w:eastAsia="Arial" w:hAnsi="Arial"/>
                <w:sz w:val="13"/>
                <w:szCs w:val="13"/>
                <w:color w:val="auto"/>
              </w:rPr>
              <w:t>Non-accelerated filer</w:t>
            </w:r>
          </w:p>
        </w:tc>
        <w:tc>
          <w:tcPr>
            <w:tcW w:w="29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ind w:left="2460"/>
              <w:spacing w:after="0"/>
              <w:rPr>
                <w:sz w:val="20"/>
                <w:szCs w:val="20"/>
                <w:color w:val="auto"/>
              </w:rPr>
            </w:pPr>
            <w:r>
              <w:rPr>
                <w:rFonts w:ascii="Arial" w:cs="Arial" w:eastAsia="Arial" w:hAnsi="Arial"/>
                <w:sz w:val="13"/>
                <w:szCs w:val="13"/>
                <w:color w:val="auto"/>
              </w:rPr>
              <w:t>Smaller reporting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0"/>
        </w:trPr>
        <w:tc>
          <w:tcPr>
            <w:tcW w:w="18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29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320" w:lineRule="exact"/>
        <w:rPr>
          <w:sz w:val="24"/>
          <w:szCs w:val="24"/>
          <w:color w:val="auto"/>
        </w:rPr>
      </w:pPr>
    </w:p>
    <w:p>
      <w:pPr>
        <w:ind w:firstLine="439"/>
        <w:spacing w:after="0" w:line="15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440" w:right="4180"/>
        <w:spacing w:after="0" w:line="172"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As of September 1, 2023, the registrant had 70,792,120 shares of common stock at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758190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403860</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429260</wp:posOffset>
            </wp:positionV>
            <wp:extent cx="7132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1009" w:right="379" w:bottom="1440" w:gutter="0" w:footer="0" w:header="0"/>
        </w:sectPr>
      </w:pPr>
    </w:p>
    <w:bookmarkStart w:id="1" w:name="page2"/>
    <w:bookmarkEnd w:id="1"/>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MISSION PRODUCE, INC.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FISCAL THIRD QUARTER 2023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260" w:type="dxa"/>
            <w:vAlign w:val="bottom"/>
            <w:gridSpan w:val="8"/>
          </w:tcPr>
          <w:p>
            <w:pPr>
              <w:spacing w:after="0"/>
              <w:rPr>
                <w:sz w:val="20"/>
                <w:szCs w:val="20"/>
                <w:color w:val="auto"/>
              </w:rPr>
            </w:pPr>
            <w:r>
              <w:rPr>
                <w:rFonts w:ascii="Arial" w:cs="Arial" w:eastAsia="Arial" w:hAnsi="Arial"/>
                <w:sz w:val="14"/>
                <w:szCs w:val="14"/>
                <w:color w:val="0000FF"/>
                <w:w w:val="97"/>
              </w:rPr>
              <w:t>PART I- FINANCIAL INFORMATION</w:t>
            </w:r>
          </w:p>
        </w:tc>
        <w:tc>
          <w:tcPr>
            <w:tcW w:w="6260" w:type="dxa"/>
            <w:vAlign w:val="bottom"/>
            <w:gridSpan w:val="14"/>
          </w:tcPr>
          <w:p>
            <w:pPr>
              <w:spacing w:after="0"/>
              <w:rPr>
                <w:sz w:val="14"/>
                <w:szCs w:val="14"/>
                <w:color w:val="auto"/>
              </w:rPr>
            </w:pPr>
          </w:p>
        </w:tc>
        <w:tc>
          <w:tcPr>
            <w:tcW w:w="1800" w:type="dxa"/>
            <w:vAlign w:val="bottom"/>
            <w:gridSpan w:val="3"/>
          </w:tcPr>
          <w:p>
            <w:pPr>
              <w:spacing w:after="0"/>
              <w:rPr>
                <w:sz w:val="14"/>
                <w:szCs w:val="14"/>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4"/>
                <w:szCs w:val="14"/>
                <w:color w:val="0000FF"/>
                <w:w w:val="76"/>
              </w:rPr>
              <w:t>5</w:t>
            </w:r>
          </w:p>
        </w:tc>
      </w:tr>
      <w:tr>
        <w:trPr>
          <w:trHeight w:val="20"/>
        </w:trPr>
        <w:tc>
          <w:tcPr>
            <w:tcW w:w="7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6"/>
        </w:trPr>
        <w:tc>
          <w:tcPr>
            <w:tcW w:w="74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7380" w:type="dxa"/>
            <w:vAlign w:val="bottom"/>
            <w:gridSpan w:val="19"/>
          </w:tcPr>
          <w:p>
            <w:pPr>
              <w:spacing w:after="0"/>
              <w:rPr>
                <w:sz w:val="20"/>
                <w:szCs w:val="20"/>
                <w:color w:val="auto"/>
              </w:rPr>
            </w:pPr>
            <w:r>
              <w:rPr>
                <w:rFonts w:ascii="Arial" w:cs="Arial" w:eastAsia="Arial" w:hAnsi="Arial"/>
                <w:sz w:val="14"/>
                <w:szCs w:val="14"/>
                <w:color w:val="0000FF"/>
              </w:rPr>
              <w:t>Financial Statements</w:t>
            </w: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0000FF"/>
              </w:rPr>
              <w:t>5</w:t>
            </w:r>
          </w:p>
        </w:tc>
      </w:tr>
      <w:tr>
        <w:trPr>
          <w:trHeight w:val="20"/>
        </w:trPr>
        <w:tc>
          <w:tcPr>
            <w:tcW w:w="7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380" w:type="dxa"/>
            <w:vAlign w:val="bottom"/>
            <w:gridSpan w:val="19"/>
          </w:tcPr>
          <w:p>
            <w:pPr>
              <w:spacing w:after="0"/>
              <w:rPr>
                <w:sz w:val="20"/>
                <w:szCs w:val="20"/>
                <w:color w:val="auto"/>
              </w:rPr>
            </w:pPr>
            <w:r>
              <w:rPr>
                <w:rFonts w:ascii="Arial" w:cs="Arial" w:eastAsia="Arial" w:hAnsi="Arial"/>
                <w:sz w:val="14"/>
                <w:szCs w:val="14"/>
                <w:color w:val="0000FF"/>
              </w:rPr>
              <w:t>Condensed Consolidated Balance Sheets (Unaudited)</w:t>
            </w: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0000FF"/>
              </w:rPr>
              <w:t>5</w:t>
            </w:r>
          </w:p>
        </w:tc>
      </w:tr>
      <w:tr>
        <w:trPr>
          <w:trHeight w:val="20"/>
        </w:trPr>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380" w:type="dxa"/>
            <w:vAlign w:val="bottom"/>
            <w:gridSpan w:val="19"/>
          </w:tcPr>
          <w:p>
            <w:pPr>
              <w:spacing w:after="0"/>
              <w:rPr>
                <w:sz w:val="20"/>
                <w:szCs w:val="20"/>
                <w:color w:val="auto"/>
              </w:rPr>
            </w:pPr>
            <w:r>
              <w:rPr>
                <w:rFonts w:ascii="Arial" w:cs="Arial" w:eastAsia="Arial" w:hAnsi="Arial"/>
                <w:sz w:val="14"/>
                <w:szCs w:val="14"/>
                <w:color w:val="0000FF"/>
              </w:rPr>
              <w:t xml:space="preserve">Condensed Consolidated Statements of </w:t>
            </w:r>
            <w:r>
              <w:rPr>
                <w:rFonts w:ascii="Arial" w:cs="Arial" w:eastAsia="Arial" w:hAnsi="Arial"/>
                <w:sz w:val="14"/>
                <w:szCs w:val="14"/>
                <w:color w:val="3051F2"/>
              </w:rPr>
              <w:t>Income (Loss) (Unaudited)</w:t>
            </w: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0000FF"/>
              </w:rPr>
              <w:t>6</w:t>
            </w:r>
          </w:p>
        </w:tc>
      </w:tr>
      <w:tr>
        <w:trPr>
          <w:trHeight w:val="20"/>
        </w:trPr>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380" w:type="dxa"/>
            <w:vAlign w:val="bottom"/>
            <w:gridSpan w:val="19"/>
          </w:tcPr>
          <w:p>
            <w:pPr>
              <w:spacing w:after="0"/>
              <w:rPr>
                <w:sz w:val="20"/>
                <w:szCs w:val="20"/>
                <w:color w:val="auto"/>
              </w:rPr>
            </w:pPr>
            <w:r>
              <w:rPr>
                <w:rFonts w:ascii="Arial" w:cs="Arial" w:eastAsia="Arial" w:hAnsi="Arial"/>
                <w:sz w:val="14"/>
                <w:szCs w:val="14"/>
                <w:color w:val="0000FF"/>
              </w:rPr>
              <w:t xml:space="preserve">Condensed Consolidated Statements of </w:t>
            </w:r>
            <w:r>
              <w:rPr>
                <w:rFonts w:ascii="Arial" w:cs="Arial" w:eastAsia="Arial" w:hAnsi="Arial"/>
                <w:sz w:val="14"/>
                <w:szCs w:val="14"/>
                <w:color w:val="3051F2"/>
              </w:rPr>
              <w:t>Comprehensive Income (Loss) (Unaudited)</w:t>
            </w: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0000FF"/>
              </w:rPr>
              <w:t>7</w:t>
            </w:r>
          </w:p>
        </w:tc>
      </w:tr>
      <w:tr>
        <w:trPr>
          <w:trHeight w:val="20"/>
        </w:trPr>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800" w:type="dxa"/>
            <w:vAlign w:val="bottom"/>
            <w:shd w:val="clear" w:color="auto" w:fill="3051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380" w:type="dxa"/>
            <w:vAlign w:val="bottom"/>
            <w:gridSpan w:val="19"/>
          </w:tcPr>
          <w:p>
            <w:pPr>
              <w:spacing w:after="0"/>
              <w:rPr>
                <w:sz w:val="20"/>
                <w:szCs w:val="20"/>
                <w:color w:val="auto"/>
              </w:rPr>
            </w:pPr>
            <w:r>
              <w:rPr>
                <w:rFonts w:ascii="Arial" w:cs="Arial" w:eastAsia="Arial" w:hAnsi="Arial"/>
                <w:sz w:val="14"/>
                <w:szCs w:val="14"/>
                <w:color w:val="0000FF"/>
              </w:rPr>
              <w:t>Condensed Consolidated Statements of Changes in Equity (Unaudited)</w:t>
            </w: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0000FF"/>
              </w:rPr>
              <w:t>8</w:t>
            </w:r>
          </w:p>
        </w:tc>
      </w:tr>
      <w:tr>
        <w:trPr>
          <w:trHeight w:val="20"/>
        </w:trPr>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gridSpan w:val="14"/>
          </w:tcPr>
          <w:p>
            <w:pPr>
              <w:spacing w:after="0"/>
              <w:rPr>
                <w:sz w:val="20"/>
                <w:szCs w:val="20"/>
                <w:color w:val="auto"/>
              </w:rPr>
            </w:pPr>
            <w:r>
              <w:rPr>
                <w:rFonts w:ascii="Arial" w:cs="Arial" w:eastAsia="Arial" w:hAnsi="Arial"/>
                <w:sz w:val="14"/>
                <w:szCs w:val="14"/>
                <w:color w:val="0000FF"/>
              </w:rPr>
              <w:t>Condensed Consolidated Statements of Cash Flows (Unaudited)</w:t>
            </w:r>
          </w:p>
        </w:tc>
        <w:tc>
          <w:tcPr>
            <w:tcW w:w="400" w:type="dxa"/>
            <w:vAlign w:val="bottom"/>
            <w:gridSpan w:val="2"/>
          </w:tcPr>
          <w:p>
            <w:pPr>
              <w:spacing w:after="0"/>
              <w:rPr>
                <w:sz w:val="18"/>
                <w:szCs w:val="18"/>
                <w:color w:val="auto"/>
              </w:rPr>
            </w:pPr>
          </w:p>
        </w:tc>
        <w:tc>
          <w:tcPr>
            <w:tcW w:w="2860" w:type="dxa"/>
            <w:vAlign w:val="bottom"/>
            <w:gridSpan w:val="3"/>
          </w:tcPr>
          <w:p>
            <w:pPr>
              <w:spacing w:after="0"/>
              <w:rPr>
                <w:sz w:val="18"/>
                <w:szCs w:val="18"/>
                <w:color w:val="auto"/>
              </w:rPr>
            </w:pPr>
          </w:p>
        </w:tc>
        <w:tc>
          <w:tcPr>
            <w:tcW w:w="1800" w:type="dxa"/>
            <w:vAlign w:val="bottom"/>
            <w:gridSpan w:val="3"/>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4"/>
                <w:szCs w:val="14"/>
                <w:color w:val="0000FF"/>
                <w:w w:val="76"/>
              </w:rPr>
              <w:t>9</w:t>
            </w:r>
          </w:p>
        </w:tc>
      </w:tr>
      <w:tr>
        <w:trPr>
          <w:trHeight w:val="20"/>
        </w:trPr>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60" w:type="dxa"/>
            <w:vAlign w:val="bottom"/>
            <w:gridSpan w:val="15"/>
          </w:tcPr>
          <w:p>
            <w:pPr>
              <w:spacing w:after="0"/>
              <w:rPr>
                <w:sz w:val="20"/>
                <w:szCs w:val="20"/>
                <w:color w:val="auto"/>
              </w:rPr>
            </w:pPr>
            <w:r>
              <w:rPr>
                <w:rFonts w:ascii="Arial" w:cs="Arial" w:eastAsia="Arial" w:hAnsi="Arial"/>
                <w:sz w:val="14"/>
                <w:szCs w:val="14"/>
                <w:color w:val="0000FF"/>
              </w:rPr>
              <w:t>Notes to Unaudited Condensed Consolidated Financial Statements</w:t>
            </w:r>
          </w:p>
        </w:tc>
        <w:tc>
          <w:tcPr>
            <w:tcW w:w="3120" w:type="dxa"/>
            <w:vAlign w:val="bottom"/>
            <w:gridSpan w:val="4"/>
          </w:tcPr>
          <w:p>
            <w:pPr>
              <w:spacing w:after="0"/>
              <w:rPr>
                <w:sz w:val="18"/>
                <w:szCs w:val="18"/>
                <w:color w:val="auto"/>
              </w:rPr>
            </w:pPr>
          </w:p>
        </w:tc>
        <w:tc>
          <w:tcPr>
            <w:tcW w:w="1740" w:type="dxa"/>
            <w:vAlign w:val="bottom"/>
            <w:gridSpan w:val="2"/>
          </w:tcPr>
          <w:p>
            <w:pPr>
              <w:spacing w:after="0"/>
              <w:rPr>
                <w:sz w:val="18"/>
                <w:szCs w:val="18"/>
                <w:color w:val="auto"/>
              </w:rPr>
            </w:pPr>
          </w:p>
        </w:tc>
        <w:tc>
          <w:tcPr>
            <w:tcW w:w="240" w:type="dxa"/>
            <w:vAlign w:val="bottom"/>
            <w:gridSpan w:val="3"/>
          </w:tcPr>
          <w:p>
            <w:pPr>
              <w:jc w:val="right"/>
              <w:ind w:right="100"/>
              <w:spacing w:after="0"/>
              <w:rPr>
                <w:sz w:val="20"/>
                <w:szCs w:val="20"/>
                <w:color w:val="auto"/>
              </w:rPr>
            </w:pPr>
            <w:r>
              <w:rPr>
                <w:rFonts w:ascii="Arial" w:cs="Arial" w:eastAsia="Arial" w:hAnsi="Arial"/>
                <w:sz w:val="14"/>
                <w:szCs w:val="14"/>
                <w:color w:val="0000FF"/>
                <w:w w:val="76"/>
              </w:rPr>
              <w:t>11</w:t>
            </w:r>
          </w:p>
        </w:tc>
      </w:tr>
      <w:tr>
        <w:trPr>
          <w:trHeight w:val="20"/>
        </w:trPr>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74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0000FF"/>
              </w:rPr>
              <w:t>Item 2.</w:t>
            </w:r>
          </w:p>
        </w:tc>
        <w:tc>
          <w:tcPr>
            <w:tcW w:w="7380" w:type="dxa"/>
            <w:vAlign w:val="bottom"/>
            <w:gridSpan w:val="19"/>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0000FF"/>
              </w:rPr>
              <w:t>21</w:t>
            </w:r>
          </w:p>
        </w:tc>
      </w:tr>
      <w:tr>
        <w:trPr>
          <w:trHeight w:val="20"/>
        </w:trPr>
        <w:tc>
          <w:tcPr>
            <w:tcW w:w="7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74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7380" w:type="dxa"/>
            <w:vAlign w:val="bottom"/>
            <w:gridSpan w:val="19"/>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0000FF"/>
              </w:rPr>
              <w:t>31</w:t>
            </w:r>
          </w:p>
        </w:tc>
      </w:tr>
      <w:tr>
        <w:trPr>
          <w:trHeight w:val="20"/>
        </w:trPr>
        <w:tc>
          <w:tcPr>
            <w:tcW w:w="7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74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7380" w:type="dxa"/>
            <w:vAlign w:val="bottom"/>
            <w:gridSpan w:val="19"/>
          </w:tcPr>
          <w:p>
            <w:pPr>
              <w:spacing w:after="0"/>
              <w:rPr>
                <w:sz w:val="20"/>
                <w:szCs w:val="20"/>
                <w:color w:val="auto"/>
              </w:rPr>
            </w:pPr>
            <w:r>
              <w:rPr>
                <w:rFonts w:ascii="Arial" w:cs="Arial" w:eastAsia="Arial" w:hAnsi="Arial"/>
                <w:sz w:val="14"/>
                <w:szCs w:val="14"/>
                <w:color w:val="0000FF"/>
              </w:rPr>
              <w:t>Controls and Procedures</w:t>
            </w: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0000FF"/>
              </w:rPr>
              <w:t>31</w:t>
            </w:r>
          </w:p>
        </w:tc>
      </w:tr>
      <w:tr>
        <w:trPr>
          <w:trHeight w:val="20"/>
        </w:trPr>
        <w:tc>
          <w:tcPr>
            <w:tcW w:w="7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7"/>
        </w:trPr>
        <w:tc>
          <w:tcPr>
            <w:tcW w:w="740" w:type="dxa"/>
            <w:vAlign w:val="bottom"/>
          </w:tcPr>
          <w:p>
            <w:pPr>
              <w:spacing w:after="0"/>
              <w:rPr>
                <w:sz w:val="24"/>
                <w:szCs w:val="24"/>
                <w:color w:val="auto"/>
              </w:rPr>
            </w:pPr>
          </w:p>
        </w:tc>
        <w:tc>
          <w:tcPr>
            <w:tcW w:w="2120" w:type="dxa"/>
            <w:vAlign w:val="bottom"/>
            <w:gridSpan w:val="7"/>
          </w:tcPr>
          <w:p>
            <w:pPr>
              <w:spacing w:after="0"/>
              <w:rPr>
                <w:sz w:val="20"/>
                <w:szCs w:val="20"/>
                <w:color w:val="auto"/>
              </w:rPr>
            </w:pPr>
            <w:r>
              <w:rPr>
                <w:rFonts w:ascii="Arial" w:cs="Arial" w:eastAsia="Arial" w:hAnsi="Arial"/>
                <w:sz w:val="14"/>
                <w:szCs w:val="14"/>
                <w:color w:val="0000FF"/>
              </w:rPr>
              <w:t>PART II- OTHER INFORMATION</w:t>
            </w:r>
          </w:p>
        </w:tc>
        <w:tc>
          <w:tcPr>
            <w:tcW w:w="6400" w:type="dxa"/>
            <w:vAlign w:val="bottom"/>
            <w:gridSpan w:val="15"/>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gridSpan w:val="4"/>
          </w:tcPr>
          <w:p>
            <w:pPr>
              <w:jc w:val="right"/>
              <w:ind w:right="100"/>
              <w:spacing w:after="0"/>
              <w:rPr>
                <w:sz w:val="20"/>
                <w:szCs w:val="20"/>
                <w:color w:val="auto"/>
              </w:rPr>
            </w:pPr>
            <w:r>
              <w:rPr>
                <w:rFonts w:ascii="Arial" w:cs="Arial" w:eastAsia="Arial" w:hAnsi="Arial"/>
                <w:sz w:val="14"/>
                <w:szCs w:val="14"/>
                <w:color w:val="0000FF"/>
                <w:w w:val="89"/>
              </w:rPr>
              <w:t>31</w:t>
            </w:r>
          </w:p>
        </w:tc>
      </w:tr>
      <w:tr>
        <w:trPr>
          <w:trHeight w:val="20"/>
        </w:trPr>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6"/>
        </w:trPr>
        <w:tc>
          <w:tcPr>
            <w:tcW w:w="74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7380" w:type="dxa"/>
            <w:vAlign w:val="bottom"/>
            <w:gridSpan w:val="19"/>
          </w:tcPr>
          <w:p>
            <w:pPr>
              <w:spacing w:after="0"/>
              <w:rPr>
                <w:sz w:val="20"/>
                <w:szCs w:val="20"/>
                <w:color w:val="auto"/>
              </w:rPr>
            </w:pPr>
            <w:r>
              <w:rPr>
                <w:rFonts w:ascii="Arial" w:cs="Arial" w:eastAsia="Arial" w:hAnsi="Arial"/>
                <w:sz w:val="14"/>
                <w:szCs w:val="14"/>
                <w:color w:val="0000FF"/>
              </w:rPr>
              <w:t>Legal Proceedings</w:t>
            </w: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0000FF"/>
              </w:rPr>
              <w:t>31</w:t>
            </w:r>
          </w:p>
        </w:tc>
      </w:tr>
      <w:tr>
        <w:trPr>
          <w:trHeight w:val="20"/>
        </w:trPr>
        <w:tc>
          <w:tcPr>
            <w:tcW w:w="7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74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4"/>
                <w:szCs w:val="14"/>
                <w:color w:val="0000FF"/>
                <w:w w:val="99"/>
              </w:rPr>
              <w:t>Item 1A.</w:t>
            </w:r>
          </w:p>
        </w:tc>
        <w:tc>
          <w:tcPr>
            <w:tcW w:w="600" w:type="dxa"/>
            <w:vAlign w:val="bottom"/>
          </w:tcPr>
          <w:p>
            <w:pPr>
              <w:spacing w:after="0"/>
              <w:rPr>
                <w:sz w:val="18"/>
                <w:szCs w:val="18"/>
                <w:color w:val="auto"/>
              </w:rPr>
            </w:pPr>
          </w:p>
        </w:tc>
        <w:tc>
          <w:tcPr>
            <w:tcW w:w="7380" w:type="dxa"/>
            <w:vAlign w:val="bottom"/>
            <w:gridSpan w:val="19"/>
          </w:tcPr>
          <w:p>
            <w:pPr>
              <w:spacing w:after="0"/>
              <w:rPr>
                <w:sz w:val="20"/>
                <w:szCs w:val="20"/>
                <w:color w:val="auto"/>
              </w:rPr>
            </w:pPr>
            <w:r>
              <w:rPr>
                <w:rFonts w:ascii="Arial" w:cs="Arial" w:eastAsia="Arial" w:hAnsi="Arial"/>
                <w:sz w:val="14"/>
                <w:szCs w:val="14"/>
                <w:color w:val="0000FF"/>
              </w:rPr>
              <w:t>Risk Factors</w:t>
            </w: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0000FF"/>
              </w:rPr>
              <w:t>32</w:t>
            </w:r>
          </w:p>
        </w:tc>
      </w:tr>
      <w:tr>
        <w:trPr>
          <w:trHeight w:val="20"/>
        </w:trPr>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74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600" w:type="dxa"/>
            <w:vAlign w:val="bottom"/>
          </w:tcPr>
          <w:p>
            <w:pPr>
              <w:spacing w:after="0"/>
              <w:rPr>
                <w:sz w:val="18"/>
                <w:szCs w:val="18"/>
                <w:color w:val="auto"/>
              </w:rPr>
            </w:pPr>
          </w:p>
        </w:tc>
        <w:tc>
          <w:tcPr>
            <w:tcW w:w="7380" w:type="dxa"/>
            <w:vAlign w:val="bottom"/>
            <w:gridSpan w:val="19"/>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0000FF"/>
              </w:rPr>
              <w:t>32</w:t>
            </w:r>
          </w:p>
        </w:tc>
      </w:tr>
      <w:tr>
        <w:trPr>
          <w:trHeight w:val="20"/>
        </w:trPr>
        <w:tc>
          <w:tcPr>
            <w:tcW w:w="7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74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7380" w:type="dxa"/>
            <w:vAlign w:val="bottom"/>
            <w:gridSpan w:val="19"/>
          </w:tcPr>
          <w:p>
            <w:pPr>
              <w:spacing w:after="0"/>
              <w:rPr>
                <w:sz w:val="20"/>
                <w:szCs w:val="20"/>
                <w:color w:val="auto"/>
              </w:rPr>
            </w:pPr>
            <w:r>
              <w:rPr>
                <w:rFonts w:ascii="Arial" w:cs="Arial" w:eastAsia="Arial" w:hAnsi="Arial"/>
                <w:sz w:val="14"/>
                <w:szCs w:val="14"/>
                <w:color w:val="0000FF"/>
              </w:rPr>
              <w:t>Defaults Upon Senior Securities</w:t>
            </w: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0000FF"/>
              </w:rPr>
              <w:t>32</w:t>
            </w:r>
          </w:p>
        </w:tc>
      </w:tr>
      <w:tr>
        <w:trPr>
          <w:trHeight w:val="20"/>
        </w:trPr>
        <w:tc>
          <w:tcPr>
            <w:tcW w:w="7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340" w:type="dxa"/>
            <w:vAlign w:val="bottom"/>
            <w:gridSpan w:val="1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74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7380" w:type="dxa"/>
            <w:vAlign w:val="bottom"/>
            <w:gridSpan w:val="19"/>
          </w:tcPr>
          <w:p>
            <w:pPr>
              <w:spacing w:after="0"/>
              <w:rPr>
                <w:sz w:val="20"/>
                <w:szCs w:val="20"/>
                <w:color w:val="auto"/>
              </w:rPr>
            </w:pPr>
            <w:r>
              <w:rPr>
                <w:rFonts w:ascii="Arial" w:cs="Arial" w:eastAsia="Arial" w:hAnsi="Arial"/>
                <w:sz w:val="14"/>
                <w:szCs w:val="14"/>
                <w:color w:val="0000FF"/>
              </w:rPr>
              <w:t>Mine Safety Disclosures</w:t>
            </w: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0000FF"/>
              </w:rPr>
              <w:t>32</w:t>
            </w:r>
          </w:p>
        </w:tc>
      </w:tr>
      <w:tr>
        <w:trPr>
          <w:trHeight w:val="208"/>
        </w:trPr>
        <w:tc>
          <w:tcPr>
            <w:tcW w:w="740" w:type="dxa"/>
            <w:vAlign w:val="bottom"/>
          </w:tcPr>
          <w:p>
            <w:pPr>
              <w:spacing w:after="0"/>
              <w:rPr>
                <w:sz w:val="18"/>
                <w:szCs w:val="18"/>
                <w:color w:val="auto"/>
              </w:rPr>
            </w:pPr>
          </w:p>
        </w:tc>
        <w:tc>
          <w:tcPr>
            <w:tcW w:w="114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0000FF"/>
              </w:rPr>
              <w:t>Item 5.</w:t>
            </w:r>
          </w:p>
        </w:tc>
        <w:tc>
          <w:tcPr>
            <w:tcW w:w="1580" w:type="dxa"/>
            <w:vAlign w:val="bottom"/>
            <w:tcBorders>
              <w:top w:val="single" w:sz="8" w:color="0000FF"/>
            </w:tcBorders>
            <w:gridSpan w:val="8"/>
          </w:tcPr>
          <w:p>
            <w:pPr>
              <w:spacing w:after="0"/>
              <w:rPr>
                <w:sz w:val="20"/>
                <w:szCs w:val="20"/>
                <w:color w:val="auto"/>
              </w:rPr>
            </w:pPr>
            <w:r>
              <w:rPr>
                <w:rFonts w:ascii="Arial" w:cs="Arial" w:eastAsia="Arial" w:hAnsi="Arial"/>
                <w:sz w:val="14"/>
                <w:szCs w:val="14"/>
                <w:color w:val="0000FF"/>
              </w:rPr>
              <w:t>Other Information</w:t>
            </w:r>
          </w:p>
        </w:tc>
        <w:tc>
          <w:tcPr>
            <w:tcW w:w="5800" w:type="dxa"/>
            <w:vAlign w:val="bottom"/>
            <w:gridSpan w:val="11"/>
          </w:tcPr>
          <w:p>
            <w:pPr>
              <w:spacing w:after="0"/>
              <w:rPr>
                <w:sz w:val="18"/>
                <w:szCs w:val="18"/>
                <w:color w:val="auto"/>
              </w:rPr>
            </w:pP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0000FF"/>
              </w:rPr>
              <w:t>32</w:t>
            </w:r>
          </w:p>
        </w:tc>
      </w:tr>
      <w:tr>
        <w:trPr>
          <w:trHeight w:val="20"/>
        </w:trPr>
        <w:tc>
          <w:tcPr>
            <w:tcW w:w="7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260" w:type="dxa"/>
            <w:vAlign w:val="bottom"/>
            <w:gridSpan w:val="1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74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0000FF"/>
              </w:rPr>
              <w:t>Item 6.</w:t>
            </w:r>
          </w:p>
        </w:tc>
        <w:tc>
          <w:tcPr>
            <w:tcW w:w="7380" w:type="dxa"/>
            <w:vAlign w:val="bottom"/>
            <w:gridSpan w:val="19"/>
          </w:tcPr>
          <w:p>
            <w:pPr>
              <w:spacing w:after="0"/>
              <w:rPr>
                <w:sz w:val="20"/>
                <w:szCs w:val="20"/>
                <w:color w:val="auto"/>
              </w:rPr>
            </w:pPr>
            <w:r>
              <w:rPr>
                <w:rFonts w:ascii="Arial" w:cs="Arial" w:eastAsia="Arial" w:hAnsi="Arial"/>
                <w:sz w:val="14"/>
                <w:szCs w:val="14"/>
                <w:color w:val="0000FF"/>
              </w:rPr>
              <w:t>Exhibits</w:t>
            </w: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0000FF"/>
              </w:rPr>
              <w:t>33</w:t>
            </w:r>
          </w:p>
        </w:tc>
      </w:tr>
      <w:tr>
        <w:trPr>
          <w:trHeight w:val="20"/>
        </w:trPr>
        <w:tc>
          <w:tcPr>
            <w:tcW w:w="7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80" w:type="dxa"/>
            <w:vAlign w:val="bottom"/>
            <w:gridSpan w:val="17"/>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3"/>
        </w:trPr>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380" w:type="dxa"/>
            <w:vAlign w:val="bottom"/>
            <w:gridSpan w:val="19"/>
          </w:tcPr>
          <w:p>
            <w:pPr>
              <w:spacing w:after="0"/>
              <w:rPr>
                <w:sz w:val="20"/>
                <w:szCs w:val="20"/>
                <w:color w:val="auto"/>
              </w:rPr>
            </w:pPr>
            <w:r>
              <w:rPr>
                <w:rFonts w:ascii="Arial" w:cs="Arial" w:eastAsia="Arial" w:hAnsi="Arial"/>
                <w:sz w:val="14"/>
                <w:szCs w:val="14"/>
                <w:color w:val="0000FF"/>
              </w:rPr>
              <w:t>Signatures</w:t>
            </w: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0000FF"/>
              </w:rPr>
              <w:t>34</w:t>
            </w:r>
          </w:p>
        </w:tc>
      </w:tr>
      <w:tr>
        <w:trPr>
          <w:trHeight w:val="1519"/>
        </w:trPr>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FORWARD LOOKING STATEMENTS</w:t>
      </w:r>
    </w:p>
    <w:p>
      <w:pPr>
        <w:spacing w:after="0" w:line="249" w:lineRule="exact"/>
        <w:rPr>
          <w:sz w:val="20"/>
          <w:szCs w:val="20"/>
          <w:color w:val="auto"/>
        </w:rPr>
      </w:pPr>
    </w:p>
    <w:p>
      <w:pPr>
        <w:ind w:right="40" w:firstLine="645"/>
        <w:spacing w:after="0" w:line="258" w:lineRule="auto"/>
        <w:rPr>
          <w:sz w:val="20"/>
          <w:szCs w:val="20"/>
          <w:color w:val="auto"/>
        </w:rPr>
      </w:pPr>
      <w:r>
        <w:rPr>
          <w:rFonts w:ascii="Arial" w:cs="Arial" w:eastAsia="Arial" w:hAnsi="Arial"/>
          <w:sz w:val="14"/>
          <w:szCs w:val="14"/>
          <w:color w:val="auto"/>
        </w:rPr>
        <w:t>This quarterly report on Form 10-Q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199" w:lineRule="exact"/>
        <w:rPr>
          <w:sz w:val="20"/>
          <w:szCs w:val="20"/>
          <w:color w:val="auto"/>
        </w:rPr>
      </w:pPr>
    </w:p>
    <w:p>
      <w:pPr>
        <w:ind w:left="660" w:hanging="330"/>
        <w:spacing w:after="0" w:line="261" w:lineRule="auto"/>
        <w:tabs>
          <w:tab w:leader="none" w:pos="643"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our business, including: limitations regarding the supply of avocados, either through purchasing or growing; fluctuations in the market price of avocados; increasing competition; risks associated with doing business internationally, including Mexican and Peruvian economic, political and/or societal conditions; inflationary pressures;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seasonality in operating results; failures associated with information technology infrastructure, system security and cyber risks; new and changing privacy laws and our compliance with such laws; food safety events and recalls; failure to comply with laws and regulations, including those promulgated by the USDA and FDA, health and safety laws, environmental laws, and other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and risks associated with the ongoing conflict in Russia and Ukraine.</w:t>
      </w:r>
    </w:p>
    <w:p>
      <w:pPr>
        <w:spacing w:after="0" w:line="184" w:lineRule="exact"/>
        <w:rPr>
          <w:rFonts w:ascii="Arial" w:cs="Arial" w:eastAsia="Arial" w:hAnsi="Arial"/>
          <w:sz w:val="14"/>
          <w:szCs w:val="14"/>
          <w:color w:val="auto"/>
        </w:rPr>
      </w:pPr>
    </w:p>
    <w:p>
      <w:pPr>
        <w:ind w:left="660" w:right="40" w:hanging="330"/>
        <w:spacing w:after="0" w:line="268" w:lineRule="auto"/>
        <w:tabs>
          <w:tab w:leader="none" w:pos="643"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our common stock, including: the viability of an active, liquid, and orderly market for our common stock; volatility in the trading price of our common stock; concentration of control in our executive officers, directors and principal stockholders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and the selection of Delaware as the exclusive forum for substantially all disputes between us and our stockholders.</w:t>
      </w:r>
    </w:p>
    <w:p>
      <w:pPr>
        <w:spacing w:after="0" w:line="176" w:lineRule="exact"/>
        <w:rPr>
          <w:rFonts w:ascii="Arial" w:cs="Arial" w:eastAsia="Arial" w:hAnsi="Arial"/>
          <w:sz w:val="14"/>
          <w:szCs w:val="14"/>
          <w:color w:val="auto"/>
        </w:rPr>
      </w:pPr>
    </w:p>
    <w:p>
      <w:pPr>
        <w:ind w:left="660" w:right="60" w:hanging="330"/>
        <w:spacing w:after="0" w:line="291" w:lineRule="auto"/>
        <w:tabs>
          <w:tab w:leader="none" w:pos="643"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w:t>
      </w:r>
    </w:p>
    <w:p>
      <w:pPr>
        <w:spacing w:after="0" w:line="173" w:lineRule="exact"/>
        <w:rPr>
          <w:rFonts w:ascii="Arial" w:cs="Arial" w:eastAsia="Arial" w:hAnsi="Arial"/>
          <w:sz w:val="14"/>
          <w:szCs w:val="14"/>
          <w:color w:val="auto"/>
        </w:rPr>
      </w:pPr>
    </w:p>
    <w:p>
      <w:pPr>
        <w:ind w:left="660" w:right="80" w:hanging="330"/>
        <w:spacing w:after="0" w:line="291" w:lineRule="auto"/>
        <w:tabs>
          <w:tab w:leader="none" w:pos="643"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risks and factors listed under “Item 1A. Risk Factors” in our most recent Annual Report on Form 10-K for the year ended October 31, 2022 and elsewhere in this report.</w:t>
      </w:r>
    </w:p>
    <w:p>
      <w:pPr>
        <w:spacing w:after="0" w:line="174" w:lineRule="exact"/>
        <w:rPr>
          <w:sz w:val="20"/>
          <w:szCs w:val="20"/>
          <w:color w:val="auto"/>
        </w:rPr>
      </w:pPr>
    </w:p>
    <w:p>
      <w:pPr>
        <w:ind w:right="80" w:firstLine="645"/>
        <w:spacing w:after="0" w:line="259" w:lineRule="auto"/>
        <w:rPr>
          <w:sz w:val="20"/>
          <w:szCs w:val="20"/>
          <w:color w:val="auto"/>
        </w:rPr>
      </w:pPr>
      <w:r>
        <w:rPr>
          <w:rFonts w:ascii="Arial" w:cs="Arial" w:eastAsia="Arial" w:hAnsi="Arial"/>
          <w:sz w:val="14"/>
          <w:szCs w:val="14"/>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in our most recent Annual Report on Form 10-K for the year ended October 31, 2022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369" w:lineRule="exact"/>
        <w:rPr>
          <w:sz w:val="20"/>
          <w:szCs w:val="20"/>
          <w:color w:val="auto"/>
        </w:rPr>
      </w:pPr>
    </w:p>
    <w:p>
      <w:pPr>
        <w:ind w:right="20" w:firstLine="645"/>
        <w:spacing w:after="0" w:line="263"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5" w:lineRule="exact"/>
        <w:rPr>
          <w:sz w:val="20"/>
          <w:szCs w:val="20"/>
          <w:color w:val="auto"/>
        </w:rPr>
      </w:pPr>
    </w:p>
    <w:p>
      <w:pPr>
        <w:jc w:val="both"/>
        <w:ind w:right="320" w:firstLine="645"/>
        <w:spacing w:after="0" w:line="275" w:lineRule="auto"/>
        <w:rPr>
          <w:sz w:val="20"/>
          <w:szCs w:val="20"/>
          <w:color w:val="auto"/>
        </w:rPr>
      </w:pPr>
      <w:r>
        <w:rPr>
          <w:rFonts w:ascii="Arial" w:cs="Arial" w:eastAsia="Arial" w:hAnsi="Arial"/>
          <w:sz w:val="14"/>
          <w:szCs w:val="14"/>
          <w:color w:val="auto"/>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72" w:lineRule="exact"/>
        <w:rPr>
          <w:sz w:val="20"/>
          <w:szCs w:val="20"/>
          <w:color w:val="auto"/>
        </w:rPr>
      </w:pPr>
    </w:p>
    <w:p>
      <w:pPr>
        <w:ind w:right="40" w:firstLine="645"/>
        <w:spacing w:after="0" w:line="291" w:lineRule="auto"/>
        <w:rPr>
          <w:sz w:val="20"/>
          <w:szCs w:val="20"/>
          <w:color w:val="auto"/>
        </w:rPr>
      </w:pPr>
      <w:r>
        <w:rPr>
          <w:rFonts w:ascii="Arial" w:cs="Arial" w:eastAsia="Arial" w:hAnsi="Arial"/>
          <w:sz w:val="14"/>
          <w:szCs w:val="14"/>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3" w:name="page4"/>
    <w:bookmarkEnd w:id="3"/>
    <w:p>
      <w:pPr>
        <w:ind w:right="40" w:firstLine="645"/>
        <w:spacing w:after="0" w:line="263" w:lineRule="auto"/>
        <w:rPr>
          <w:sz w:val="20"/>
          <w:szCs w:val="20"/>
          <w:color w:val="auto"/>
        </w:rPr>
      </w:pPr>
      <w:r>
        <w:rPr>
          <w:rFonts w:ascii="Arial" w:cs="Arial" w:eastAsia="Arial" w:hAnsi="Arial"/>
          <w:sz w:val="14"/>
          <w:szCs w:val="14"/>
          <w:color w:val="auto"/>
        </w:rPr>
        <w:t>This quarterly report may also include trademarks, tradenames and service marks that are the property of the Company and also certain trademarks, tradenames and service marks that are the property of other organizations. Solely for convenience, trademarks and tradenames referred to in this quarterly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95" w:lineRule="exact"/>
        <w:rPr>
          <w:sz w:val="20"/>
          <w:szCs w:val="20"/>
          <w:color w:val="auto"/>
        </w:rPr>
      </w:pPr>
    </w:p>
    <w:p>
      <w:pPr>
        <w:ind w:firstLine="645"/>
        <w:spacing w:after="0" w:line="275" w:lineRule="auto"/>
        <w:rPr>
          <w:sz w:val="20"/>
          <w:szCs w:val="20"/>
          <w:color w:val="auto"/>
        </w:rPr>
      </w:pPr>
      <w:r>
        <w:rPr>
          <w:rFonts w:ascii="Arial" w:cs="Arial" w:eastAsia="Arial" w:hAnsi="Arial"/>
          <w:sz w:val="14"/>
          <w:szCs w:val="14"/>
          <w:color w:val="auto"/>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73025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01"/>
        </w:trPr>
        <w:tc>
          <w:tcPr>
            <w:tcW w:w="820" w:type="dxa"/>
            <w:vAlign w:val="bottom"/>
          </w:tcPr>
          <w:p>
            <w:pPr>
              <w:spacing w:after="0"/>
              <w:rPr>
                <w:sz w:val="24"/>
                <w:szCs w:val="24"/>
                <w:color w:val="auto"/>
              </w:rPr>
            </w:pPr>
          </w:p>
        </w:tc>
        <w:tc>
          <w:tcPr>
            <w:tcW w:w="6740" w:type="dxa"/>
            <w:vAlign w:val="bottom"/>
          </w:tcPr>
          <w:p>
            <w:pPr>
              <w:jc w:val="center"/>
              <w:ind w:left="2808"/>
              <w:spacing w:after="0"/>
              <w:rPr>
                <w:sz w:val="20"/>
                <w:szCs w:val="20"/>
                <w:color w:val="auto"/>
              </w:rPr>
            </w:pPr>
            <w:r>
              <w:rPr>
                <w:rFonts w:ascii="Arial" w:cs="Arial" w:eastAsia="Arial" w:hAnsi="Arial"/>
                <w:sz w:val="21"/>
                <w:szCs w:val="21"/>
                <w:b w:val="1"/>
                <w:bCs w:val="1"/>
                <w:color w:val="auto"/>
              </w:rPr>
              <w:t>PART I- FINANCIAL INFORMATION</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0"/>
        </w:trPr>
        <w:tc>
          <w:tcPr>
            <w:tcW w:w="820" w:type="dxa"/>
            <w:vAlign w:val="bottom"/>
          </w:tcPr>
          <w:p>
            <w:pPr>
              <w:spacing w:after="0"/>
              <w:rPr>
                <w:sz w:val="20"/>
                <w:szCs w:val="20"/>
                <w:color w:val="auto"/>
              </w:rPr>
            </w:pPr>
            <w:r>
              <w:rPr>
                <w:rFonts w:ascii="Arial" w:cs="Arial" w:eastAsia="Arial" w:hAnsi="Arial"/>
                <w:sz w:val="21"/>
                <w:szCs w:val="21"/>
                <w:b w:val="1"/>
                <w:bCs w:val="1"/>
                <w:color w:val="auto"/>
              </w:rPr>
              <w:t>Item 1.</w:t>
            </w:r>
          </w:p>
        </w:tc>
        <w:tc>
          <w:tcPr>
            <w:tcW w:w="6740" w:type="dxa"/>
            <w:vAlign w:val="bottom"/>
          </w:tcPr>
          <w:p>
            <w:pPr>
              <w:ind w:left="100"/>
              <w:spacing w:after="0"/>
              <w:rPr>
                <w:sz w:val="20"/>
                <w:szCs w:val="20"/>
                <w:color w:val="auto"/>
              </w:rPr>
            </w:pPr>
            <w:r>
              <w:rPr>
                <w:rFonts w:ascii="Arial" w:cs="Arial" w:eastAsia="Arial" w:hAnsi="Arial"/>
                <w:sz w:val="21"/>
                <w:szCs w:val="21"/>
                <w:b w:val="1"/>
                <w:bCs w:val="1"/>
                <w:color w:val="auto"/>
              </w:rPr>
              <w:t>Financial Statements</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8"/>
        </w:trPr>
        <w:tc>
          <w:tcPr>
            <w:tcW w:w="820" w:type="dxa"/>
            <w:vAlign w:val="bottom"/>
          </w:tcPr>
          <w:p>
            <w:pPr>
              <w:spacing w:after="0"/>
              <w:rPr>
                <w:sz w:val="24"/>
                <w:szCs w:val="24"/>
                <w:color w:val="auto"/>
              </w:rPr>
            </w:pPr>
          </w:p>
        </w:tc>
        <w:tc>
          <w:tcPr>
            <w:tcW w:w="6740" w:type="dxa"/>
            <w:vAlign w:val="bottom"/>
          </w:tcPr>
          <w:p>
            <w:pPr>
              <w:jc w:val="center"/>
              <w:ind w:left="2808"/>
              <w:spacing w:after="0"/>
              <w:rPr>
                <w:sz w:val="20"/>
                <w:szCs w:val="20"/>
                <w:color w:val="auto"/>
              </w:rPr>
            </w:pPr>
            <w:r>
              <w:rPr>
                <w:rFonts w:ascii="Arial" w:cs="Arial" w:eastAsia="Arial" w:hAnsi="Arial"/>
                <w:sz w:val="20"/>
                <w:szCs w:val="20"/>
                <w:b w:val="1"/>
                <w:bCs w:val="1"/>
                <w:color w:val="auto"/>
                <w:w w:val="98"/>
              </w:rPr>
              <w:t>MISSION PRODUCE, INC.</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96"/>
        </w:trPr>
        <w:tc>
          <w:tcPr>
            <w:tcW w:w="820" w:type="dxa"/>
            <w:vAlign w:val="bottom"/>
          </w:tcPr>
          <w:p>
            <w:pPr>
              <w:spacing w:after="0"/>
              <w:rPr>
                <w:sz w:val="24"/>
                <w:szCs w:val="24"/>
                <w:color w:val="auto"/>
              </w:rPr>
            </w:pPr>
          </w:p>
        </w:tc>
        <w:tc>
          <w:tcPr>
            <w:tcW w:w="8620" w:type="dxa"/>
            <w:vAlign w:val="bottom"/>
            <w:gridSpan w:val="3"/>
          </w:tcPr>
          <w:p>
            <w:pPr>
              <w:jc w:val="center"/>
              <w:ind w:left="908"/>
              <w:spacing w:after="0"/>
              <w:rPr>
                <w:sz w:val="20"/>
                <w:szCs w:val="20"/>
                <w:color w:val="auto"/>
              </w:rPr>
            </w:pPr>
            <w:r>
              <w:rPr>
                <w:rFonts w:ascii="Arial" w:cs="Arial" w:eastAsia="Arial" w:hAnsi="Arial"/>
                <w:sz w:val="20"/>
                <w:szCs w:val="20"/>
                <w:b w:val="1"/>
                <w:bCs w:val="1"/>
                <w:color w:val="auto"/>
                <w:w w:val="98"/>
              </w:rPr>
              <w:t>CONDENSED CONSOLIDATED BALANCE SHEETS (UNAUDITED)</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7560" w:type="dxa"/>
            <w:vAlign w:val="bottom"/>
            <w:gridSpan w:val="2"/>
          </w:tcPr>
          <w:p>
            <w:pPr>
              <w:ind w:left="20"/>
              <w:spacing w:after="0"/>
              <w:rPr>
                <w:sz w:val="20"/>
                <w:szCs w:val="20"/>
                <w:color w:val="auto"/>
              </w:rPr>
            </w:pPr>
            <w:r>
              <w:rPr>
                <w:rFonts w:ascii="Arial" w:cs="Arial" w:eastAsia="Arial" w:hAnsi="Arial"/>
                <w:sz w:val="13"/>
                <w:szCs w:val="13"/>
                <w:color w:val="auto"/>
              </w:rPr>
              <w:t>(In millions, except for shares)</w:t>
            </w:r>
          </w:p>
        </w:tc>
        <w:tc>
          <w:tcPr>
            <w:tcW w:w="560" w:type="dxa"/>
            <w:vAlign w:val="bottom"/>
          </w:tcPr>
          <w:p>
            <w:pPr>
              <w:spacing w:after="0"/>
              <w:rPr>
                <w:sz w:val="22"/>
                <w:szCs w:val="22"/>
                <w:color w:val="auto"/>
              </w:rPr>
            </w:pPr>
          </w:p>
        </w:tc>
        <w:tc>
          <w:tcPr>
            <w:tcW w:w="1320" w:type="dxa"/>
            <w:vAlign w:val="bottom"/>
          </w:tcPr>
          <w:p>
            <w:pPr>
              <w:jc w:val="right"/>
              <w:ind w:right="86"/>
              <w:spacing w:after="0"/>
              <w:rPr>
                <w:sz w:val="20"/>
                <w:szCs w:val="20"/>
                <w:color w:val="auto"/>
              </w:rPr>
            </w:pPr>
            <w:r>
              <w:rPr>
                <w:rFonts w:ascii="Arial" w:cs="Arial" w:eastAsia="Arial" w:hAnsi="Arial"/>
                <w:sz w:val="13"/>
                <w:szCs w:val="13"/>
                <w:b w:val="1"/>
                <w:bCs w:val="1"/>
                <w:color w:val="auto"/>
              </w:rPr>
              <w:t>July 31, 2023</w:t>
            </w:r>
          </w:p>
        </w:tc>
        <w:tc>
          <w:tcPr>
            <w:tcW w:w="5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October 31, 2022</w:t>
            </w: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6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2"/>
        </w:trPr>
        <w:tc>
          <w:tcPr>
            <w:tcW w:w="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b w:val="1"/>
                <w:bCs w:val="1"/>
                <w:color w:val="auto"/>
              </w:rPr>
              <w:t>Assets</w:t>
            </w:r>
          </w:p>
        </w:tc>
        <w:tc>
          <w:tcPr>
            <w:tcW w:w="6740" w:type="dxa"/>
            <w:vAlign w:val="bottom"/>
            <w:tcBorders>
              <w:bottom w:val="single" w:sz="8" w:color="DBDBDB"/>
            </w:tcBorders>
            <w:shd w:val="clear" w:color="auto" w:fill="DBDBDB"/>
          </w:tcPr>
          <w:p>
            <w:pPr>
              <w:spacing w:after="0"/>
              <w:rPr>
                <w:sz w:val="14"/>
                <w:szCs w:val="14"/>
                <w:color w:val="auto"/>
              </w:rPr>
            </w:pP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spacing w:after="0"/>
              <w:rPr>
                <w:sz w:val="14"/>
                <w:szCs w:val="14"/>
                <w:color w:val="auto"/>
              </w:rPr>
            </w:pP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spacing w:after="0"/>
              <w:rPr>
                <w:sz w:val="14"/>
                <w:szCs w:val="14"/>
                <w:color w:val="auto"/>
              </w:rPr>
            </w:pPr>
          </w:p>
        </w:tc>
      </w:tr>
      <w:tr>
        <w:trPr>
          <w:trHeight w:val="153"/>
        </w:trPr>
        <w:tc>
          <w:tcPr>
            <w:tcW w:w="82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6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8"/>
        </w:trPr>
        <w:tc>
          <w:tcPr>
            <w:tcW w:w="7560" w:type="dxa"/>
            <w:vAlign w:val="bottom"/>
            <w:tcBorders>
              <w:bottom w:val="single" w:sz="8" w:color="DBDBDB"/>
            </w:tcBorders>
            <w:gridSpan w:val="2"/>
            <w:shd w:val="clear" w:color="auto" w:fill="DBDBDB"/>
          </w:tcPr>
          <w:p>
            <w:pPr>
              <w:ind w:left="460"/>
              <w:spacing w:after="0"/>
              <w:rPr>
                <w:sz w:val="20"/>
                <w:szCs w:val="20"/>
                <w:color w:val="auto"/>
              </w:rPr>
            </w:pPr>
            <w:r>
              <w:rPr>
                <w:rFonts w:ascii="Arial" w:cs="Arial" w:eastAsia="Arial" w:hAnsi="Arial"/>
                <w:sz w:val="11"/>
                <w:szCs w:val="11"/>
                <w:color w:val="auto"/>
              </w:rPr>
              <w:t>Cash and cash equivalents</w:t>
            </w:r>
          </w:p>
        </w:tc>
        <w:tc>
          <w:tcPr>
            <w:tcW w:w="560" w:type="dxa"/>
            <w:vAlign w:val="bottom"/>
            <w:tcBorders>
              <w:bottom w:val="single" w:sz="8" w:color="DBDBDB"/>
            </w:tcBorders>
            <w:shd w:val="clear" w:color="auto" w:fill="DBDBDB"/>
          </w:tcPr>
          <w:p>
            <w:pPr>
              <w:jc w:val="right"/>
              <w:ind w:right="326"/>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23.0</w:t>
            </w:r>
          </w:p>
        </w:tc>
        <w:tc>
          <w:tcPr>
            <w:tcW w:w="500" w:type="dxa"/>
            <w:vAlign w:val="bottom"/>
            <w:tcBorders>
              <w:bottom w:val="single" w:sz="8" w:color="DBDBDB"/>
            </w:tcBorders>
            <w:shd w:val="clear" w:color="auto" w:fill="DBDBDB"/>
          </w:tcPr>
          <w:p>
            <w:pPr>
              <w:jc w:val="right"/>
              <w:ind w:right="226"/>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52.8</w:t>
            </w:r>
          </w:p>
        </w:tc>
      </w:tr>
      <w:tr>
        <w:trPr>
          <w:trHeight w:val="153"/>
        </w:trPr>
        <w:tc>
          <w:tcPr>
            <w:tcW w:w="7560" w:type="dxa"/>
            <w:vAlign w:val="bottom"/>
            <w:gridSpan w:val="2"/>
          </w:tcPr>
          <w:p>
            <w:pPr>
              <w:ind w:left="460"/>
              <w:spacing w:after="0"/>
              <w:rPr>
                <w:sz w:val="20"/>
                <w:szCs w:val="20"/>
                <w:color w:val="auto"/>
              </w:rPr>
            </w:pPr>
            <w:r>
              <w:rPr>
                <w:rFonts w:ascii="Arial" w:cs="Arial" w:eastAsia="Arial" w:hAnsi="Arial"/>
                <w:sz w:val="11"/>
                <w:szCs w:val="11"/>
                <w:color w:val="auto"/>
              </w:rPr>
              <w:t>Restricted cash</w:t>
            </w:r>
          </w:p>
        </w:tc>
        <w:tc>
          <w:tcPr>
            <w:tcW w:w="560" w:type="dxa"/>
            <w:vAlign w:val="bottom"/>
          </w:tcPr>
          <w:p>
            <w:pPr>
              <w:spacing w:after="0"/>
              <w:rPr>
                <w:sz w:val="13"/>
                <w:szCs w:val="13"/>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2.1</w:t>
            </w:r>
          </w:p>
        </w:tc>
        <w:tc>
          <w:tcPr>
            <w:tcW w:w="50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1.1</w:t>
            </w: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8"/>
        </w:trPr>
        <w:tc>
          <w:tcPr>
            <w:tcW w:w="7560" w:type="dxa"/>
            <w:vAlign w:val="bottom"/>
            <w:tcBorders>
              <w:bottom w:val="single" w:sz="8" w:color="DBDBDB"/>
            </w:tcBorders>
            <w:gridSpan w:val="2"/>
            <w:shd w:val="clear" w:color="auto" w:fill="DBDBDB"/>
          </w:tcPr>
          <w:p>
            <w:pPr>
              <w:ind w:left="460"/>
              <w:spacing w:after="0"/>
              <w:rPr>
                <w:sz w:val="20"/>
                <w:szCs w:val="20"/>
                <w:color w:val="auto"/>
              </w:rPr>
            </w:pPr>
            <w:r>
              <w:rPr>
                <w:rFonts w:ascii="Arial" w:cs="Arial" w:eastAsia="Arial" w:hAnsi="Arial"/>
                <w:sz w:val="11"/>
                <w:szCs w:val="11"/>
                <w:color w:val="auto"/>
              </w:rPr>
              <w:t>Accounts receivable</w:t>
            </w: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spacing w:after="0"/>
              <w:rPr>
                <w:sz w:val="14"/>
                <w:szCs w:val="14"/>
                <w:color w:val="auto"/>
              </w:rPr>
            </w:pP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spacing w:after="0"/>
              <w:rPr>
                <w:sz w:val="14"/>
                <w:szCs w:val="14"/>
                <w:color w:val="auto"/>
              </w:rPr>
            </w:pPr>
          </w:p>
        </w:tc>
      </w:tr>
      <w:tr>
        <w:trPr>
          <w:trHeight w:val="153"/>
        </w:trPr>
        <w:tc>
          <w:tcPr>
            <w:tcW w:w="820" w:type="dxa"/>
            <w:vAlign w:val="bottom"/>
          </w:tcPr>
          <w:p>
            <w:pPr>
              <w:spacing w:after="0"/>
              <w:rPr>
                <w:sz w:val="13"/>
                <w:szCs w:val="13"/>
                <w:color w:val="auto"/>
              </w:rPr>
            </w:pPr>
          </w:p>
        </w:tc>
        <w:tc>
          <w:tcPr>
            <w:tcW w:w="6740" w:type="dxa"/>
            <w:vAlign w:val="bottom"/>
          </w:tcPr>
          <w:p>
            <w:pPr>
              <w:ind w:left="60"/>
              <w:spacing w:after="0"/>
              <w:rPr>
                <w:sz w:val="20"/>
                <w:szCs w:val="20"/>
                <w:color w:val="auto"/>
              </w:rPr>
            </w:pPr>
            <w:r>
              <w:rPr>
                <w:rFonts w:ascii="Arial" w:cs="Arial" w:eastAsia="Arial" w:hAnsi="Arial"/>
                <w:sz w:val="11"/>
                <w:szCs w:val="11"/>
                <w:color w:val="auto"/>
              </w:rPr>
              <w:t>Trade, net of allowances of $0.9 and $0.3, respectively</w:t>
            </w:r>
          </w:p>
        </w:tc>
        <w:tc>
          <w:tcPr>
            <w:tcW w:w="560" w:type="dxa"/>
            <w:vAlign w:val="bottom"/>
          </w:tcPr>
          <w:p>
            <w:pPr>
              <w:spacing w:after="0"/>
              <w:rPr>
                <w:sz w:val="13"/>
                <w:szCs w:val="13"/>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88.6</w:t>
            </w:r>
          </w:p>
        </w:tc>
        <w:tc>
          <w:tcPr>
            <w:tcW w:w="50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62.9</w:t>
            </w:r>
          </w:p>
        </w:tc>
      </w:tr>
      <w:tr>
        <w:trPr>
          <w:trHeight w:val="35"/>
        </w:trPr>
        <w:tc>
          <w:tcPr>
            <w:tcW w:w="820" w:type="dxa"/>
            <w:vAlign w:val="bottom"/>
          </w:tcPr>
          <w:p>
            <w:pPr>
              <w:spacing w:after="0"/>
              <w:rPr>
                <w:sz w:val="3"/>
                <w:szCs w:val="3"/>
                <w:color w:val="auto"/>
              </w:rPr>
            </w:pPr>
          </w:p>
        </w:tc>
        <w:tc>
          <w:tcPr>
            <w:tcW w:w="6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8"/>
        </w:trPr>
        <w:tc>
          <w:tcPr>
            <w:tcW w:w="820" w:type="dxa"/>
            <w:vAlign w:val="bottom"/>
            <w:tcBorders>
              <w:bottom w:val="single" w:sz="8" w:color="DBDBDB"/>
            </w:tcBorders>
            <w:shd w:val="clear" w:color="auto" w:fill="DBDBDB"/>
          </w:tcPr>
          <w:p>
            <w:pPr>
              <w:spacing w:after="0"/>
              <w:rPr>
                <w:sz w:val="14"/>
                <w:szCs w:val="14"/>
                <w:color w:val="auto"/>
              </w:rPr>
            </w:pPr>
          </w:p>
        </w:tc>
        <w:tc>
          <w:tcPr>
            <w:tcW w:w="674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1"/>
                <w:szCs w:val="11"/>
                <w:color w:val="auto"/>
              </w:rPr>
              <w:t>Grower and fruit advances</w:t>
            </w: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2.6</w:t>
            </w: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1.8</w:t>
            </w:r>
          </w:p>
        </w:tc>
      </w:tr>
      <w:tr>
        <w:trPr>
          <w:trHeight w:val="153"/>
        </w:trPr>
        <w:tc>
          <w:tcPr>
            <w:tcW w:w="820" w:type="dxa"/>
            <w:vAlign w:val="bottom"/>
          </w:tcPr>
          <w:p>
            <w:pPr>
              <w:spacing w:after="0"/>
              <w:rPr>
                <w:sz w:val="13"/>
                <w:szCs w:val="13"/>
                <w:color w:val="auto"/>
              </w:rPr>
            </w:pPr>
          </w:p>
        </w:tc>
        <w:tc>
          <w:tcPr>
            <w:tcW w:w="6740" w:type="dxa"/>
            <w:vAlign w:val="bottom"/>
          </w:tcPr>
          <w:p>
            <w:pPr>
              <w:ind w:left="60"/>
              <w:spacing w:after="0"/>
              <w:rPr>
                <w:sz w:val="20"/>
                <w:szCs w:val="20"/>
                <w:color w:val="auto"/>
              </w:rPr>
            </w:pPr>
            <w:r>
              <w:rPr>
                <w:rFonts w:ascii="Arial" w:cs="Arial" w:eastAsia="Arial" w:hAnsi="Arial"/>
                <w:sz w:val="11"/>
                <w:szCs w:val="11"/>
                <w:color w:val="auto"/>
              </w:rPr>
              <w:t>Other</w:t>
            </w:r>
          </w:p>
        </w:tc>
        <w:tc>
          <w:tcPr>
            <w:tcW w:w="560" w:type="dxa"/>
            <w:vAlign w:val="bottom"/>
          </w:tcPr>
          <w:p>
            <w:pPr>
              <w:spacing w:after="0"/>
              <w:rPr>
                <w:sz w:val="13"/>
                <w:szCs w:val="13"/>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18.9</w:t>
            </w:r>
          </w:p>
        </w:tc>
        <w:tc>
          <w:tcPr>
            <w:tcW w:w="50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17.3</w:t>
            </w: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8"/>
        </w:trPr>
        <w:tc>
          <w:tcPr>
            <w:tcW w:w="7560" w:type="dxa"/>
            <w:vAlign w:val="bottom"/>
            <w:tcBorders>
              <w:bottom w:val="single" w:sz="8" w:color="DBDBDB"/>
            </w:tcBorders>
            <w:gridSpan w:val="2"/>
            <w:shd w:val="clear" w:color="auto" w:fill="DBDBDB"/>
          </w:tcPr>
          <w:p>
            <w:pPr>
              <w:ind w:left="460"/>
              <w:spacing w:after="0"/>
              <w:rPr>
                <w:sz w:val="20"/>
                <w:szCs w:val="20"/>
                <w:color w:val="auto"/>
              </w:rPr>
            </w:pPr>
            <w:r>
              <w:rPr>
                <w:rFonts w:ascii="Arial" w:cs="Arial" w:eastAsia="Arial" w:hAnsi="Arial"/>
                <w:sz w:val="11"/>
                <w:szCs w:val="11"/>
                <w:color w:val="auto"/>
              </w:rPr>
              <w:t>Inventory</w:t>
            </w: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87.8</w:t>
            </w: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73.1</w:t>
            </w:r>
          </w:p>
        </w:tc>
      </w:tr>
      <w:tr>
        <w:trPr>
          <w:trHeight w:val="153"/>
        </w:trPr>
        <w:tc>
          <w:tcPr>
            <w:tcW w:w="7560" w:type="dxa"/>
            <w:vAlign w:val="bottom"/>
            <w:gridSpan w:val="2"/>
          </w:tcPr>
          <w:p>
            <w:pPr>
              <w:ind w:left="460"/>
              <w:spacing w:after="0"/>
              <w:rPr>
                <w:sz w:val="20"/>
                <w:szCs w:val="20"/>
                <w:color w:val="auto"/>
              </w:rPr>
            </w:pPr>
            <w:r>
              <w:rPr>
                <w:rFonts w:ascii="Arial" w:cs="Arial" w:eastAsia="Arial" w:hAnsi="Arial"/>
                <w:sz w:val="11"/>
                <w:szCs w:val="11"/>
                <w:color w:val="auto"/>
              </w:rPr>
              <w:t>Prepaid expenses and other current assets</w:t>
            </w:r>
          </w:p>
        </w:tc>
        <w:tc>
          <w:tcPr>
            <w:tcW w:w="560" w:type="dxa"/>
            <w:vAlign w:val="bottom"/>
          </w:tcPr>
          <w:p>
            <w:pPr>
              <w:spacing w:after="0"/>
              <w:rPr>
                <w:sz w:val="13"/>
                <w:szCs w:val="13"/>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8.6</w:t>
            </w:r>
          </w:p>
        </w:tc>
        <w:tc>
          <w:tcPr>
            <w:tcW w:w="50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11.1</w:t>
            </w: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93"/>
        </w:trPr>
        <w:tc>
          <w:tcPr>
            <w:tcW w:w="7560" w:type="dxa"/>
            <w:vAlign w:val="bottom"/>
            <w:tcBorders>
              <w:bottom w:val="single" w:sz="8" w:color="DBDBDB"/>
            </w:tcBorders>
            <w:gridSpan w:val="2"/>
            <w:shd w:val="clear" w:color="auto" w:fill="DBDBDB"/>
          </w:tcPr>
          <w:p>
            <w:pPr>
              <w:ind w:left="460"/>
              <w:spacing w:after="0"/>
              <w:rPr>
                <w:sz w:val="20"/>
                <w:szCs w:val="20"/>
                <w:color w:val="auto"/>
              </w:rPr>
            </w:pPr>
            <w:r>
              <w:rPr>
                <w:rFonts w:ascii="Arial" w:cs="Arial" w:eastAsia="Arial" w:hAnsi="Arial"/>
                <w:sz w:val="11"/>
                <w:szCs w:val="11"/>
                <w:color w:val="auto"/>
              </w:rPr>
              <w:t>Income taxes receivable</w:t>
            </w:r>
          </w:p>
        </w:tc>
        <w:tc>
          <w:tcPr>
            <w:tcW w:w="560" w:type="dxa"/>
            <w:vAlign w:val="bottom"/>
            <w:tcBorders>
              <w:bottom w:val="single" w:sz="8" w:color="DBDBDB"/>
            </w:tcBorders>
            <w:shd w:val="clear" w:color="auto" w:fill="DBDBDB"/>
          </w:tcPr>
          <w:p>
            <w:pPr>
              <w:spacing w:after="0"/>
              <w:rPr>
                <w:sz w:val="16"/>
                <w:szCs w:val="16"/>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12.3</w:t>
            </w:r>
          </w:p>
        </w:tc>
        <w:tc>
          <w:tcPr>
            <w:tcW w:w="500" w:type="dxa"/>
            <w:vAlign w:val="bottom"/>
            <w:tcBorders>
              <w:bottom w:val="single" w:sz="8" w:color="DBDBDB"/>
            </w:tcBorders>
            <w:shd w:val="clear" w:color="auto" w:fill="DBDBDB"/>
          </w:tcPr>
          <w:p>
            <w:pPr>
              <w:spacing w:after="0"/>
              <w:rPr>
                <w:sz w:val="16"/>
                <w:szCs w:val="16"/>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8.0</w:t>
            </w:r>
          </w:p>
        </w:tc>
      </w:tr>
      <w:tr>
        <w:trPr>
          <w:trHeight w:val="146"/>
        </w:trPr>
        <w:tc>
          <w:tcPr>
            <w:tcW w:w="820" w:type="dxa"/>
            <w:vAlign w:val="bottom"/>
            <w:tcBorders>
              <w:top w:val="single" w:sz="8" w:color="auto"/>
            </w:tcBorders>
          </w:tcPr>
          <w:p>
            <w:pPr>
              <w:spacing w:after="0"/>
              <w:rPr>
                <w:sz w:val="12"/>
                <w:szCs w:val="12"/>
                <w:color w:val="auto"/>
              </w:rPr>
            </w:pPr>
          </w:p>
        </w:tc>
        <w:tc>
          <w:tcPr>
            <w:tcW w:w="6740" w:type="dxa"/>
            <w:vAlign w:val="bottom"/>
            <w:tcBorders>
              <w:top w:val="single" w:sz="8" w:color="auto"/>
            </w:tcBorders>
          </w:tcPr>
          <w:p>
            <w:pPr>
              <w:ind w:left="500"/>
              <w:spacing w:after="0"/>
              <w:rPr>
                <w:sz w:val="20"/>
                <w:szCs w:val="20"/>
                <w:color w:val="auto"/>
              </w:rPr>
            </w:pPr>
            <w:r>
              <w:rPr>
                <w:rFonts w:ascii="Arial" w:cs="Arial" w:eastAsia="Arial" w:hAnsi="Arial"/>
                <w:sz w:val="11"/>
                <w:szCs w:val="11"/>
                <w:color w:val="auto"/>
              </w:rPr>
              <w:t>Total current assets</w:t>
            </w:r>
          </w:p>
        </w:tc>
        <w:tc>
          <w:tcPr>
            <w:tcW w:w="5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rPr>
              <w:t>243.9</w:t>
            </w:r>
          </w:p>
        </w:tc>
        <w:tc>
          <w:tcPr>
            <w:tcW w:w="5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228.1</w:t>
            </w: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8"/>
        </w:trPr>
        <w:tc>
          <w:tcPr>
            <w:tcW w:w="75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1"/>
                <w:szCs w:val="11"/>
                <w:color w:val="auto"/>
              </w:rPr>
              <w:t>Property, plant and equipment, net</w:t>
            </w: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528.0</w:t>
            </w: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489.7</w:t>
            </w:r>
          </w:p>
        </w:tc>
      </w:tr>
      <w:tr>
        <w:trPr>
          <w:trHeight w:val="153"/>
        </w:trPr>
        <w:tc>
          <w:tcPr>
            <w:tcW w:w="7560" w:type="dxa"/>
            <w:vAlign w:val="bottom"/>
            <w:gridSpan w:val="2"/>
          </w:tcPr>
          <w:p>
            <w:pPr>
              <w:ind w:left="20"/>
              <w:spacing w:after="0"/>
              <w:rPr>
                <w:sz w:val="20"/>
                <w:szCs w:val="20"/>
                <w:color w:val="auto"/>
              </w:rPr>
            </w:pPr>
            <w:r>
              <w:rPr>
                <w:rFonts w:ascii="Arial" w:cs="Arial" w:eastAsia="Arial" w:hAnsi="Arial"/>
                <w:sz w:val="11"/>
                <w:szCs w:val="11"/>
                <w:color w:val="auto"/>
              </w:rPr>
              <w:t>Operating lease right-of-use assets</w:t>
            </w:r>
          </w:p>
        </w:tc>
        <w:tc>
          <w:tcPr>
            <w:tcW w:w="560" w:type="dxa"/>
            <w:vAlign w:val="bottom"/>
          </w:tcPr>
          <w:p>
            <w:pPr>
              <w:spacing w:after="0"/>
              <w:rPr>
                <w:sz w:val="13"/>
                <w:szCs w:val="13"/>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74.4</w:t>
            </w:r>
          </w:p>
        </w:tc>
        <w:tc>
          <w:tcPr>
            <w:tcW w:w="50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65.4</w:t>
            </w: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8"/>
        </w:trPr>
        <w:tc>
          <w:tcPr>
            <w:tcW w:w="75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1"/>
                <w:szCs w:val="11"/>
                <w:color w:val="auto"/>
              </w:rPr>
              <w:t>Equity method investees</w:t>
            </w: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29.4</w:t>
            </w: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27.1</w:t>
            </w:r>
          </w:p>
        </w:tc>
      </w:tr>
      <w:tr>
        <w:trPr>
          <w:trHeight w:val="153"/>
        </w:trPr>
        <w:tc>
          <w:tcPr>
            <w:tcW w:w="7560" w:type="dxa"/>
            <w:vAlign w:val="bottom"/>
            <w:gridSpan w:val="2"/>
          </w:tcPr>
          <w:p>
            <w:pPr>
              <w:ind w:left="20"/>
              <w:spacing w:after="0"/>
              <w:rPr>
                <w:sz w:val="20"/>
                <w:szCs w:val="20"/>
                <w:color w:val="auto"/>
              </w:rPr>
            </w:pPr>
            <w:r>
              <w:rPr>
                <w:rFonts w:ascii="Arial" w:cs="Arial" w:eastAsia="Arial" w:hAnsi="Arial"/>
                <w:sz w:val="11"/>
                <w:szCs w:val="11"/>
                <w:color w:val="auto"/>
              </w:rPr>
              <w:t>Deferred income tax assets, net</w:t>
            </w:r>
          </w:p>
        </w:tc>
        <w:tc>
          <w:tcPr>
            <w:tcW w:w="560" w:type="dxa"/>
            <w:vAlign w:val="bottom"/>
          </w:tcPr>
          <w:p>
            <w:pPr>
              <w:spacing w:after="0"/>
              <w:rPr>
                <w:sz w:val="13"/>
                <w:szCs w:val="13"/>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8.9</w:t>
            </w:r>
          </w:p>
        </w:tc>
        <w:tc>
          <w:tcPr>
            <w:tcW w:w="50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8.1</w:t>
            </w:r>
          </w:p>
        </w:tc>
      </w:tr>
      <w:tr>
        <w:trPr>
          <w:trHeight w:val="35"/>
        </w:trPr>
        <w:tc>
          <w:tcPr>
            <w:tcW w:w="820" w:type="dxa"/>
            <w:vAlign w:val="bottom"/>
          </w:tcPr>
          <w:p>
            <w:pPr>
              <w:spacing w:after="0"/>
              <w:rPr>
                <w:sz w:val="3"/>
                <w:szCs w:val="3"/>
                <w:color w:val="auto"/>
              </w:rPr>
            </w:pPr>
          </w:p>
        </w:tc>
        <w:tc>
          <w:tcPr>
            <w:tcW w:w="6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8"/>
        </w:trPr>
        <w:tc>
          <w:tcPr>
            <w:tcW w:w="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Goodwill</w:t>
            </w:r>
          </w:p>
        </w:tc>
        <w:tc>
          <w:tcPr>
            <w:tcW w:w="6740" w:type="dxa"/>
            <w:vAlign w:val="bottom"/>
            <w:tcBorders>
              <w:bottom w:val="single" w:sz="8" w:color="DBDBDB"/>
            </w:tcBorders>
            <w:shd w:val="clear" w:color="auto" w:fill="DBDBDB"/>
          </w:tcPr>
          <w:p>
            <w:pPr>
              <w:spacing w:after="0"/>
              <w:rPr>
                <w:sz w:val="14"/>
                <w:szCs w:val="14"/>
                <w:color w:val="auto"/>
              </w:rPr>
            </w:pP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39.4</w:t>
            </w: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39.4</w:t>
            </w:r>
          </w:p>
        </w:tc>
      </w:tr>
      <w:tr>
        <w:trPr>
          <w:trHeight w:val="153"/>
        </w:trPr>
        <w:tc>
          <w:tcPr>
            <w:tcW w:w="7560" w:type="dxa"/>
            <w:vAlign w:val="bottom"/>
            <w:gridSpan w:val="2"/>
          </w:tcPr>
          <w:p>
            <w:pPr>
              <w:ind w:left="20"/>
              <w:spacing w:after="0"/>
              <w:rPr>
                <w:sz w:val="20"/>
                <w:szCs w:val="20"/>
                <w:color w:val="auto"/>
              </w:rPr>
            </w:pPr>
            <w:r>
              <w:rPr>
                <w:rFonts w:ascii="Arial" w:cs="Arial" w:eastAsia="Arial" w:hAnsi="Arial"/>
                <w:sz w:val="11"/>
                <w:szCs w:val="11"/>
                <w:color w:val="auto"/>
              </w:rPr>
              <w:t>Intangible asset, net</w:t>
            </w:r>
          </w:p>
        </w:tc>
        <w:tc>
          <w:tcPr>
            <w:tcW w:w="560" w:type="dxa"/>
            <w:vAlign w:val="bottom"/>
          </w:tcPr>
          <w:p>
            <w:pPr>
              <w:spacing w:after="0"/>
              <w:rPr>
                <w:sz w:val="13"/>
                <w:szCs w:val="13"/>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0.8</w:t>
            </w:r>
          </w:p>
        </w:tc>
        <w:tc>
          <w:tcPr>
            <w:tcW w:w="50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2.0</w:t>
            </w:r>
          </w:p>
        </w:tc>
      </w:tr>
      <w:tr>
        <w:trPr>
          <w:trHeight w:val="35"/>
        </w:trPr>
        <w:tc>
          <w:tcPr>
            <w:tcW w:w="820" w:type="dxa"/>
            <w:vAlign w:val="bottom"/>
          </w:tcPr>
          <w:p>
            <w:pPr>
              <w:spacing w:after="0"/>
              <w:rPr>
                <w:sz w:val="3"/>
                <w:szCs w:val="3"/>
                <w:color w:val="auto"/>
              </w:rPr>
            </w:pPr>
          </w:p>
        </w:tc>
        <w:tc>
          <w:tcPr>
            <w:tcW w:w="6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93"/>
        </w:trPr>
        <w:tc>
          <w:tcPr>
            <w:tcW w:w="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Other assets</w:t>
            </w:r>
          </w:p>
        </w:tc>
        <w:tc>
          <w:tcPr>
            <w:tcW w:w="674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tcBorders>
            <w:shd w:val="clear" w:color="auto" w:fill="DBDBDB"/>
          </w:tcPr>
          <w:p>
            <w:pPr>
              <w:spacing w:after="0"/>
              <w:rPr>
                <w:sz w:val="16"/>
                <w:szCs w:val="16"/>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19.6</w:t>
            </w:r>
          </w:p>
        </w:tc>
        <w:tc>
          <w:tcPr>
            <w:tcW w:w="500" w:type="dxa"/>
            <w:vAlign w:val="bottom"/>
            <w:tcBorders>
              <w:bottom w:val="single" w:sz="8" w:color="DBDBDB"/>
            </w:tcBorders>
            <w:shd w:val="clear" w:color="auto" w:fill="DBDBDB"/>
          </w:tcPr>
          <w:p>
            <w:pPr>
              <w:spacing w:after="0"/>
              <w:rPr>
                <w:sz w:val="16"/>
                <w:szCs w:val="16"/>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19.7</w:t>
            </w:r>
          </w:p>
        </w:tc>
      </w:tr>
      <w:tr>
        <w:trPr>
          <w:trHeight w:val="146"/>
        </w:trPr>
        <w:tc>
          <w:tcPr>
            <w:tcW w:w="8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Total assets</w:t>
            </w:r>
          </w:p>
        </w:tc>
        <w:tc>
          <w:tcPr>
            <w:tcW w:w="67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26"/>
              <w:spacing w:after="0"/>
              <w:rPr>
                <w:sz w:val="20"/>
                <w:szCs w:val="20"/>
                <w:color w:val="auto"/>
              </w:rPr>
            </w:pPr>
            <w:r>
              <w:rPr>
                <w:rFonts w:ascii="Arial" w:cs="Arial" w:eastAsia="Arial" w:hAnsi="Arial"/>
                <w:sz w:val="11"/>
                <w:szCs w:val="11"/>
                <w:color w:val="auto"/>
              </w:rPr>
              <w:t>$</w:t>
            </w:r>
          </w:p>
        </w:tc>
        <w:tc>
          <w:tcPr>
            <w:tcW w:w="132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rPr>
              <w:t>944.4</w:t>
            </w:r>
          </w:p>
        </w:tc>
        <w:tc>
          <w:tcPr>
            <w:tcW w:w="500" w:type="dxa"/>
            <w:vAlign w:val="bottom"/>
            <w:tcBorders>
              <w:top w:val="single" w:sz="8" w:color="auto"/>
            </w:tcBorders>
          </w:tcPr>
          <w:p>
            <w:pPr>
              <w:jc w:val="right"/>
              <w:ind w:right="226"/>
              <w:spacing w:after="0"/>
              <w:rPr>
                <w:sz w:val="20"/>
                <w:szCs w:val="20"/>
                <w:color w:val="auto"/>
              </w:rPr>
            </w:pPr>
            <w:r>
              <w:rPr>
                <w:rFonts w:ascii="Arial" w:cs="Arial" w:eastAsia="Arial" w:hAnsi="Arial"/>
                <w:sz w:val="11"/>
                <w:szCs w:val="11"/>
                <w:color w:val="auto"/>
              </w:rPr>
              <w:t>$</w:t>
            </w:r>
          </w:p>
        </w:tc>
        <w:tc>
          <w:tcPr>
            <w:tcW w:w="13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879.5</w:t>
            </w:r>
          </w:p>
        </w:tc>
      </w:tr>
      <w:tr>
        <w:trPr>
          <w:trHeight w:val="35"/>
        </w:trPr>
        <w:tc>
          <w:tcPr>
            <w:tcW w:w="756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2"/>
        </w:trPr>
        <w:tc>
          <w:tcPr>
            <w:tcW w:w="820" w:type="dxa"/>
            <w:vAlign w:val="bottom"/>
            <w:shd w:val="clear" w:color="auto" w:fill="DBDBDB"/>
          </w:tcPr>
          <w:p>
            <w:pPr>
              <w:spacing w:after="0"/>
              <w:rPr>
                <w:sz w:val="15"/>
                <w:szCs w:val="15"/>
                <w:color w:val="auto"/>
              </w:rPr>
            </w:pPr>
          </w:p>
        </w:tc>
        <w:tc>
          <w:tcPr>
            <w:tcW w:w="674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61"/>
        </w:trPr>
        <w:tc>
          <w:tcPr>
            <w:tcW w:w="7560" w:type="dxa"/>
            <w:vAlign w:val="bottom"/>
            <w:gridSpan w:val="2"/>
          </w:tcPr>
          <w:p>
            <w:pPr>
              <w:ind w:left="20"/>
              <w:spacing w:after="0"/>
              <w:rPr>
                <w:sz w:val="20"/>
                <w:szCs w:val="20"/>
                <w:color w:val="auto"/>
              </w:rPr>
            </w:pPr>
            <w:r>
              <w:rPr>
                <w:rFonts w:ascii="Arial" w:cs="Arial" w:eastAsia="Arial" w:hAnsi="Arial"/>
                <w:sz w:val="11"/>
                <w:szCs w:val="11"/>
                <w:b w:val="1"/>
                <w:bCs w:val="1"/>
                <w:color w:val="auto"/>
              </w:rPr>
              <w:t>Liabilities and Equity</w:t>
            </w: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7"/>
        </w:trPr>
        <w:tc>
          <w:tcPr>
            <w:tcW w:w="8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68"/>
        </w:trPr>
        <w:tc>
          <w:tcPr>
            <w:tcW w:w="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Liabilities</w:t>
            </w:r>
          </w:p>
        </w:tc>
        <w:tc>
          <w:tcPr>
            <w:tcW w:w="6740" w:type="dxa"/>
            <w:vAlign w:val="bottom"/>
            <w:tcBorders>
              <w:bottom w:val="single" w:sz="8" w:color="DBDBDB"/>
            </w:tcBorders>
            <w:shd w:val="clear" w:color="auto" w:fill="DBDBDB"/>
          </w:tcPr>
          <w:p>
            <w:pPr>
              <w:spacing w:after="0"/>
              <w:rPr>
                <w:sz w:val="14"/>
                <w:szCs w:val="14"/>
                <w:color w:val="auto"/>
              </w:rPr>
            </w:pP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spacing w:after="0"/>
              <w:rPr>
                <w:sz w:val="14"/>
                <w:szCs w:val="14"/>
                <w:color w:val="auto"/>
              </w:rPr>
            </w:pP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spacing w:after="0"/>
              <w:rPr>
                <w:sz w:val="14"/>
                <w:szCs w:val="14"/>
                <w:color w:val="auto"/>
              </w:rPr>
            </w:pPr>
          </w:p>
        </w:tc>
      </w:tr>
      <w:tr>
        <w:trPr>
          <w:trHeight w:val="153"/>
        </w:trPr>
        <w:tc>
          <w:tcPr>
            <w:tcW w:w="7560" w:type="dxa"/>
            <w:vAlign w:val="bottom"/>
            <w:gridSpan w:val="2"/>
          </w:tcPr>
          <w:p>
            <w:pPr>
              <w:ind w:left="460"/>
              <w:spacing w:after="0"/>
              <w:rPr>
                <w:sz w:val="20"/>
                <w:szCs w:val="20"/>
                <w:color w:val="auto"/>
              </w:rPr>
            </w:pPr>
            <w:r>
              <w:rPr>
                <w:rFonts w:ascii="Arial" w:cs="Arial" w:eastAsia="Arial" w:hAnsi="Arial"/>
                <w:sz w:val="11"/>
                <w:szCs w:val="11"/>
                <w:color w:val="auto"/>
              </w:rPr>
              <w:t>Accounts payable</w:t>
            </w:r>
          </w:p>
        </w:tc>
        <w:tc>
          <w:tcPr>
            <w:tcW w:w="56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43.4</w:t>
            </w:r>
          </w:p>
        </w:tc>
        <w:tc>
          <w:tcPr>
            <w:tcW w:w="50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34.4</w:t>
            </w: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8"/>
        </w:trPr>
        <w:tc>
          <w:tcPr>
            <w:tcW w:w="7560" w:type="dxa"/>
            <w:vAlign w:val="bottom"/>
            <w:tcBorders>
              <w:bottom w:val="single" w:sz="8" w:color="DBDBDB"/>
            </w:tcBorders>
            <w:gridSpan w:val="2"/>
            <w:shd w:val="clear" w:color="auto" w:fill="DBDBDB"/>
          </w:tcPr>
          <w:p>
            <w:pPr>
              <w:ind w:left="460"/>
              <w:spacing w:after="0"/>
              <w:rPr>
                <w:sz w:val="20"/>
                <w:szCs w:val="20"/>
                <w:color w:val="auto"/>
              </w:rPr>
            </w:pPr>
            <w:r>
              <w:rPr>
                <w:rFonts w:ascii="Arial" w:cs="Arial" w:eastAsia="Arial" w:hAnsi="Arial"/>
                <w:sz w:val="11"/>
                <w:szCs w:val="11"/>
                <w:color w:val="auto"/>
              </w:rPr>
              <w:t>Accrued expenses</w:t>
            </w: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26.1</w:t>
            </w: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30.1</w:t>
            </w:r>
          </w:p>
        </w:tc>
      </w:tr>
      <w:tr>
        <w:trPr>
          <w:trHeight w:val="153"/>
        </w:trPr>
        <w:tc>
          <w:tcPr>
            <w:tcW w:w="7560" w:type="dxa"/>
            <w:vAlign w:val="bottom"/>
            <w:gridSpan w:val="2"/>
          </w:tcPr>
          <w:p>
            <w:pPr>
              <w:ind w:left="460"/>
              <w:spacing w:after="0"/>
              <w:rPr>
                <w:sz w:val="20"/>
                <w:szCs w:val="20"/>
                <w:color w:val="auto"/>
              </w:rPr>
            </w:pPr>
            <w:r>
              <w:rPr>
                <w:rFonts w:ascii="Arial" w:cs="Arial" w:eastAsia="Arial" w:hAnsi="Arial"/>
                <w:sz w:val="11"/>
                <w:szCs w:val="11"/>
                <w:color w:val="auto"/>
              </w:rPr>
              <w:t>Income taxes payable</w:t>
            </w:r>
          </w:p>
        </w:tc>
        <w:tc>
          <w:tcPr>
            <w:tcW w:w="560" w:type="dxa"/>
            <w:vAlign w:val="bottom"/>
          </w:tcPr>
          <w:p>
            <w:pPr>
              <w:spacing w:after="0"/>
              <w:rPr>
                <w:sz w:val="13"/>
                <w:szCs w:val="13"/>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1.3</w:t>
            </w:r>
          </w:p>
        </w:tc>
        <w:tc>
          <w:tcPr>
            <w:tcW w:w="50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1.0</w:t>
            </w: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8"/>
        </w:trPr>
        <w:tc>
          <w:tcPr>
            <w:tcW w:w="7560" w:type="dxa"/>
            <w:vAlign w:val="bottom"/>
            <w:tcBorders>
              <w:bottom w:val="single" w:sz="8" w:color="DBDBDB"/>
            </w:tcBorders>
            <w:gridSpan w:val="2"/>
            <w:shd w:val="clear" w:color="auto" w:fill="DBDBDB"/>
          </w:tcPr>
          <w:p>
            <w:pPr>
              <w:ind w:left="460"/>
              <w:spacing w:after="0"/>
              <w:rPr>
                <w:sz w:val="20"/>
                <w:szCs w:val="20"/>
                <w:color w:val="auto"/>
              </w:rPr>
            </w:pPr>
            <w:r>
              <w:rPr>
                <w:rFonts w:ascii="Arial" w:cs="Arial" w:eastAsia="Arial" w:hAnsi="Arial"/>
                <w:sz w:val="11"/>
                <w:szCs w:val="11"/>
                <w:color w:val="auto"/>
              </w:rPr>
              <w:t>Grower payables</w:t>
            </w: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28.5</w:t>
            </w: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24.3</w:t>
            </w:r>
          </w:p>
        </w:tc>
      </w:tr>
      <w:tr>
        <w:trPr>
          <w:trHeight w:val="153"/>
        </w:trPr>
        <w:tc>
          <w:tcPr>
            <w:tcW w:w="7560" w:type="dxa"/>
            <w:vAlign w:val="bottom"/>
            <w:gridSpan w:val="2"/>
          </w:tcPr>
          <w:p>
            <w:pPr>
              <w:ind w:left="460"/>
              <w:spacing w:after="0"/>
              <w:rPr>
                <w:sz w:val="20"/>
                <w:szCs w:val="20"/>
                <w:color w:val="auto"/>
              </w:rPr>
            </w:pPr>
            <w:r>
              <w:rPr>
                <w:rFonts w:ascii="Arial" w:cs="Arial" w:eastAsia="Arial" w:hAnsi="Arial"/>
                <w:sz w:val="11"/>
                <w:szCs w:val="11"/>
                <w:color w:val="auto"/>
              </w:rPr>
              <w:t>Short-term borrowings</w:t>
            </w:r>
          </w:p>
        </w:tc>
        <w:tc>
          <w:tcPr>
            <w:tcW w:w="560" w:type="dxa"/>
            <w:vAlign w:val="bottom"/>
          </w:tcPr>
          <w:p>
            <w:pPr>
              <w:spacing w:after="0"/>
              <w:rPr>
                <w:sz w:val="13"/>
                <w:szCs w:val="13"/>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2.8</w:t>
            </w:r>
          </w:p>
        </w:tc>
        <w:tc>
          <w:tcPr>
            <w:tcW w:w="50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2.5</w:t>
            </w: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8"/>
        </w:trPr>
        <w:tc>
          <w:tcPr>
            <w:tcW w:w="7560" w:type="dxa"/>
            <w:vAlign w:val="bottom"/>
            <w:tcBorders>
              <w:bottom w:val="single" w:sz="8" w:color="DBDBDB"/>
            </w:tcBorders>
            <w:gridSpan w:val="2"/>
            <w:shd w:val="clear" w:color="auto" w:fill="DBDBDB"/>
          </w:tcPr>
          <w:p>
            <w:pPr>
              <w:ind w:left="460"/>
              <w:spacing w:after="0"/>
              <w:rPr>
                <w:sz w:val="20"/>
                <w:szCs w:val="20"/>
                <w:color w:val="auto"/>
              </w:rPr>
            </w:pPr>
            <w:r>
              <w:rPr>
                <w:rFonts w:ascii="Arial" w:cs="Arial" w:eastAsia="Arial" w:hAnsi="Arial"/>
                <w:sz w:val="11"/>
                <w:szCs w:val="11"/>
                <w:color w:val="auto"/>
              </w:rPr>
              <w:t>Loans from noncontrolling interest holders—current portion</w:t>
            </w: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0.5</w:t>
            </w: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r>
      <w:tr>
        <w:trPr>
          <w:trHeight w:val="153"/>
        </w:trPr>
        <w:tc>
          <w:tcPr>
            <w:tcW w:w="7560" w:type="dxa"/>
            <w:vAlign w:val="bottom"/>
            <w:gridSpan w:val="2"/>
          </w:tcPr>
          <w:p>
            <w:pPr>
              <w:ind w:left="460"/>
              <w:spacing w:after="0"/>
              <w:rPr>
                <w:sz w:val="20"/>
                <w:szCs w:val="20"/>
                <w:color w:val="auto"/>
              </w:rPr>
            </w:pPr>
            <w:r>
              <w:rPr>
                <w:rFonts w:ascii="Arial" w:cs="Arial" w:eastAsia="Arial" w:hAnsi="Arial"/>
                <w:sz w:val="11"/>
                <w:szCs w:val="11"/>
                <w:color w:val="auto"/>
              </w:rPr>
              <w:t>Long-term debt—current portion</w:t>
            </w:r>
          </w:p>
        </w:tc>
        <w:tc>
          <w:tcPr>
            <w:tcW w:w="560" w:type="dxa"/>
            <w:vAlign w:val="bottom"/>
          </w:tcPr>
          <w:p>
            <w:pPr>
              <w:spacing w:after="0"/>
              <w:rPr>
                <w:sz w:val="13"/>
                <w:szCs w:val="13"/>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3.6</w:t>
            </w:r>
          </w:p>
        </w:tc>
        <w:tc>
          <w:tcPr>
            <w:tcW w:w="50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3.5</w:t>
            </w: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8"/>
        </w:trPr>
        <w:tc>
          <w:tcPr>
            <w:tcW w:w="7560" w:type="dxa"/>
            <w:vAlign w:val="bottom"/>
            <w:tcBorders>
              <w:bottom w:val="single" w:sz="8" w:color="DBDBDB"/>
            </w:tcBorders>
            <w:gridSpan w:val="2"/>
            <w:shd w:val="clear" w:color="auto" w:fill="DBDBDB"/>
          </w:tcPr>
          <w:p>
            <w:pPr>
              <w:ind w:left="460"/>
              <w:spacing w:after="0"/>
              <w:rPr>
                <w:sz w:val="20"/>
                <w:szCs w:val="20"/>
                <w:color w:val="auto"/>
              </w:rPr>
            </w:pPr>
            <w:r>
              <w:rPr>
                <w:rFonts w:ascii="Arial" w:cs="Arial" w:eastAsia="Arial" w:hAnsi="Arial"/>
                <w:sz w:val="11"/>
                <w:szCs w:val="11"/>
                <w:color w:val="auto"/>
              </w:rPr>
              <w:t>Operating leases—current portion</w:t>
            </w: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6.4</w:t>
            </w: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4.7</w:t>
            </w:r>
          </w:p>
        </w:tc>
      </w:tr>
      <w:tr>
        <w:trPr>
          <w:trHeight w:val="153"/>
        </w:trPr>
        <w:tc>
          <w:tcPr>
            <w:tcW w:w="7560" w:type="dxa"/>
            <w:vAlign w:val="bottom"/>
            <w:gridSpan w:val="2"/>
          </w:tcPr>
          <w:p>
            <w:pPr>
              <w:ind w:left="460"/>
              <w:spacing w:after="0"/>
              <w:rPr>
                <w:sz w:val="20"/>
                <w:szCs w:val="20"/>
                <w:color w:val="auto"/>
              </w:rPr>
            </w:pPr>
            <w:r>
              <w:rPr>
                <w:rFonts w:ascii="Arial" w:cs="Arial" w:eastAsia="Arial" w:hAnsi="Arial"/>
                <w:sz w:val="11"/>
                <w:szCs w:val="11"/>
                <w:color w:val="auto"/>
              </w:rPr>
              <w:t>Finance leases—current portion</w:t>
            </w:r>
          </w:p>
        </w:tc>
        <w:tc>
          <w:tcPr>
            <w:tcW w:w="560" w:type="dxa"/>
            <w:vAlign w:val="bottom"/>
          </w:tcPr>
          <w:p>
            <w:pPr>
              <w:spacing w:after="0"/>
              <w:rPr>
                <w:sz w:val="13"/>
                <w:szCs w:val="13"/>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2.2</w:t>
            </w:r>
          </w:p>
        </w:tc>
        <w:tc>
          <w:tcPr>
            <w:tcW w:w="50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1.2</w:t>
            </w:r>
          </w:p>
        </w:tc>
      </w:tr>
      <w:tr>
        <w:trPr>
          <w:trHeight w:val="35"/>
        </w:trPr>
        <w:tc>
          <w:tcPr>
            <w:tcW w:w="820" w:type="dxa"/>
            <w:vAlign w:val="bottom"/>
            <w:tcBorders>
              <w:bottom w:val="single" w:sz="8" w:color="auto"/>
            </w:tcBorders>
          </w:tcPr>
          <w:p>
            <w:pPr>
              <w:spacing w:after="0"/>
              <w:rPr>
                <w:sz w:val="3"/>
                <w:szCs w:val="3"/>
                <w:color w:val="auto"/>
              </w:rPr>
            </w:pPr>
          </w:p>
        </w:tc>
        <w:tc>
          <w:tcPr>
            <w:tcW w:w="6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62"/>
        </w:trPr>
        <w:tc>
          <w:tcPr>
            <w:tcW w:w="820" w:type="dxa"/>
            <w:vAlign w:val="bottom"/>
            <w:tcBorders>
              <w:bottom w:val="single" w:sz="8" w:color="DBDBDB"/>
            </w:tcBorders>
            <w:shd w:val="clear" w:color="auto" w:fill="DBDBDB"/>
          </w:tcPr>
          <w:p>
            <w:pPr>
              <w:spacing w:after="0"/>
              <w:rPr>
                <w:sz w:val="14"/>
                <w:szCs w:val="14"/>
                <w:color w:val="auto"/>
              </w:rPr>
            </w:pPr>
          </w:p>
        </w:tc>
        <w:tc>
          <w:tcPr>
            <w:tcW w:w="6740" w:type="dxa"/>
            <w:vAlign w:val="bottom"/>
            <w:tcBorders>
              <w:bottom w:val="single" w:sz="8" w:color="DBDBDB"/>
            </w:tcBorders>
            <w:shd w:val="clear" w:color="auto" w:fill="DBDBDB"/>
          </w:tcPr>
          <w:p>
            <w:pPr>
              <w:ind w:left="500"/>
              <w:spacing w:after="0"/>
              <w:rPr>
                <w:sz w:val="20"/>
                <w:szCs w:val="20"/>
                <w:color w:val="auto"/>
              </w:rPr>
            </w:pPr>
            <w:r>
              <w:rPr>
                <w:rFonts w:ascii="Arial" w:cs="Arial" w:eastAsia="Arial" w:hAnsi="Arial"/>
                <w:sz w:val="11"/>
                <w:szCs w:val="11"/>
                <w:color w:val="auto"/>
              </w:rPr>
              <w:t>Total current liabilities</w:t>
            </w: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114.8</w:t>
            </w: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101.7</w:t>
            </w:r>
          </w:p>
        </w:tc>
      </w:tr>
      <w:tr>
        <w:trPr>
          <w:trHeight w:val="153"/>
        </w:trPr>
        <w:tc>
          <w:tcPr>
            <w:tcW w:w="7560" w:type="dxa"/>
            <w:vAlign w:val="bottom"/>
            <w:gridSpan w:val="2"/>
          </w:tcPr>
          <w:p>
            <w:pPr>
              <w:ind w:left="20"/>
              <w:spacing w:after="0"/>
              <w:rPr>
                <w:sz w:val="20"/>
                <w:szCs w:val="20"/>
                <w:color w:val="auto"/>
              </w:rPr>
            </w:pPr>
            <w:r>
              <w:rPr>
                <w:rFonts w:ascii="Arial" w:cs="Arial" w:eastAsia="Arial" w:hAnsi="Arial"/>
                <w:sz w:val="11"/>
                <w:szCs w:val="11"/>
                <w:color w:val="auto"/>
              </w:rPr>
              <w:t>Long-term debt, net of current portion</w:t>
            </w:r>
          </w:p>
        </w:tc>
        <w:tc>
          <w:tcPr>
            <w:tcW w:w="560" w:type="dxa"/>
            <w:vAlign w:val="bottom"/>
          </w:tcPr>
          <w:p>
            <w:pPr>
              <w:spacing w:after="0"/>
              <w:rPr>
                <w:sz w:val="13"/>
                <w:szCs w:val="13"/>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164.3</w:t>
            </w:r>
          </w:p>
        </w:tc>
        <w:tc>
          <w:tcPr>
            <w:tcW w:w="50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136.9</w:t>
            </w: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8"/>
        </w:trPr>
        <w:tc>
          <w:tcPr>
            <w:tcW w:w="75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1"/>
                <w:szCs w:val="11"/>
                <w:color w:val="auto"/>
              </w:rPr>
              <w:t>Loans from noncontrolling interest holders, net of current portion</w:t>
            </w: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2.5</w:t>
            </w: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1.0</w:t>
            </w:r>
          </w:p>
        </w:tc>
      </w:tr>
      <w:tr>
        <w:trPr>
          <w:trHeight w:val="153"/>
        </w:trPr>
        <w:tc>
          <w:tcPr>
            <w:tcW w:w="7560" w:type="dxa"/>
            <w:vAlign w:val="bottom"/>
            <w:gridSpan w:val="2"/>
          </w:tcPr>
          <w:p>
            <w:pPr>
              <w:ind w:left="20"/>
              <w:spacing w:after="0"/>
              <w:rPr>
                <w:sz w:val="20"/>
                <w:szCs w:val="20"/>
                <w:color w:val="auto"/>
              </w:rPr>
            </w:pPr>
            <w:r>
              <w:rPr>
                <w:rFonts w:ascii="Arial" w:cs="Arial" w:eastAsia="Arial" w:hAnsi="Arial"/>
                <w:sz w:val="11"/>
                <w:szCs w:val="11"/>
                <w:color w:val="auto"/>
              </w:rPr>
              <w:t>Operating leases, net of current portion</w:t>
            </w:r>
          </w:p>
        </w:tc>
        <w:tc>
          <w:tcPr>
            <w:tcW w:w="560" w:type="dxa"/>
            <w:vAlign w:val="bottom"/>
          </w:tcPr>
          <w:p>
            <w:pPr>
              <w:spacing w:after="0"/>
              <w:rPr>
                <w:sz w:val="13"/>
                <w:szCs w:val="13"/>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72.7</w:t>
            </w:r>
          </w:p>
        </w:tc>
        <w:tc>
          <w:tcPr>
            <w:tcW w:w="50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63.9</w:t>
            </w: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8"/>
        </w:trPr>
        <w:tc>
          <w:tcPr>
            <w:tcW w:w="75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1"/>
                <w:szCs w:val="11"/>
                <w:color w:val="auto"/>
              </w:rPr>
              <w:t>Finance leases, net of current portion</w:t>
            </w: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14.8</w:t>
            </w: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1.4</w:t>
            </w:r>
          </w:p>
        </w:tc>
      </w:tr>
      <w:tr>
        <w:trPr>
          <w:trHeight w:val="153"/>
        </w:trPr>
        <w:tc>
          <w:tcPr>
            <w:tcW w:w="7560" w:type="dxa"/>
            <w:vAlign w:val="bottom"/>
            <w:gridSpan w:val="2"/>
          </w:tcPr>
          <w:p>
            <w:pPr>
              <w:ind w:left="20"/>
              <w:spacing w:after="0"/>
              <w:rPr>
                <w:sz w:val="20"/>
                <w:szCs w:val="20"/>
                <w:color w:val="auto"/>
              </w:rPr>
            </w:pPr>
            <w:r>
              <w:rPr>
                <w:rFonts w:ascii="Arial" w:cs="Arial" w:eastAsia="Arial" w:hAnsi="Arial"/>
                <w:sz w:val="11"/>
                <w:szCs w:val="11"/>
                <w:color w:val="auto"/>
              </w:rPr>
              <w:t>Income taxes payable</w:t>
            </w:r>
          </w:p>
        </w:tc>
        <w:tc>
          <w:tcPr>
            <w:tcW w:w="560" w:type="dxa"/>
            <w:vAlign w:val="bottom"/>
          </w:tcPr>
          <w:p>
            <w:pPr>
              <w:spacing w:after="0"/>
              <w:rPr>
                <w:sz w:val="13"/>
                <w:szCs w:val="13"/>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2.3</w:t>
            </w:r>
          </w:p>
        </w:tc>
        <w:tc>
          <w:tcPr>
            <w:tcW w:w="50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3.1</w:t>
            </w: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8"/>
        </w:trPr>
        <w:tc>
          <w:tcPr>
            <w:tcW w:w="75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1"/>
                <w:szCs w:val="11"/>
                <w:color w:val="auto"/>
              </w:rPr>
              <w:t>Deferred income tax liabilities, net</w:t>
            </w: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28.9</w:t>
            </w: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29.4</w:t>
            </w:r>
          </w:p>
        </w:tc>
      </w:tr>
      <w:tr>
        <w:trPr>
          <w:trHeight w:val="153"/>
        </w:trPr>
        <w:tc>
          <w:tcPr>
            <w:tcW w:w="7560" w:type="dxa"/>
            <w:vAlign w:val="bottom"/>
            <w:gridSpan w:val="2"/>
          </w:tcPr>
          <w:p>
            <w:pPr>
              <w:ind w:left="20"/>
              <w:spacing w:after="0"/>
              <w:rPr>
                <w:sz w:val="20"/>
                <w:szCs w:val="20"/>
                <w:color w:val="auto"/>
              </w:rPr>
            </w:pPr>
            <w:r>
              <w:rPr>
                <w:rFonts w:ascii="Arial" w:cs="Arial" w:eastAsia="Arial" w:hAnsi="Arial"/>
                <w:sz w:val="11"/>
                <w:szCs w:val="11"/>
                <w:color w:val="auto"/>
              </w:rPr>
              <w:t>Other long-term liabilities</w:t>
            </w:r>
          </w:p>
        </w:tc>
        <w:tc>
          <w:tcPr>
            <w:tcW w:w="560" w:type="dxa"/>
            <w:vAlign w:val="bottom"/>
          </w:tcPr>
          <w:p>
            <w:pPr>
              <w:spacing w:after="0"/>
              <w:rPr>
                <w:sz w:val="13"/>
                <w:szCs w:val="13"/>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23.7</w:t>
            </w:r>
          </w:p>
        </w:tc>
        <w:tc>
          <w:tcPr>
            <w:tcW w:w="50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19.2</w:t>
            </w:r>
          </w:p>
        </w:tc>
      </w:tr>
      <w:tr>
        <w:trPr>
          <w:trHeight w:val="35"/>
        </w:trPr>
        <w:tc>
          <w:tcPr>
            <w:tcW w:w="820" w:type="dxa"/>
            <w:vAlign w:val="bottom"/>
            <w:tcBorders>
              <w:bottom w:val="single" w:sz="8" w:color="auto"/>
            </w:tcBorders>
          </w:tcPr>
          <w:p>
            <w:pPr>
              <w:spacing w:after="0"/>
              <w:rPr>
                <w:sz w:val="3"/>
                <w:szCs w:val="3"/>
                <w:color w:val="auto"/>
              </w:rPr>
            </w:pPr>
          </w:p>
        </w:tc>
        <w:tc>
          <w:tcPr>
            <w:tcW w:w="6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62"/>
        </w:trPr>
        <w:tc>
          <w:tcPr>
            <w:tcW w:w="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Total liabilities</w:t>
            </w:r>
          </w:p>
        </w:tc>
        <w:tc>
          <w:tcPr>
            <w:tcW w:w="6740" w:type="dxa"/>
            <w:vAlign w:val="bottom"/>
            <w:tcBorders>
              <w:bottom w:val="single" w:sz="8" w:color="DBDBDB"/>
            </w:tcBorders>
            <w:shd w:val="clear" w:color="auto" w:fill="DBDBDB"/>
          </w:tcPr>
          <w:p>
            <w:pPr>
              <w:spacing w:after="0"/>
              <w:rPr>
                <w:sz w:val="14"/>
                <w:szCs w:val="14"/>
                <w:color w:val="auto"/>
              </w:rPr>
            </w:pP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424.0</w:t>
            </w: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356.6</w:t>
            </w:r>
          </w:p>
        </w:tc>
      </w:tr>
      <w:tr>
        <w:trPr>
          <w:trHeight w:val="153"/>
        </w:trPr>
        <w:tc>
          <w:tcPr>
            <w:tcW w:w="7560" w:type="dxa"/>
            <w:vAlign w:val="bottom"/>
            <w:gridSpan w:val="2"/>
          </w:tcPr>
          <w:p>
            <w:pPr>
              <w:ind w:left="20"/>
              <w:spacing w:after="0"/>
              <w:rPr>
                <w:sz w:val="20"/>
                <w:szCs w:val="20"/>
                <w:color w:val="auto"/>
              </w:rPr>
            </w:pPr>
            <w:r>
              <w:rPr>
                <w:rFonts w:ascii="Arial" w:cs="Arial" w:eastAsia="Arial" w:hAnsi="Arial"/>
                <w:sz w:val="11"/>
                <w:szCs w:val="11"/>
                <w:color w:val="auto"/>
              </w:rPr>
              <w:t>Commitments and contingencies (Note 6)</w:t>
            </w: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8"/>
        </w:trPr>
        <w:tc>
          <w:tcPr>
            <w:tcW w:w="75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1"/>
                <w:szCs w:val="11"/>
                <w:color w:val="auto"/>
              </w:rPr>
              <w:t>Shareholders’ Equity</w:t>
            </w: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spacing w:after="0"/>
              <w:rPr>
                <w:sz w:val="14"/>
                <w:szCs w:val="14"/>
                <w:color w:val="auto"/>
              </w:rPr>
            </w:pP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spacing w:after="0"/>
              <w:rPr>
                <w:sz w:val="14"/>
                <w:szCs w:val="14"/>
                <w:color w:val="auto"/>
              </w:rPr>
            </w:pPr>
          </w:p>
        </w:tc>
      </w:tr>
      <w:tr>
        <w:trPr>
          <w:trHeight w:val="137"/>
        </w:trPr>
        <w:tc>
          <w:tcPr>
            <w:tcW w:w="7560" w:type="dxa"/>
            <w:vAlign w:val="bottom"/>
            <w:gridSpan w:val="2"/>
          </w:tcPr>
          <w:p>
            <w:pPr>
              <w:ind w:left="460"/>
              <w:spacing w:after="0"/>
              <w:rPr>
                <w:sz w:val="20"/>
                <w:szCs w:val="20"/>
                <w:color w:val="auto"/>
              </w:rPr>
            </w:pPr>
            <w:r>
              <w:rPr>
                <w:rFonts w:ascii="Arial" w:cs="Arial" w:eastAsia="Arial" w:hAnsi="Arial"/>
                <w:sz w:val="11"/>
                <w:szCs w:val="11"/>
                <w:color w:val="auto"/>
                <w:w w:val="98"/>
              </w:rPr>
              <w:t>Common stock ($0.001 par value, 1,000,000,000 shares authorized; 70,791,225 and 70,669,535 shares issued and outstanding as of July 31, 2023</w:t>
            </w:r>
          </w:p>
        </w:tc>
        <w:tc>
          <w:tcPr>
            <w:tcW w:w="560" w:type="dxa"/>
            <w:vAlign w:val="bottom"/>
          </w:tcPr>
          <w:p>
            <w:pPr>
              <w:spacing w:after="0"/>
              <w:rPr>
                <w:sz w:val="11"/>
                <w:szCs w:val="11"/>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0.1</w:t>
            </w:r>
          </w:p>
        </w:tc>
        <w:tc>
          <w:tcPr>
            <w:tcW w:w="500" w:type="dxa"/>
            <w:vAlign w:val="bottom"/>
          </w:tcPr>
          <w:p>
            <w:pPr>
              <w:spacing w:after="0"/>
              <w:rPr>
                <w:sz w:val="11"/>
                <w:szCs w:val="11"/>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0.1</w:t>
            </w:r>
          </w:p>
        </w:tc>
      </w:tr>
      <w:tr>
        <w:trPr>
          <w:trHeight w:val="137"/>
        </w:trPr>
        <w:tc>
          <w:tcPr>
            <w:tcW w:w="7560" w:type="dxa"/>
            <w:vAlign w:val="bottom"/>
            <w:gridSpan w:val="2"/>
          </w:tcPr>
          <w:p>
            <w:pPr>
              <w:ind w:left="460"/>
              <w:spacing w:after="0"/>
              <w:rPr>
                <w:sz w:val="20"/>
                <w:szCs w:val="20"/>
                <w:color w:val="auto"/>
              </w:rPr>
            </w:pPr>
            <w:r>
              <w:rPr>
                <w:rFonts w:ascii="Arial" w:cs="Arial" w:eastAsia="Arial" w:hAnsi="Arial"/>
                <w:sz w:val="11"/>
                <w:szCs w:val="11"/>
                <w:color w:val="auto"/>
              </w:rPr>
              <w:t>and October 31, 2022, respectively)</w:t>
            </w: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8"/>
        </w:trPr>
        <w:tc>
          <w:tcPr>
            <w:tcW w:w="7560" w:type="dxa"/>
            <w:vAlign w:val="bottom"/>
            <w:tcBorders>
              <w:bottom w:val="single" w:sz="8" w:color="DBDBDB"/>
            </w:tcBorders>
            <w:gridSpan w:val="2"/>
            <w:shd w:val="clear" w:color="auto" w:fill="DBDBDB"/>
          </w:tcPr>
          <w:p>
            <w:pPr>
              <w:ind w:left="460"/>
              <w:spacing w:after="0"/>
              <w:rPr>
                <w:sz w:val="20"/>
                <w:szCs w:val="20"/>
                <w:color w:val="auto"/>
              </w:rPr>
            </w:pPr>
            <w:r>
              <w:rPr>
                <w:rFonts w:ascii="Arial" w:cs="Arial" w:eastAsia="Arial" w:hAnsi="Arial"/>
                <w:sz w:val="11"/>
                <w:szCs w:val="11"/>
                <w:color w:val="auto"/>
              </w:rPr>
              <w:t>Additional paid-in capital</w:t>
            </w:r>
          </w:p>
        </w:tc>
        <w:tc>
          <w:tcPr>
            <w:tcW w:w="560" w:type="dxa"/>
            <w:vAlign w:val="bottom"/>
            <w:tcBorders>
              <w:bottom w:val="single" w:sz="8" w:color="DBDBDB"/>
            </w:tcBorders>
            <w:shd w:val="clear" w:color="auto" w:fill="DBDBDB"/>
          </w:tcPr>
          <w:p>
            <w:pPr>
              <w:spacing w:after="0"/>
              <w:rPr>
                <w:sz w:val="14"/>
                <w:szCs w:val="14"/>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232.2</w:t>
            </w:r>
          </w:p>
        </w:tc>
        <w:tc>
          <w:tcPr>
            <w:tcW w:w="50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229.3</w:t>
            </w:r>
          </w:p>
        </w:tc>
      </w:tr>
      <w:tr>
        <w:trPr>
          <w:trHeight w:val="153"/>
        </w:trPr>
        <w:tc>
          <w:tcPr>
            <w:tcW w:w="7560" w:type="dxa"/>
            <w:vAlign w:val="bottom"/>
            <w:gridSpan w:val="2"/>
          </w:tcPr>
          <w:p>
            <w:pPr>
              <w:ind w:left="460"/>
              <w:spacing w:after="0"/>
              <w:rPr>
                <w:sz w:val="20"/>
                <w:szCs w:val="20"/>
                <w:color w:val="auto"/>
              </w:rPr>
            </w:pPr>
            <w:r>
              <w:rPr>
                <w:rFonts w:ascii="Arial" w:cs="Arial" w:eastAsia="Arial" w:hAnsi="Arial"/>
                <w:sz w:val="11"/>
                <w:szCs w:val="11"/>
                <w:color w:val="auto"/>
              </w:rPr>
              <w:t>Accumulated other comprehensive loss</w:t>
            </w:r>
          </w:p>
        </w:tc>
        <w:tc>
          <w:tcPr>
            <w:tcW w:w="560" w:type="dxa"/>
            <w:vAlign w:val="bottom"/>
          </w:tcPr>
          <w:p>
            <w:pPr>
              <w:spacing w:after="0"/>
              <w:rPr>
                <w:sz w:val="13"/>
                <w:szCs w:val="13"/>
                <w:color w:val="auto"/>
              </w:rPr>
            </w:pPr>
          </w:p>
        </w:tc>
        <w:tc>
          <w:tcPr>
            <w:tcW w:w="1320" w:type="dxa"/>
            <w:vAlign w:val="bottom"/>
          </w:tcPr>
          <w:p>
            <w:pPr>
              <w:jc w:val="right"/>
              <w:ind w:right="86"/>
              <w:spacing w:after="0"/>
              <w:rPr>
                <w:sz w:val="20"/>
                <w:szCs w:val="20"/>
                <w:color w:val="auto"/>
              </w:rPr>
            </w:pPr>
            <w:r>
              <w:rPr>
                <w:rFonts w:ascii="Arial" w:cs="Arial" w:eastAsia="Arial" w:hAnsi="Arial"/>
                <w:sz w:val="11"/>
                <w:szCs w:val="11"/>
                <w:color w:val="auto"/>
              </w:rPr>
              <w:t>(0.2)</w:t>
            </w:r>
          </w:p>
        </w:tc>
        <w:tc>
          <w:tcPr>
            <w:tcW w:w="5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(1.7)</w:t>
            </w: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93"/>
        </w:trPr>
        <w:tc>
          <w:tcPr>
            <w:tcW w:w="7560" w:type="dxa"/>
            <w:vAlign w:val="bottom"/>
            <w:tcBorders>
              <w:bottom w:val="single" w:sz="8" w:color="DBDBDB"/>
            </w:tcBorders>
            <w:gridSpan w:val="2"/>
            <w:shd w:val="clear" w:color="auto" w:fill="DBDBDB"/>
          </w:tcPr>
          <w:p>
            <w:pPr>
              <w:ind w:left="460"/>
              <w:spacing w:after="0"/>
              <w:rPr>
                <w:sz w:val="20"/>
                <w:szCs w:val="20"/>
                <w:color w:val="auto"/>
              </w:rPr>
            </w:pPr>
            <w:r>
              <w:rPr>
                <w:rFonts w:ascii="Arial" w:cs="Arial" w:eastAsia="Arial" w:hAnsi="Arial"/>
                <w:sz w:val="11"/>
                <w:szCs w:val="11"/>
                <w:color w:val="auto"/>
              </w:rPr>
              <w:t>Retained earnings</w:t>
            </w:r>
          </w:p>
        </w:tc>
        <w:tc>
          <w:tcPr>
            <w:tcW w:w="560" w:type="dxa"/>
            <w:vAlign w:val="bottom"/>
            <w:tcBorders>
              <w:bottom w:val="single" w:sz="8" w:color="DBDBDB"/>
            </w:tcBorders>
            <w:shd w:val="clear" w:color="auto" w:fill="DBDBDB"/>
          </w:tcPr>
          <w:p>
            <w:pPr>
              <w:spacing w:after="0"/>
              <w:rPr>
                <w:sz w:val="16"/>
                <w:szCs w:val="16"/>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267.6</w:t>
            </w:r>
          </w:p>
        </w:tc>
        <w:tc>
          <w:tcPr>
            <w:tcW w:w="500" w:type="dxa"/>
            <w:vAlign w:val="bottom"/>
            <w:tcBorders>
              <w:bottom w:val="single" w:sz="8" w:color="DBDBDB"/>
            </w:tcBorders>
            <w:shd w:val="clear" w:color="auto" w:fill="DBDBDB"/>
          </w:tcPr>
          <w:p>
            <w:pPr>
              <w:spacing w:after="0"/>
              <w:rPr>
                <w:sz w:val="16"/>
                <w:szCs w:val="16"/>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274.4</w:t>
            </w:r>
          </w:p>
        </w:tc>
      </w:tr>
      <w:tr>
        <w:trPr>
          <w:trHeight w:val="146"/>
        </w:trPr>
        <w:tc>
          <w:tcPr>
            <w:tcW w:w="820" w:type="dxa"/>
            <w:vAlign w:val="bottom"/>
            <w:tcBorders>
              <w:top w:val="single" w:sz="8" w:color="auto"/>
            </w:tcBorders>
          </w:tcPr>
          <w:p>
            <w:pPr>
              <w:spacing w:after="0"/>
              <w:rPr>
                <w:sz w:val="12"/>
                <w:szCs w:val="12"/>
                <w:color w:val="auto"/>
              </w:rPr>
            </w:pPr>
          </w:p>
        </w:tc>
        <w:tc>
          <w:tcPr>
            <w:tcW w:w="6740" w:type="dxa"/>
            <w:vAlign w:val="bottom"/>
            <w:tcBorders>
              <w:top w:val="single" w:sz="8" w:color="auto"/>
            </w:tcBorders>
          </w:tcPr>
          <w:p>
            <w:pPr>
              <w:ind w:left="500"/>
              <w:spacing w:after="0"/>
              <w:rPr>
                <w:sz w:val="20"/>
                <w:szCs w:val="20"/>
                <w:color w:val="auto"/>
              </w:rPr>
            </w:pPr>
            <w:r>
              <w:rPr>
                <w:rFonts w:ascii="Arial" w:cs="Arial" w:eastAsia="Arial" w:hAnsi="Arial"/>
                <w:sz w:val="11"/>
                <w:szCs w:val="11"/>
                <w:color w:val="auto"/>
              </w:rPr>
              <w:t>Mission Produce shareholders' equity</w:t>
            </w:r>
          </w:p>
        </w:tc>
        <w:tc>
          <w:tcPr>
            <w:tcW w:w="5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rPr>
              <w:t>499.7</w:t>
            </w:r>
          </w:p>
        </w:tc>
        <w:tc>
          <w:tcPr>
            <w:tcW w:w="5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502.1</w:t>
            </w:r>
          </w:p>
        </w:tc>
      </w:tr>
      <w:tr>
        <w:trPr>
          <w:trHeight w:val="35"/>
        </w:trPr>
        <w:tc>
          <w:tcPr>
            <w:tcW w:w="75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93"/>
        </w:trPr>
        <w:tc>
          <w:tcPr>
            <w:tcW w:w="75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1"/>
                <w:szCs w:val="11"/>
                <w:color w:val="auto"/>
              </w:rPr>
              <w:t>Noncontrolling interest</w:t>
            </w:r>
          </w:p>
        </w:tc>
        <w:tc>
          <w:tcPr>
            <w:tcW w:w="560" w:type="dxa"/>
            <w:vAlign w:val="bottom"/>
            <w:tcBorders>
              <w:bottom w:val="single" w:sz="8" w:color="DBDBDB"/>
            </w:tcBorders>
            <w:shd w:val="clear" w:color="auto" w:fill="DBDBDB"/>
          </w:tcPr>
          <w:p>
            <w:pPr>
              <w:spacing w:after="0"/>
              <w:rPr>
                <w:sz w:val="16"/>
                <w:szCs w:val="16"/>
                <w:color w:val="auto"/>
              </w:rPr>
            </w:pP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20.7</w:t>
            </w:r>
          </w:p>
        </w:tc>
        <w:tc>
          <w:tcPr>
            <w:tcW w:w="500" w:type="dxa"/>
            <w:vAlign w:val="bottom"/>
            <w:tcBorders>
              <w:bottom w:val="single" w:sz="8" w:color="DBDBDB"/>
            </w:tcBorders>
            <w:shd w:val="clear" w:color="auto" w:fill="DBDBDB"/>
          </w:tcPr>
          <w:p>
            <w:pPr>
              <w:spacing w:after="0"/>
              <w:rPr>
                <w:sz w:val="16"/>
                <w:szCs w:val="16"/>
                <w:color w:val="auto"/>
              </w:rPr>
            </w:pP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20.8</w:t>
            </w:r>
          </w:p>
        </w:tc>
      </w:tr>
      <w:tr>
        <w:trPr>
          <w:trHeight w:val="146"/>
        </w:trPr>
        <w:tc>
          <w:tcPr>
            <w:tcW w:w="820" w:type="dxa"/>
            <w:vAlign w:val="bottom"/>
            <w:tcBorders>
              <w:top w:val="single" w:sz="8" w:color="auto"/>
            </w:tcBorders>
          </w:tcPr>
          <w:p>
            <w:pPr>
              <w:spacing w:after="0"/>
              <w:rPr>
                <w:sz w:val="12"/>
                <w:szCs w:val="12"/>
                <w:color w:val="auto"/>
              </w:rPr>
            </w:pPr>
          </w:p>
        </w:tc>
        <w:tc>
          <w:tcPr>
            <w:tcW w:w="6740" w:type="dxa"/>
            <w:vAlign w:val="bottom"/>
            <w:tcBorders>
              <w:top w:val="single" w:sz="8" w:color="auto"/>
            </w:tcBorders>
          </w:tcPr>
          <w:p>
            <w:pPr>
              <w:ind w:left="500"/>
              <w:spacing w:after="0"/>
              <w:rPr>
                <w:sz w:val="20"/>
                <w:szCs w:val="20"/>
                <w:color w:val="auto"/>
              </w:rPr>
            </w:pPr>
            <w:r>
              <w:rPr>
                <w:rFonts w:ascii="Arial" w:cs="Arial" w:eastAsia="Arial" w:hAnsi="Arial"/>
                <w:sz w:val="11"/>
                <w:szCs w:val="11"/>
                <w:color w:val="auto"/>
              </w:rPr>
              <w:t>Total equity</w:t>
            </w:r>
          </w:p>
        </w:tc>
        <w:tc>
          <w:tcPr>
            <w:tcW w:w="5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rPr>
              <w:t>520.4</w:t>
            </w:r>
          </w:p>
        </w:tc>
        <w:tc>
          <w:tcPr>
            <w:tcW w:w="5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522.9</w:t>
            </w:r>
          </w:p>
        </w:tc>
      </w:tr>
      <w:tr>
        <w:trPr>
          <w:trHeight w:val="35"/>
        </w:trPr>
        <w:tc>
          <w:tcPr>
            <w:tcW w:w="756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62"/>
        </w:trPr>
        <w:tc>
          <w:tcPr>
            <w:tcW w:w="75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1"/>
                <w:szCs w:val="11"/>
                <w:color w:val="auto"/>
              </w:rPr>
              <w:t>Total liabilities and equity</w:t>
            </w:r>
          </w:p>
        </w:tc>
        <w:tc>
          <w:tcPr>
            <w:tcW w:w="560" w:type="dxa"/>
            <w:vAlign w:val="bottom"/>
            <w:tcBorders>
              <w:bottom w:val="single" w:sz="8" w:color="DBDBDB"/>
            </w:tcBorders>
            <w:shd w:val="clear" w:color="auto" w:fill="DBDBDB"/>
          </w:tcPr>
          <w:p>
            <w:pPr>
              <w:jc w:val="right"/>
              <w:ind w:right="326"/>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944.4</w:t>
            </w:r>
          </w:p>
        </w:tc>
        <w:tc>
          <w:tcPr>
            <w:tcW w:w="500" w:type="dxa"/>
            <w:vAlign w:val="bottom"/>
            <w:tcBorders>
              <w:bottom w:val="single" w:sz="8" w:color="DBDBDB"/>
            </w:tcBorders>
            <w:shd w:val="clear" w:color="auto" w:fill="DBDBDB"/>
          </w:tcPr>
          <w:p>
            <w:pPr>
              <w:jc w:val="right"/>
              <w:ind w:right="226"/>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879.5</w:t>
            </w:r>
          </w:p>
        </w:tc>
      </w:tr>
      <w:tr>
        <w:trPr>
          <w:trHeight w:val="20"/>
        </w:trPr>
        <w:tc>
          <w:tcPr>
            <w:tcW w:w="820" w:type="dxa"/>
            <w:vAlign w:val="bottom"/>
            <w:shd w:val="clear" w:color="auto" w:fill="000000"/>
          </w:tcPr>
          <w:p>
            <w:pPr>
              <w:spacing w:after="0" w:line="20" w:lineRule="exact"/>
              <w:rPr>
                <w:sz w:val="1"/>
                <w:szCs w:val="1"/>
                <w:color w:val="auto"/>
              </w:rPr>
            </w:pPr>
          </w:p>
        </w:tc>
        <w:tc>
          <w:tcPr>
            <w:tcW w:w="6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unaudited condensed consolidated financial statements.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5" w:name="page6"/>
    <w:bookmarkEnd w:id="5"/>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MISSION PRODUCE,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INCOME (LOSS)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5"/>
                <w:szCs w:val="15"/>
                <w:color w:val="auto"/>
              </w:rPr>
            </w:pPr>
          </w:p>
        </w:tc>
      </w:tr>
      <w:tr>
        <w:trPr>
          <w:trHeight w:val="208"/>
        </w:trPr>
        <w:tc>
          <w:tcPr>
            <w:tcW w:w="40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July 31,</w:t>
            </w: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628"/>
              <w:spacing w:after="0"/>
              <w:rPr>
                <w:sz w:val="20"/>
                <w:szCs w:val="20"/>
                <w:color w:val="auto"/>
              </w:rPr>
            </w:pPr>
            <w:r>
              <w:rPr>
                <w:rFonts w:ascii="Arial" w:cs="Arial" w:eastAsia="Arial" w:hAnsi="Arial"/>
                <w:sz w:val="14"/>
                <w:szCs w:val="14"/>
                <w:b w:val="1"/>
                <w:bCs w:val="1"/>
                <w:color w:val="auto"/>
              </w:rPr>
              <w:t>July 31,</w:t>
            </w:r>
          </w:p>
        </w:tc>
        <w:tc>
          <w:tcPr>
            <w:tcW w:w="760" w:type="dxa"/>
            <w:vAlign w:val="bottom"/>
            <w:tcBorders>
              <w:bottom w:val="single" w:sz="8" w:color="auto"/>
            </w:tcBorders>
          </w:tcPr>
          <w:p>
            <w:pPr>
              <w:spacing w:after="0"/>
              <w:rPr>
                <w:sz w:val="18"/>
                <w:szCs w:val="18"/>
                <w:color w:val="auto"/>
              </w:rPr>
            </w:pPr>
          </w:p>
        </w:tc>
      </w:tr>
      <w:tr>
        <w:trPr>
          <w:trHeight w:val="222"/>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for per share amounts)</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r>
      <w:tr>
        <w:trPr>
          <w:trHeight w:val="208"/>
        </w:trPr>
        <w:tc>
          <w:tcPr>
            <w:tcW w:w="4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sales</w:t>
            </w:r>
          </w:p>
        </w:tc>
        <w:tc>
          <w:tcPr>
            <w:tcW w:w="560" w:type="dxa"/>
            <w:vAlign w:val="bottom"/>
            <w:tcBorders>
              <w:bottom w:val="single" w:sz="8" w:color="DBDBDB"/>
            </w:tcBorders>
            <w:shd w:val="clear" w:color="auto" w:fill="DBDBDB"/>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261.4</w:t>
            </w:r>
          </w:p>
        </w:tc>
        <w:tc>
          <w:tcPr>
            <w:tcW w:w="1000" w:type="dxa"/>
            <w:vAlign w:val="bottom"/>
            <w:tcBorders>
              <w:bottom w:val="single" w:sz="8" w:color="DBDBDB"/>
            </w:tcBorders>
            <w:shd w:val="clear" w:color="auto" w:fill="DBDBDB"/>
          </w:tcPr>
          <w:p>
            <w:pPr>
              <w:jc w:val="right"/>
              <w:ind w:right="7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313.2</w:t>
            </w:r>
          </w:p>
        </w:tc>
        <w:tc>
          <w:tcPr>
            <w:tcW w:w="24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696.0</w:t>
            </w:r>
          </w:p>
        </w:tc>
        <w:tc>
          <w:tcPr>
            <w:tcW w:w="980" w:type="dxa"/>
            <w:vAlign w:val="bottom"/>
            <w:tcBorders>
              <w:bottom w:val="single" w:sz="8" w:color="DBDBDB"/>
            </w:tcBorders>
            <w:shd w:val="clear" w:color="auto" w:fill="DBDBDB"/>
          </w:tcPr>
          <w:p>
            <w:pPr>
              <w:jc w:val="right"/>
              <w:ind w:right="7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807.9</w:t>
            </w:r>
          </w:p>
        </w:tc>
      </w:tr>
      <w:tr>
        <w:trPr>
          <w:trHeight w:val="203"/>
        </w:trPr>
        <w:tc>
          <w:tcPr>
            <w:tcW w:w="40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5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233.0</w:t>
            </w:r>
          </w:p>
        </w:tc>
        <w:tc>
          <w:tcPr>
            <w:tcW w:w="10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270.6</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640.5</w:t>
            </w:r>
          </w:p>
        </w:tc>
        <w:tc>
          <w:tcPr>
            <w:tcW w:w="9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745.0</w:t>
            </w:r>
          </w:p>
        </w:tc>
      </w:tr>
      <w:tr>
        <w:trPr>
          <w:trHeight w:val="25"/>
        </w:trPr>
        <w:tc>
          <w:tcPr>
            <w:tcW w:w="4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4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28.4</w:t>
            </w:r>
          </w:p>
        </w:tc>
        <w:tc>
          <w:tcPr>
            <w:tcW w:w="10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42.6</w:t>
            </w:r>
          </w:p>
        </w:tc>
        <w:tc>
          <w:tcPr>
            <w:tcW w:w="24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55.5</w:t>
            </w:r>
          </w:p>
        </w:tc>
        <w:tc>
          <w:tcPr>
            <w:tcW w:w="9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62.9</w:t>
            </w:r>
          </w:p>
        </w:tc>
      </w:tr>
      <w:tr>
        <w:trPr>
          <w:trHeight w:val="203"/>
        </w:trPr>
        <w:tc>
          <w:tcPr>
            <w:tcW w:w="408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5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17.4</w:t>
            </w:r>
          </w:p>
        </w:tc>
        <w:tc>
          <w:tcPr>
            <w:tcW w:w="10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20.6</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55.8</w:t>
            </w:r>
          </w:p>
        </w:tc>
        <w:tc>
          <w:tcPr>
            <w:tcW w:w="9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58.0</w:t>
            </w:r>
          </w:p>
        </w:tc>
      </w:tr>
      <w:tr>
        <w:trPr>
          <w:trHeight w:val="25"/>
        </w:trPr>
        <w:tc>
          <w:tcPr>
            <w:tcW w:w="4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4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Operating income (loss)</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11.0</w:t>
            </w:r>
          </w:p>
        </w:tc>
        <w:tc>
          <w:tcPr>
            <w:tcW w:w="10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22.0</w:t>
            </w:r>
          </w:p>
        </w:tc>
        <w:tc>
          <w:tcPr>
            <w:tcW w:w="24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(0.3)</w:t>
            </w:r>
          </w:p>
        </w:tc>
        <w:tc>
          <w:tcPr>
            <w:tcW w:w="9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4.9</w:t>
            </w:r>
          </w:p>
        </w:tc>
      </w:tr>
      <w:tr>
        <w:trPr>
          <w:trHeight w:val="203"/>
        </w:trPr>
        <w:tc>
          <w:tcPr>
            <w:tcW w:w="40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56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9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5"/>
        </w:trPr>
        <w:tc>
          <w:tcPr>
            <w:tcW w:w="4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8"/>
        </w:trPr>
        <w:tc>
          <w:tcPr>
            <w:tcW w:w="4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56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1.8</w:t>
            </w:r>
          </w:p>
        </w:tc>
        <w:tc>
          <w:tcPr>
            <w:tcW w:w="100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1.7</w:t>
            </w:r>
          </w:p>
        </w:tc>
        <w:tc>
          <w:tcPr>
            <w:tcW w:w="24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3.2</w:t>
            </w:r>
          </w:p>
        </w:tc>
        <w:tc>
          <w:tcPr>
            <w:tcW w:w="98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3.6</w:t>
            </w:r>
          </w:p>
        </w:tc>
      </w:tr>
      <w:tr>
        <w:trPr>
          <w:trHeight w:val="203"/>
        </w:trPr>
        <w:tc>
          <w:tcPr>
            <w:tcW w:w="4080" w:type="dxa"/>
            <w:vAlign w:val="bottom"/>
          </w:tcPr>
          <w:p>
            <w:pPr>
              <w:ind w:left="20"/>
              <w:spacing w:after="0"/>
              <w:rPr>
                <w:sz w:val="20"/>
                <w:szCs w:val="20"/>
                <w:color w:val="auto"/>
              </w:rPr>
            </w:pPr>
            <w:r>
              <w:rPr>
                <w:rFonts w:ascii="Arial" w:cs="Arial" w:eastAsia="Arial" w:hAnsi="Arial"/>
                <w:sz w:val="14"/>
                <w:szCs w:val="14"/>
                <w:color w:val="auto"/>
              </w:rPr>
              <w:t>Remeasurement gain on business combination with Moruga</w:t>
            </w:r>
          </w:p>
        </w:tc>
        <w:tc>
          <w:tcPr>
            <w:tcW w:w="5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5"/>
        </w:trPr>
        <w:tc>
          <w:tcPr>
            <w:tcW w:w="4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3"/>
        </w:trPr>
        <w:tc>
          <w:tcPr>
            <w:tcW w:w="4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(expense) income, net</w:t>
            </w:r>
          </w:p>
        </w:tc>
        <w:tc>
          <w:tcPr>
            <w:tcW w:w="56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(1.1)</w:t>
            </w:r>
          </w:p>
        </w:tc>
        <w:tc>
          <w:tcPr>
            <w:tcW w:w="100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(0.9)</w:t>
            </w:r>
          </w:p>
        </w:tc>
        <w:tc>
          <w:tcPr>
            <w:tcW w:w="240" w:type="dxa"/>
            <w:vAlign w:val="bottom"/>
            <w:tcBorders>
              <w:bottom w:val="single" w:sz="8" w:color="DBDBDB"/>
            </w:tcBorders>
            <w:shd w:val="clear" w:color="auto" w:fill="DBDBDB"/>
          </w:tcPr>
          <w:p>
            <w:pPr>
              <w:spacing w:after="0"/>
              <w:rPr>
                <w:sz w:val="19"/>
                <w:szCs w:val="19"/>
                <w:color w:val="auto"/>
              </w:rPr>
            </w:pPr>
          </w:p>
        </w:tc>
        <w:tc>
          <w:tcPr>
            <w:tcW w:w="58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(1.3)</w:t>
            </w:r>
          </w:p>
        </w:tc>
        <w:tc>
          <w:tcPr>
            <w:tcW w:w="98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3.6</w:t>
            </w:r>
          </w:p>
        </w:tc>
      </w:tr>
      <w:tr>
        <w:trPr>
          <w:trHeight w:val="197"/>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Income (loss) before income taxes</w:t>
            </w:r>
          </w:p>
        </w:tc>
        <w:tc>
          <w:tcPr>
            <w:tcW w:w="5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8.5</w:t>
            </w:r>
          </w:p>
        </w:tc>
        <w:tc>
          <w:tcPr>
            <w:tcW w:w="10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23.3</w:t>
            </w: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(6.7)</w:t>
            </w:r>
          </w:p>
        </w:tc>
        <w:tc>
          <w:tcPr>
            <w:tcW w:w="9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w:t>
            </w:r>
          </w:p>
        </w:tc>
      </w:tr>
      <w:tr>
        <w:trPr>
          <w:trHeight w:val="25"/>
        </w:trPr>
        <w:tc>
          <w:tcPr>
            <w:tcW w:w="4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3"/>
        </w:trPr>
        <w:tc>
          <w:tcPr>
            <w:tcW w:w="4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Provision for income taxes</w:t>
            </w:r>
          </w:p>
        </w:tc>
        <w:tc>
          <w:tcPr>
            <w:tcW w:w="56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2.3</w:t>
            </w:r>
          </w:p>
        </w:tc>
        <w:tc>
          <w:tcPr>
            <w:tcW w:w="100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5.4</w:t>
            </w:r>
          </w:p>
        </w:tc>
        <w:tc>
          <w:tcPr>
            <w:tcW w:w="240" w:type="dxa"/>
            <w:vAlign w:val="bottom"/>
            <w:tcBorders>
              <w:bottom w:val="single" w:sz="8" w:color="DBDBDB"/>
            </w:tcBorders>
            <w:shd w:val="clear" w:color="auto" w:fill="DBDBDB"/>
          </w:tcPr>
          <w:p>
            <w:pPr>
              <w:spacing w:after="0"/>
              <w:rPr>
                <w:sz w:val="19"/>
                <w:szCs w:val="19"/>
                <w:color w:val="auto"/>
              </w:rPr>
            </w:pPr>
          </w:p>
        </w:tc>
        <w:tc>
          <w:tcPr>
            <w:tcW w:w="58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2.4</w:t>
            </w:r>
          </w:p>
        </w:tc>
        <w:tc>
          <w:tcPr>
            <w:tcW w:w="98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3.7</w:t>
            </w:r>
          </w:p>
        </w:tc>
      </w:tr>
      <w:tr>
        <w:trPr>
          <w:trHeight w:val="197"/>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income (loss)</w:t>
            </w:r>
          </w:p>
        </w:tc>
        <w:tc>
          <w:tcPr>
            <w:tcW w:w="5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6.2</w:t>
            </w:r>
          </w:p>
        </w:tc>
        <w:tc>
          <w:tcPr>
            <w:tcW w:w="1000" w:type="dxa"/>
            <w:vAlign w:val="bottom"/>
            <w:tcBorders>
              <w:top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17.9</w:t>
            </w: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(9.1)</w:t>
            </w:r>
          </w:p>
        </w:tc>
        <w:tc>
          <w:tcPr>
            <w:tcW w:w="980" w:type="dxa"/>
            <w:vAlign w:val="bottom"/>
            <w:tcBorders>
              <w:top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w:t>
            </w:r>
          </w:p>
        </w:tc>
      </w:tr>
      <w:tr>
        <w:trPr>
          <w:trHeight w:val="25"/>
        </w:trPr>
        <w:tc>
          <w:tcPr>
            <w:tcW w:w="4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6"/>
        </w:trPr>
        <w:tc>
          <w:tcPr>
            <w:tcW w:w="4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Less:</w:t>
            </w:r>
          </w:p>
        </w:tc>
        <w:tc>
          <w:tcPr>
            <w:tcW w:w="56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r>
      <w:tr>
        <w:trPr>
          <w:trHeight w:val="212"/>
        </w:trPr>
        <w:tc>
          <w:tcPr>
            <w:tcW w:w="40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Net loss attributable to noncontrolling interest</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(0.4)</w:t>
            </w:r>
          </w:p>
        </w:tc>
        <w:tc>
          <w:tcPr>
            <w:tcW w:w="10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c>
          <w:tcPr>
            <w:tcW w:w="24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(2.3)</w:t>
            </w:r>
          </w:p>
        </w:tc>
        <w:tc>
          <w:tcPr>
            <w:tcW w:w="9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r>
      <w:tr>
        <w:trPr>
          <w:trHeight w:val="197"/>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income (loss) attributable to Mission Produce</w:t>
            </w:r>
          </w:p>
        </w:tc>
        <w:tc>
          <w:tcPr>
            <w:tcW w:w="5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6.6</w:t>
            </w:r>
          </w:p>
        </w:tc>
        <w:tc>
          <w:tcPr>
            <w:tcW w:w="1000" w:type="dxa"/>
            <w:vAlign w:val="bottom"/>
            <w:tcBorders>
              <w:top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18.4</w:t>
            </w: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(6.8)</w:t>
            </w:r>
          </w:p>
        </w:tc>
        <w:tc>
          <w:tcPr>
            <w:tcW w:w="980" w:type="dxa"/>
            <w:vAlign w:val="bottom"/>
            <w:tcBorders>
              <w:top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w:t>
            </w:r>
          </w:p>
        </w:tc>
      </w:tr>
      <w:tr>
        <w:trPr>
          <w:trHeight w:val="25"/>
        </w:trPr>
        <w:tc>
          <w:tcPr>
            <w:tcW w:w="4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9"/>
        </w:trPr>
        <w:tc>
          <w:tcPr>
            <w:tcW w:w="4080" w:type="dxa"/>
            <w:vAlign w:val="bottom"/>
            <w:shd w:val="clear" w:color="auto" w:fill="DBDBDB"/>
          </w:tcPr>
          <w:p>
            <w:pPr>
              <w:spacing w:after="0"/>
              <w:rPr>
                <w:sz w:val="23"/>
                <w:szCs w:val="23"/>
                <w:color w:val="auto"/>
              </w:rPr>
            </w:pPr>
          </w:p>
        </w:tc>
        <w:tc>
          <w:tcPr>
            <w:tcW w:w="560" w:type="dxa"/>
            <w:vAlign w:val="bottom"/>
            <w:shd w:val="clear" w:color="auto" w:fill="DBDBDB"/>
          </w:tcPr>
          <w:p>
            <w:pPr>
              <w:spacing w:after="0"/>
              <w:rPr>
                <w:sz w:val="23"/>
                <w:szCs w:val="23"/>
                <w:color w:val="auto"/>
              </w:rPr>
            </w:pPr>
          </w:p>
        </w:tc>
        <w:tc>
          <w:tcPr>
            <w:tcW w:w="1160" w:type="dxa"/>
            <w:vAlign w:val="bottom"/>
            <w:shd w:val="clear" w:color="auto" w:fill="DBDBDB"/>
          </w:tcPr>
          <w:p>
            <w:pPr>
              <w:spacing w:after="0"/>
              <w:rPr>
                <w:sz w:val="23"/>
                <w:szCs w:val="23"/>
                <w:color w:val="auto"/>
              </w:rPr>
            </w:pPr>
          </w:p>
        </w:tc>
        <w:tc>
          <w:tcPr>
            <w:tcW w:w="1000" w:type="dxa"/>
            <w:vAlign w:val="bottom"/>
            <w:shd w:val="clear" w:color="auto" w:fill="DBDBDB"/>
          </w:tcPr>
          <w:p>
            <w:pPr>
              <w:spacing w:after="0"/>
              <w:rPr>
                <w:sz w:val="23"/>
                <w:szCs w:val="23"/>
                <w:color w:val="auto"/>
              </w:rPr>
            </w:pPr>
          </w:p>
        </w:tc>
        <w:tc>
          <w:tcPr>
            <w:tcW w:w="740" w:type="dxa"/>
            <w:vAlign w:val="bottom"/>
            <w:shd w:val="clear" w:color="auto" w:fill="DBDBDB"/>
          </w:tcPr>
          <w:p>
            <w:pPr>
              <w:spacing w:after="0"/>
              <w:rPr>
                <w:sz w:val="23"/>
                <w:szCs w:val="23"/>
                <w:color w:val="auto"/>
              </w:rPr>
            </w:pPr>
          </w:p>
        </w:tc>
        <w:tc>
          <w:tcPr>
            <w:tcW w:w="240" w:type="dxa"/>
            <w:vAlign w:val="bottom"/>
            <w:shd w:val="clear" w:color="auto" w:fill="DBDBDB"/>
          </w:tcPr>
          <w:p>
            <w:pPr>
              <w:spacing w:after="0"/>
              <w:rPr>
                <w:sz w:val="23"/>
                <w:szCs w:val="23"/>
                <w:color w:val="auto"/>
              </w:rPr>
            </w:pPr>
          </w:p>
        </w:tc>
        <w:tc>
          <w:tcPr>
            <w:tcW w:w="580" w:type="dxa"/>
            <w:vAlign w:val="bottom"/>
            <w:shd w:val="clear" w:color="auto" w:fill="DBDBDB"/>
          </w:tcPr>
          <w:p>
            <w:pPr>
              <w:spacing w:after="0"/>
              <w:rPr>
                <w:sz w:val="23"/>
                <w:szCs w:val="23"/>
                <w:color w:val="auto"/>
              </w:rPr>
            </w:pPr>
          </w:p>
        </w:tc>
        <w:tc>
          <w:tcPr>
            <w:tcW w:w="1140" w:type="dxa"/>
            <w:vAlign w:val="bottom"/>
            <w:shd w:val="clear" w:color="auto" w:fill="DBDBDB"/>
          </w:tcPr>
          <w:p>
            <w:pPr>
              <w:spacing w:after="0"/>
              <w:rPr>
                <w:sz w:val="23"/>
                <w:szCs w:val="23"/>
                <w:color w:val="auto"/>
              </w:rPr>
            </w:pPr>
          </w:p>
        </w:tc>
        <w:tc>
          <w:tcPr>
            <w:tcW w:w="980" w:type="dxa"/>
            <w:vAlign w:val="bottom"/>
            <w:shd w:val="clear" w:color="auto" w:fill="DBDBDB"/>
          </w:tcPr>
          <w:p>
            <w:pPr>
              <w:spacing w:after="0"/>
              <w:rPr>
                <w:sz w:val="23"/>
                <w:szCs w:val="23"/>
                <w:color w:val="auto"/>
              </w:rPr>
            </w:pPr>
          </w:p>
        </w:tc>
        <w:tc>
          <w:tcPr>
            <w:tcW w:w="760" w:type="dxa"/>
            <w:vAlign w:val="bottom"/>
            <w:shd w:val="clear" w:color="auto" w:fill="DBDBDB"/>
          </w:tcPr>
          <w:p>
            <w:pPr>
              <w:spacing w:after="0"/>
              <w:rPr>
                <w:sz w:val="23"/>
                <w:szCs w:val="23"/>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4"/>
                <w:szCs w:val="14"/>
                <w:color w:val="auto"/>
              </w:rPr>
              <w:t>Net income (loss) per share attributable to Mission Produce:</w:t>
            </w: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
        </w:trPr>
        <w:tc>
          <w:tcPr>
            <w:tcW w:w="4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8"/>
        </w:trPr>
        <w:tc>
          <w:tcPr>
            <w:tcW w:w="408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4"/>
                <w:szCs w:val="14"/>
                <w:color w:val="auto"/>
              </w:rPr>
              <w:t>Basic</w:t>
            </w:r>
          </w:p>
        </w:tc>
        <w:tc>
          <w:tcPr>
            <w:tcW w:w="560" w:type="dxa"/>
            <w:vAlign w:val="bottom"/>
            <w:tcBorders>
              <w:bottom w:val="single" w:sz="8" w:color="DBDBDB"/>
            </w:tcBorders>
            <w:shd w:val="clear" w:color="auto" w:fill="DBDBDB"/>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0.09</w:t>
            </w:r>
          </w:p>
        </w:tc>
        <w:tc>
          <w:tcPr>
            <w:tcW w:w="1000" w:type="dxa"/>
            <w:vAlign w:val="bottom"/>
            <w:tcBorders>
              <w:bottom w:val="single" w:sz="8" w:color="DBDBDB"/>
            </w:tcBorders>
            <w:shd w:val="clear" w:color="auto" w:fill="DBDBDB"/>
          </w:tcPr>
          <w:p>
            <w:pPr>
              <w:jc w:val="right"/>
              <w:ind w:right="7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0.26</w:t>
            </w:r>
          </w:p>
        </w:tc>
        <w:tc>
          <w:tcPr>
            <w:tcW w:w="24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(0.10)</w:t>
            </w:r>
          </w:p>
        </w:tc>
        <w:tc>
          <w:tcPr>
            <w:tcW w:w="980" w:type="dxa"/>
            <w:vAlign w:val="bottom"/>
            <w:tcBorders>
              <w:bottom w:val="single" w:sz="8" w:color="DBDBDB"/>
            </w:tcBorders>
            <w:shd w:val="clear" w:color="auto" w:fill="DBDBDB"/>
          </w:tcPr>
          <w:p>
            <w:pPr>
              <w:jc w:val="right"/>
              <w:ind w:right="7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0.10</w:t>
            </w:r>
          </w:p>
        </w:tc>
      </w:tr>
      <w:tr>
        <w:trPr>
          <w:trHeight w:val="203"/>
        </w:trPr>
        <w:tc>
          <w:tcPr>
            <w:tcW w:w="4080" w:type="dxa"/>
            <w:vAlign w:val="bottom"/>
          </w:tcPr>
          <w:p>
            <w:pPr>
              <w:ind w:left="340"/>
              <w:spacing w:after="0"/>
              <w:rPr>
                <w:sz w:val="20"/>
                <w:szCs w:val="20"/>
                <w:color w:val="auto"/>
              </w:rPr>
            </w:pPr>
            <w:r>
              <w:rPr>
                <w:rFonts w:ascii="Arial" w:cs="Arial" w:eastAsia="Arial" w:hAnsi="Arial"/>
                <w:sz w:val="14"/>
                <w:szCs w:val="14"/>
                <w:color w:val="auto"/>
              </w:rPr>
              <w:t>Diluted</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0.09</w:t>
            </w:r>
          </w:p>
        </w:tc>
        <w:tc>
          <w:tcPr>
            <w:tcW w:w="100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0.26</w:t>
            </w:r>
          </w:p>
        </w:tc>
        <w:tc>
          <w:tcPr>
            <w:tcW w:w="240" w:type="dxa"/>
            <w:vAlign w:val="bottom"/>
          </w:tcPr>
          <w:p>
            <w:pPr>
              <w:spacing w:after="0"/>
              <w:rPr>
                <w:sz w:val="17"/>
                <w:szCs w:val="17"/>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(0.10)</w:t>
            </w:r>
          </w:p>
        </w:tc>
        <w:tc>
          <w:tcPr>
            <w:tcW w:w="9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0.10</w:t>
            </w:r>
          </w:p>
        </w:tc>
      </w:tr>
      <w:tr>
        <w:trPr>
          <w:trHeight w:val="25"/>
        </w:trPr>
        <w:tc>
          <w:tcPr>
            <w:tcW w:w="4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MISSION PRODUCE,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COMPREHENSIVE INCOME (LOSS)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5"/>
                <w:szCs w:val="15"/>
                <w:color w:val="auto"/>
              </w:rPr>
            </w:pPr>
          </w:p>
        </w:tc>
      </w:tr>
      <w:tr>
        <w:trPr>
          <w:trHeight w:val="208"/>
        </w:trPr>
        <w:tc>
          <w:tcPr>
            <w:tcW w:w="4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July 31,</w:t>
            </w:r>
          </w:p>
        </w:tc>
        <w:tc>
          <w:tcPr>
            <w:tcW w:w="7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right"/>
              <w:ind w:right="608"/>
              <w:spacing w:after="0"/>
              <w:rPr>
                <w:sz w:val="20"/>
                <w:szCs w:val="20"/>
                <w:color w:val="auto"/>
              </w:rPr>
            </w:pPr>
            <w:r>
              <w:rPr>
                <w:rFonts w:ascii="Arial" w:cs="Arial" w:eastAsia="Arial" w:hAnsi="Arial"/>
                <w:sz w:val="14"/>
                <w:szCs w:val="14"/>
                <w:b w:val="1"/>
                <w:bCs w:val="1"/>
                <w:color w:val="auto"/>
              </w:rPr>
              <w:t>July 31,</w:t>
            </w:r>
          </w:p>
        </w:tc>
        <w:tc>
          <w:tcPr>
            <w:tcW w:w="720" w:type="dxa"/>
            <w:vAlign w:val="bottom"/>
            <w:tcBorders>
              <w:bottom w:val="single" w:sz="8" w:color="auto"/>
            </w:tcBorders>
          </w:tcPr>
          <w:p>
            <w:pPr>
              <w:spacing w:after="0"/>
              <w:rPr>
                <w:sz w:val="18"/>
                <w:szCs w:val="18"/>
                <w:color w:val="auto"/>
              </w:rPr>
            </w:pPr>
          </w:p>
        </w:tc>
      </w:tr>
      <w:tr>
        <w:trPr>
          <w:trHeight w:val="222"/>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r>
      <w:tr>
        <w:trPr>
          <w:trHeight w:val="208"/>
        </w:trPr>
        <w:tc>
          <w:tcPr>
            <w:tcW w:w="4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(loss)</w:t>
            </w:r>
          </w:p>
        </w:tc>
        <w:tc>
          <w:tcPr>
            <w:tcW w:w="520" w:type="dxa"/>
            <w:vAlign w:val="bottom"/>
            <w:tcBorders>
              <w:bottom w:val="single" w:sz="8" w:color="DBDBDB"/>
            </w:tcBorders>
            <w:shd w:val="clear" w:color="auto" w:fill="DBDBDB"/>
          </w:tcPr>
          <w:p>
            <w:pPr>
              <w:jc w:val="right"/>
              <w:ind w:right="3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tcBorders>
            <w:shd w:val="clear" w:color="auto" w:fill="DBDBDB"/>
          </w:tcPr>
          <w:p>
            <w:pPr>
              <w:jc w:val="center"/>
              <w:ind w:left="588"/>
              <w:spacing w:after="0"/>
              <w:rPr>
                <w:sz w:val="20"/>
                <w:szCs w:val="20"/>
                <w:color w:val="auto"/>
              </w:rPr>
            </w:pPr>
            <w:r>
              <w:rPr>
                <w:rFonts w:ascii="Arial" w:cs="Arial" w:eastAsia="Arial" w:hAnsi="Arial"/>
                <w:sz w:val="14"/>
                <w:szCs w:val="14"/>
                <w:color w:val="auto"/>
              </w:rPr>
              <w:t>6.2</w:t>
            </w:r>
          </w:p>
        </w:tc>
        <w:tc>
          <w:tcPr>
            <w:tcW w:w="980" w:type="dxa"/>
            <w:vAlign w:val="bottom"/>
            <w:tcBorders>
              <w:bottom w:val="single" w:sz="8" w:color="DBDBDB"/>
            </w:tcBorders>
            <w:shd w:val="clear" w:color="auto" w:fill="DBDBDB"/>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17.9</w:t>
            </w:r>
          </w:p>
        </w:tc>
        <w:tc>
          <w:tcPr>
            <w:tcW w:w="26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shd w:val="clear" w:color="auto" w:fill="DBDBDB"/>
          </w:tcPr>
          <w:p>
            <w:pPr>
              <w:jc w:val="center"/>
              <w:ind w:left="568"/>
              <w:spacing w:after="0"/>
              <w:rPr>
                <w:sz w:val="20"/>
                <w:szCs w:val="20"/>
                <w:color w:val="auto"/>
              </w:rPr>
            </w:pPr>
            <w:r>
              <w:rPr>
                <w:rFonts w:ascii="Arial" w:cs="Arial" w:eastAsia="Arial" w:hAnsi="Arial"/>
                <w:sz w:val="14"/>
                <w:szCs w:val="14"/>
                <w:color w:val="auto"/>
                <w:w w:val="97"/>
              </w:rPr>
              <w:t>(9.1)</w:t>
            </w:r>
          </w:p>
        </w:tc>
        <w:tc>
          <w:tcPr>
            <w:tcW w:w="960" w:type="dxa"/>
            <w:vAlign w:val="bottom"/>
            <w:tcBorders>
              <w:bottom w:val="single" w:sz="8" w:color="DBDBDB"/>
            </w:tcBorders>
            <w:shd w:val="clear" w:color="auto" w:fill="DBDBDB"/>
          </w:tcPr>
          <w:p>
            <w:pPr>
              <w:jc w:val="right"/>
              <w:ind w:right="7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shd w:val="clear" w:color="auto" w:fill="DBDBDB"/>
          </w:tcPr>
          <w:p>
            <w:pPr>
              <w:jc w:val="center"/>
              <w:ind w:left="328"/>
              <w:spacing w:after="0"/>
              <w:rPr>
                <w:sz w:val="20"/>
                <w:szCs w:val="20"/>
                <w:color w:val="auto"/>
              </w:rPr>
            </w:pPr>
            <w:r>
              <w:rPr>
                <w:rFonts w:ascii="Arial" w:cs="Arial" w:eastAsia="Arial" w:hAnsi="Arial"/>
                <w:sz w:val="14"/>
                <w:szCs w:val="14"/>
                <w:color w:val="auto"/>
              </w:rPr>
              <w:t>6.9</w:t>
            </w:r>
          </w:p>
        </w:tc>
      </w:tr>
      <w:tr>
        <w:trPr>
          <w:trHeight w:val="203"/>
        </w:trPr>
        <w:tc>
          <w:tcPr>
            <w:tcW w:w="430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
        </w:trPr>
        <w:tc>
          <w:tcPr>
            <w:tcW w:w="4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3"/>
        </w:trPr>
        <w:tc>
          <w:tcPr>
            <w:tcW w:w="430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4"/>
                <w:szCs w:val="14"/>
                <w:color w:val="auto"/>
              </w:rPr>
              <w:t>Foreign currency translation adjustments</w:t>
            </w:r>
          </w:p>
        </w:tc>
        <w:tc>
          <w:tcPr>
            <w:tcW w:w="52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jc w:val="center"/>
              <w:ind w:left="588"/>
              <w:spacing w:after="0"/>
              <w:rPr>
                <w:sz w:val="20"/>
                <w:szCs w:val="20"/>
                <w:color w:val="auto"/>
              </w:rPr>
            </w:pPr>
            <w:r>
              <w:rPr>
                <w:rFonts w:ascii="Arial" w:cs="Arial" w:eastAsia="Arial" w:hAnsi="Arial"/>
                <w:sz w:val="14"/>
                <w:szCs w:val="14"/>
                <w:color w:val="auto"/>
              </w:rPr>
              <w:t>0.7</w:t>
            </w:r>
          </w:p>
        </w:tc>
        <w:tc>
          <w:tcPr>
            <w:tcW w:w="980" w:type="dxa"/>
            <w:vAlign w:val="bottom"/>
            <w:tcBorders>
              <w:bottom w:val="single" w:sz="8" w:color="DBDBDB"/>
            </w:tcBorders>
            <w:shd w:val="clear" w:color="auto" w:fill="DBDBDB"/>
          </w:tcPr>
          <w:p>
            <w:pPr>
              <w:spacing w:after="0"/>
              <w:rPr>
                <w:sz w:val="19"/>
                <w:szCs w:val="19"/>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DBDBDB"/>
            </w:tcBorders>
            <w:shd w:val="clear" w:color="auto" w:fill="DBDBDB"/>
          </w:tcPr>
          <w:p>
            <w:pPr>
              <w:spacing w:after="0"/>
              <w:rPr>
                <w:sz w:val="19"/>
                <w:szCs w:val="19"/>
                <w:color w:val="auto"/>
              </w:rPr>
            </w:pPr>
          </w:p>
        </w:tc>
        <w:tc>
          <w:tcPr>
            <w:tcW w:w="540" w:type="dxa"/>
            <w:vAlign w:val="bottom"/>
            <w:tcBorders>
              <w:bottom w:val="single" w:sz="8" w:color="DBDBDB"/>
            </w:tcBorders>
            <w:shd w:val="clear" w:color="auto" w:fill="DBDBDB"/>
          </w:tcPr>
          <w:p>
            <w:pPr>
              <w:spacing w:after="0"/>
              <w:rPr>
                <w:sz w:val="19"/>
                <w:szCs w:val="19"/>
                <w:color w:val="auto"/>
              </w:rPr>
            </w:pPr>
          </w:p>
        </w:tc>
        <w:tc>
          <w:tcPr>
            <w:tcW w:w="1120" w:type="dxa"/>
            <w:vAlign w:val="bottom"/>
            <w:tcBorders>
              <w:bottom w:val="single" w:sz="8" w:color="DBDBDB"/>
            </w:tcBorders>
            <w:shd w:val="clear" w:color="auto" w:fill="DBDBDB"/>
          </w:tcPr>
          <w:p>
            <w:pPr>
              <w:jc w:val="center"/>
              <w:ind w:left="568"/>
              <w:spacing w:after="0"/>
              <w:rPr>
                <w:sz w:val="20"/>
                <w:szCs w:val="20"/>
                <w:color w:val="auto"/>
              </w:rPr>
            </w:pPr>
            <w:r>
              <w:rPr>
                <w:rFonts w:ascii="Arial" w:cs="Arial" w:eastAsia="Arial" w:hAnsi="Arial"/>
                <w:sz w:val="14"/>
                <w:szCs w:val="14"/>
                <w:color w:val="auto"/>
              </w:rPr>
              <w:t>1.5</w:t>
            </w:r>
          </w:p>
        </w:tc>
        <w:tc>
          <w:tcPr>
            <w:tcW w:w="960" w:type="dxa"/>
            <w:vAlign w:val="bottom"/>
            <w:tcBorders>
              <w:bottom w:val="single" w:sz="8" w:color="DBDBDB"/>
            </w:tcBorders>
            <w:shd w:val="clear" w:color="auto" w:fill="DBDBDB"/>
          </w:tcPr>
          <w:p>
            <w:pPr>
              <w:spacing w:after="0"/>
              <w:rPr>
                <w:sz w:val="19"/>
                <w:szCs w:val="19"/>
                <w:color w:val="auto"/>
              </w:rPr>
            </w:pPr>
          </w:p>
        </w:tc>
        <w:tc>
          <w:tcPr>
            <w:tcW w:w="720" w:type="dxa"/>
            <w:vAlign w:val="bottom"/>
            <w:tcBorders>
              <w:bottom w:val="single" w:sz="8" w:color="DBDBDB"/>
            </w:tcBorders>
            <w:shd w:val="clear" w:color="auto" w:fill="DBDBDB"/>
          </w:tcPr>
          <w:p>
            <w:pPr>
              <w:jc w:val="center"/>
              <w:ind w:left="308"/>
              <w:spacing w:after="0"/>
              <w:rPr>
                <w:sz w:val="20"/>
                <w:szCs w:val="20"/>
                <w:color w:val="auto"/>
              </w:rPr>
            </w:pPr>
            <w:r>
              <w:rPr>
                <w:rFonts w:ascii="Arial" w:cs="Arial" w:eastAsia="Arial" w:hAnsi="Arial"/>
                <w:sz w:val="14"/>
                <w:szCs w:val="14"/>
                <w:color w:val="auto"/>
              </w:rPr>
              <w:t>(0.6)</w:t>
            </w:r>
          </w:p>
        </w:tc>
      </w:tr>
      <w:tr>
        <w:trPr>
          <w:trHeight w:val="197"/>
        </w:trPr>
        <w:tc>
          <w:tcPr>
            <w:tcW w:w="43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comprehensive income (loss), net of tax</w:t>
            </w:r>
          </w:p>
        </w:tc>
        <w:tc>
          <w:tcPr>
            <w:tcW w:w="5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left="588"/>
              <w:spacing w:after="0"/>
              <w:rPr>
                <w:sz w:val="20"/>
                <w:szCs w:val="20"/>
                <w:color w:val="auto"/>
              </w:rPr>
            </w:pPr>
            <w:r>
              <w:rPr>
                <w:rFonts w:ascii="Arial" w:cs="Arial" w:eastAsia="Arial" w:hAnsi="Arial"/>
                <w:sz w:val="14"/>
                <w:szCs w:val="14"/>
                <w:color w:val="auto"/>
              </w:rPr>
              <w:t>6.9</w:t>
            </w:r>
          </w:p>
        </w:tc>
        <w:tc>
          <w:tcPr>
            <w:tcW w:w="9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2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left="568"/>
              <w:spacing w:after="0"/>
              <w:rPr>
                <w:sz w:val="20"/>
                <w:szCs w:val="20"/>
                <w:color w:val="auto"/>
              </w:rPr>
            </w:pPr>
            <w:r>
              <w:rPr>
                <w:rFonts w:ascii="Arial" w:cs="Arial" w:eastAsia="Arial" w:hAnsi="Arial"/>
                <w:sz w:val="14"/>
                <w:szCs w:val="14"/>
                <w:color w:val="auto"/>
                <w:w w:val="97"/>
              </w:rPr>
              <w:t>(7.6)</w:t>
            </w:r>
          </w:p>
        </w:tc>
        <w:tc>
          <w:tcPr>
            <w:tcW w:w="9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center"/>
              <w:ind w:left="328"/>
              <w:spacing w:after="0"/>
              <w:rPr>
                <w:sz w:val="20"/>
                <w:szCs w:val="20"/>
                <w:color w:val="auto"/>
              </w:rPr>
            </w:pPr>
            <w:r>
              <w:rPr>
                <w:rFonts w:ascii="Arial" w:cs="Arial" w:eastAsia="Arial" w:hAnsi="Arial"/>
                <w:sz w:val="14"/>
                <w:szCs w:val="14"/>
                <w:color w:val="auto"/>
              </w:rPr>
              <w:t>6.3</w:t>
            </w:r>
          </w:p>
        </w:tc>
      </w:tr>
      <w:tr>
        <w:trPr>
          <w:trHeight w:val="25"/>
        </w:trPr>
        <w:tc>
          <w:tcPr>
            <w:tcW w:w="4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6"/>
        </w:trPr>
        <w:tc>
          <w:tcPr>
            <w:tcW w:w="4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Less:</w:t>
            </w:r>
          </w:p>
        </w:tc>
        <w:tc>
          <w:tcPr>
            <w:tcW w:w="5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r>
      <w:tr>
        <w:trPr>
          <w:trHeight w:val="212"/>
        </w:trPr>
        <w:tc>
          <w:tcPr>
            <w:tcW w:w="430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rPr>
              <w:t>Comprehensive loss attributable to noncontrolling interest</w:t>
            </w:r>
          </w:p>
        </w:tc>
        <w:tc>
          <w:tcPr>
            <w:tcW w:w="52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jc w:val="center"/>
              <w:ind w:left="588"/>
              <w:spacing w:after="0"/>
              <w:rPr>
                <w:sz w:val="20"/>
                <w:szCs w:val="20"/>
                <w:color w:val="auto"/>
              </w:rPr>
            </w:pPr>
            <w:r>
              <w:rPr>
                <w:rFonts w:ascii="Arial" w:cs="Arial" w:eastAsia="Arial" w:hAnsi="Arial"/>
                <w:sz w:val="14"/>
                <w:szCs w:val="14"/>
                <w:color w:val="auto"/>
                <w:w w:val="97"/>
              </w:rPr>
              <w:t>(0.4)</w:t>
            </w:r>
          </w:p>
        </w:tc>
        <w:tc>
          <w:tcPr>
            <w:tcW w:w="98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center"/>
              <w:ind w:left="568"/>
              <w:spacing w:after="0"/>
              <w:rPr>
                <w:sz w:val="20"/>
                <w:szCs w:val="20"/>
                <w:color w:val="auto"/>
              </w:rPr>
            </w:pPr>
            <w:r>
              <w:rPr>
                <w:rFonts w:ascii="Arial" w:cs="Arial" w:eastAsia="Arial" w:hAnsi="Arial"/>
                <w:sz w:val="14"/>
                <w:szCs w:val="14"/>
                <w:color w:val="auto"/>
                <w:w w:val="97"/>
              </w:rPr>
              <w:t>(2.3)</w:t>
            </w:r>
          </w:p>
        </w:tc>
        <w:tc>
          <w:tcPr>
            <w:tcW w:w="96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center"/>
              <w:ind w:left="308"/>
              <w:spacing w:after="0"/>
              <w:rPr>
                <w:sz w:val="20"/>
                <w:szCs w:val="20"/>
                <w:color w:val="auto"/>
              </w:rPr>
            </w:pPr>
            <w:r>
              <w:rPr>
                <w:rFonts w:ascii="Arial" w:cs="Arial" w:eastAsia="Arial" w:hAnsi="Arial"/>
                <w:sz w:val="14"/>
                <w:szCs w:val="14"/>
                <w:color w:val="auto"/>
              </w:rPr>
              <w:t>(0.5)</w:t>
            </w:r>
          </w:p>
        </w:tc>
      </w:tr>
      <w:tr>
        <w:trPr>
          <w:trHeight w:val="197"/>
        </w:trPr>
        <w:tc>
          <w:tcPr>
            <w:tcW w:w="43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Comprehensive income (loss) attributable to Mission Produce</w:t>
            </w: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center"/>
              <w:ind w:left="588"/>
              <w:spacing w:after="0"/>
              <w:rPr>
                <w:sz w:val="20"/>
                <w:szCs w:val="20"/>
                <w:color w:val="auto"/>
              </w:rPr>
            </w:pPr>
            <w:r>
              <w:rPr>
                <w:rFonts w:ascii="Arial" w:cs="Arial" w:eastAsia="Arial" w:hAnsi="Arial"/>
                <w:sz w:val="14"/>
                <w:szCs w:val="14"/>
                <w:color w:val="auto"/>
              </w:rPr>
              <w:t>7.3</w:t>
            </w:r>
          </w:p>
        </w:tc>
        <w:tc>
          <w:tcPr>
            <w:tcW w:w="980" w:type="dxa"/>
            <w:vAlign w:val="bottom"/>
            <w:tcBorders>
              <w:top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2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center"/>
              <w:ind w:left="568"/>
              <w:spacing w:after="0"/>
              <w:rPr>
                <w:sz w:val="20"/>
                <w:szCs w:val="20"/>
                <w:color w:val="auto"/>
              </w:rPr>
            </w:pPr>
            <w:r>
              <w:rPr>
                <w:rFonts w:ascii="Arial" w:cs="Arial" w:eastAsia="Arial" w:hAnsi="Arial"/>
                <w:sz w:val="14"/>
                <w:szCs w:val="14"/>
                <w:color w:val="auto"/>
                <w:w w:val="97"/>
              </w:rPr>
              <w:t>(5.3)</w:t>
            </w:r>
          </w:p>
        </w:tc>
        <w:tc>
          <w:tcPr>
            <w:tcW w:w="960" w:type="dxa"/>
            <w:vAlign w:val="bottom"/>
            <w:tcBorders>
              <w:top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center"/>
              <w:ind w:left="328"/>
              <w:spacing w:after="0"/>
              <w:rPr>
                <w:sz w:val="20"/>
                <w:szCs w:val="20"/>
                <w:color w:val="auto"/>
              </w:rPr>
            </w:pPr>
            <w:r>
              <w:rPr>
                <w:rFonts w:ascii="Arial" w:cs="Arial" w:eastAsia="Arial" w:hAnsi="Arial"/>
                <w:sz w:val="14"/>
                <w:szCs w:val="14"/>
                <w:color w:val="auto"/>
              </w:rPr>
              <w:t>6.8</w:t>
            </w:r>
          </w:p>
        </w:tc>
      </w:tr>
      <w:tr>
        <w:trPr>
          <w:trHeight w:val="25"/>
        </w:trPr>
        <w:tc>
          <w:tcPr>
            <w:tcW w:w="4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MISSION PRODUCE,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CHANGES IN EQUITY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60" w:type="dxa"/>
            <w:vAlign w:val="bottom"/>
          </w:tcPr>
          <w:p>
            <w:pPr>
              <w:spacing w:after="0"/>
              <w:rPr>
                <w:sz w:val="13"/>
                <w:szCs w:val="13"/>
                <w:color w:val="auto"/>
              </w:rPr>
            </w:pPr>
          </w:p>
        </w:tc>
        <w:tc>
          <w:tcPr>
            <w:tcW w:w="178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rPr>
              <w:t>Common stock</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4"/>
              </w:rPr>
              <w:t>Additonal paid-in</w:t>
            </w: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Accumulated other</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9"/>
              </w:rPr>
              <w:t>Noncontrolling</w:t>
            </w: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660" w:type="dxa"/>
            <w:vAlign w:val="bottom"/>
          </w:tcPr>
          <w:p>
            <w:pPr>
              <w:ind w:left="20"/>
              <w:spacing w:after="0"/>
              <w:rPr>
                <w:sz w:val="20"/>
                <w:szCs w:val="20"/>
                <w:color w:val="auto"/>
              </w:rPr>
            </w:pPr>
            <w:r>
              <w:rPr>
                <w:rFonts w:ascii="Arial" w:cs="Arial" w:eastAsia="Arial" w:hAnsi="Arial"/>
                <w:sz w:val="13"/>
                <w:szCs w:val="13"/>
                <w:color w:val="auto"/>
              </w:rPr>
              <w:t>(In millions, except for shares)</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w w:val="84"/>
              </w:rPr>
              <w:t>comprehensive loss</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w w:val="88"/>
              </w:rPr>
              <w:t>Retained earnings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interest</w:t>
            </w: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22"/>
        </w:trPr>
        <w:tc>
          <w:tcPr>
            <w:tcW w:w="2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Balance at October 31, 2021</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70,631,525</w:t>
            </w:r>
          </w:p>
        </w:tc>
        <w:tc>
          <w:tcPr>
            <w:tcW w:w="580" w:type="dxa"/>
            <w:vAlign w:val="bottom"/>
            <w:tcBorders>
              <w:bottom w:val="single" w:sz="8" w:color="DBDBDB"/>
            </w:tcBorders>
            <w:shd w:val="clear" w:color="auto" w:fill="DBDBDB"/>
          </w:tcPr>
          <w:p>
            <w:pPr>
              <w:jc w:val="right"/>
              <w:ind w:right="4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0.1</w:t>
            </w:r>
          </w:p>
        </w:tc>
        <w:tc>
          <w:tcPr>
            <w:tcW w:w="28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225.6</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(0.5)</w:t>
            </w:r>
          </w:p>
        </w:tc>
        <w:tc>
          <w:tcPr>
            <w:tcW w:w="16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309.0</w:t>
            </w:r>
          </w:p>
        </w:tc>
        <w:tc>
          <w:tcPr>
            <w:tcW w:w="260" w:type="dxa"/>
            <w:vAlign w:val="bottom"/>
            <w:tcBorders>
              <w:bottom w:val="single" w:sz="8" w:color="DBDBDB"/>
            </w:tcBorders>
            <w:shd w:val="clear" w:color="auto" w:fill="DBDBDB"/>
          </w:tcPr>
          <w:p>
            <w:pPr>
              <w:jc w:val="right"/>
              <w:ind w:right="11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DBDBDB"/>
            </w:tcBorders>
            <w:shd w:val="clear" w:color="auto" w:fill="DBDBDB"/>
          </w:tcPr>
          <w:p>
            <w:pPr>
              <w:jc w:val="right"/>
              <w:ind w:right="17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534.2</w:t>
            </w: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rPr>
                <w:sz w:val="20"/>
                <w:szCs w:val="20"/>
                <w:color w:val="auto"/>
              </w:rPr>
            </w:pPr>
            <w:r>
              <w:rPr>
                <w:rFonts w:ascii="Arial" w:cs="Arial" w:eastAsia="Arial" w:hAnsi="Arial"/>
                <w:sz w:val="13"/>
                <w:szCs w:val="13"/>
                <w:color w:val="auto"/>
              </w:rPr>
              <w:t>Stock-based compensaton</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Net loss</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(13.4)</w:t>
            </w:r>
          </w:p>
        </w:tc>
        <w:tc>
          <w:tcPr>
            <w:tcW w:w="26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(0.3)</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35"/>
        </w:trPr>
        <w:tc>
          <w:tcPr>
            <w:tcW w:w="26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Balance at January 31, 2022</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70,631,525</w:t>
            </w:r>
          </w:p>
        </w:tc>
        <w:tc>
          <w:tcPr>
            <w:tcW w:w="580" w:type="dxa"/>
            <w:vAlign w:val="bottom"/>
            <w:tcBorders>
              <w:bottom w:val="single" w:sz="8" w:color="DBDBDB"/>
            </w:tcBorders>
            <w:shd w:val="clear" w:color="auto" w:fill="DBDBDB"/>
          </w:tcPr>
          <w:p>
            <w:pPr>
              <w:jc w:val="right"/>
              <w:ind w:right="4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0.1</w:t>
            </w:r>
          </w:p>
        </w:tc>
        <w:tc>
          <w:tcPr>
            <w:tcW w:w="28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226.4</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(0.8)</w:t>
            </w:r>
          </w:p>
        </w:tc>
        <w:tc>
          <w:tcPr>
            <w:tcW w:w="16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295.6</w:t>
            </w:r>
          </w:p>
        </w:tc>
        <w:tc>
          <w:tcPr>
            <w:tcW w:w="260" w:type="dxa"/>
            <w:vAlign w:val="bottom"/>
            <w:tcBorders>
              <w:bottom w:val="single" w:sz="8" w:color="DBDBDB"/>
            </w:tcBorders>
            <w:shd w:val="clear" w:color="auto" w:fill="DBDBDB"/>
          </w:tcPr>
          <w:p>
            <w:pPr>
              <w:jc w:val="right"/>
              <w:ind w:right="11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DBDBDB"/>
            </w:tcBorders>
            <w:shd w:val="clear" w:color="auto" w:fill="DBDBDB"/>
          </w:tcPr>
          <w:p>
            <w:pPr>
              <w:jc w:val="right"/>
              <w:ind w:right="17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521.3</w:t>
            </w:r>
          </w:p>
        </w:tc>
        <w:tc>
          <w:tcPr>
            <w:tcW w:w="0" w:type="dxa"/>
            <w:vAlign w:val="bottom"/>
          </w:tcPr>
          <w:p>
            <w:pPr>
              <w:spacing w:after="0"/>
              <w:rPr>
                <w:sz w:val="1"/>
                <w:szCs w:val="1"/>
                <w:color w:val="auto"/>
              </w:rPr>
            </w:pPr>
          </w:p>
        </w:tc>
      </w:tr>
      <w:tr>
        <w:trPr>
          <w:trHeight w:val="160"/>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Stock-based compensaton</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0.9</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Issuance of common stock for equity awards</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22,516</w:t>
            </w:r>
          </w:p>
        </w:tc>
        <w:tc>
          <w:tcPr>
            <w:tcW w:w="58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Other comprehensive income</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0.2</w:t>
            </w:r>
          </w:p>
        </w:tc>
        <w:tc>
          <w:tcPr>
            <w:tcW w:w="16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0"/>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Balance at April 30, 2022</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70,654,041</w:t>
            </w:r>
          </w:p>
        </w:tc>
        <w:tc>
          <w:tcPr>
            <w:tcW w:w="580" w:type="dxa"/>
            <w:vAlign w:val="bottom"/>
            <w:tcBorders>
              <w:top w:val="single" w:sz="8" w:color="auto"/>
            </w:tcBorders>
          </w:tcPr>
          <w:p>
            <w:pPr>
              <w:jc w:val="right"/>
              <w:ind w:right="4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2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227.3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298.0</w:t>
            </w: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524.8</w:t>
            </w:r>
          </w:p>
        </w:tc>
        <w:tc>
          <w:tcPr>
            <w:tcW w:w="0" w:type="dxa"/>
            <w:vAlign w:val="bottom"/>
          </w:tcPr>
          <w:p>
            <w:pPr>
              <w:spacing w:after="0"/>
              <w:rPr>
                <w:sz w:val="1"/>
                <w:szCs w:val="1"/>
                <w:color w:val="auto"/>
              </w:rPr>
            </w:pPr>
          </w:p>
        </w:tc>
      </w:tr>
      <w:tr>
        <w:trPr>
          <w:trHeight w:val="35"/>
        </w:trPr>
        <w:tc>
          <w:tcPr>
            <w:tcW w:w="26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Stock-based compensaton</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0.9</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rPr>
                <w:sz w:val="20"/>
                <w:szCs w:val="20"/>
                <w:color w:val="auto"/>
              </w:rPr>
            </w:pPr>
            <w:r>
              <w:rPr>
                <w:rFonts w:ascii="Arial" w:cs="Arial" w:eastAsia="Arial" w:hAnsi="Arial"/>
                <w:sz w:val="13"/>
                <w:szCs w:val="13"/>
                <w:color w:val="auto"/>
              </w:rPr>
              <w:t>Issuance of common stock for equity awards</w:t>
            </w:r>
          </w:p>
        </w:tc>
        <w:tc>
          <w:tcPr>
            <w:tcW w:w="1200" w:type="dxa"/>
            <w:vAlign w:val="bottom"/>
          </w:tcPr>
          <w:p>
            <w:pPr>
              <w:jc w:val="right"/>
              <w:spacing w:after="0"/>
              <w:rPr>
                <w:sz w:val="20"/>
                <w:szCs w:val="20"/>
                <w:color w:val="auto"/>
              </w:rPr>
            </w:pPr>
            <w:r>
              <w:rPr>
                <w:rFonts w:ascii="Arial" w:cs="Arial" w:eastAsia="Arial" w:hAnsi="Arial"/>
                <w:sz w:val="13"/>
                <w:szCs w:val="13"/>
                <w:color w:val="auto"/>
              </w:rPr>
              <w:t>5,163</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Acquired noncontrolling interest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20.2</w:t>
            </w:r>
          </w:p>
        </w:tc>
        <w:tc>
          <w:tcPr>
            <w:tcW w:w="32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18.4</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(0.5)</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Other comprehensive loss</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(0.5)</w:t>
            </w:r>
          </w:p>
        </w:tc>
        <w:tc>
          <w:tcPr>
            <w:tcW w:w="16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60"/>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Balance at July 31, 2022</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70,659,204</w:t>
            </w:r>
          </w:p>
        </w:tc>
        <w:tc>
          <w:tcPr>
            <w:tcW w:w="580" w:type="dxa"/>
            <w:vAlign w:val="bottom"/>
            <w:tcBorders>
              <w:top w:val="single" w:sz="8" w:color="auto"/>
            </w:tcBorders>
          </w:tcPr>
          <w:p>
            <w:pPr>
              <w:jc w:val="right"/>
              <w:ind w:right="4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2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228.2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316.4</w:t>
            </w: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19.7</w:t>
            </w:r>
          </w:p>
        </w:tc>
        <w:tc>
          <w:tcPr>
            <w:tcW w:w="320" w:type="dxa"/>
            <w:vAlign w:val="bottom"/>
            <w:tcBorders>
              <w:top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563.3</w:t>
            </w:r>
          </w:p>
        </w:tc>
        <w:tc>
          <w:tcPr>
            <w:tcW w:w="0" w:type="dxa"/>
            <w:vAlign w:val="bottom"/>
          </w:tcPr>
          <w:p>
            <w:pPr>
              <w:spacing w:after="0"/>
              <w:rPr>
                <w:sz w:val="1"/>
                <w:szCs w:val="1"/>
                <w:color w:val="auto"/>
              </w:rPr>
            </w:pPr>
          </w:p>
        </w:tc>
      </w:tr>
      <w:tr>
        <w:trPr>
          <w:trHeight w:val="35"/>
        </w:trPr>
        <w:tc>
          <w:tcPr>
            <w:tcW w:w="26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Balance at October 31, 2022</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70,669,535</w:t>
            </w:r>
          </w:p>
        </w:tc>
        <w:tc>
          <w:tcPr>
            <w:tcW w:w="580" w:type="dxa"/>
            <w:vAlign w:val="bottom"/>
            <w:tcBorders>
              <w:bottom w:val="single" w:sz="8" w:color="DBDBDB"/>
            </w:tcBorders>
            <w:shd w:val="clear" w:color="auto" w:fill="DBDBDB"/>
          </w:tcPr>
          <w:p>
            <w:pPr>
              <w:jc w:val="right"/>
              <w:ind w:right="4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0.1</w:t>
            </w:r>
          </w:p>
        </w:tc>
        <w:tc>
          <w:tcPr>
            <w:tcW w:w="28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229.3</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(1.7)</w:t>
            </w:r>
          </w:p>
        </w:tc>
        <w:tc>
          <w:tcPr>
            <w:tcW w:w="16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274.4</w:t>
            </w:r>
          </w:p>
        </w:tc>
        <w:tc>
          <w:tcPr>
            <w:tcW w:w="260" w:type="dxa"/>
            <w:vAlign w:val="bottom"/>
            <w:tcBorders>
              <w:bottom w:val="single" w:sz="8" w:color="DBDBDB"/>
            </w:tcBorders>
            <w:shd w:val="clear" w:color="auto" w:fill="DBDBDB"/>
          </w:tcPr>
          <w:p>
            <w:pPr>
              <w:jc w:val="right"/>
              <w:ind w:right="11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20.8</w:t>
            </w:r>
          </w:p>
        </w:tc>
        <w:tc>
          <w:tcPr>
            <w:tcW w:w="320" w:type="dxa"/>
            <w:vAlign w:val="bottom"/>
            <w:tcBorders>
              <w:bottom w:val="single" w:sz="8" w:color="DBDBDB"/>
            </w:tcBorders>
            <w:shd w:val="clear" w:color="auto" w:fill="DBDBDB"/>
          </w:tcPr>
          <w:p>
            <w:pPr>
              <w:jc w:val="right"/>
              <w:ind w:right="17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522.9</w:t>
            </w: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rPr>
                <w:sz w:val="20"/>
                <w:szCs w:val="20"/>
                <w:color w:val="auto"/>
              </w:rPr>
            </w:pPr>
            <w:r>
              <w:rPr>
                <w:rFonts w:ascii="Arial" w:cs="Arial" w:eastAsia="Arial" w:hAnsi="Arial"/>
                <w:sz w:val="13"/>
                <w:szCs w:val="13"/>
                <w:color w:val="auto"/>
              </w:rPr>
              <w:t>Stock-based compensaton</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Exercise of stock optons</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8,500</w:t>
            </w:r>
          </w:p>
        </w:tc>
        <w:tc>
          <w:tcPr>
            <w:tcW w:w="58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660" w:type="dxa"/>
            <w:vAlign w:val="bottom"/>
          </w:tcPr>
          <w:p>
            <w:pPr>
              <w:ind w:left="20"/>
              <w:spacing w:after="0"/>
              <w:rPr>
                <w:sz w:val="20"/>
                <w:szCs w:val="20"/>
                <w:color w:val="auto"/>
              </w:rPr>
            </w:pPr>
            <w:r>
              <w:rPr>
                <w:rFonts w:ascii="Arial" w:cs="Arial" w:eastAsia="Arial" w:hAnsi="Arial"/>
                <w:sz w:val="13"/>
                <w:szCs w:val="13"/>
                <w:color w:val="auto"/>
                <w:w w:val="92"/>
              </w:rPr>
              <w:t>Issuance of common stock for equity awards, net</w:t>
            </w:r>
          </w:p>
        </w:tc>
        <w:tc>
          <w:tcPr>
            <w:tcW w:w="1200" w:type="dxa"/>
            <w:vAlign w:val="bottom"/>
          </w:tcPr>
          <w:p>
            <w:pPr>
              <w:jc w:val="right"/>
              <w:spacing w:after="0"/>
              <w:rPr>
                <w:sz w:val="20"/>
                <w:szCs w:val="20"/>
                <w:color w:val="auto"/>
              </w:rPr>
            </w:pPr>
            <w:r>
              <w:rPr>
                <w:rFonts w:ascii="Arial" w:cs="Arial" w:eastAsia="Arial" w:hAnsi="Arial"/>
                <w:sz w:val="13"/>
                <w:szCs w:val="13"/>
                <w:color w:val="auto"/>
              </w:rPr>
              <w:t>55,055</w:t>
            </w:r>
          </w:p>
        </w:tc>
        <w:tc>
          <w:tcPr>
            <w:tcW w:w="5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8"/>
        </w:trPr>
        <w:tc>
          <w:tcPr>
            <w:tcW w:w="2660" w:type="dxa"/>
            <w:vAlign w:val="bottom"/>
          </w:tcPr>
          <w:p>
            <w:pPr>
              <w:ind w:left="180"/>
              <w:spacing w:after="0"/>
              <w:rPr>
                <w:sz w:val="20"/>
                <w:szCs w:val="20"/>
                <w:color w:val="auto"/>
              </w:rPr>
            </w:pPr>
            <w:r>
              <w:rPr>
                <w:rFonts w:ascii="Arial" w:cs="Arial" w:eastAsia="Arial" w:hAnsi="Arial"/>
                <w:sz w:val="13"/>
                <w:szCs w:val="13"/>
                <w:color w:val="auto"/>
                <w:w w:val="96"/>
              </w:rPr>
              <w:t>of shares withheld for the setlement of taxes</w:t>
            </w:r>
          </w:p>
        </w:tc>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w w:val="93"/>
              </w:rPr>
              <w:t>Contributons from noncontrolling interest holders</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w:t>
            </w:r>
          </w:p>
        </w:tc>
        <w:tc>
          <w:tcPr>
            <w:tcW w:w="32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(8.8)</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Other comprehensive income</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0.5</w:t>
            </w:r>
          </w:p>
        </w:tc>
        <w:tc>
          <w:tcPr>
            <w:tcW w:w="16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60"/>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Balance at January 31, 2023</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70,733,090</w:t>
            </w:r>
          </w:p>
        </w:tc>
        <w:tc>
          <w:tcPr>
            <w:tcW w:w="580" w:type="dxa"/>
            <w:vAlign w:val="bottom"/>
            <w:tcBorders>
              <w:top w:val="single" w:sz="8" w:color="auto"/>
            </w:tcBorders>
          </w:tcPr>
          <w:p>
            <w:pPr>
              <w:jc w:val="right"/>
              <w:ind w:right="4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2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229.6</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265.6</w:t>
            </w: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20.0</w:t>
            </w:r>
          </w:p>
        </w:tc>
        <w:tc>
          <w:tcPr>
            <w:tcW w:w="320" w:type="dxa"/>
            <w:vAlign w:val="bottom"/>
            <w:tcBorders>
              <w:top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514.1</w:t>
            </w:r>
          </w:p>
        </w:tc>
        <w:tc>
          <w:tcPr>
            <w:tcW w:w="0" w:type="dxa"/>
            <w:vAlign w:val="bottom"/>
          </w:tcPr>
          <w:p>
            <w:pPr>
              <w:spacing w:after="0"/>
              <w:rPr>
                <w:sz w:val="1"/>
                <w:szCs w:val="1"/>
                <w:color w:val="auto"/>
              </w:rPr>
            </w:pPr>
          </w:p>
        </w:tc>
      </w:tr>
      <w:tr>
        <w:trPr>
          <w:trHeight w:val="35"/>
        </w:trPr>
        <w:tc>
          <w:tcPr>
            <w:tcW w:w="26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Stock-based compensaton</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rPr>
                <w:sz w:val="20"/>
                <w:szCs w:val="20"/>
                <w:color w:val="auto"/>
              </w:rPr>
            </w:pPr>
            <w:r>
              <w:rPr>
                <w:rFonts w:ascii="Arial" w:cs="Arial" w:eastAsia="Arial" w:hAnsi="Arial"/>
                <w:sz w:val="13"/>
                <w:szCs w:val="13"/>
                <w:color w:val="auto"/>
              </w:rPr>
              <w:t>Exercise of stock optons</w:t>
            </w:r>
          </w:p>
        </w:tc>
        <w:tc>
          <w:tcPr>
            <w:tcW w:w="1200" w:type="dxa"/>
            <w:vAlign w:val="bottom"/>
          </w:tcPr>
          <w:p>
            <w:pPr>
              <w:jc w:val="right"/>
              <w:spacing w:after="0"/>
              <w:rPr>
                <w:sz w:val="20"/>
                <w:szCs w:val="20"/>
                <w:color w:val="auto"/>
              </w:rPr>
            </w:pPr>
            <w:r>
              <w:rPr>
                <w:rFonts w:ascii="Arial" w:cs="Arial" w:eastAsia="Arial" w:hAnsi="Arial"/>
                <w:sz w:val="13"/>
                <w:szCs w:val="13"/>
                <w:color w:val="auto"/>
              </w:rPr>
              <w:t>5,000</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660" w:type="dxa"/>
            <w:vAlign w:val="bottom"/>
            <w:shd w:val="clear" w:color="auto" w:fill="DBDBDB"/>
          </w:tcPr>
          <w:p>
            <w:pPr>
              <w:ind w:left="20"/>
              <w:spacing w:after="0"/>
              <w:rPr>
                <w:sz w:val="20"/>
                <w:szCs w:val="20"/>
                <w:color w:val="auto"/>
              </w:rPr>
            </w:pPr>
            <w:r>
              <w:rPr>
                <w:rFonts w:ascii="Arial" w:cs="Arial" w:eastAsia="Arial" w:hAnsi="Arial"/>
                <w:sz w:val="13"/>
                <w:szCs w:val="13"/>
                <w:color w:val="auto"/>
                <w:w w:val="92"/>
              </w:rPr>
              <w:t>Issuance of common stock for equity awards, net</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47,592</w:t>
            </w:r>
          </w:p>
        </w:tc>
        <w:tc>
          <w:tcPr>
            <w:tcW w:w="580" w:type="dxa"/>
            <w:vAlign w:val="bottom"/>
            <w:shd w:val="clear" w:color="auto" w:fill="DBDBDB"/>
          </w:tcPr>
          <w:p>
            <w:pPr>
              <w:spacing w:after="0"/>
              <w:rPr>
                <w:sz w:val="13"/>
                <w:szCs w:val="13"/>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DBDBDB"/>
          </w:tcPr>
          <w:p>
            <w:pPr>
              <w:spacing w:after="0"/>
              <w:rPr>
                <w:sz w:val="13"/>
                <w:szCs w:val="13"/>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3"/>
                <w:szCs w:val="13"/>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3"/>
                <w:szCs w:val="13"/>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3"/>
                <w:szCs w:val="13"/>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DBDBDB"/>
          </w:tcPr>
          <w:p>
            <w:pPr>
              <w:spacing w:after="0"/>
              <w:rPr>
                <w:sz w:val="13"/>
                <w:szCs w:val="13"/>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3"/>
                <w:szCs w:val="13"/>
                <w:color w:val="auto"/>
                <w:w w:val="96"/>
              </w:rPr>
              <w:t>of shares withheld for the setlement of taxes</w:t>
            </w:r>
          </w:p>
        </w:tc>
        <w:tc>
          <w:tcPr>
            <w:tcW w:w="120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spacing w:after="0"/>
              <w:rPr>
                <w:sz w:val="15"/>
                <w:szCs w:val="15"/>
                <w:color w:val="auto"/>
              </w:rPr>
            </w:pPr>
          </w:p>
        </w:tc>
        <w:tc>
          <w:tcPr>
            <w:tcW w:w="32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rPr>
                <w:sz w:val="20"/>
                <w:szCs w:val="20"/>
                <w:color w:val="auto"/>
              </w:rPr>
            </w:pPr>
            <w:r>
              <w:rPr>
                <w:rFonts w:ascii="Arial" w:cs="Arial" w:eastAsia="Arial" w:hAnsi="Arial"/>
                <w:sz w:val="13"/>
                <w:szCs w:val="13"/>
                <w:color w:val="auto"/>
                <w:w w:val="93"/>
              </w:rPr>
              <w:t>Contributons from noncontrolling interest holders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0.4</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Net loss</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(4.6)</w:t>
            </w:r>
          </w:p>
        </w:tc>
        <w:tc>
          <w:tcPr>
            <w:tcW w:w="26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(0.1)</w:t>
            </w:r>
          </w:p>
        </w:tc>
        <w:tc>
          <w:tcPr>
            <w:tcW w:w="32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0.3</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35"/>
        </w:trPr>
        <w:tc>
          <w:tcPr>
            <w:tcW w:w="26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Balance at April 30, 2023</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70,785,682</w:t>
            </w:r>
          </w:p>
        </w:tc>
        <w:tc>
          <w:tcPr>
            <w:tcW w:w="580" w:type="dxa"/>
            <w:vAlign w:val="bottom"/>
            <w:tcBorders>
              <w:bottom w:val="single" w:sz="8" w:color="DBDBDB"/>
            </w:tcBorders>
            <w:shd w:val="clear" w:color="auto" w:fill="DBDBDB"/>
          </w:tcPr>
          <w:p>
            <w:pPr>
              <w:jc w:val="right"/>
              <w:ind w:right="4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0.1</w:t>
            </w:r>
          </w:p>
        </w:tc>
        <w:tc>
          <w:tcPr>
            <w:tcW w:w="28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230.9</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(0.9)</w:t>
            </w:r>
          </w:p>
        </w:tc>
        <w:tc>
          <w:tcPr>
            <w:tcW w:w="16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261.0</w:t>
            </w:r>
          </w:p>
        </w:tc>
        <w:tc>
          <w:tcPr>
            <w:tcW w:w="260" w:type="dxa"/>
            <w:vAlign w:val="bottom"/>
            <w:tcBorders>
              <w:bottom w:val="single" w:sz="8" w:color="DBDBDB"/>
            </w:tcBorders>
            <w:shd w:val="clear" w:color="auto" w:fill="DBDBDB"/>
          </w:tcPr>
          <w:p>
            <w:pPr>
              <w:jc w:val="right"/>
              <w:ind w:right="11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20.3</w:t>
            </w:r>
          </w:p>
        </w:tc>
        <w:tc>
          <w:tcPr>
            <w:tcW w:w="320" w:type="dxa"/>
            <w:vAlign w:val="bottom"/>
            <w:tcBorders>
              <w:bottom w:val="single" w:sz="8" w:color="DBDBDB"/>
            </w:tcBorders>
            <w:shd w:val="clear" w:color="auto" w:fill="DBDBDB"/>
          </w:tcPr>
          <w:p>
            <w:pPr>
              <w:jc w:val="right"/>
              <w:ind w:right="17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511.4</w:t>
            </w:r>
          </w:p>
        </w:tc>
        <w:tc>
          <w:tcPr>
            <w:tcW w:w="0" w:type="dxa"/>
            <w:vAlign w:val="bottom"/>
          </w:tcPr>
          <w:p>
            <w:pPr>
              <w:spacing w:after="0"/>
              <w:rPr>
                <w:sz w:val="1"/>
                <w:szCs w:val="1"/>
                <w:color w:val="auto"/>
              </w:rPr>
            </w:pPr>
          </w:p>
        </w:tc>
      </w:tr>
      <w:tr>
        <w:trPr>
          <w:trHeight w:val="160"/>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Stock-based compensaton</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Exercise of stock optons</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5,543</w:t>
            </w:r>
          </w:p>
        </w:tc>
        <w:tc>
          <w:tcPr>
            <w:tcW w:w="58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rPr>
                <w:sz w:val="20"/>
                <w:szCs w:val="20"/>
                <w:color w:val="auto"/>
              </w:rPr>
            </w:pPr>
            <w:r>
              <w:rPr>
                <w:rFonts w:ascii="Arial" w:cs="Arial" w:eastAsia="Arial" w:hAnsi="Arial"/>
                <w:sz w:val="13"/>
                <w:szCs w:val="13"/>
                <w:color w:val="auto"/>
                <w:w w:val="93"/>
              </w:rPr>
              <w:t>Contributons from noncontrolling interest holders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0.8</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Net income (loss)</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6.6</w:t>
            </w:r>
          </w:p>
        </w:tc>
        <w:tc>
          <w:tcPr>
            <w:tcW w:w="26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(0.4)</w:t>
            </w:r>
          </w:p>
        </w:tc>
        <w:tc>
          <w:tcPr>
            <w:tcW w:w="32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0.7</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35"/>
        </w:trPr>
        <w:tc>
          <w:tcPr>
            <w:tcW w:w="26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Balance at July 31, 2023</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70,791,225</w:t>
            </w:r>
          </w:p>
        </w:tc>
        <w:tc>
          <w:tcPr>
            <w:tcW w:w="580" w:type="dxa"/>
            <w:vAlign w:val="bottom"/>
            <w:tcBorders>
              <w:bottom w:val="single" w:sz="8" w:color="DBDBDB"/>
            </w:tcBorders>
            <w:shd w:val="clear" w:color="auto" w:fill="DBDBDB"/>
          </w:tcPr>
          <w:p>
            <w:pPr>
              <w:jc w:val="right"/>
              <w:ind w:right="4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0.1</w:t>
            </w:r>
          </w:p>
        </w:tc>
        <w:tc>
          <w:tcPr>
            <w:tcW w:w="28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232.2</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(0.2)</w:t>
            </w:r>
          </w:p>
        </w:tc>
        <w:tc>
          <w:tcPr>
            <w:tcW w:w="16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267.6</w:t>
            </w:r>
          </w:p>
        </w:tc>
        <w:tc>
          <w:tcPr>
            <w:tcW w:w="260" w:type="dxa"/>
            <w:vAlign w:val="bottom"/>
            <w:tcBorders>
              <w:bottom w:val="single" w:sz="8" w:color="DBDBDB"/>
            </w:tcBorders>
            <w:shd w:val="clear" w:color="auto" w:fill="DBDBDB"/>
          </w:tcPr>
          <w:p>
            <w:pPr>
              <w:jc w:val="right"/>
              <w:ind w:right="11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20.7</w:t>
            </w:r>
          </w:p>
        </w:tc>
        <w:tc>
          <w:tcPr>
            <w:tcW w:w="320" w:type="dxa"/>
            <w:vAlign w:val="bottom"/>
            <w:tcBorders>
              <w:bottom w:val="single" w:sz="8" w:color="DBDBDB"/>
            </w:tcBorders>
            <w:shd w:val="clear" w:color="auto" w:fill="DBDBDB"/>
          </w:tcPr>
          <w:p>
            <w:pPr>
              <w:jc w:val="right"/>
              <w:ind w:right="17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520.4</w:t>
            </w:r>
          </w:p>
        </w:tc>
        <w:tc>
          <w:tcPr>
            <w:tcW w:w="0" w:type="dxa"/>
            <w:vAlign w:val="bottom"/>
          </w:tcPr>
          <w:p>
            <w:pPr>
              <w:spacing w:after="0"/>
              <w:rPr>
                <w:sz w:val="1"/>
                <w:szCs w:val="1"/>
                <w:color w:val="auto"/>
              </w:rPr>
            </w:pPr>
          </w:p>
        </w:tc>
      </w:tr>
      <w:tr>
        <w:trPr>
          <w:trHeight w:val="20"/>
        </w:trPr>
        <w:tc>
          <w:tcPr>
            <w:tcW w:w="26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73025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20"/>
          <w:szCs w:val="20"/>
          <w:b w:val="1"/>
          <w:bCs w:val="1"/>
          <w:color w:val="auto"/>
        </w:rPr>
        <w:t>MISSION PRODUCE, INC.</w:t>
      </w:r>
    </w:p>
    <w:p>
      <w:pPr>
        <w:spacing w:after="0" w:line="66"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CONDENSED CONSOLIDATED STATEMENTS OF CASH FLOW (UNAUDITED)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5"/>
                <w:szCs w:val="15"/>
                <w:color w:val="auto"/>
              </w:rPr>
            </w:pPr>
          </w:p>
        </w:tc>
      </w:tr>
      <w:tr>
        <w:trPr>
          <w:trHeight w:val="208"/>
        </w:trPr>
        <w:tc>
          <w:tcPr>
            <w:tcW w:w="73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right"/>
              <w:ind w:right="708"/>
              <w:spacing w:after="0"/>
              <w:rPr>
                <w:sz w:val="20"/>
                <w:szCs w:val="20"/>
                <w:color w:val="auto"/>
              </w:rPr>
            </w:pPr>
            <w:r>
              <w:rPr>
                <w:rFonts w:ascii="Arial" w:cs="Arial" w:eastAsia="Arial" w:hAnsi="Arial"/>
                <w:sz w:val="14"/>
                <w:szCs w:val="14"/>
                <w:b w:val="1"/>
                <w:bCs w:val="1"/>
                <w:color w:val="auto"/>
              </w:rPr>
              <w:t>July 31,</w:t>
            </w:r>
          </w:p>
        </w:tc>
        <w:tc>
          <w:tcPr>
            <w:tcW w:w="820" w:type="dxa"/>
            <w:vAlign w:val="bottom"/>
            <w:tcBorders>
              <w:bottom w:val="single" w:sz="8" w:color="auto"/>
            </w:tcBorders>
          </w:tcPr>
          <w:p>
            <w:pPr>
              <w:spacing w:after="0"/>
              <w:rPr>
                <w:sz w:val="18"/>
                <w:szCs w:val="18"/>
                <w:color w:val="auto"/>
              </w:rPr>
            </w:pPr>
          </w:p>
        </w:tc>
      </w:tr>
      <w:tr>
        <w:trPr>
          <w:trHeight w:val="222"/>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10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r>
      <w:tr>
        <w:trPr>
          <w:trHeight w:val="228"/>
        </w:trPr>
        <w:tc>
          <w:tcPr>
            <w:tcW w:w="73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6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03"/>
        </w:trPr>
        <w:tc>
          <w:tcPr>
            <w:tcW w:w="738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(9.1)</w:t>
            </w:r>
          </w:p>
        </w:tc>
        <w:tc>
          <w:tcPr>
            <w:tcW w:w="104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Adjustments to reconcile net (loss) income to net cash used in operating activities</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spacing w:after="0"/>
              <w:rPr>
                <w:sz w:val="18"/>
                <w:szCs w:val="18"/>
                <w:color w:val="auto"/>
              </w:rPr>
            </w:pPr>
          </w:p>
        </w:tc>
      </w:tr>
      <w:tr>
        <w:trPr>
          <w:trHeight w:val="203"/>
        </w:trPr>
        <w:tc>
          <w:tcPr>
            <w:tcW w:w="7380" w:type="dxa"/>
            <w:vAlign w:val="bottom"/>
          </w:tcPr>
          <w:p>
            <w:pPr>
              <w:ind w:left="460"/>
              <w:spacing w:after="0"/>
              <w:rPr>
                <w:sz w:val="20"/>
                <w:szCs w:val="20"/>
                <w:color w:val="auto"/>
              </w:rPr>
            </w:pPr>
            <w:r>
              <w:rPr>
                <w:rFonts w:ascii="Arial" w:cs="Arial" w:eastAsia="Arial" w:hAnsi="Arial"/>
                <w:sz w:val="14"/>
                <w:szCs w:val="14"/>
                <w:color w:val="auto"/>
              </w:rPr>
              <w:t>Provision for losses on accounts receivable</w:t>
            </w:r>
          </w:p>
        </w:tc>
        <w:tc>
          <w:tcPr>
            <w:tcW w:w="64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0.1</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4"/>
                <w:szCs w:val="14"/>
                <w:color w:val="auto"/>
              </w:rPr>
              <w:t>Depreciation and amortization</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22.8</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17.2</w:t>
            </w:r>
          </w:p>
        </w:tc>
      </w:tr>
      <w:tr>
        <w:trPr>
          <w:trHeight w:val="203"/>
        </w:trPr>
        <w:tc>
          <w:tcPr>
            <w:tcW w:w="7380" w:type="dxa"/>
            <w:vAlign w:val="bottom"/>
          </w:tcPr>
          <w:p>
            <w:pPr>
              <w:ind w:left="460"/>
              <w:spacing w:after="0"/>
              <w:rPr>
                <w:sz w:val="20"/>
                <w:szCs w:val="20"/>
                <w:color w:val="auto"/>
              </w:rPr>
            </w:pPr>
            <w:r>
              <w:rPr>
                <w:rFonts w:ascii="Arial" w:cs="Arial" w:eastAsia="Arial" w:hAnsi="Arial"/>
                <w:sz w:val="14"/>
                <w:szCs w:val="14"/>
                <w:color w:val="auto"/>
              </w:rPr>
              <w:t>Amortization of debt issuance costs</w:t>
            </w:r>
          </w:p>
        </w:tc>
        <w:tc>
          <w:tcPr>
            <w:tcW w:w="64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0.2</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4"/>
                <w:szCs w:val="14"/>
                <w:color w:val="auto"/>
              </w:rPr>
              <w:t>Equity method income</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(3.2)</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(3.6)</w:t>
            </w:r>
          </w:p>
        </w:tc>
      </w:tr>
      <w:tr>
        <w:trPr>
          <w:trHeight w:val="203"/>
        </w:trPr>
        <w:tc>
          <w:tcPr>
            <w:tcW w:w="7380" w:type="dxa"/>
            <w:vAlign w:val="bottom"/>
          </w:tcPr>
          <w:p>
            <w:pPr>
              <w:ind w:left="460"/>
              <w:spacing w:after="0"/>
              <w:rPr>
                <w:sz w:val="20"/>
                <w:szCs w:val="20"/>
                <w:color w:val="auto"/>
              </w:rPr>
            </w:pPr>
            <w:r>
              <w:rPr>
                <w:rFonts w:ascii="Arial" w:cs="Arial" w:eastAsia="Arial" w:hAnsi="Arial"/>
                <w:sz w:val="14"/>
                <w:szCs w:val="14"/>
                <w:color w:val="auto"/>
              </w:rPr>
              <w:t>Noncash lease expense</w:t>
            </w:r>
          </w:p>
        </w:tc>
        <w:tc>
          <w:tcPr>
            <w:tcW w:w="64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4.4</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3.2</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2.6</w:t>
            </w:r>
          </w:p>
        </w:tc>
      </w:tr>
      <w:tr>
        <w:trPr>
          <w:trHeight w:val="203"/>
        </w:trPr>
        <w:tc>
          <w:tcPr>
            <w:tcW w:w="7380" w:type="dxa"/>
            <w:vAlign w:val="bottom"/>
          </w:tcPr>
          <w:p>
            <w:pPr>
              <w:ind w:left="460"/>
              <w:spacing w:after="0"/>
              <w:rPr>
                <w:sz w:val="20"/>
                <w:szCs w:val="20"/>
                <w:color w:val="auto"/>
              </w:rPr>
            </w:pPr>
            <w:r>
              <w:rPr>
                <w:rFonts w:ascii="Arial" w:cs="Arial" w:eastAsia="Arial" w:hAnsi="Arial"/>
                <w:sz w:val="14"/>
                <w:szCs w:val="14"/>
                <w:color w:val="auto"/>
              </w:rPr>
              <w:t>Dividends received from equity method investees</w:t>
            </w:r>
          </w:p>
        </w:tc>
        <w:tc>
          <w:tcPr>
            <w:tcW w:w="64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2.7</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4"/>
                <w:szCs w:val="14"/>
                <w:color w:val="auto"/>
              </w:rPr>
              <w:t>Losses on asset impairment, disposals and sales, net of insurance recoveries</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1.2</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w:t>
            </w:r>
          </w:p>
        </w:tc>
      </w:tr>
      <w:tr>
        <w:trPr>
          <w:trHeight w:val="203"/>
        </w:trPr>
        <w:tc>
          <w:tcPr>
            <w:tcW w:w="738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64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4"/>
                <w:szCs w:val="14"/>
                <w:color w:val="auto"/>
              </w:rPr>
              <w:t>Remeasurement gain on business combination with Moruga</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7380" w:type="dxa"/>
            <w:vAlign w:val="bottom"/>
          </w:tcPr>
          <w:p>
            <w:pPr>
              <w:ind w:left="460"/>
              <w:spacing w:after="0"/>
              <w:rPr>
                <w:sz w:val="20"/>
                <w:szCs w:val="20"/>
                <w:color w:val="auto"/>
              </w:rPr>
            </w:pPr>
            <w:r>
              <w:rPr>
                <w:rFonts w:ascii="Arial" w:cs="Arial" w:eastAsia="Arial" w:hAnsi="Arial"/>
                <w:sz w:val="14"/>
                <w:szCs w:val="14"/>
                <w:color w:val="auto"/>
              </w:rPr>
              <w:t>Unrealized losses on foreign currency transactions</w:t>
            </w:r>
          </w:p>
        </w:tc>
        <w:tc>
          <w:tcPr>
            <w:tcW w:w="64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2.9</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4"/>
                <w:szCs w:val="14"/>
                <w:color w:val="auto"/>
              </w:rPr>
              <w:t>Unrealized gains on derivative financial instruments</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(0.1)</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(3.1)</w:t>
            </w:r>
          </w:p>
        </w:tc>
      </w:tr>
      <w:tr>
        <w:trPr>
          <w:trHeight w:val="203"/>
        </w:trPr>
        <w:tc>
          <w:tcPr>
            <w:tcW w:w="7380" w:type="dxa"/>
            <w:vAlign w:val="bottom"/>
          </w:tcPr>
          <w:p>
            <w:pPr>
              <w:ind w:left="460"/>
              <w:spacing w:after="0"/>
              <w:rPr>
                <w:sz w:val="20"/>
                <w:szCs w:val="20"/>
                <w:color w:val="auto"/>
              </w:rPr>
            </w:pPr>
            <w:r>
              <w:rPr>
                <w:rFonts w:ascii="Arial" w:cs="Arial" w:eastAsia="Arial" w:hAnsi="Arial"/>
                <w:sz w:val="14"/>
                <w:szCs w:val="14"/>
                <w:color w:val="auto"/>
              </w:rPr>
              <w:t>Other</w:t>
            </w:r>
          </w:p>
        </w:tc>
        <w:tc>
          <w:tcPr>
            <w:tcW w:w="64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Effect on cash of changes in operating assets and liabilities:</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spacing w:after="0"/>
              <w:rPr>
                <w:sz w:val="18"/>
                <w:szCs w:val="18"/>
                <w:color w:val="auto"/>
              </w:rPr>
            </w:pPr>
          </w:p>
        </w:tc>
      </w:tr>
      <w:tr>
        <w:trPr>
          <w:trHeight w:val="203"/>
        </w:trPr>
        <w:tc>
          <w:tcPr>
            <w:tcW w:w="7380" w:type="dxa"/>
            <w:vAlign w:val="bottom"/>
          </w:tcPr>
          <w:p>
            <w:pPr>
              <w:ind w:left="460"/>
              <w:spacing w:after="0"/>
              <w:rPr>
                <w:sz w:val="20"/>
                <w:szCs w:val="20"/>
                <w:color w:val="auto"/>
              </w:rPr>
            </w:pPr>
            <w:r>
              <w:rPr>
                <w:rFonts w:ascii="Arial" w:cs="Arial" w:eastAsia="Arial" w:hAnsi="Arial"/>
                <w:sz w:val="14"/>
                <w:szCs w:val="14"/>
                <w:color w:val="auto"/>
              </w:rPr>
              <w:t>Trade accounts receivable</w:t>
            </w:r>
          </w:p>
        </w:tc>
        <w:tc>
          <w:tcPr>
            <w:tcW w:w="64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(23.8)</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4"/>
                <w:szCs w:val="14"/>
                <w:color w:val="auto"/>
              </w:rPr>
              <w:t>Grower fruit advances</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(0.7)</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w:t>
            </w:r>
          </w:p>
        </w:tc>
      </w:tr>
      <w:tr>
        <w:trPr>
          <w:trHeight w:val="203"/>
        </w:trPr>
        <w:tc>
          <w:tcPr>
            <w:tcW w:w="7380" w:type="dxa"/>
            <w:vAlign w:val="bottom"/>
          </w:tcPr>
          <w:p>
            <w:pPr>
              <w:ind w:left="460"/>
              <w:spacing w:after="0"/>
              <w:rPr>
                <w:sz w:val="20"/>
                <w:szCs w:val="20"/>
                <w:color w:val="auto"/>
              </w:rPr>
            </w:pPr>
            <w:r>
              <w:rPr>
                <w:rFonts w:ascii="Arial" w:cs="Arial" w:eastAsia="Arial" w:hAnsi="Arial"/>
                <w:sz w:val="14"/>
                <w:szCs w:val="14"/>
                <w:color w:val="auto"/>
              </w:rPr>
              <w:t>Other receivables</w:t>
            </w:r>
          </w:p>
        </w:tc>
        <w:tc>
          <w:tcPr>
            <w:tcW w:w="64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(1.4)</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4"/>
                <w:szCs w:val="14"/>
                <w:color w:val="auto"/>
              </w:rPr>
              <w:t>Inventory</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(13.1)</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(35.0)</w:t>
            </w:r>
          </w:p>
        </w:tc>
      </w:tr>
      <w:tr>
        <w:trPr>
          <w:trHeight w:val="203"/>
        </w:trPr>
        <w:tc>
          <w:tcPr>
            <w:tcW w:w="738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64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2.5</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4"/>
                <w:szCs w:val="14"/>
                <w:color w:val="auto"/>
              </w:rPr>
              <w:t>Income taxes receivable</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(4.3)</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(0.4)</w:t>
            </w:r>
          </w:p>
        </w:tc>
      </w:tr>
      <w:tr>
        <w:trPr>
          <w:trHeight w:val="203"/>
        </w:trPr>
        <w:tc>
          <w:tcPr>
            <w:tcW w:w="7380" w:type="dxa"/>
            <w:vAlign w:val="bottom"/>
          </w:tcPr>
          <w:p>
            <w:pPr>
              <w:ind w:left="460"/>
              <w:spacing w:after="0"/>
              <w:rPr>
                <w:sz w:val="20"/>
                <w:szCs w:val="20"/>
                <w:color w:val="auto"/>
              </w:rPr>
            </w:pPr>
            <w:r>
              <w:rPr>
                <w:rFonts w:ascii="Arial" w:cs="Arial" w:eastAsia="Arial" w:hAnsi="Arial"/>
                <w:sz w:val="14"/>
                <w:szCs w:val="14"/>
                <w:color w:val="auto"/>
              </w:rPr>
              <w:t>Other assets</w:t>
            </w:r>
          </w:p>
        </w:tc>
        <w:tc>
          <w:tcPr>
            <w:tcW w:w="64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2.3</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4"/>
                <w:szCs w:val="14"/>
                <w:color w:val="auto"/>
              </w:rPr>
              <w:t>Accounts payable and accrued expenses</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5.7</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10.1</w:t>
            </w:r>
          </w:p>
        </w:tc>
      </w:tr>
      <w:tr>
        <w:trPr>
          <w:trHeight w:val="203"/>
        </w:trPr>
        <w:tc>
          <w:tcPr>
            <w:tcW w:w="7380" w:type="dxa"/>
            <w:vAlign w:val="bottom"/>
          </w:tcPr>
          <w:p>
            <w:pPr>
              <w:ind w:left="460"/>
              <w:spacing w:after="0"/>
              <w:rPr>
                <w:sz w:val="20"/>
                <w:szCs w:val="20"/>
                <w:color w:val="auto"/>
              </w:rPr>
            </w:pPr>
            <w:r>
              <w:rPr>
                <w:rFonts w:ascii="Arial" w:cs="Arial" w:eastAsia="Arial" w:hAnsi="Arial"/>
                <w:sz w:val="14"/>
                <w:szCs w:val="14"/>
                <w:color w:val="auto"/>
              </w:rPr>
              <w:t>Income taxes payable</w:t>
            </w:r>
          </w:p>
        </w:tc>
        <w:tc>
          <w:tcPr>
            <w:tcW w:w="64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(0.5)</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4"/>
                <w:szCs w:val="14"/>
                <w:color w:val="auto"/>
              </w:rPr>
              <w:t>Grower payables</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4.2</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20.9</w:t>
            </w:r>
          </w:p>
        </w:tc>
      </w:tr>
      <w:tr>
        <w:trPr>
          <w:trHeight w:val="203"/>
        </w:trPr>
        <w:tc>
          <w:tcPr>
            <w:tcW w:w="7380" w:type="dxa"/>
            <w:vAlign w:val="bottom"/>
          </w:tcPr>
          <w:p>
            <w:pPr>
              <w:ind w:left="460"/>
              <w:spacing w:after="0"/>
              <w:rPr>
                <w:sz w:val="20"/>
                <w:szCs w:val="20"/>
                <w:color w:val="auto"/>
              </w:rPr>
            </w:pPr>
            <w:r>
              <w:rPr>
                <w:rFonts w:ascii="Arial" w:cs="Arial" w:eastAsia="Arial" w:hAnsi="Arial"/>
                <w:sz w:val="14"/>
                <w:szCs w:val="14"/>
                <w:color w:val="auto"/>
              </w:rPr>
              <w:t>Operating lease liabilities</w:t>
            </w:r>
          </w:p>
        </w:tc>
        <w:tc>
          <w:tcPr>
            <w:tcW w:w="64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3"/>
        </w:trPr>
        <w:tc>
          <w:tcPr>
            <w:tcW w:w="73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4"/>
                <w:szCs w:val="14"/>
                <w:color w:val="auto"/>
              </w:rPr>
              <w:t>Other long-term liabilities</w:t>
            </w:r>
          </w:p>
        </w:tc>
        <w:tc>
          <w:tcPr>
            <w:tcW w:w="640" w:type="dxa"/>
            <w:vAlign w:val="bottom"/>
            <w:tcBorders>
              <w:bottom w:val="single" w:sz="8" w:color="DBDBDB"/>
            </w:tcBorders>
            <w:shd w:val="clear" w:color="auto" w:fill="DBDBDB"/>
          </w:tcPr>
          <w:p>
            <w:pPr>
              <w:spacing w:after="0"/>
              <w:rPr>
                <w:sz w:val="19"/>
                <w:szCs w:val="19"/>
                <w:color w:val="auto"/>
              </w:rPr>
            </w:pPr>
          </w:p>
        </w:tc>
        <w:tc>
          <w:tcPr>
            <w:tcW w:w="122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0.7</w:t>
            </w:r>
          </w:p>
        </w:tc>
        <w:tc>
          <w:tcPr>
            <w:tcW w:w="1040" w:type="dxa"/>
            <w:vAlign w:val="bottom"/>
            <w:tcBorders>
              <w:bottom w:val="single" w:sz="8" w:color="DBDBDB"/>
            </w:tcBorders>
            <w:shd w:val="clear" w:color="auto" w:fill="DBDBDB"/>
          </w:tcPr>
          <w:p>
            <w:pPr>
              <w:spacing w:after="0"/>
              <w:rPr>
                <w:sz w:val="19"/>
                <w:szCs w:val="19"/>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w:t>
            </w:r>
          </w:p>
        </w:tc>
      </w:tr>
      <w:tr>
        <w:trPr>
          <w:trHeight w:val="197"/>
        </w:trPr>
        <w:tc>
          <w:tcPr>
            <w:tcW w:w="73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64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(7.3)</w:t>
            </w:r>
          </w:p>
        </w:tc>
        <w:tc>
          <w:tcPr>
            <w:tcW w:w="104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73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6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03"/>
        </w:trPr>
        <w:tc>
          <w:tcPr>
            <w:tcW w:w="738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64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(47.0)</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(42.0)</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0.1</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2.9</w:t>
            </w:r>
          </w:p>
        </w:tc>
      </w:tr>
      <w:tr>
        <w:trPr>
          <w:trHeight w:val="203"/>
        </w:trPr>
        <w:tc>
          <w:tcPr>
            <w:tcW w:w="7380" w:type="dxa"/>
            <w:vAlign w:val="bottom"/>
          </w:tcPr>
          <w:p>
            <w:pPr>
              <w:ind w:left="20"/>
              <w:spacing w:after="0"/>
              <w:rPr>
                <w:sz w:val="20"/>
                <w:szCs w:val="20"/>
                <w:color w:val="auto"/>
              </w:rPr>
            </w:pPr>
            <w:r>
              <w:rPr>
                <w:rFonts w:ascii="Arial" w:cs="Arial" w:eastAsia="Arial" w:hAnsi="Arial"/>
                <w:sz w:val="14"/>
                <w:szCs w:val="14"/>
                <w:color w:val="auto"/>
              </w:rPr>
              <w:t>Cash acquired in consolidation of Moruga</w:t>
            </w:r>
          </w:p>
        </w:tc>
        <w:tc>
          <w:tcPr>
            <w:tcW w:w="64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Investment in equity method investees</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(1.4)</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(0.4)</w:t>
            </w:r>
          </w:p>
        </w:tc>
      </w:tr>
      <w:tr>
        <w:trPr>
          <w:trHeight w:val="203"/>
        </w:trPr>
        <w:tc>
          <w:tcPr>
            <w:tcW w:w="7380" w:type="dxa"/>
            <w:vAlign w:val="bottom"/>
          </w:tcPr>
          <w:p>
            <w:pPr>
              <w:ind w:left="20"/>
              <w:spacing w:after="0"/>
              <w:rPr>
                <w:sz w:val="20"/>
                <w:szCs w:val="20"/>
                <w:color w:val="auto"/>
              </w:rPr>
            </w:pPr>
            <w:r>
              <w:rPr>
                <w:rFonts w:ascii="Arial" w:cs="Arial" w:eastAsia="Arial" w:hAnsi="Arial"/>
                <w:sz w:val="14"/>
                <w:szCs w:val="14"/>
                <w:color w:val="auto"/>
              </w:rPr>
              <w:t>Purchase of other investment</w:t>
            </w:r>
          </w:p>
        </w:tc>
        <w:tc>
          <w:tcPr>
            <w:tcW w:w="64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(2.3)</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Loan repayments from equity method investees</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r>
      <w:tr>
        <w:trPr>
          <w:trHeight w:val="203"/>
        </w:trPr>
        <w:tc>
          <w:tcPr>
            <w:tcW w:w="7380" w:type="dxa"/>
            <w:vAlign w:val="bottom"/>
          </w:tcPr>
          <w:p>
            <w:pPr>
              <w:ind w:left="20"/>
              <w:spacing w:after="0"/>
              <w:rPr>
                <w:sz w:val="20"/>
                <w:szCs w:val="20"/>
                <w:color w:val="auto"/>
              </w:rPr>
            </w:pPr>
            <w:r>
              <w:rPr>
                <w:rFonts w:ascii="Arial" w:cs="Arial" w:eastAsia="Arial" w:hAnsi="Arial"/>
                <w:sz w:val="14"/>
                <w:szCs w:val="14"/>
                <w:color w:val="auto"/>
              </w:rPr>
              <w:t>Other</w:t>
            </w:r>
          </w:p>
        </w:tc>
        <w:tc>
          <w:tcPr>
            <w:tcW w:w="64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(0.1)</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2"/>
        </w:trPr>
        <w:tc>
          <w:tcPr>
            <w:tcW w:w="7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cash used in investing activities</w:t>
            </w:r>
          </w:p>
        </w:tc>
        <w:tc>
          <w:tcPr>
            <w:tcW w:w="640" w:type="dxa"/>
            <w:vAlign w:val="bottom"/>
            <w:tcBorders>
              <w:bottom w:val="single" w:sz="8" w:color="DBDBDB"/>
            </w:tcBorders>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(50.7)</w:t>
            </w:r>
          </w:p>
        </w:tc>
        <w:tc>
          <w:tcPr>
            <w:tcW w:w="1040" w:type="dxa"/>
            <w:vAlign w:val="bottom"/>
            <w:tcBorders>
              <w:bottom w:val="single" w:sz="8" w:color="DBDBDB"/>
            </w:tcBorders>
            <w:shd w:val="clear" w:color="auto" w:fill="DBDBDB"/>
          </w:tcPr>
          <w:p>
            <w:pPr>
              <w:jc w:val="right"/>
              <w:ind w:right="6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(34.2)</w:t>
            </w:r>
          </w:p>
        </w:tc>
      </w:tr>
      <w:tr>
        <w:trPr>
          <w:trHeight w:val="221"/>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7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Borrowings on revolving credit facility</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145.0</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40.0</w:t>
            </w:r>
          </w:p>
        </w:tc>
      </w:tr>
      <w:tr>
        <w:trPr>
          <w:trHeight w:val="203"/>
        </w:trPr>
        <w:tc>
          <w:tcPr>
            <w:tcW w:w="7380" w:type="dxa"/>
            <w:vAlign w:val="bottom"/>
          </w:tcPr>
          <w:p>
            <w:pPr>
              <w:ind w:left="20"/>
              <w:spacing w:after="0"/>
              <w:rPr>
                <w:sz w:val="20"/>
                <w:szCs w:val="20"/>
                <w:color w:val="auto"/>
              </w:rPr>
            </w:pPr>
            <w:r>
              <w:rPr>
                <w:rFonts w:ascii="Arial" w:cs="Arial" w:eastAsia="Arial" w:hAnsi="Arial"/>
                <w:sz w:val="14"/>
                <w:szCs w:val="14"/>
                <w:color w:val="auto"/>
              </w:rPr>
              <w:t>Payments on revolving credit facility</w:t>
            </w:r>
          </w:p>
        </w:tc>
        <w:tc>
          <w:tcPr>
            <w:tcW w:w="64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(115.0)</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Proceeds from short-term borrowings</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2.8</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380" w:type="dxa"/>
            <w:vAlign w:val="bottom"/>
          </w:tcPr>
          <w:p>
            <w:pPr>
              <w:ind w:left="20"/>
              <w:spacing w:after="0"/>
              <w:rPr>
                <w:sz w:val="20"/>
                <w:szCs w:val="20"/>
                <w:color w:val="auto"/>
              </w:rPr>
            </w:pPr>
            <w:r>
              <w:rPr>
                <w:rFonts w:ascii="Arial" w:cs="Arial" w:eastAsia="Arial" w:hAnsi="Arial"/>
                <w:sz w:val="14"/>
                <w:szCs w:val="14"/>
                <w:color w:val="auto"/>
              </w:rPr>
              <w:t>Repayment of short-term borrowings</w:t>
            </w:r>
          </w:p>
        </w:tc>
        <w:tc>
          <w:tcPr>
            <w:tcW w:w="64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Principal payments on long-term debt obligations</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(2.7)</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(6.6)</w:t>
            </w:r>
          </w:p>
        </w:tc>
      </w:tr>
      <w:tr>
        <w:trPr>
          <w:trHeight w:val="203"/>
        </w:trPr>
        <w:tc>
          <w:tcPr>
            <w:tcW w:w="7380" w:type="dxa"/>
            <w:vAlign w:val="bottom"/>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64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3"/>
        </w:trPr>
        <w:tc>
          <w:tcPr>
            <w:tcW w:w="7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Taxes paid related to shares withheld from the settlement of equity awards</w:t>
            </w:r>
          </w:p>
        </w:tc>
        <w:tc>
          <w:tcPr>
            <w:tcW w:w="64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(0.4)</w:t>
            </w:r>
          </w:p>
        </w:tc>
        <w:tc>
          <w:tcPr>
            <w:tcW w:w="104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38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104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00"/>
          </w:cols>
          <w:pgMar w:left="320" w:top="107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87630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320" w:top="1079" w:right="47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75"/>
        </w:trPr>
        <w:tc>
          <w:tcPr>
            <w:tcW w:w="7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5"/>
                <w:szCs w:val="15"/>
                <w:color w:val="auto"/>
              </w:rPr>
            </w:pPr>
          </w:p>
        </w:tc>
      </w:tr>
      <w:tr>
        <w:trPr>
          <w:trHeight w:val="208"/>
        </w:trPr>
        <w:tc>
          <w:tcPr>
            <w:tcW w:w="73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right"/>
              <w:ind w:right="708"/>
              <w:spacing w:after="0"/>
              <w:rPr>
                <w:sz w:val="20"/>
                <w:szCs w:val="20"/>
                <w:color w:val="auto"/>
              </w:rPr>
            </w:pPr>
            <w:r>
              <w:rPr>
                <w:rFonts w:ascii="Arial" w:cs="Arial" w:eastAsia="Arial" w:hAnsi="Arial"/>
                <w:sz w:val="14"/>
                <w:szCs w:val="14"/>
                <w:b w:val="1"/>
                <w:bCs w:val="1"/>
                <w:color w:val="auto"/>
              </w:rPr>
              <w:t>July 31,</w:t>
            </w:r>
          </w:p>
        </w:tc>
        <w:tc>
          <w:tcPr>
            <w:tcW w:w="820" w:type="dxa"/>
            <w:vAlign w:val="bottom"/>
            <w:tcBorders>
              <w:bottom w:val="single" w:sz="8" w:color="auto"/>
            </w:tcBorders>
          </w:tcPr>
          <w:p>
            <w:pPr>
              <w:spacing w:after="0"/>
              <w:rPr>
                <w:sz w:val="18"/>
                <w:szCs w:val="18"/>
                <w:color w:val="auto"/>
              </w:rPr>
            </w:pPr>
          </w:p>
        </w:tc>
      </w:tr>
      <w:tr>
        <w:trPr>
          <w:trHeight w:val="222"/>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10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r>
      <w:tr>
        <w:trPr>
          <w:trHeight w:val="203"/>
        </w:trPr>
        <w:tc>
          <w:tcPr>
            <w:tcW w:w="73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64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0.1</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Proceeds from loan from noncontrolling interest holder</w:t>
            </w:r>
          </w:p>
        </w:tc>
        <w:tc>
          <w:tcPr>
            <w:tcW w:w="64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2.0</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380" w:type="dxa"/>
            <w:vAlign w:val="bottom"/>
          </w:tcPr>
          <w:p>
            <w:pPr>
              <w:ind w:left="20"/>
              <w:spacing w:after="0"/>
              <w:rPr>
                <w:sz w:val="20"/>
                <w:szCs w:val="20"/>
                <w:color w:val="auto"/>
              </w:rPr>
            </w:pPr>
            <w:r>
              <w:rPr>
                <w:rFonts w:ascii="Arial" w:cs="Arial" w:eastAsia="Arial" w:hAnsi="Arial"/>
                <w:sz w:val="14"/>
                <w:szCs w:val="14"/>
                <w:color w:val="auto"/>
              </w:rPr>
              <w:t>Equity contributions from noncontrolling interest holders</w:t>
            </w:r>
          </w:p>
        </w:tc>
        <w:tc>
          <w:tcPr>
            <w:tcW w:w="64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2.2</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2"/>
        </w:trPr>
        <w:tc>
          <w:tcPr>
            <w:tcW w:w="7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640" w:type="dxa"/>
            <w:vAlign w:val="bottom"/>
            <w:tcBorders>
              <w:bottom w:val="single" w:sz="8" w:color="DBDBDB"/>
            </w:tcBorders>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29.1</w:t>
            </w:r>
          </w:p>
        </w:tc>
        <w:tc>
          <w:tcPr>
            <w:tcW w:w="1040" w:type="dxa"/>
            <w:vAlign w:val="bottom"/>
            <w:tcBorders>
              <w:bottom w:val="single" w:sz="8" w:color="DBDBDB"/>
            </w:tcBorders>
            <w:shd w:val="clear" w:color="auto" w:fill="DBDBDB"/>
          </w:tcPr>
          <w:p>
            <w:pPr>
              <w:jc w:val="right"/>
              <w:ind w:right="6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(7.6)</w:t>
            </w:r>
          </w:p>
        </w:tc>
      </w:tr>
      <w:tr>
        <w:trPr>
          <w:trHeight w:val="203"/>
        </w:trPr>
        <w:tc>
          <w:tcPr>
            <w:tcW w:w="738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64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0.1</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5"/>
        </w:trPr>
        <w:tc>
          <w:tcPr>
            <w:tcW w:w="7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2"/>
        </w:trPr>
        <w:tc>
          <w:tcPr>
            <w:tcW w:w="7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640" w:type="dxa"/>
            <w:vAlign w:val="bottom"/>
            <w:tcBorders>
              <w:bottom w:val="single" w:sz="8" w:color="DBDBDB"/>
            </w:tcBorders>
            <w:shd w:val="clear" w:color="auto" w:fill="DBDBDB"/>
          </w:tcPr>
          <w:p>
            <w:pPr>
              <w:spacing w:after="0"/>
              <w:rPr>
                <w:sz w:val="17"/>
                <w:szCs w:val="17"/>
                <w:color w:val="auto"/>
              </w:rPr>
            </w:pPr>
          </w:p>
        </w:tc>
        <w:tc>
          <w:tcPr>
            <w:tcW w:w="12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(28.8)</w:t>
            </w:r>
          </w:p>
        </w:tc>
        <w:tc>
          <w:tcPr>
            <w:tcW w:w="104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(45.3)</w:t>
            </w:r>
          </w:p>
        </w:tc>
      </w:tr>
      <w:tr>
        <w:trPr>
          <w:trHeight w:val="203"/>
        </w:trPr>
        <w:tc>
          <w:tcPr>
            <w:tcW w:w="738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64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53.9</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92.2</w:t>
            </w:r>
          </w:p>
        </w:tc>
      </w:tr>
      <w:tr>
        <w:trPr>
          <w:trHeight w:val="25"/>
        </w:trPr>
        <w:tc>
          <w:tcPr>
            <w:tcW w:w="7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7"/>
        </w:trPr>
        <w:tc>
          <w:tcPr>
            <w:tcW w:w="7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640" w:type="dxa"/>
            <w:vAlign w:val="bottom"/>
            <w:tcBorders>
              <w:bottom w:val="single" w:sz="8" w:color="DBDBDB"/>
            </w:tcBorders>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25.1</w:t>
            </w:r>
          </w:p>
        </w:tc>
        <w:tc>
          <w:tcPr>
            <w:tcW w:w="1040" w:type="dxa"/>
            <w:vAlign w:val="bottom"/>
            <w:tcBorders>
              <w:bottom w:val="single" w:sz="8" w:color="DBDBDB"/>
            </w:tcBorders>
            <w:shd w:val="clear" w:color="auto" w:fill="DBDBDB"/>
          </w:tcPr>
          <w:p>
            <w:pPr>
              <w:jc w:val="right"/>
              <w:ind w:right="6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46.9</w:t>
            </w:r>
          </w:p>
        </w:tc>
      </w:tr>
      <w:tr>
        <w:trPr>
          <w:trHeight w:val="249"/>
        </w:trPr>
        <w:tc>
          <w:tcPr>
            <w:tcW w:w="73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188"/>
        </w:trPr>
        <w:tc>
          <w:tcPr>
            <w:tcW w:w="73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Summary of cash, cash equivalents and restricted cash reported within the condensed consolidated</w:t>
            </w:r>
          </w:p>
        </w:tc>
        <w:tc>
          <w:tcPr>
            <w:tcW w:w="64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r>
      <w:tr>
        <w:trPr>
          <w:trHeight w:val="215"/>
        </w:trPr>
        <w:tc>
          <w:tcPr>
            <w:tcW w:w="73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balance sheets:</w:t>
            </w:r>
          </w:p>
        </w:tc>
        <w:tc>
          <w:tcPr>
            <w:tcW w:w="6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r>
      <w:tr>
        <w:trPr>
          <w:trHeight w:val="203"/>
        </w:trPr>
        <w:tc>
          <w:tcPr>
            <w:tcW w:w="73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23.0</w:t>
            </w:r>
          </w:p>
        </w:tc>
        <w:tc>
          <w:tcPr>
            <w:tcW w:w="104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43.8</w:t>
            </w:r>
          </w:p>
        </w:tc>
      </w:tr>
      <w:tr>
        <w:trPr>
          <w:trHeight w:val="25"/>
        </w:trPr>
        <w:tc>
          <w:tcPr>
            <w:tcW w:w="7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3"/>
        </w:trPr>
        <w:tc>
          <w:tcPr>
            <w:tcW w:w="7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Restricted cash</w:t>
            </w:r>
          </w:p>
        </w:tc>
        <w:tc>
          <w:tcPr>
            <w:tcW w:w="640" w:type="dxa"/>
            <w:vAlign w:val="bottom"/>
            <w:tcBorders>
              <w:bottom w:val="single" w:sz="8" w:color="DBDBDB"/>
            </w:tcBorders>
            <w:shd w:val="clear" w:color="auto" w:fill="DBDBDB"/>
          </w:tcPr>
          <w:p>
            <w:pPr>
              <w:spacing w:after="0"/>
              <w:rPr>
                <w:sz w:val="19"/>
                <w:szCs w:val="19"/>
                <w:color w:val="auto"/>
              </w:rPr>
            </w:pPr>
          </w:p>
        </w:tc>
        <w:tc>
          <w:tcPr>
            <w:tcW w:w="122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2.1</w:t>
            </w:r>
          </w:p>
        </w:tc>
        <w:tc>
          <w:tcPr>
            <w:tcW w:w="1040" w:type="dxa"/>
            <w:vAlign w:val="bottom"/>
            <w:tcBorders>
              <w:bottom w:val="single" w:sz="8" w:color="DBDBDB"/>
            </w:tcBorders>
            <w:shd w:val="clear" w:color="auto" w:fill="DBDBDB"/>
          </w:tcPr>
          <w:p>
            <w:pPr>
              <w:spacing w:after="0"/>
              <w:rPr>
                <w:sz w:val="19"/>
                <w:szCs w:val="19"/>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3.1</w:t>
            </w:r>
          </w:p>
        </w:tc>
      </w:tr>
      <w:tr>
        <w:trPr>
          <w:trHeight w:val="197"/>
        </w:trPr>
        <w:tc>
          <w:tcPr>
            <w:tcW w:w="73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cash, cash equivalents, and restricted cash shown in the condensed consolidated statements of cash flows</w:t>
            </w:r>
          </w:p>
        </w:tc>
        <w:tc>
          <w:tcPr>
            <w:tcW w:w="64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25.1</w:t>
            </w:r>
          </w:p>
        </w:tc>
        <w:tc>
          <w:tcPr>
            <w:tcW w:w="104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46.9</w:t>
            </w:r>
          </w:p>
        </w:tc>
      </w:tr>
      <w:tr>
        <w:trPr>
          <w:trHeight w:val="25"/>
        </w:trPr>
        <w:tc>
          <w:tcPr>
            <w:tcW w:w="7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73025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320" w:top="1147" w:right="4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1"/>
          <w:szCs w:val="21"/>
          <w:b w:val="1"/>
          <w:bCs w:val="1"/>
          <w:color w:val="auto"/>
        </w:rPr>
        <w:t>MISSION PRODUCE,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 w:hanging="433"/>
        <w:spacing w:after="0"/>
        <w:tabs>
          <w:tab w:leader="none" w:pos="4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27" w:lineRule="exact"/>
        <w:rPr>
          <w:sz w:val="20"/>
          <w:szCs w:val="20"/>
          <w:color w:val="auto"/>
        </w:rPr>
      </w:pPr>
    </w:p>
    <w:p>
      <w:pPr>
        <w:ind w:firstLine="645"/>
        <w:spacing w:after="0" w:line="261" w:lineRule="auto"/>
        <w:rPr>
          <w:sz w:val="20"/>
          <w:szCs w:val="20"/>
          <w:color w:val="auto"/>
        </w:rPr>
      </w:pPr>
      <w:r>
        <w:rPr>
          <w:rFonts w:ascii="Arial" w:cs="Arial" w:eastAsia="Arial" w:hAnsi="Arial"/>
          <w:sz w:val="16"/>
          <w:szCs w:val="16"/>
          <w:color w:val="auto"/>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and a small amount of other fruits for distribution to domestic and international markets. We report our results of operations in three operating segments: Marketing and Distribution, International Farming and Blueberries (see Note 11).</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consolidation</w:t>
      </w:r>
    </w:p>
    <w:p>
      <w:pPr>
        <w:spacing w:after="0" w:line="227" w:lineRule="exact"/>
        <w:rPr>
          <w:sz w:val="20"/>
          <w:szCs w:val="20"/>
          <w:color w:val="auto"/>
        </w:rPr>
      </w:pPr>
    </w:p>
    <w:p>
      <w:pPr>
        <w:ind w:right="40" w:firstLine="645"/>
        <w:spacing w:after="0" w:line="256" w:lineRule="auto"/>
        <w:rPr>
          <w:sz w:val="20"/>
          <w:szCs w:val="20"/>
          <w:color w:val="auto"/>
        </w:rPr>
      </w:pPr>
      <w:r>
        <w:rPr>
          <w:rFonts w:ascii="Arial" w:cs="Arial" w:eastAsia="Arial" w:hAnsi="Arial"/>
          <w:sz w:val="16"/>
          <w:szCs w:val="16"/>
          <w:color w:val="auto"/>
        </w:rPr>
        <w:t>The unaudited interim condensed consolidated financial statements are presented in accordance with accounting principles generally accepted in the United States of America (“U.S. GAAP”) for interim financial information and include the Company’s consolidated domestic and international subsidiaries and variable interest entity (“VIE”) for which we are the primary beneficiary and have a controlling interest. Certain information and disclosures normally included in annual consolidated financial statements prepared in accordance with U.S. GAAP have been condensed or omitted. Accordingly, these unaudited interim condensed consolidated financial statements and accompanying footnotes should be read in conjunction with the Company’s Annual Report for the year ended October 31, 2022. In the opinion of management, all adjustments, of a normal recurring nature, considered necessary for a fair statement have been included in the unaudited condensed consolidated financial statements. Interim results of operations are not necessarily indicative of future results, including results that may be expected for the twelve months ended October 31, 2023.</w:t>
      </w:r>
    </w:p>
    <w:p>
      <w:pPr>
        <w:spacing w:after="0" w:line="190" w:lineRule="exact"/>
        <w:rPr>
          <w:sz w:val="20"/>
          <w:szCs w:val="20"/>
          <w:color w:val="auto"/>
        </w:rPr>
      </w:pPr>
    </w:p>
    <w:p>
      <w:pPr>
        <w:ind w:right="480" w:firstLine="645"/>
        <w:spacing w:after="0" w:line="291" w:lineRule="auto"/>
        <w:rPr>
          <w:sz w:val="20"/>
          <w:szCs w:val="20"/>
          <w:color w:val="auto"/>
        </w:rPr>
      </w:pPr>
      <w:r>
        <w:rPr>
          <w:rFonts w:ascii="Arial" w:cs="Arial" w:eastAsia="Arial" w:hAnsi="Arial"/>
          <w:sz w:val="16"/>
          <w:szCs w:val="16"/>
          <w:color w:val="auto"/>
        </w:rPr>
        <w:t>Certain reclassifications have been made to previously reported balances in the unaudited condensed consolidated balance sheets in order to conform to current period presentation.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Consolidation of VIE</w:t>
      </w:r>
    </w:p>
    <w:p>
      <w:pPr>
        <w:spacing w:after="0" w:line="237" w:lineRule="exact"/>
        <w:rPr>
          <w:sz w:val="20"/>
          <w:szCs w:val="20"/>
          <w:color w:val="auto"/>
        </w:rPr>
      </w:pPr>
    </w:p>
    <w:p>
      <w:pPr>
        <w:ind w:right="20" w:firstLine="645"/>
        <w:spacing w:after="0" w:line="256" w:lineRule="auto"/>
        <w:rPr>
          <w:sz w:val="20"/>
          <w:szCs w:val="20"/>
          <w:color w:val="auto"/>
        </w:rPr>
      </w:pPr>
      <w:r>
        <w:rPr>
          <w:rFonts w:ascii="Arial" w:cs="Arial" w:eastAsia="Arial" w:hAnsi="Arial"/>
          <w:sz w:val="16"/>
          <w:szCs w:val="16"/>
          <w:color w:val="auto"/>
        </w:rPr>
        <w:t>On May 1, 2022, a reconsideration event occurred related to Moruga S.A.C., an entity for which we have a 60% equity ownership interest. Moruga S.A.C. is a holding company with one wholly owned subsidiary Blueberries Peru, S.A.C. (collectively referred to as “Moruga”). Moruga was previously accounted for under the equity method of accounting, where investments are stated at initial cost and adjusted for subsequent additional investments and our proportionate share of earnings or losses and distributions. As a result of the reconsideration event, we concluded that Moruga is a VIE, and that the Company is the primary beneficiary with a controlling financial interest. Based on this conclusion, Moruga was prospectively consolidated on May 1, 2022.</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227" w:lineRule="exact"/>
        <w:rPr>
          <w:sz w:val="20"/>
          <w:szCs w:val="20"/>
          <w:color w:val="auto"/>
        </w:rPr>
      </w:pPr>
    </w:p>
    <w:p>
      <w:pPr>
        <w:ind w:right="20" w:firstLine="645"/>
        <w:spacing w:after="0" w:line="261" w:lineRule="auto"/>
        <w:rPr>
          <w:sz w:val="20"/>
          <w:szCs w:val="20"/>
          <w:color w:val="auto"/>
        </w:rPr>
      </w:pPr>
      <w:r>
        <w:rPr>
          <w:rFonts w:ascii="Arial" w:cs="Arial" w:eastAsia="Arial" w:hAnsi="Arial"/>
          <w:sz w:val="16"/>
          <w:szCs w:val="16"/>
          <w:color w:val="auto"/>
        </w:rPr>
        <w:t>In September 2022, the Financial Accounting Standards Board (“FASB”) issued Accounting Standards Update (“ASU”) 2022-04, Liabilities—Supplier Finance Programs (Topic 405), which among other things, requires certain disclosures for a buyer in a supplier finance program. Some of the amendments in this ASU are required to be adopted for fiscal years beginning after December 15, 2022, including interim periods within those fiscal years, and others are required to be adopted for fiscal years beginning after December 15, 2023. Early adoption is permitted. We are currently evaluating the impact of adoption on our financial disclosures.</w:t>
      </w:r>
    </w:p>
    <w:p>
      <w:pPr>
        <w:spacing w:after="0" w:line="182" w:lineRule="exact"/>
        <w:rPr>
          <w:sz w:val="20"/>
          <w:szCs w:val="20"/>
          <w:color w:val="auto"/>
        </w:rPr>
      </w:pPr>
    </w:p>
    <w:p>
      <w:pPr>
        <w:ind w:right="200" w:firstLine="645"/>
        <w:spacing w:after="0" w:line="260" w:lineRule="auto"/>
        <w:rPr>
          <w:sz w:val="20"/>
          <w:szCs w:val="20"/>
          <w:color w:val="auto"/>
        </w:rPr>
      </w:pPr>
      <w:r>
        <w:rPr>
          <w:rFonts w:ascii="Arial" w:cs="Arial" w:eastAsia="Arial" w:hAnsi="Arial"/>
          <w:sz w:val="16"/>
          <w:szCs w:val="16"/>
          <w:color w:val="auto"/>
        </w:rPr>
        <w:t>In March 2022, the FASB issued ASU, Financial Instruments–Credit Losses (Topic 326) Troubled Debt Restructurings and Vintage Disclosures, which among other things, requires that entities disclose current-period gross write-offs by year of origination for financing receivables. The amendments in this ASU are required to be adopted for fiscal years beginning after December 15, 2022, including interim periods within those fiscal years. The impact of ASU 2022-02 is not expected to be material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1"/>
          <w:szCs w:val="21"/>
          <w:b w:val="1"/>
          <w:bCs w:val="1"/>
          <w:color w:val="auto"/>
        </w:rPr>
        <w:t>MISSION PRODUCE,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0" w:type="dxa"/>
            <w:vAlign w:val="bottom"/>
          </w:tcPr>
          <w:p>
            <w:pPr>
              <w:spacing w:after="0"/>
              <w:rPr>
                <w:sz w:val="20"/>
                <w:szCs w:val="20"/>
                <w:color w:val="auto"/>
              </w:rPr>
            </w:pPr>
            <w:r>
              <w:rPr>
                <w:rFonts w:ascii="Arial" w:cs="Arial" w:eastAsia="Arial" w:hAnsi="Arial"/>
                <w:sz w:val="20"/>
                <w:szCs w:val="20"/>
                <w:b w:val="1"/>
                <w:bCs w:val="1"/>
                <w:color w:val="auto"/>
              </w:rPr>
              <w:t>2.</w:t>
            </w:r>
          </w:p>
        </w:tc>
        <w:tc>
          <w:tcPr>
            <w:tcW w:w="5380" w:type="dxa"/>
            <w:vAlign w:val="bottom"/>
          </w:tcPr>
          <w:p>
            <w:pPr>
              <w:ind w:left="140"/>
              <w:spacing w:after="0"/>
              <w:rPr>
                <w:sz w:val="20"/>
                <w:szCs w:val="20"/>
                <w:color w:val="auto"/>
              </w:rPr>
            </w:pPr>
            <w:r>
              <w:rPr>
                <w:rFonts w:ascii="Arial" w:cs="Arial" w:eastAsia="Arial" w:hAnsi="Arial"/>
                <w:sz w:val="20"/>
                <w:szCs w:val="20"/>
                <w:b w:val="1"/>
                <w:bCs w:val="1"/>
                <w:color w:val="auto"/>
              </w:rPr>
              <w:t>Inventory</w:t>
            </w:r>
          </w:p>
        </w:tc>
        <w:tc>
          <w:tcPr>
            <w:tcW w:w="2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406"/>
        </w:trPr>
        <w:tc>
          <w:tcPr>
            <w:tcW w:w="300" w:type="dxa"/>
            <w:vAlign w:val="bottom"/>
          </w:tcPr>
          <w:p>
            <w:pPr>
              <w:spacing w:after="0"/>
              <w:rPr>
                <w:sz w:val="24"/>
                <w:szCs w:val="24"/>
                <w:color w:val="auto"/>
              </w:rPr>
            </w:pPr>
          </w:p>
        </w:tc>
        <w:tc>
          <w:tcPr>
            <w:tcW w:w="5380" w:type="dxa"/>
            <w:vAlign w:val="bottom"/>
          </w:tcPr>
          <w:p>
            <w:pPr>
              <w:ind w:left="360"/>
              <w:spacing w:after="0"/>
              <w:rPr>
                <w:sz w:val="20"/>
                <w:szCs w:val="20"/>
                <w:color w:val="auto"/>
              </w:rPr>
            </w:pPr>
            <w:r>
              <w:rPr>
                <w:rFonts w:ascii="Arial" w:cs="Arial" w:eastAsia="Arial" w:hAnsi="Arial"/>
                <w:sz w:val="16"/>
                <w:szCs w:val="16"/>
                <w:color w:val="auto"/>
              </w:rPr>
              <w:t>Major classes of inventory were as follows:</w:t>
            </w:r>
          </w:p>
        </w:tc>
        <w:tc>
          <w:tcPr>
            <w:tcW w:w="2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84"/>
        </w:trPr>
        <w:tc>
          <w:tcPr>
            <w:tcW w:w="5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2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July 31, 2023</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2022</w:t>
            </w:r>
          </w:p>
        </w:tc>
      </w:tr>
      <w:tr>
        <w:trPr>
          <w:trHeight w:val="208"/>
        </w:trPr>
        <w:tc>
          <w:tcPr>
            <w:tcW w:w="56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Finished goods</w:t>
            </w:r>
          </w:p>
        </w:tc>
        <w:tc>
          <w:tcPr>
            <w:tcW w:w="23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46.2</w:t>
            </w:r>
          </w:p>
        </w:tc>
        <w:tc>
          <w:tcPr>
            <w:tcW w:w="4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33.8</w:t>
            </w:r>
          </w:p>
        </w:tc>
      </w:tr>
      <w:tr>
        <w:trPr>
          <w:trHeight w:val="203"/>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Crop growing costs</w:t>
            </w:r>
          </w:p>
        </w:tc>
        <w:tc>
          <w:tcPr>
            <w:tcW w:w="2380" w:type="dxa"/>
            <w:vAlign w:val="bottom"/>
          </w:tcPr>
          <w:p>
            <w:pPr>
              <w:spacing w:after="0"/>
              <w:rPr>
                <w:sz w:val="17"/>
                <w:szCs w:val="17"/>
                <w:color w:val="auto"/>
              </w:rPr>
            </w:pP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20.2</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19.5</w:t>
            </w:r>
          </w:p>
        </w:tc>
      </w:tr>
      <w:tr>
        <w:trPr>
          <w:trHeight w:val="25"/>
        </w:trPr>
        <w:tc>
          <w:tcPr>
            <w:tcW w:w="568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3"/>
        </w:trPr>
        <w:tc>
          <w:tcPr>
            <w:tcW w:w="56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Packaging and supplies</w:t>
            </w:r>
          </w:p>
        </w:tc>
        <w:tc>
          <w:tcPr>
            <w:tcW w:w="2380" w:type="dxa"/>
            <w:vAlign w:val="bottom"/>
            <w:tcBorders>
              <w:bottom w:val="single" w:sz="8" w:color="DBDBDB"/>
            </w:tcBorders>
            <w:shd w:val="clear" w:color="auto" w:fill="DBDBDB"/>
          </w:tcPr>
          <w:p>
            <w:pPr>
              <w:spacing w:after="0"/>
              <w:rPr>
                <w:sz w:val="19"/>
                <w:szCs w:val="19"/>
                <w:color w:val="auto"/>
              </w:rPr>
            </w:pPr>
          </w:p>
        </w:tc>
        <w:tc>
          <w:tcPr>
            <w:tcW w:w="13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21.4</w:t>
            </w:r>
          </w:p>
        </w:tc>
        <w:tc>
          <w:tcPr>
            <w:tcW w:w="420" w:type="dxa"/>
            <w:vAlign w:val="bottom"/>
            <w:tcBorders>
              <w:bottom w:val="single" w:sz="8" w:color="DBDBDB"/>
            </w:tcBorders>
            <w:shd w:val="clear" w:color="auto" w:fill="DBDBDB"/>
          </w:tcPr>
          <w:p>
            <w:pPr>
              <w:spacing w:after="0"/>
              <w:rPr>
                <w:sz w:val="19"/>
                <w:szCs w:val="19"/>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19.8</w:t>
            </w:r>
          </w:p>
        </w:tc>
      </w:tr>
      <w:tr>
        <w:trPr>
          <w:trHeight w:val="197"/>
        </w:trPr>
        <w:tc>
          <w:tcPr>
            <w:tcW w:w="56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Inventory</w:t>
            </w:r>
          </w:p>
        </w:tc>
        <w:tc>
          <w:tcPr>
            <w:tcW w:w="23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87.8</w:t>
            </w:r>
          </w:p>
        </w:tc>
        <w:tc>
          <w:tcPr>
            <w:tcW w:w="4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73.1</w:t>
            </w:r>
          </w:p>
        </w:tc>
      </w:tr>
      <w:tr>
        <w:trPr>
          <w:trHeight w:val="25"/>
        </w:trPr>
        <w:tc>
          <w:tcPr>
            <w:tcW w:w="30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ind w:right="120" w:firstLine="645"/>
        <w:spacing w:after="0" w:line="268" w:lineRule="auto"/>
        <w:rPr>
          <w:sz w:val="20"/>
          <w:szCs w:val="20"/>
          <w:color w:val="auto"/>
        </w:rPr>
      </w:pPr>
      <w:r>
        <w:rPr>
          <w:rFonts w:ascii="Arial" w:cs="Arial" w:eastAsia="Arial" w:hAnsi="Arial"/>
          <w:sz w:val="16"/>
          <w:szCs w:val="16"/>
          <w:color w:val="auto"/>
        </w:rPr>
        <w:t>Inventory at October 31, 2022 included a $0.7 million adjustment to increase inventories recognized in the business combination with Moruga to their fair value as of May 1, 2022. These inventories, including the fair value adjustment, were recognized in cost of sales as the underlying inventories were sold.</w:t>
      </w:r>
    </w:p>
    <w:p>
      <w:pPr>
        <w:spacing w:after="0" w:line="213" w:lineRule="exact"/>
        <w:rPr>
          <w:sz w:val="20"/>
          <w:szCs w:val="20"/>
          <w:color w:val="auto"/>
        </w:rPr>
      </w:pPr>
    </w:p>
    <w:p>
      <w:pPr>
        <w:ind w:left="400" w:hanging="393"/>
        <w:spacing w:after="0"/>
        <w:tabs>
          <w:tab w:leader="none" w:pos="4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Intangible Asset, net</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International Farming</w:t>
            </w:r>
          </w:p>
        </w:tc>
        <w:tc>
          <w:tcPr>
            <w:tcW w:w="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Blueberries</w:t>
            </w:r>
          </w:p>
        </w:tc>
        <w:tc>
          <w:tcPr>
            <w:tcW w:w="8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5"/>
              </w:rPr>
              <w:t>Total</w:t>
            </w:r>
          </w:p>
        </w:tc>
      </w:tr>
      <w:tr>
        <w:trPr>
          <w:trHeight w:val="208"/>
        </w:trPr>
        <w:tc>
          <w:tcPr>
            <w:tcW w:w="4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Goodwill as of July 31, 2023 and October 31, 2022</w:t>
            </w:r>
          </w:p>
        </w:tc>
        <w:tc>
          <w:tcPr>
            <w:tcW w:w="1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26.9</w:t>
            </w:r>
          </w:p>
        </w:tc>
        <w:tc>
          <w:tcPr>
            <w:tcW w:w="560" w:type="dxa"/>
            <w:vAlign w:val="bottom"/>
            <w:tcBorders>
              <w:bottom w:val="single" w:sz="8" w:color="DBDBDB"/>
            </w:tcBorders>
            <w:shd w:val="clear" w:color="auto" w:fill="DBDBDB"/>
          </w:tcPr>
          <w:p>
            <w:pPr>
              <w:jc w:val="right"/>
              <w:ind w:right="3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12.5</w:t>
            </w:r>
          </w:p>
        </w:tc>
        <w:tc>
          <w:tcPr>
            <w:tcW w:w="800" w:type="dxa"/>
            <w:vAlign w:val="bottom"/>
            <w:tcBorders>
              <w:bottom w:val="single" w:sz="8" w:color="DBDBDB"/>
            </w:tcBorders>
            <w:shd w:val="clear" w:color="auto" w:fill="DBDBDB"/>
          </w:tcPr>
          <w:p>
            <w:pPr>
              <w:jc w:val="right"/>
              <w:ind w:right="5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ind w:left="620"/>
              <w:spacing w:after="0"/>
              <w:rPr>
                <w:sz w:val="20"/>
                <w:szCs w:val="20"/>
                <w:color w:val="auto"/>
              </w:rPr>
            </w:pPr>
            <w:r>
              <w:rPr>
                <w:rFonts w:ascii="Arial" w:cs="Arial" w:eastAsia="Arial" w:hAnsi="Arial"/>
                <w:sz w:val="14"/>
                <w:szCs w:val="14"/>
                <w:color w:val="auto"/>
              </w:rPr>
              <w:t>39.4</w:t>
            </w:r>
          </w:p>
        </w:tc>
      </w:tr>
      <w:tr>
        <w:trPr>
          <w:trHeight w:val="20"/>
        </w:trPr>
        <w:tc>
          <w:tcPr>
            <w:tcW w:w="45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85" w:lineRule="exact"/>
        <w:rPr>
          <w:sz w:val="20"/>
          <w:szCs w:val="20"/>
          <w:color w:val="auto"/>
        </w:rPr>
      </w:pPr>
    </w:p>
    <w:p>
      <w:pPr>
        <w:ind w:right="260" w:firstLine="645"/>
        <w:spacing w:after="0" w:line="273" w:lineRule="auto"/>
        <w:rPr>
          <w:sz w:val="20"/>
          <w:szCs w:val="20"/>
          <w:color w:val="auto"/>
        </w:rPr>
      </w:pPr>
      <w:r>
        <w:rPr>
          <w:rFonts w:ascii="Arial" w:cs="Arial" w:eastAsia="Arial" w:hAnsi="Arial"/>
          <w:sz w:val="16"/>
          <w:szCs w:val="16"/>
          <w:color w:val="auto"/>
        </w:rPr>
        <w:t>Goodwill is tested for impairment on an annual basis in the fourth quarter, or when an event or changes in circumstances indicate that its carrying value may not be recoverable.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 net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July 31, 2023</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October 31, 2022</w:t>
            </w:r>
          </w:p>
        </w:tc>
      </w:tr>
      <w:tr>
        <w:trPr>
          <w:trHeight w:val="208"/>
        </w:trPr>
        <w:tc>
          <w:tcPr>
            <w:tcW w:w="4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Intangible asset, gross</w:t>
            </w:r>
          </w:p>
        </w:tc>
        <w:tc>
          <w:tcPr>
            <w:tcW w:w="340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center"/>
              <w:ind w:left="708"/>
              <w:spacing w:after="0"/>
              <w:rPr>
                <w:sz w:val="20"/>
                <w:szCs w:val="20"/>
                <w:color w:val="auto"/>
              </w:rPr>
            </w:pPr>
            <w:r>
              <w:rPr>
                <w:rFonts w:ascii="Arial" w:cs="Arial" w:eastAsia="Arial" w:hAnsi="Arial"/>
                <w:sz w:val="14"/>
                <w:szCs w:val="14"/>
                <w:color w:val="auto"/>
              </w:rPr>
              <w:t>2.8</w:t>
            </w:r>
          </w:p>
        </w:tc>
        <w:tc>
          <w:tcPr>
            <w:tcW w:w="4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center"/>
              <w:ind w:left="988"/>
              <w:spacing w:after="0"/>
              <w:rPr>
                <w:sz w:val="20"/>
                <w:szCs w:val="20"/>
                <w:color w:val="auto"/>
              </w:rPr>
            </w:pPr>
            <w:r>
              <w:rPr>
                <w:rFonts w:ascii="Arial" w:cs="Arial" w:eastAsia="Arial" w:hAnsi="Arial"/>
                <w:sz w:val="14"/>
                <w:szCs w:val="14"/>
                <w:color w:val="auto"/>
              </w:rPr>
              <w:t>2.8</w:t>
            </w:r>
          </w:p>
        </w:tc>
      </w:tr>
      <w:tr>
        <w:trPr>
          <w:trHeight w:val="203"/>
        </w:trPr>
        <w:tc>
          <w:tcPr>
            <w:tcW w:w="4660" w:type="dxa"/>
            <w:vAlign w:val="bottom"/>
          </w:tcPr>
          <w:p>
            <w:pPr>
              <w:ind w:left="20"/>
              <w:spacing w:after="0"/>
              <w:rPr>
                <w:sz w:val="20"/>
                <w:szCs w:val="20"/>
                <w:color w:val="auto"/>
              </w:rPr>
            </w:pPr>
            <w:r>
              <w:rPr>
                <w:rFonts w:ascii="Arial" w:cs="Arial" w:eastAsia="Arial" w:hAnsi="Arial"/>
                <w:sz w:val="14"/>
                <w:szCs w:val="14"/>
                <w:color w:val="auto"/>
              </w:rPr>
              <w:t>Accumulated amortization</w:t>
            </w:r>
          </w:p>
        </w:tc>
        <w:tc>
          <w:tcPr>
            <w:tcW w:w="3400" w:type="dxa"/>
            <w:vAlign w:val="bottom"/>
          </w:tcPr>
          <w:p>
            <w:pPr>
              <w:spacing w:after="0"/>
              <w:rPr>
                <w:sz w:val="17"/>
                <w:szCs w:val="17"/>
                <w:color w:val="auto"/>
              </w:rPr>
            </w:pPr>
          </w:p>
        </w:tc>
        <w:tc>
          <w:tcPr>
            <w:tcW w:w="1380" w:type="dxa"/>
            <w:vAlign w:val="bottom"/>
          </w:tcPr>
          <w:p>
            <w:pPr>
              <w:jc w:val="center"/>
              <w:ind w:left="688"/>
              <w:spacing w:after="0"/>
              <w:rPr>
                <w:sz w:val="20"/>
                <w:szCs w:val="20"/>
                <w:color w:val="auto"/>
              </w:rPr>
            </w:pPr>
            <w:r>
              <w:rPr>
                <w:rFonts w:ascii="Arial" w:cs="Arial" w:eastAsia="Arial" w:hAnsi="Arial"/>
                <w:sz w:val="14"/>
                <w:szCs w:val="14"/>
                <w:color w:val="auto"/>
              </w:rPr>
              <w:t>(2.0)</w:t>
            </w:r>
          </w:p>
        </w:tc>
        <w:tc>
          <w:tcPr>
            <w:tcW w:w="420" w:type="dxa"/>
            <w:vAlign w:val="bottom"/>
          </w:tcPr>
          <w:p>
            <w:pPr>
              <w:spacing w:after="0"/>
              <w:rPr>
                <w:sz w:val="17"/>
                <w:szCs w:val="17"/>
                <w:color w:val="auto"/>
              </w:rPr>
            </w:pPr>
          </w:p>
        </w:tc>
        <w:tc>
          <w:tcPr>
            <w:tcW w:w="1380" w:type="dxa"/>
            <w:vAlign w:val="bottom"/>
          </w:tcPr>
          <w:p>
            <w:pPr>
              <w:jc w:val="center"/>
              <w:ind w:left="968"/>
              <w:spacing w:after="0"/>
              <w:rPr>
                <w:sz w:val="20"/>
                <w:szCs w:val="20"/>
                <w:color w:val="auto"/>
              </w:rPr>
            </w:pPr>
            <w:r>
              <w:rPr>
                <w:rFonts w:ascii="Arial" w:cs="Arial" w:eastAsia="Arial" w:hAnsi="Arial"/>
                <w:sz w:val="14"/>
                <w:szCs w:val="14"/>
                <w:color w:val="auto"/>
              </w:rPr>
              <w:t>(0.8)</w:t>
            </w:r>
          </w:p>
        </w:tc>
      </w:tr>
      <w:tr>
        <w:trPr>
          <w:trHeight w:val="25"/>
        </w:trPr>
        <w:tc>
          <w:tcPr>
            <w:tcW w:w="46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2"/>
        </w:trPr>
        <w:tc>
          <w:tcPr>
            <w:tcW w:w="4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Intangible asset, net</w:t>
            </w:r>
          </w:p>
        </w:tc>
        <w:tc>
          <w:tcPr>
            <w:tcW w:w="340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center"/>
              <w:ind w:left="708"/>
              <w:spacing w:after="0"/>
              <w:rPr>
                <w:sz w:val="20"/>
                <w:szCs w:val="20"/>
                <w:color w:val="auto"/>
              </w:rPr>
            </w:pPr>
            <w:r>
              <w:rPr>
                <w:rFonts w:ascii="Arial" w:cs="Arial" w:eastAsia="Arial" w:hAnsi="Arial"/>
                <w:sz w:val="14"/>
                <w:szCs w:val="14"/>
                <w:color w:val="auto"/>
              </w:rPr>
              <w:t>0.8</w:t>
            </w:r>
          </w:p>
        </w:tc>
        <w:tc>
          <w:tcPr>
            <w:tcW w:w="4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center"/>
              <w:ind w:left="988"/>
              <w:spacing w:after="0"/>
              <w:rPr>
                <w:sz w:val="20"/>
                <w:szCs w:val="20"/>
                <w:color w:val="auto"/>
              </w:rPr>
            </w:pPr>
            <w:r>
              <w:rPr>
                <w:rFonts w:ascii="Arial" w:cs="Arial" w:eastAsia="Arial" w:hAnsi="Arial"/>
                <w:sz w:val="14"/>
                <w:szCs w:val="14"/>
                <w:color w:val="auto"/>
              </w:rPr>
              <w:t>2.0</w:t>
            </w:r>
          </w:p>
        </w:tc>
      </w:tr>
      <w:tr>
        <w:trPr>
          <w:trHeight w:val="20"/>
        </w:trPr>
        <w:tc>
          <w:tcPr>
            <w:tcW w:w="4660" w:type="dxa"/>
            <w:vAlign w:val="bottom"/>
            <w:shd w:val="clear" w:color="auto" w:fill="000000"/>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99" w:lineRule="exact"/>
        <w:rPr>
          <w:sz w:val="20"/>
          <w:szCs w:val="20"/>
          <w:color w:val="auto"/>
        </w:rPr>
      </w:pPr>
    </w:p>
    <w:p>
      <w:pPr>
        <w:ind w:firstLine="645"/>
        <w:spacing w:after="0" w:line="253" w:lineRule="auto"/>
        <w:rPr>
          <w:sz w:val="20"/>
          <w:szCs w:val="20"/>
          <w:color w:val="auto"/>
        </w:rPr>
      </w:pPr>
      <w:r>
        <w:rPr>
          <w:rFonts w:ascii="Arial" w:cs="Arial" w:eastAsia="Arial" w:hAnsi="Arial"/>
          <w:sz w:val="16"/>
          <w:szCs w:val="16"/>
          <w:color w:val="auto"/>
        </w:rPr>
        <w:t>The intangible asset, net consists of a distributor relationship entirely attributed to the business combination with Moruga on May 1, 2022. The intangible asset has an amortizable life of 2 years, to be recognized in selling, general and administrative expenses coinciding with the timing of the estimated revenues. Amortization expense was less than $0.1 million for both the three months ended July 31, 2023 and 2022, respectively, and $1.2 million and</w:t>
      </w:r>
    </w:p>
    <w:p>
      <w:pPr>
        <w:spacing w:after="0"/>
        <w:rPr>
          <w:sz w:val="20"/>
          <w:szCs w:val="20"/>
          <w:color w:val="auto"/>
        </w:rPr>
      </w:pPr>
      <w:r>
        <w:rPr>
          <w:rFonts w:ascii="Arial" w:cs="Arial" w:eastAsia="Arial" w:hAnsi="Arial"/>
          <w:sz w:val="16"/>
          <w:szCs w:val="16"/>
          <w:color w:val="auto"/>
        </w:rPr>
        <w:t>$0.1 million for the nine months ended July 31, 2023 and 2022, respectively. The remaining amortization expense is expected to be recognized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b w:val="1"/>
                <w:bCs w:val="1"/>
                <w:color w:val="auto"/>
              </w:rPr>
              <w:t>Year Ending October 31,</w:t>
            </w:r>
          </w:p>
        </w:tc>
      </w:tr>
      <w:tr>
        <w:trPr>
          <w:trHeight w:val="209"/>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Remaining 2023</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r>
      <w:tr>
        <w:trPr>
          <w:trHeight w:val="208"/>
        </w:trPr>
        <w:tc>
          <w:tcPr>
            <w:tcW w:w="4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Estimated annual amortization expense</w:t>
            </w:r>
          </w:p>
        </w:tc>
        <w:tc>
          <w:tcPr>
            <w:tcW w:w="27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496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73025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8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1"/>
          <w:szCs w:val="21"/>
          <w:b w:val="1"/>
          <w:bCs w:val="1"/>
          <w:color w:val="auto"/>
        </w:rPr>
        <w:t>MISSION PRODUCE,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0" w:hanging="393"/>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Details of Certain Account Balances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Accrued expenses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5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July 31, 2023</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2022</w:t>
            </w:r>
          </w:p>
        </w:tc>
      </w:tr>
      <w:tr>
        <w:trPr>
          <w:trHeight w:val="208"/>
        </w:trPr>
        <w:tc>
          <w:tcPr>
            <w:tcW w:w="4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Employee-related</w:t>
            </w:r>
          </w:p>
        </w:tc>
        <w:tc>
          <w:tcPr>
            <w:tcW w:w="352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9.8</w:t>
            </w:r>
          </w:p>
        </w:tc>
        <w:tc>
          <w:tcPr>
            <w:tcW w:w="4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16.3</w:t>
            </w:r>
          </w:p>
        </w:tc>
      </w:tr>
      <w:tr>
        <w:trPr>
          <w:trHeight w:val="203"/>
        </w:trPr>
        <w:tc>
          <w:tcPr>
            <w:tcW w:w="4540" w:type="dxa"/>
            <w:vAlign w:val="bottom"/>
          </w:tcPr>
          <w:p>
            <w:pPr>
              <w:ind w:left="20"/>
              <w:spacing w:after="0"/>
              <w:rPr>
                <w:sz w:val="20"/>
                <w:szCs w:val="20"/>
                <w:color w:val="auto"/>
              </w:rPr>
            </w:pPr>
            <w:r>
              <w:rPr>
                <w:rFonts w:ascii="Arial" w:cs="Arial" w:eastAsia="Arial" w:hAnsi="Arial"/>
                <w:sz w:val="14"/>
                <w:szCs w:val="14"/>
                <w:color w:val="auto"/>
              </w:rPr>
              <w:t>Freight</w:t>
            </w:r>
          </w:p>
        </w:tc>
        <w:tc>
          <w:tcPr>
            <w:tcW w:w="3520" w:type="dxa"/>
            <w:vAlign w:val="bottom"/>
          </w:tcPr>
          <w:p>
            <w:pPr>
              <w:spacing w:after="0"/>
              <w:rPr>
                <w:sz w:val="17"/>
                <w:szCs w:val="17"/>
                <w:color w:val="auto"/>
              </w:rPr>
            </w:pP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4.4</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5"/>
        </w:trPr>
        <w:tc>
          <w:tcPr>
            <w:tcW w:w="45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8"/>
        </w:trPr>
        <w:tc>
          <w:tcPr>
            <w:tcW w:w="4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Outside fruit purchase</w:t>
            </w:r>
          </w:p>
        </w:tc>
        <w:tc>
          <w:tcPr>
            <w:tcW w:w="3520" w:type="dxa"/>
            <w:vAlign w:val="bottom"/>
            <w:tcBorders>
              <w:bottom w:val="single" w:sz="8" w:color="DBDBDB"/>
            </w:tcBorders>
            <w:shd w:val="clear" w:color="auto" w:fill="DBDBDB"/>
          </w:tcPr>
          <w:p>
            <w:pPr>
              <w:spacing w:after="0"/>
              <w:rPr>
                <w:sz w:val="18"/>
                <w:szCs w:val="18"/>
                <w:color w:val="auto"/>
              </w:rPr>
            </w:pPr>
          </w:p>
        </w:tc>
        <w:tc>
          <w:tcPr>
            <w:tcW w:w="13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1.4</w:t>
            </w:r>
          </w:p>
        </w:tc>
        <w:tc>
          <w:tcPr>
            <w:tcW w:w="420" w:type="dxa"/>
            <w:vAlign w:val="bottom"/>
            <w:tcBorders>
              <w:bottom w:val="single" w:sz="8" w:color="DBDBDB"/>
            </w:tcBorders>
            <w:shd w:val="clear" w:color="auto" w:fill="DBDBDB"/>
          </w:tcPr>
          <w:p>
            <w:pPr>
              <w:spacing w:after="0"/>
              <w:rPr>
                <w:sz w:val="18"/>
                <w:szCs w:val="18"/>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r>
      <w:tr>
        <w:trPr>
          <w:trHeight w:val="203"/>
        </w:trPr>
        <w:tc>
          <w:tcPr>
            <w:tcW w:w="4540" w:type="dxa"/>
            <w:vAlign w:val="bottom"/>
          </w:tcPr>
          <w:p>
            <w:pPr>
              <w:ind w:left="20"/>
              <w:spacing w:after="0"/>
              <w:rPr>
                <w:sz w:val="20"/>
                <w:szCs w:val="20"/>
                <w:color w:val="auto"/>
              </w:rPr>
            </w:pPr>
            <w:r>
              <w:rPr>
                <w:rFonts w:ascii="Arial" w:cs="Arial" w:eastAsia="Arial" w:hAnsi="Arial"/>
                <w:sz w:val="14"/>
                <w:szCs w:val="14"/>
                <w:color w:val="auto"/>
              </w:rPr>
              <w:t>Legal settlement</w:t>
            </w:r>
          </w:p>
        </w:tc>
        <w:tc>
          <w:tcPr>
            <w:tcW w:w="3520" w:type="dxa"/>
            <w:vAlign w:val="bottom"/>
          </w:tcPr>
          <w:p>
            <w:pPr>
              <w:spacing w:after="0"/>
              <w:rPr>
                <w:sz w:val="17"/>
                <w:szCs w:val="17"/>
                <w:color w:val="auto"/>
              </w:rPr>
            </w:pP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0.8</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5"/>
        </w:trPr>
        <w:tc>
          <w:tcPr>
            <w:tcW w:w="45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3"/>
        </w:trPr>
        <w:tc>
          <w:tcPr>
            <w:tcW w:w="4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3520" w:type="dxa"/>
            <w:vAlign w:val="bottom"/>
            <w:tcBorders>
              <w:bottom w:val="single" w:sz="8" w:color="DBDBDB"/>
            </w:tcBorders>
            <w:shd w:val="clear" w:color="auto" w:fill="DBDBDB"/>
          </w:tcPr>
          <w:p>
            <w:pPr>
              <w:spacing w:after="0"/>
              <w:rPr>
                <w:sz w:val="19"/>
                <w:szCs w:val="19"/>
                <w:color w:val="auto"/>
              </w:rPr>
            </w:pPr>
          </w:p>
        </w:tc>
        <w:tc>
          <w:tcPr>
            <w:tcW w:w="13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9.7</w:t>
            </w:r>
          </w:p>
        </w:tc>
        <w:tc>
          <w:tcPr>
            <w:tcW w:w="420" w:type="dxa"/>
            <w:vAlign w:val="bottom"/>
            <w:tcBorders>
              <w:bottom w:val="single" w:sz="8" w:color="DBDBDB"/>
            </w:tcBorders>
            <w:shd w:val="clear" w:color="auto" w:fill="DBDBDB"/>
          </w:tcPr>
          <w:p>
            <w:pPr>
              <w:spacing w:after="0"/>
              <w:rPr>
                <w:sz w:val="19"/>
                <w:szCs w:val="19"/>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5.8</w:t>
            </w:r>
          </w:p>
        </w:tc>
      </w:tr>
      <w:tr>
        <w:trPr>
          <w:trHeight w:val="197"/>
        </w:trPr>
        <w:tc>
          <w:tcPr>
            <w:tcW w:w="45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Accrued expenses</w:t>
            </w:r>
          </w:p>
        </w:tc>
        <w:tc>
          <w:tcPr>
            <w:tcW w:w="35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26.1</w:t>
            </w:r>
          </w:p>
        </w:tc>
        <w:tc>
          <w:tcPr>
            <w:tcW w:w="4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30.1</w:t>
            </w:r>
          </w:p>
        </w:tc>
      </w:tr>
      <w:tr>
        <w:trPr>
          <w:trHeight w:val="25"/>
        </w:trPr>
        <w:tc>
          <w:tcPr>
            <w:tcW w:w="45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long-term liabilities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July 31, 2023</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2022</w:t>
            </w:r>
          </w:p>
        </w:tc>
      </w:tr>
      <w:tr>
        <w:trPr>
          <w:trHeight w:val="208"/>
        </w:trPr>
        <w:tc>
          <w:tcPr>
            <w:tcW w:w="7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Uncertain tax positions</w:t>
            </w:r>
            <w:r>
              <w:rPr>
                <w:rFonts w:ascii="Arial" w:cs="Arial" w:eastAsia="Arial" w:hAnsi="Arial"/>
                <w:sz w:val="9"/>
                <w:szCs w:val="9"/>
                <w:color w:val="auto"/>
              </w:rPr>
              <w:t>(1)</w:t>
            </w:r>
          </w:p>
        </w:tc>
        <w:tc>
          <w:tcPr>
            <w:tcW w:w="5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20.7</w:t>
            </w:r>
          </w:p>
        </w:tc>
        <w:tc>
          <w:tcPr>
            <w:tcW w:w="4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17.1</w:t>
            </w:r>
          </w:p>
        </w:tc>
      </w:tr>
      <w:tr>
        <w:trPr>
          <w:trHeight w:val="203"/>
        </w:trPr>
        <w:tc>
          <w:tcPr>
            <w:tcW w:w="7480" w:type="dxa"/>
            <w:vAlign w:val="bottom"/>
          </w:tcPr>
          <w:p>
            <w:pPr>
              <w:ind w:left="20"/>
              <w:spacing w:after="0"/>
              <w:rPr>
                <w:sz w:val="20"/>
                <w:szCs w:val="20"/>
                <w:color w:val="auto"/>
              </w:rPr>
            </w:pPr>
            <w:r>
              <w:rPr>
                <w:rFonts w:ascii="Arial" w:cs="Arial" w:eastAsia="Arial" w:hAnsi="Arial"/>
                <w:sz w:val="14"/>
                <w:szCs w:val="14"/>
                <w:color w:val="auto"/>
              </w:rPr>
              <w:t>Employee-related</w:t>
            </w:r>
          </w:p>
        </w:tc>
        <w:tc>
          <w:tcPr>
            <w:tcW w:w="580" w:type="dxa"/>
            <w:vAlign w:val="bottom"/>
          </w:tcPr>
          <w:p>
            <w:pPr>
              <w:spacing w:after="0"/>
              <w:rPr>
                <w:sz w:val="17"/>
                <w:szCs w:val="17"/>
                <w:color w:val="auto"/>
              </w:rPr>
            </w:pP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1.6</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5"/>
        </w:trPr>
        <w:tc>
          <w:tcPr>
            <w:tcW w:w="7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3"/>
        </w:trPr>
        <w:tc>
          <w:tcPr>
            <w:tcW w:w="7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580" w:type="dxa"/>
            <w:vAlign w:val="bottom"/>
            <w:tcBorders>
              <w:bottom w:val="single" w:sz="8" w:color="DBDBDB"/>
            </w:tcBorders>
            <w:shd w:val="clear" w:color="auto" w:fill="DBDBDB"/>
          </w:tcPr>
          <w:p>
            <w:pPr>
              <w:spacing w:after="0"/>
              <w:rPr>
                <w:sz w:val="19"/>
                <w:szCs w:val="19"/>
                <w:color w:val="auto"/>
              </w:rPr>
            </w:pPr>
          </w:p>
        </w:tc>
        <w:tc>
          <w:tcPr>
            <w:tcW w:w="13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1.4</w:t>
            </w:r>
          </w:p>
        </w:tc>
        <w:tc>
          <w:tcPr>
            <w:tcW w:w="420" w:type="dxa"/>
            <w:vAlign w:val="bottom"/>
            <w:tcBorders>
              <w:bottom w:val="single" w:sz="8" w:color="DBDBDB"/>
            </w:tcBorders>
            <w:shd w:val="clear" w:color="auto" w:fill="DBDBDB"/>
          </w:tcPr>
          <w:p>
            <w:pPr>
              <w:spacing w:after="0"/>
              <w:rPr>
                <w:sz w:val="19"/>
                <w:szCs w:val="19"/>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0.9</w:t>
            </w:r>
          </w:p>
        </w:tc>
      </w:tr>
      <w:tr>
        <w:trPr>
          <w:trHeight w:val="197"/>
        </w:trPr>
        <w:tc>
          <w:tcPr>
            <w:tcW w:w="74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Other long-term liabilities</w:t>
            </w:r>
          </w:p>
        </w:tc>
        <w:tc>
          <w:tcPr>
            <w:tcW w:w="5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23.7</w:t>
            </w:r>
          </w:p>
        </w:tc>
        <w:tc>
          <w:tcPr>
            <w:tcW w:w="4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w:t>
            </w:r>
          </w:p>
        </w:tc>
      </w:tr>
      <w:tr>
        <w:trPr>
          <w:trHeight w:val="25"/>
        </w:trPr>
        <w:tc>
          <w:tcPr>
            <w:tcW w:w="7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5"/>
        </w:trPr>
        <w:tc>
          <w:tcPr>
            <w:tcW w:w="7480" w:type="dxa"/>
            <w:vAlign w:val="bottom"/>
          </w:tcPr>
          <w:p>
            <w:pPr>
              <w:spacing w:after="0"/>
              <w:rPr>
                <w:sz w:val="20"/>
                <w:szCs w:val="20"/>
                <w:color w:val="auto"/>
              </w:rPr>
            </w:pPr>
            <w:r>
              <w:rPr>
                <w:rFonts w:ascii="Arial" w:cs="Arial" w:eastAsia="Arial" w:hAnsi="Arial"/>
                <w:sz w:val="13"/>
                <w:szCs w:val="13"/>
                <w:color w:val="auto"/>
                <w:w w:val="98"/>
              </w:rPr>
              <w:t>(1) Includes uncertain tax positions related to both income taxes and other statutory tax reserves, plus related penalties and interest.</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expense (income), net</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4"/>
                <w:szCs w:val="14"/>
                <w:color w:val="auto"/>
              </w:rPr>
            </w:pPr>
          </w:p>
        </w:tc>
      </w:tr>
      <w:tr>
        <w:trPr>
          <w:trHeight w:val="200"/>
        </w:trPr>
        <w:tc>
          <w:tcPr>
            <w:tcW w:w="4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8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July 31,</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4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July 31,</w:t>
            </w:r>
          </w:p>
        </w:tc>
        <w:tc>
          <w:tcPr>
            <w:tcW w:w="760" w:type="dxa"/>
            <w:vAlign w:val="bottom"/>
          </w:tcPr>
          <w:p>
            <w:pPr>
              <w:spacing w:after="0"/>
              <w:rPr>
                <w:sz w:val="17"/>
                <w:szCs w:val="17"/>
                <w:color w:val="auto"/>
              </w:rPr>
            </w:pPr>
          </w:p>
        </w:tc>
      </w:tr>
      <w:tr>
        <w:trPr>
          <w:trHeight w:val="29"/>
        </w:trPr>
        <w:tc>
          <w:tcPr>
            <w:tcW w:w="40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6"/>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r>
      <w:tr>
        <w:trPr>
          <w:trHeight w:val="208"/>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Gains on derivative financial instruments</w:t>
            </w:r>
          </w:p>
        </w:tc>
        <w:tc>
          <w:tcPr>
            <w:tcW w:w="56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center"/>
              <w:ind w:left="628"/>
              <w:spacing w:after="0"/>
              <w:rPr>
                <w:sz w:val="20"/>
                <w:szCs w:val="20"/>
                <w:color w:val="auto"/>
              </w:rPr>
            </w:pPr>
            <w:r>
              <w:rPr>
                <w:rFonts w:ascii="Arial" w:cs="Arial" w:eastAsia="Arial" w:hAnsi="Arial"/>
                <w:sz w:val="14"/>
                <w:szCs w:val="14"/>
                <w:color w:val="auto"/>
              </w:rPr>
              <w:t>(0.1)</w:t>
            </w:r>
          </w:p>
        </w:tc>
        <w:tc>
          <w:tcPr>
            <w:tcW w:w="1020" w:type="dxa"/>
            <w:vAlign w:val="bottom"/>
            <w:tcBorders>
              <w:bottom w:val="single" w:sz="8" w:color="DBDBDB"/>
            </w:tcBorders>
            <w:shd w:val="clear" w:color="auto" w:fill="DBDBDB"/>
          </w:tcPr>
          <w:p>
            <w:pPr>
              <w:jc w:val="right"/>
              <w:ind w:right="7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center"/>
              <w:ind w:left="308"/>
              <w:spacing w:after="0"/>
              <w:rPr>
                <w:sz w:val="20"/>
                <w:szCs w:val="20"/>
                <w:color w:val="auto"/>
              </w:rPr>
            </w:pPr>
            <w:r>
              <w:rPr>
                <w:rFonts w:ascii="Arial" w:cs="Arial" w:eastAsia="Arial" w:hAnsi="Arial"/>
                <w:sz w:val="14"/>
                <w:szCs w:val="14"/>
                <w:color w:val="auto"/>
                <w:w w:val="97"/>
              </w:rPr>
              <w:t>(0.1)</w:t>
            </w:r>
          </w:p>
        </w:tc>
        <w:tc>
          <w:tcPr>
            <w:tcW w:w="24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tcBorders>
            <w:shd w:val="clear" w:color="auto" w:fill="DBDBDB"/>
          </w:tcPr>
          <w:p>
            <w:pPr>
              <w:jc w:val="center"/>
              <w:ind w:left="588"/>
              <w:spacing w:after="0"/>
              <w:rPr>
                <w:sz w:val="20"/>
                <w:szCs w:val="20"/>
                <w:color w:val="auto"/>
              </w:rPr>
            </w:pPr>
            <w:r>
              <w:rPr>
                <w:rFonts w:ascii="Arial" w:cs="Arial" w:eastAsia="Arial" w:hAnsi="Arial"/>
                <w:sz w:val="14"/>
                <w:szCs w:val="14"/>
                <w:color w:val="auto"/>
                <w:w w:val="97"/>
              </w:rPr>
              <w:t>(0.1)</w:t>
            </w:r>
          </w:p>
        </w:tc>
        <w:tc>
          <w:tcPr>
            <w:tcW w:w="1000" w:type="dxa"/>
            <w:vAlign w:val="bottom"/>
            <w:tcBorders>
              <w:bottom w:val="single" w:sz="8" w:color="DBDBDB"/>
            </w:tcBorders>
            <w:shd w:val="clear" w:color="auto" w:fill="DBDBDB"/>
          </w:tcPr>
          <w:p>
            <w:pPr>
              <w:jc w:val="right"/>
              <w:ind w:right="7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center"/>
              <w:ind w:left="348"/>
              <w:spacing w:after="0"/>
              <w:rPr>
                <w:sz w:val="20"/>
                <w:szCs w:val="20"/>
                <w:color w:val="auto"/>
              </w:rPr>
            </w:pPr>
            <w:r>
              <w:rPr>
                <w:rFonts w:ascii="Arial" w:cs="Arial" w:eastAsia="Arial" w:hAnsi="Arial"/>
                <w:sz w:val="14"/>
                <w:szCs w:val="14"/>
                <w:color w:val="auto"/>
              </w:rPr>
              <w:t>(3.1)</w:t>
            </w:r>
          </w:p>
        </w:tc>
      </w:tr>
      <w:tr>
        <w:trPr>
          <w:trHeight w:val="203"/>
        </w:trPr>
        <w:tc>
          <w:tcPr>
            <w:tcW w:w="4020" w:type="dxa"/>
            <w:vAlign w:val="bottom"/>
          </w:tcPr>
          <w:p>
            <w:pPr>
              <w:ind w:left="20"/>
              <w:spacing w:after="0"/>
              <w:rPr>
                <w:sz w:val="20"/>
                <w:szCs w:val="20"/>
                <w:color w:val="auto"/>
              </w:rPr>
            </w:pPr>
            <w:r>
              <w:rPr>
                <w:rFonts w:ascii="Arial" w:cs="Arial" w:eastAsia="Arial" w:hAnsi="Arial"/>
                <w:sz w:val="14"/>
                <w:szCs w:val="14"/>
                <w:color w:val="auto"/>
              </w:rPr>
              <w:t>Foreign currency transaction loss</w:t>
            </w:r>
          </w:p>
        </w:tc>
        <w:tc>
          <w:tcPr>
            <w:tcW w:w="560" w:type="dxa"/>
            <w:vAlign w:val="bottom"/>
          </w:tcPr>
          <w:p>
            <w:pPr>
              <w:spacing w:after="0"/>
              <w:rPr>
                <w:sz w:val="17"/>
                <w:szCs w:val="17"/>
                <w:color w:val="auto"/>
              </w:rPr>
            </w:pPr>
          </w:p>
        </w:tc>
        <w:tc>
          <w:tcPr>
            <w:tcW w:w="1160" w:type="dxa"/>
            <w:vAlign w:val="bottom"/>
          </w:tcPr>
          <w:p>
            <w:pPr>
              <w:jc w:val="center"/>
              <w:ind w:left="648"/>
              <w:spacing w:after="0"/>
              <w:rPr>
                <w:sz w:val="20"/>
                <w:szCs w:val="20"/>
                <w:color w:val="auto"/>
              </w:rPr>
            </w:pPr>
            <w:r>
              <w:rPr>
                <w:rFonts w:ascii="Arial" w:cs="Arial" w:eastAsia="Arial" w:hAnsi="Arial"/>
                <w:sz w:val="14"/>
                <w:szCs w:val="14"/>
                <w:color w:val="auto"/>
              </w:rPr>
              <w:t>1.3</w:t>
            </w:r>
          </w:p>
        </w:tc>
        <w:tc>
          <w:tcPr>
            <w:tcW w:w="1020" w:type="dxa"/>
            <w:vAlign w:val="bottom"/>
          </w:tcPr>
          <w:p>
            <w:pPr>
              <w:spacing w:after="0"/>
              <w:rPr>
                <w:sz w:val="17"/>
                <w:szCs w:val="17"/>
                <w:color w:val="auto"/>
              </w:rPr>
            </w:pPr>
          </w:p>
        </w:tc>
        <w:tc>
          <w:tcPr>
            <w:tcW w:w="740" w:type="dxa"/>
            <w:vAlign w:val="bottom"/>
          </w:tcPr>
          <w:p>
            <w:pPr>
              <w:jc w:val="center"/>
              <w:ind w:left="308"/>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jc w:val="center"/>
              <w:ind w:left="588"/>
              <w:spacing w:after="0"/>
              <w:rPr>
                <w:sz w:val="20"/>
                <w:szCs w:val="20"/>
                <w:color w:val="auto"/>
              </w:rPr>
            </w:pPr>
            <w:r>
              <w:rPr>
                <w:rFonts w:ascii="Arial" w:cs="Arial" w:eastAsia="Arial" w:hAnsi="Arial"/>
                <w:sz w:val="14"/>
                <w:szCs w:val="14"/>
                <w:color w:val="auto"/>
              </w:rPr>
              <w:t>2.6</w:t>
            </w:r>
          </w:p>
        </w:tc>
        <w:tc>
          <w:tcPr>
            <w:tcW w:w="1000" w:type="dxa"/>
            <w:vAlign w:val="bottom"/>
          </w:tcPr>
          <w:p>
            <w:pPr>
              <w:spacing w:after="0"/>
              <w:rPr>
                <w:sz w:val="17"/>
                <w:szCs w:val="17"/>
                <w:color w:val="auto"/>
              </w:rPr>
            </w:pPr>
          </w:p>
        </w:tc>
        <w:tc>
          <w:tcPr>
            <w:tcW w:w="760" w:type="dxa"/>
            <w:vAlign w:val="bottom"/>
          </w:tcPr>
          <w:p>
            <w:pPr>
              <w:jc w:val="center"/>
              <w:ind w:left="368"/>
              <w:spacing w:after="0"/>
              <w:rPr>
                <w:sz w:val="20"/>
                <w:szCs w:val="20"/>
                <w:color w:val="auto"/>
              </w:rPr>
            </w:pPr>
            <w:r>
              <w:rPr>
                <w:rFonts w:ascii="Arial" w:cs="Arial" w:eastAsia="Arial" w:hAnsi="Arial"/>
                <w:sz w:val="14"/>
                <w:szCs w:val="14"/>
                <w:color w:val="auto"/>
              </w:rPr>
              <w:t>1.1</w:t>
            </w:r>
          </w:p>
        </w:tc>
      </w:tr>
      <w:tr>
        <w:trPr>
          <w:trHeight w:val="25"/>
        </w:trPr>
        <w:tc>
          <w:tcPr>
            <w:tcW w:w="4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8"/>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Interest income</w:t>
            </w:r>
          </w:p>
        </w:tc>
        <w:tc>
          <w:tcPr>
            <w:tcW w:w="56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center"/>
              <w:ind w:left="628"/>
              <w:spacing w:after="0"/>
              <w:rPr>
                <w:sz w:val="20"/>
                <w:szCs w:val="20"/>
                <w:color w:val="auto"/>
              </w:rPr>
            </w:pPr>
            <w:r>
              <w:rPr>
                <w:rFonts w:ascii="Arial" w:cs="Arial" w:eastAsia="Arial" w:hAnsi="Arial"/>
                <w:sz w:val="14"/>
                <w:szCs w:val="14"/>
                <w:color w:val="auto"/>
              </w:rPr>
              <w:t>(0.2)</w:t>
            </w:r>
          </w:p>
        </w:tc>
        <w:tc>
          <w:tcPr>
            <w:tcW w:w="102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center"/>
              <w:ind w:left="308"/>
              <w:spacing w:after="0"/>
              <w:rPr>
                <w:sz w:val="20"/>
                <w:szCs w:val="20"/>
                <w:color w:val="auto"/>
              </w:rPr>
            </w:pPr>
            <w:r>
              <w:rPr>
                <w:rFonts w:ascii="Arial" w:cs="Arial" w:eastAsia="Arial" w:hAnsi="Arial"/>
                <w:sz w:val="14"/>
                <w:szCs w:val="14"/>
                <w:color w:val="auto"/>
                <w:w w:val="97"/>
              </w:rPr>
              <w:t>(0.3)</w:t>
            </w:r>
          </w:p>
        </w:tc>
        <w:tc>
          <w:tcPr>
            <w:tcW w:w="24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center"/>
              <w:ind w:left="588"/>
              <w:spacing w:after="0"/>
              <w:rPr>
                <w:sz w:val="20"/>
                <w:szCs w:val="20"/>
                <w:color w:val="auto"/>
              </w:rPr>
            </w:pPr>
            <w:r>
              <w:rPr>
                <w:rFonts w:ascii="Arial" w:cs="Arial" w:eastAsia="Arial" w:hAnsi="Arial"/>
                <w:sz w:val="14"/>
                <w:szCs w:val="14"/>
                <w:color w:val="auto"/>
                <w:w w:val="97"/>
              </w:rPr>
              <w:t>(1.3)</w:t>
            </w:r>
          </w:p>
        </w:tc>
        <w:tc>
          <w:tcPr>
            <w:tcW w:w="100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center"/>
              <w:ind w:left="348"/>
              <w:spacing w:after="0"/>
              <w:rPr>
                <w:sz w:val="20"/>
                <w:szCs w:val="20"/>
                <w:color w:val="auto"/>
              </w:rPr>
            </w:pPr>
            <w:r>
              <w:rPr>
                <w:rFonts w:ascii="Arial" w:cs="Arial" w:eastAsia="Arial" w:hAnsi="Arial"/>
                <w:sz w:val="14"/>
                <w:szCs w:val="14"/>
                <w:color w:val="auto"/>
              </w:rPr>
              <w:t>(1.5)</w:t>
            </w:r>
          </w:p>
        </w:tc>
      </w:tr>
      <w:tr>
        <w:trPr>
          <w:trHeight w:val="203"/>
        </w:trPr>
        <w:tc>
          <w:tcPr>
            <w:tcW w:w="4020" w:type="dxa"/>
            <w:vAlign w:val="bottom"/>
          </w:tcPr>
          <w:p>
            <w:pPr>
              <w:ind w:left="20"/>
              <w:spacing w:after="0"/>
              <w:rPr>
                <w:sz w:val="20"/>
                <w:szCs w:val="20"/>
                <w:color w:val="auto"/>
              </w:rPr>
            </w:pPr>
            <w:r>
              <w:rPr>
                <w:rFonts w:ascii="Arial" w:cs="Arial" w:eastAsia="Arial" w:hAnsi="Arial"/>
                <w:sz w:val="14"/>
                <w:szCs w:val="14"/>
                <w:color w:val="auto"/>
              </w:rPr>
              <w:t>Other</w:t>
            </w:r>
          </w:p>
        </w:tc>
        <w:tc>
          <w:tcPr>
            <w:tcW w:w="560" w:type="dxa"/>
            <w:vAlign w:val="bottom"/>
          </w:tcPr>
          <w:p>
            <w:pPr>
              <w:spacing w:after="0"/>
              <w:rPr>
                <w:sz w:val="17"/>
                <w:szCs w:val="17"/>
                <w:color w:val="auto"/>
              </w:rPr>
            </w:pPr>
          </w:p>
        </w:tc>
        <w:tc>
          <w:tcPr>
            <w:tcW w:w="1160" w:type="dxa"/>
            <w:vAlign w:val="bottom"/>
          </w:tcPr>
          <w:p>
            <w:pPr>
              <w:jc w:val="center"/>
              <w:ind w:left="648"/>
              <w:spacing w:after="0"/>
              <w:rPr>
                <w:sz w:val="20"/>
                <w:szCs w:val="20"/>
                <w:color w:val="auto"/>
              </w:rPr>
            </w:pPr>
            <w:r>
              <w:rPr>
                <w:rFonts w:ascii="Arial" w:cs="Arial" w:eastAsia="Arial" w:hAnsi="Arial"/>
                <w:sz w:val="14"/>
                <w:szCs w:val="14"/>
                <w:color w:val="auto"/>
              </w:rPr>
              <w:t>0.1</w:t>
            </w:r>
          </w:p>
        </w:tc>
        <w:tc>
          <w:tcPr>
            <w:tcW w:w="1020" w:type="dxa"/>
            <w:vAlign w:val="bottom"/>
          </w:tcPr>
          <w:p>
            <w:pPr>
              <w:spacing w:after="0"/>
              <w:rPr>
                <w:sz w:val="17"/>
                <w:szCs w:val="17"/>
                <w:color w:val="auto"/>
              </w:rPr>
            </w:pPr>
          </w:p>
        </w:tc>
        <w:tc>
          <w:tcPr>
            <w:tcW w:w="740" w:type="dxa"/>
            <w:vAlign w:val="bottom"/>
          </w:tcPr>
          <w:p>
            <w:pPr>
              <w:jc w:val="center"/>
              <w:ind w:left="308"/>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jc w:val="center"/>
              <w:ind w:left="588"/>
              <w:spacing w:after="0"/>
              <w:rPr>
                <w:sz w:val="20"/>
                <w:szCs w:val="20"/>
                <w:color w:val="auto"/>
              </w:rPr>
            </w:pPr>
            <w:r>
              <w:rPr>
                <w:rFonts w:ascii="Arial" w:cs="Arial" w:eastAsia="Arial" w:hAnsi="Arial"/>
                <w:sz w:val="14"/>
                <w:szCs w:val="14"/>
                <w:color w:val="auto"/>
              </w:rPr>
              <w:t>0.1</w:t>
            </w:r>
          </w:p>
        </w:tc>
        <w:tc>
          <w:tcPr>
            <w:tcW w:w="1000" w:type="dxa"/>
            <w:vAlign w:val="bottom"/>
          </w:tcPr>
          <w:p>
            <w:pPr>
              <w:spacing w:after="0"/>
              <w:rPr>
                <w:sz w:val="17"/>
                <w:szCs w:val="17"/>
                <w:color w:val="auto"/>
              </w:rPr>
            </w:pPr>
          </w:p>
        </w:tc>
        <w:tc>
          <w:tcPr>
            <w:tcW w:w="760" w:type="dxa"/>
            <w:vAlign w:val="bottom"/>
          </w:tcPr>
          <w:p>
            <w:pPr>
              <w:jc w:val="center"/>
              <w:ind w:left="348"/>
              <w:spacing w:after="0"/>
              <w:rPr>
                <w:sz w:val="20"/>
                <w:szCs w:val="20"/>
                <w:color w:val="auto"/>
              </w:rPr>
            </w:pPr>
            <w:r>
              <w:rPr>
                <w:rFonts w:ascii="Arial" w:cs="Arial" w:eastAsia="Arial" w:hAnsi="Arial"/>
                <w:sz w:val="14"/>
                <w:szCs w:val="14"/>
                <w:color w:val="auto"/>
              </w:rPr>
              <w:t>(0.1)</w:t>
            </w:r>
          </w:p>
        </w:tc>
      </w:tr>
      <w:tr>
        <w:trPr>
          <w:trHeight w:val="25"/>
        </w:trPr>
        <w:tc>
          <w:tcPr>
            <w:tcW w:w="4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expense (income), net</w:t>
            </w:r>
          </w:p>
        </w:tc>
        <w:tc>
          <w:tcPr>
            <w:tcW w:w="56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center"/>
              <w:ind w:left="648"/>
              <w:spacing w:after="0"/>
              <w:rPr>
                <w:sz w:val="20"/>
                <w:szCs w:val="20"/>
                <w:color w:val="auto"/>
              </w:rPr>
            </w:pPr>
            <w:r>
              <w:rPr>
                <w:rFonts w:ascii="Arial" w:cs="Arial" w:eastAsia="Arial" w:hAnsi="Arial"/>
                <w:sz w:val="14"/>
                <w:szCs w:val="14"/>
                <w:color w:val="auto"/>
              </w:rPr>
              <w:t>1.1</w:t>
            </w:r>
          </w:p>
        </w:tc>
        <w:tc>
          <w:tcPr>
            <w:tcW w:w="1020" w:type="dxa"/>
            <w:vAlign w:val="bottom"/>
            <w:tcBorders>
              <w:bottom w:val="single" w:sz="8" w:color="DBDBDB"/>
            </w:tcBorders>
            <w:shd w:val="clear" w:color="auto" w:fill="DBDBDB"/>
          </w:tcPr>
          <w:p>
            <w:pPr>
              <w:jc w:val="right"/>
              <w:ind w:right="7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center"/>
              <w:ind w:left="308"/>
              <w:spacing w:after="0"/>
              <w:rPr>
                <w:sz w:val="20"/>
                <w:szCs w:val="20"/>
                <w:color w:val="auto"/>
              </w:rPr>
            </w:pPr>
            <w:r>
              <w:rPr>
                <w:rFonts w:ascii="Arial" w:cs="Arial" w:eastAsia="Arial" w:hAnsi="Arial"/>
                <w:sz w:val="14"/>
                <w:szCs w:val="14"/>
                <w:color w:val="auto"/>
              </w:rPr>
              <w:t>0.9</w:t>
            </w:r>
          </w:p>
        </w:tc>
        <w:tc>
          <w:tcPr>
            <w:tcW w:w="24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tcBorders>
            <w:shd w:val="clear" w:color="auto" w:fill="DBDBDB"/>
          </w:tcPr>
          <w:p>
            <w:pPr>
              <w:jc w:val="center"/>
              <w:ind w:left="588"/>
              <w:spacing w:after="0"/>
              <w:rPr>
                <w:sz w:val="20"/>
                <w:szCs w:val="20"/>
                <w:color w:val="auto"/>
              </w:rPr>
            </w:pPr>
            <w:r>
              <w:rPr>
                <w:rFonts w:ascii="Arial" w:cs="Arial" w:eastAsia="Arial" w:hAnsi="Arial"/>
                <w:sz w:val="14"/>
                <w:szCs w:val="14"/>
                <w:color w:val="auto"/>
              </w:rPr>
              <w:t>1.3</w:t>
            </w:r>
          </w:p>
        </w:tc>
        <w:tc>
          <w:tcPr>
            <w:tcW w:w="1000" w:type="dxa"/>
            <w:vAlign w:val="bottom"/>
            <w:tcBorders>
              <w:bottom w:val="single" w:sz="8" w:color="DBDBDB"/>
            </w:tcBorders>
            <w:shd w:val="clear" w:color="auto" w:fill="DBDBDB"/>
          </w:tcPr>
          <w:p>
            <w:pPr>
              <w:jc w:val="right"/>
              <w:ind w:right="7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center"/>
              <w:ind w:left="348"/>
              <w:spacing w:after="0"/>
              <w:rPr>
                <w:sz w:val="20"/>
                <w:szCs w:val="20"/>
                <w:color w:val="auto"/>
              </w:rPr>
            </w:pPr>
            <w:r>
              <w:rPr>
                <w:rFonts w:ascii="Arial" w:cs="Arial" w:eastAsia="Arial" w:hAnsi="Arial"/>
                <w:sz w:val="14"/>
                <w:szCs w:val="14"/>
                <w:color w:val="auto"/>
              </w:rPr>
              <w:t>(3.6)</w:t>
            </w:r>
          </w:p>
        </w:tc>
      </w:tr>
      <w:tr>
        <w:trPr>
          <w:trHeight w:val="20"/>
        </w:trPr>
        <w:tc>
          <w:tcPr>
            <w:tcW w:w="4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8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1"/>
          <w:szCs w:val="21"/>
          <w:b w:val="1"/>
          <w:bCs w:val="1"/>
          <w:color w:val="auto"/>
        </w:rPr>
        <w:t>MISSION PRODUCE,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0" w:hanging="433"/>
        <w:spacing w:after="0"/>
        <w:tabs>
          <w:tab w:leader="none" w:pos="44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Debt</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facility</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Long-term debt under our syndicated credit facility with Bank of America (“BoA”) Merrill Lynch consisted of the following:</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July 31, 2023</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2022</w:t>
            </w:r>
          </w:p>
        </w:tc>
      </w:tr>
      <w:tr>
        <w:trPr>
          <w:trHeight w:val="196"/>
        </w:trPr>
        <w:tc>
          <w:tcPr>
            <w:tcW w:w="76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Revolving line of credit. The interest rate is variable, based on SOFR plus a spread that varies with the Company’s</w:t>
            </w:r>
          </w:p>
        </w:tc>
        <w:tc>
          <w:tcPr>
            <w:tcW w:w="540" w:type="dxa"/>
            <w:vAlign w:val="bottom"/>
            <w:shd w:val="clear" w:color="auto" w:fill="DBDBDB"/>
          </w:tcPr>
          <w:p>
            <w:pPr>
              <w:jc w:val="right"/>
              <w:ind w:right="26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70.0</w:t>
            </w:r>
          </w:p>
        </w:tc>
        <w:tc>
          <w:tcPr>
            <w:tcW w:w="34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40.0</w:t>
            </w:r>
          </w:p>
        </w:tc>
      </w:tr>
      <w:tr>
        <w:trPr>
          <w:trHeight w:val="161"/>
        </w:trPr>
        <w:tc>
          <w:tcPr>
            <w:tcW w:w="7680" w:type="dxa"/>
            <w:vAlign w:val="bottom"/>
            <w:shd w:val="clear" w:color="auto" w:fill="DBDBDB"/>
          </w:tcPr>
          <w:p>
            <w:pPr>
              <w:ind w:left="20"/>
              <w:spacing w:after="0"/>
              <w:rPr>
                <w:sz w:val="20"/>
                <w:szCs w:val="20"/>
                <w:color w:val="auto"/>
              </w:rPr>
            </w:pPr>
            <w:r>
              <w:rPr>
                <w:rFonts w:ascii="Arial" w:cs="Arial" w:eastAsia="Arial" w:hAnsi="Arial"/>
                <w:sz w:val="14"/>
                <w:szCs w:val="14"/>
                <w:color w:val="auto"/>
              </w:rPr>
              <w:t>leverage ratio. As of July 31, 2023 and October 31, 2022, the interest rate was 7.33% and 5.34%, respectively. Interest</w:t>
            </w:r>
          </w:p>
        </w:tc>
        <w:tc>
          <w:tcPr>
            <w:tcW w:w="54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r>
      <w:tr>
        <w:trPr>
          <w:trHeight w:val="187"/>
        </w:trPr>
        <w:tc>
          <w:tcPr>
            <w:tcW w:w="7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is payable monthly and principal is due in full in October 2027</w:t>
            </w:r>
          </w:p>
        </w:tc>
        <w:tc>
          <w:tcPr>
            <w:tcW w:w="540" w:type="dxa"/>
            <w:vAlign w:val="bottom"/>
            <w:tcBorders>
              <w:bottom w:val="single" w:sz="8" w:color="DBDBDB"/>
            </w:tcBorders>
            <w:shd w:val="clear" w:color="auto" w:fill="DBDBDB"/>
          </w:tcPr>
          <w:p>
            <w:pPr>
              <w:spacing w:after="0"/>
              <w:rPr>
                <w:sz w:val="16"/>
                <w:szCs w:val="16"/>
                <w:color w:val="auto"/>
              </w:rPr>
            </w:pPr>
          </w:p>
        </w:tc>
        <w:tc>
          <w:tcPr>
            <w:tcW w:w="13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spacing w:after="0"/>
              <w:rPr>
                <w:sz w:val="16"/>
                <w:szCs w:val="16"/>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color w:val="auto"/>
              </w:rPr>
              <w:t>Senior term loan (A-1). The interest rate is variable, based on SOFR plus a spread that varies with the Company’s</w:t>
            </w:r>
          </w:p>
        </w:tc>
        <w:tc>
          <w:tcPr>
            <w:tcW w:w="540" w:type="dxa"/>
            <w:vAlign w:val="bottom"/>
          </w:tcPr>
          <w:p>
            <w:pPr>
              <w:spacing w:after="0"/>
              <w:rPr>
                <w:sz w:val="17"/>
                <w:szCs w:val="17"/>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48.1</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161"/>
        </w:trPr>
        <w:tc>
          <w:tcPr>
            <w:tcW w:w="7680" w:type="dxa"/>
            <w:vAlign w:val="bottom"/>
          </w:tcPr>
          <w:p>
            <w:pPr>
              <w:ind w:left="20"/>
              <w:spacing w:after="0"/>
              <w:rPr>
                <w:sz w:val="20"/>
                <w:szCs w:val="20"/>
                <w:color w:val="auto"/>
              </w:rPr>
            </w:pPr>
            <w:r>
              <w:rPr>
                <w:rFonts w:ascii="Arial" w:cs="Arial" w:eastAsia="Arial" w:hAnsi="Arial"/>
                <w:sz w:val="14"/>
                <w:szCs w:val="14"/>
                <w:color w:val="auto"/>
              </w:rPr>
              <w:t>leverage ratio. As of July 31, 2023 and October 31, 2022, the interest rate was 7.42% and 5.58%, respectively. Interest</w:t>
            </w: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2"/>
        </w:trPr>
        <w:tc>
          <w:tcPr>
            <w:tcW w:w="7680" w:type="dxa"/>
            <w:vAlign w:val="bottom"/>
          </w:tcPr>
          <w:p>
            <w:pPr>
              <w:ind w:left="20"/>
              <w:spacing w:after="0"/>
              <w:rPr>
                <w:sz w:val="20"/>
                <w:szCs w:val="20"/>
                <w:color w:val="auto"/>
              </w:rPr>
            </w:pPr>
            <w:r>
              <w:rPr>
                <w:rFonts w:ascii="Arial" w:cs="Arial" w:eastAsia="Arial" w:hAnsi="Arial"/>
                <w:sz w:val="14"/>
                <w:szCs w:val="14"/>
                <w:color w:val="auto"/>
              </w:rPr>
              <w:t>is payable monthly, principal is payable quarterly and due in full in October 2027.</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5"/>
        </w:trPr>
        <w:tc>
          <w:tcPr>
            <w:tcW w:w="7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768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Senior term loan (A-2). The interest rate is variable, based on SOFR plus a spread that varies with the Company’s</w:t>
            </w:r>
          </w:p>
        </w:tc>
        <w:tc>
          <w:tcPr>
            <w:tcW w:w="54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49.6</w:t>
            </w:r>
          </w:p>
        </w:tc>
        <w:tc>
          <w:tcPr>
            <w:tcW w:w="3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50.0</w:t>
            </w:r>
          </w:p>
        </w:tc>
      </w:tr>
      <w:tr>
        <w:trPr>
          <w:trHeight w:val="161"/>
        </w:trPr>
        <w:tc>
          <w:tcPr>
            <w:tcW w:w="7680" w:type="dxa"/>
            <w:vAlign w:val="bottom"/>
            <w:shd w:val="clear" w:color="auto" w:fill="DBDBDB"/>
          </w:tcPr>
          <w:p>
            <w:pPr>
              <w:ind w:left="20"/>
              <w:spacing w:after="0"/>
              <w:rPr>
                <w:sz w:val="20"/>
                <w:szCs w:val="20"/>
                <w:color w:val="auto"/>
              </w:rPr>
            </w:pPr>
            <w:r>
              <w:rPr>
                <w:rFonts w:ascii="Arial" w:cs="Arial" w:eastAsia="Arial" w:hAnsi="Arial"/>
                <w:sz w:val="14"/>
                <w:szCs w:val="14"/>
                <w:color w:val="auto"/>
              </w:rPr>
              <w:t>leverage ratio. As of July 31, 2023 and October 31, 2022, the interest rate was 7.67% and 5.83% respectively. Interest</w:t>
            </w:r>
          </w:p>
        </w:tc>
        <w:tc>
          <w:tcPr>
            <w:tcW w:w="54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r>
      <w:tr>
        <w:trPr>
          <w:trHeight w:val="187"/>
        </w:trPr>
        <w:tc>
          <w:tcPr>
            <w:tcW w:w="7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is payable monthly, principal is payable quarterly and due in full in October 2029.</w:t>
            </w:r>
          </w:p>
        </w:tc>
        <w:tc>
          <w:tcPr>
            <w:tcW w:w="540" w:type="dxa"/>
            <w:vAlign w:val="bottom"/>
            <w:tcBorders>
              <w:bottom w:val="single" w:sz="8" w:color="DBDBDB"/>
            </w:tcBorders>
            <w:shd w:val="clear" w:color="auto" w:fill="DBDBDB"/>
          </w:tcPr>
          <w:p>
            <w:pPr>
              <w:spacing w:after="0"/>
              <w:rPr>
                <w:sz w:val="16"/>
                <w:szCs w:val="16"/>
                <w:color w:val="auto"/>
              </w:rPr>
            </w:pPr>
          </w:p>
        </w:tc>
        <w:tc>
          <w:tcPr>
            <w:tcW w:w="13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spacing w:after="0"/>
              <w:rPr>
                <w:sz w:val="16"/>
                <w:szCs w:val="16"/>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color w:val="auto"/>
              </w:rPr>
              <w:t>Note payable to BoA. Payable in monthly installments including interest at a rate of 3.96% as of both July 31, 2023 and</w:t>
            </w:r>
          </w:p>
        </w:tc>
        <w:tc>
          <w:tcPr>
            <w:tcW w:w="540" w:type="dxa"/>
            <w:vAlign w:val="bottom"/>
          </w:tcPr>
          <w:p>
            <w:pPr>
              <w:spacing w:after="0"/>
              <w:rPr>
                <w:sz w:val="17"/>
                <w:szCs w:val="17"/>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2"/>
        </w:trPr>
        <w:tc>
          <w:tcPr>
            <w:tcW w:w="7680" w:type="dxa"/>
            <w:vAlign w:val="bottom"/>
          </w:tcPr>
          <w:p>
            <w:pPr>
              <w:ind w:left="20"/>
              <w:spacing w:after="0"/>
              <w:rPr>
                <w:sz w:val="20"/>
                <w:szCs w:val="20"/>
                <w:color w:val="auto"/>
              </w:rPr>
            </w:pPr>
            <w:r>
              <w:rPr>
                <w:rFonts w:ascii="Arial" w:cs="Arial" w:eastAsia="Arial" w:hAnsi="Arial"/>
                <w:sz w:val="14"/>
                <w:szCs w:val="14"/>
                <w:color w:val="auto"/>
              </w:rPr>
              <w:t>October 31, 2022. Principal is due July 2024.</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5"/>
        </w:trPr>
        <w:tc>
          <w:tcPr>
            <w:tcW w:w="7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2"/>
        </w:trPr>
        <w:tc>
          <w:tcPr>
            <w:tcW w:w="7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long-term debt</w:t>
            </w:r>
          </w:p>
        </w:tc>
        <w:tc>
          <w:tcPr>
            <w:tcW w:w="540" w:type="dxa"/>
            <w:vAlign w:val="bottom"/>
            <w:tcBorders>
              <w:bottom w:val="single" w:sz="8" w:color="DBDBDB"/>
            </w:tcBorders>
            <w:shd w:val="clear" w:color="auto" w:fill="DBDBDB"/>
          </w:tcPr>
          <w:p>
            <w:pPr>
              <w:spacing w:after="0"/>
              <w:rPr>
                <w:sz w:val="17"/>
                <w:szCs w:val="17"/>
                <w:color w:val="auto"/>
              </w:rPr>
            </w:pPr>
          </w:p>
        </w:tc>
        <w:tc>
          <w:tcPr>
            <w:tcW w:w="130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168.3</w:t>
            </w:r>
          </w:p>
        </w:tc>
        <w:tc>
          <w:tcPr>
            <w:tcW w:w="34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141.0</w:t>
            </w:r>
          </w:p>
        </w:tc>
      </w:tr>
      <w:tr>
        <w:trPr>
          <w:trHeight w:val="203"/>
        </w:trPr>
        <w:tc>
          <w:tcPr>
            <w:tcW w:w="7680" w:type="dxa"/>
            <w:vAlign w:val="bottom"/>
          </w:tcPr>
          <w:p>
            <w:pPr>
              <w:ind w:left="20"/>
              <w:spacing w:after="0"/>
              <w:rPr>
                <w:sz w:val="20"/>
                <w:szCs w:val="20"/>
                <w:color w:val="auto"/>
              </w:rPr>
            </w:pPr>
            <w:r>
              <w:rPr>
                <w:rFonts w:ascii="Arial" w:cs="Arial" w:eastAsia="Arial" w:hAnsi="Arial"/>
                <w:sz w:val="14"/>
                <w:szCs w:val="14"/>
                <w:color w:val="auto"/>
              </w:rPr>
              <w:t>Less debt issuance costs</w:t>
            </w:r>
          </w:p>
        </w:tc>
        <w:tc>
          <w:tcPr>
            <w:tcW w:w="5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5"/>
        </w:trPr>
        <w:tc>
          <w:tcPr>
            <w:tcW w:w="7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2"/>
        </w:trPr>
        <w:tc>
          <w:tcPr>
            <w:tcW w:w="7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Long-term debt, net of debt issuance costs</w:t>
            </w:r>
          </w:p>
        </w:tc>
        <w:tc>
          <w:tcPr>
            <w:tcW w:w="540" w:type="dxa"/>
            <w:vAlign w:val="bottom"/>
            <w:tcBorders>
              <w:bottom w:val="single" w:sz="8" w:color="DBDBDB"/>
            </w:tcBorders>
            <w:shd w:val="clear" w:color="auto" w:fill="DBDBDB"/>
          </w:tcPr>
          <w:p>
            <w:pPr>
              <w:spacing w:after="0"/>
              <w:rPr>
                <w:sz w:val="17"/>
                <w:szCs w:val="17"/>
                <w:color w:val="auto"/>
              </w:rPr>
            </w:pPr>
          </w:p>
        </w:tc>
        <w:tc>
          <w:tcPr>
            <w:tcW w:w="130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167.9</w:t>
            </w:r>
          </w:p>
        </w:tc>
        <w:tc>
          <w:tcPr>
            <w:tcW w:w="34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140.4</w:t>
            </w:r>
          </w:p>
        </w:tc>
      </w:tr>
      <w:tr>
        <w:trPr>
          <w:trHeight w:val="203"/>
        </w:trPr>
        <w:tc>
          <w:tcPr>
            <w:tcW w:w="7680" w:type="dxa"/>
            <w:vAlign w:val="bottom"/>
          </w:tcPr>
          <w:p>
            <w:pPr>
              <w:ind w:left="20"/>
              <w:spacing w:after="0"/>
              <w:rPr>
                <w:sz w:val="20"/>
                <w:szCs w:val="20"/>
                <w:color w:val="auto"/>
              </w:rPr>
            </w:pPr>
            <w:r>
              <w:rPr>
                <w:rFonts w:ascii="Arial" w:cs="Arial" w:eastAsia="Arial" w:hAnsi="Arial"/>
                <w:sz w:val="14"/>
                <w:szCs w:val="14"/>
                <w:color w:val="auto"/>
              </w:rPr>
              <w:t>Less current portion of long-term debt</w:t>
            </w:r>
          </w:p>
        </w:tc>
        <w:tc>
          <w:tcPr>
            <w:tcW w:w="5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5"/>
        </w:trPr>
        <w:tc>
          <w:tcPr>
            <w:tcW w:w="7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2"/>
        </w:trPr>
        <w:tc>
          <w:tcPr>
            <w:tcW w:w="7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Long-term debt, net of current portion</w:t>
            </w:r>
          </w:p>
        </w:tc>
        <w:tc>
          <w:tcPr>
            <w:tcW w:w="54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164.3</w:t>
            </w:r>
          </w:p>
        </w:tc>
        <w:tc>
          <w:tcPr>
            <w:tcW w:w="34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136.9</w:t>
            </w:r>
          </w:p>
        </w:tc>
      </w:tr>
      <w:tr>
        <w:trPr>
          <w:trHeight w:val="20"/>
        </w:trPr>
        <w:tc>
          <w:tcPr>
            <w:tcW w:w="76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85" w:lineRule="exact"/>
        <w:rPr>
          <w:sz w:val="20"/>
          <w:szCs w:val="20"/>
          <w:color w:val="auto"/>
        </w:rPr>
      </w:pPr>
    </w:p>
    <w:p>
      <w:pPr>
        <w:ind w:right="160" w:firstLine="645"/>
        <w:spacing w:after="0" w:line="268" w:lineRule="auto"/>
        <w:rPr>
          <w:sz w:val="20"/>
          <w:szCs w:val="20"/>
          <w:color w:val="auto"/>
        </w:rPr>
      </w:pPr>
      <w:r>
        <w:rPr>
          <w:rFonts w:ascii="Arial" w:cs="Arial" w:eastAsia="Arial" w:hAnsi="Arial"/>
          <w:sz w:val="16"/>
          <w:szCs w:val="16"/>
          <w:color w:val="auto"/>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July 31, 2023, the Company was in compliance with all covenants of the credit facility.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227" w:lineRule="exact"/>
        <w:rPr>
          <w:sz w:val="20"/>
          <w:szCs w:val="20"/>
          <w:color w:val="auto"/>
        </w:rPr>
      </w:pPr>
    </w:p>
    <w:p>
      <w:pPr>
        <w:ind w:right="860" w:firstLine="645"/>
        <w:spacing w:after="0" w:line="273" w:lineRule="auto"/>
        <w:rPr>
          <w:sz w:val="20"/>
          <w:szCs w:val="20"/>
          <w:color w:val="auto"/>
        </w:rPr>
      </w:pPr>
      <w:r>
        <w:rPr>
          <w:rFonts w:ascii="Arial" w:cs="Arial" w:eastAsia="Arial" w:hAnsi="Arial"/>
          <w:sz w:val="16"/>
          <w:szCs w:val="16"/>
          <w:color w:val="auto"/>
        </w:rPr>
        <w:t>The Company may issue standby letters of credit through banking institutions. As of July 31, 2023, total letters of credit outstanding were $0.7 million.</w:t>
      </w:r>
    </w:p>
    <w:p>
      <w:pPr>
        <w:spacing w:after="0" w:line="186" w:lineRule="exact"/>
        <w:rPr>
          <w:sz w:val="20"/>
          <w:szCs w:val="20"/>
          <w:color w:val="auto"/>
        </w:rPr>
      </w:pPr>
    </w:p>
    <w:p>
      <w:pPr>
        <w:ind w:right="140" w:firstLine="645"/>
        <w:spacing w:after="0" w:line="260" w:lineRule="auto"/>
        <w:rPr>
          <w:sz w:val="20"/>
          <w:szCs w:val="20"/>
          <w:color w:val="auto"/>
        </w:rPr>
      </w:pPr>
      <w:r>
        <w:rPr>
          <w:rFonts w:ascii="Arial" w:cs="Arial" w:eastAsia="Arial" w:hAnsi="Arial"/>
          <w:sz w:val="16"/>
          <w:szCs w:val="16"/>
          <w:color w:val="auto"/>
        </w:rPr>
        <w:t>Certain of our consolidated subsidiaries may also enter into short-term bank borrowings from time to time. Short-term borrowings outstanding were $2.8 million and $2.5 million as of July 31, 2023 and October 31, 2022, respectively, with weighted average variable interest rates of 10.46% and 6.65%, respectively. Our Blueberries business also obtains loans from shareholders from time to time, which accrue interest at rates ranging from 5.0 to 6.5%. Amounts outstanding as of July 31, 2023 are expected to be repaid by the end of fiscal 2026.</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swaps</w:t>
      </w:r>
    </w:p>
    <w:p>
      <w:pPr>
        <w:spacing w:after="0" w:line="241" w:lineRule="exact"/>
        <w:rPr>
          <w:sz w:val="20"/>
          <w:szCs w:val="20"/>
          <w:color w:val="auto"/>
        </w:rPr>
      </w:pPr>
    </w:p>
    <w:p>
      <w:pPr>
        <w:ind w:right="20" w:firstLine="645"/>
        <w:spacing w:after="0" w:line="254" w:lineRule="auto"/>
        <w:rPr>
          <w:sz w:val="20"/>
          <w:szCs w:val="20"/>
          <w:color w:val="auto"/>
        </w:rPr>
      </w:pPr>
      <w:r>
        <w:rPr>
          <w:rFonts w:ascii="Arial" w:cs="Arial" w:eastAsia="Arial" w:hAnsi="Arial"/>
          <w:sz w:val="16"/>
          <w:szCs w:val="16"/>
          <w:color w:val="auto"/>
        </w:rPr>
        <w:t>The Company has four separate interest rate swaps with a total notional amount of $100 million to hedge changes in variable interest rates on the principal value of the Company’s term loans. The interest rate swaps carry fixed LIBOR rates ranging from 1.75% to 2.57%. The swaps expire at various dates through the second quarter of fiscal year 2024. We account for the interest rate swaps in accordance with ASC 815, Derivatives and Hedging, as amended, which requires the recognition of all derivative instruments as either assets or liabilities in the consolidated balance sheets and measurement of those instruments at fair value. The Company has not designated the interest rate swaps as cash flow hedges, and as a result under the accounting guidance, changes in the fair value of the interest rate swaps have been recorded in other (expense) income, net in the condensed consolidated statements of income (loss) and changes in the asset are presented in net cash used in operating activities in the condensed consolidated statements of cash flow. Refer to Note 8 for more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73025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88"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1"/>
          <w:szCs w:val="21"/>
          <w:b w:val="1"/>
          <w:bCs w:val="1"/>
          <w:color w:val="auto"/>
        </w:rPr>
        <w:t>MISSION PRODUCE, INC.</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0" w:hanging="493"/>
        <w:spacing w:after="0"/>
        <w:tabs>
          <w:tab w:leader="none" w:pos="5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involved from time to time in claims, proceedings, and litigation, including the following:</w:t>
      </w:r>
    </w:p>
    <w:p>
      <w:pPr>
        <w:spacing w:after="0" w:line="233" w:lineRule="exact"/>
        <w:rPr>
          <w:sz w:val="20"/>
          <w:szCs w:val="20"/>
          <w:color w:val="auto"/>
        </w:rPr>
      </w:pPr>
    </w:p>
    <w:p>
      <w:pPr>
        <w:ind w:firstLine="645"/>
        <w:spacing w:after="0" w:line="253" w:lineRule="auto"/>
        <w:rPr>
          <w:sz w:val="20"/>
          <w:szCs w:val="20"/>
          <w:color w:val="auto"/>
        </w:rPr>
      </w:pPr>
      <w:r>
        <w:rPr>
          <w:rFonts w:ascii="Arial" w:cs="Arial" w:eastAsia="Arial" w:hAnsi="Arial"/>
          <w:sz w:val="16"/>
          <w:szCs w:val="16"/>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consolidated statements of income during the three months ended April 30, 2021. The parties executed a stipulation of settlement agreement on such terms in November 2021. This preliminary settlement was approved by the applicable courts in October 2022. In the course of preparing to send out notices to the settlement class, issues arose regarding the nature and scope of the settlement, specifically with respect to the universe of participants in the settlement class, which the parties were unable to resolve. Plaintiffs filed a motion to enforce compliance with the settlement agreement and the Company filed a cross motion to reform the stipulation of settlement, or in the alternative, to vacate the order of preliminary approval. A hearing before the court was held on this matter in July 2023. The court granted Plaintiff’s motion and directed the parties to proceed with the notice procedures to a class that includes a number of participants that the Company does not feel are appropriate to include. The court did not rule on the fairness of the settlement agreement between the parties and stated that this determination would be made at final approval and that the issues raised in the Company’s motion would be considered at that time. The Company requested an appeal of the ruling and a delay of the mailing of notice to settlement class members, but such request was denied. A final approval hearing date has been set for January 30, 2024.</w:t>
      </w:r>
    </w:p>
    <w:p>
      <w:pPr>
        <w:spacing w:after="0" w:line="398" w:lineRule="exact"/>
        <w:rPr>
          <w:sz w:val="20"/>
          <w:szCs w:val="20"/>
          <w:color w:val="auto"/>
        </w:rPr>
      </w:pPr>
    </w:p>
    <w:p>
      <w:pPr>
        <w:ind w:right="120" w:firstLine="645"/>
        <w:spacing w:after="0" w:line="268" w:lineRule="auto"/>
        <w:rPr>
          <w:sz w:val="20"/>
          <w:szCs w:val="20"/>
          <w:color w:val="auto"/>
        </w:rPr>
      </w:pPr>
      <w:r>
        <w:rPr>
          <w:rFonts w:ascii="Arial" w:cs="Arial" w:eastAsia="Arial" w:hAnsi="Arial"/>
          <w:sz w:val="16"/>
          <w:szCs w:val="16"/>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213" w:lineRule="exact"/>
        <w:rPr>
          <w:sz w:val="20"/>
          <w:szCs w:val="20"/>
          <w:color w:val="auto"/>
        </w:rPr>
      </w:pPr>
    </w:p>
    <w:p>
      <w:pPr>
        <w:ind w:left="440" w:hanging="433"/>
        <w:spacing w:after="0"/>
        <w:tabs>
          <w:tab w:leader="none" w:pos="44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44" w:lineRule="exact"/>
        <w:rPr>
          <w:sz w:val="20"/>
          <w:szCs w:val="20"/>
          <w:color w:val="auto"/>
        </w:rPr>
      </w:pPr>
    </w:p>
    <w:p>
      <w:pPr>
        <w:ind w:right="260" w:firstLine="645"/>
        <w:spacing w:after="0" w:line="260" w:lineRule="auto"/>
        <w:rPr>
          <w:sz w:val="20"/>
          <w:szCs w:val="20"/>
          <w:color w:val="auto"/>
        </w:rPr>
      </w:pPr>
      <w:r>
        <w:rPr>
          <w:rFonts w:ascii="Arial" w:cs="Arial" w:eastAsia="Arial" w:hAnsi="Arial"/>
          <w:sz w:val="16"/>
          <w:szCs w:val="16"/>
          <w:color w:val="auto"/>
        </w:rPr>
        <w:t>The provision for income tax recorded for the three and nine months ended July 31, 2023 and 2022 differs from the income taxes expected at the U.S. federal statutory tax rate of 21.0%, primarily due to income attributable to foreign jurisdictions which is taxed at different rates, changes in foreign exchange rates taxable in foreign jurisdictions, state taxes, nondeductible tax items, changes in uncertain tax positions (“UTP”), and changes in tax law affecting the rate in future years.</w:t>
      </w:r>
    </w:p>
    <w:p>
      <w:pPr>
        <w:spacing w:after="0" w:line="184" w:lineRule="exact"/>
        <w:rPr>
          <w:sz w:val="20"/>
          <w:szCs w:val="20"/>
          <w:color w:val="auto"/>
        </w:rPr>
      </w:pPr>
    </w:p>
    <w:p>
      <w:pPr>
        <w:ind w:right="20" w:firstLine="645"/>
        <w:spacing w:after="0" w:line="260" w:lineRule="auto"/>
        <w:rPr>
          <w:sz w:val="20"/>
          <w:szCs w:val="20"/>
          <w:color w:val="auto"/>
        </w:rPr>
      </w:pPr>
      <w:r>
        <w:rPr>
          <w:rFonts w:ascii="Arial" w:cs="Arial" w:eastAsia="Arial" w:hAnsi="Arial"/>
          <w:sz w:val="16"/>
          <w:szCs w:val="16"/>
          <w:color w:val="auto"/>
        </w:rPr>
        <w:t>As of July 31, 2023, the Company had $20.1 million accrued in UTP on income taxes, of which $10.0 million relates to interest and penalties, inclusive of inflationary adjustments. The period for assessing interest and penalties has expired. However, the Company continues to record certain statutory adjustments related to inflation. Changes in the UTP related to changes in foreign exchange rates during the period are included in other (expense) income, net in the condensed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73025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8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1"/>
          <w:szCs w:val="21"/>
          <w:b w:val="1"/>
          <w:bCs w:val="1"/>
          <w:color w:val="auto"/>
        </w:rPr>
        <w:t>MISSION PRODUCE,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0" w:hanging="433"/>
        <w:spacing w:after="0"/>
        <w:tabs>
          <w:tab w:leader="none" w:pos="44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Measurements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Financial assets measured and recorded at fair value on a recurring basis included in the condensed consolidated balance sheets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ind w:right="915"/>
              <w:spacing w:after="0"/>
              <w:rPr>
                <w:sz w:val="20"/>
                <w:szCs w:val="20"/>
                <w:color w:val="auto"/>
              </w:rPr>
            </w:pPr>
            <w:r>
              <w:rPr>
                <w:rFonts w:ascii="Arial" w:cs="Arial" w:eastAsia="Arial" w:hAnsi="Arial"/>
                <w:sz w:val="14"/>
                <w:szCs w:val="14"/>
                <w:b w:val="1"/>
                <w:bCs w:val="1"/>
                <w:color w:val="auto"/>
              </w:rPr>
              <w:t>July 31, 2023</w:t>
            </w:r>
          </w:p>
        </w:tc>
        <w:tc>
          <w:tcPr>
            <w:tcW w:w="10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4"/>
                <w:szCs w:val="14"/>
                <w:b w:val="1"/>
                <w:bCs w:val="1"/>
                <w:color w:val="auto"/>
              </w:rPr>
              <w:t>October 31, 2022</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Quoted Prices</w:t>
            </w:r>
          </w:p>
        </w:tc>
        <w:tc>
          <w:tcPr>
            <w:tcW w:w="320" w:type="dxa"/>
            <w:vAlign w:val="bottom"/>
          </w:tcPr>
          <w:p>
            <w:pPr>
              <w:spacing w:after="0"/>
              <w:rPr>
                <w:sz w:val="14"/>
                <w:szCs w:val="14"/>
                <w:color w:val="auto"/>
              </w:rPr>
            </w:pPr>
          </w:p>
        </w:tc>
        <w:tc>
          <w:tcPr>
            <w:tcW w:w="1240" w:type="dxa"/>
            <w:vAlign w:val="bottom"/>
          </w:tcPr>
          <w:p>
            <w:pPr>
              <w:jc w:val="right"/>
              <w:ind w:right="315"/>
              <w:spacing w:after="0"/>
              <w:rPr>
                <w:sz w:val="20"/>
                <w:szCs w:val="20"/>
                <w:color w:val="auto"/>
              </w:rPr>
            </w:pPr>
            <w:r>
              <w:rPr>
                <w:rFonts w:ascii="Arial" w:cs="Arial" w:eastAsia="Arial" w:hAnsi="Arial"/>
                <w:sz w:val="13"/>
                <w:szCs w:val="13"/>
                <w:b w:val="1"/>
                <w:bCs w:val="1"/>
                <w:color w:val="auto"/>
              </w:rPr>
              <w:t>Significant</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Significant</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Quoted Prices</w:t>
            </w:r>
          </w:p>
        </w:tc>
        <w:tc>
          <w:tcPr>
            <w:tcW w:w="320" w:type="dxa"/>
            <w:vAlign w:val="bottom"/>
          </w:tcPr>
          <w:p>
            <w:pPr>
              <w:spacing w:after="0"/>
              <w:rPr>
                <w:sz w:val="14"/>
                <w:szCs w:val="14"/>
                <w:color w:val="auto"/>
              </w:rPr>
            </w:pPr>
          </w:p>
        </w:tc>
        <w:tc>
          <w:tcPr>
            <w:tcW w:w="1240" w:type="dxa"/>
            <w:vAlign w:val="bottom"/>
          </w:tcPr>
          <w:p>
            <w:pPr>
              <w:jc w:val="right"/>
              <w:ind w:right="315"/>
              <w:spacing w:after="0"/>
              <w:rPr>
                <w:sz w:val="20"/>
                <w:szCs w:val="20"/>
                <w:color w:val="auto"/>
              </w:rPr>
            </w:pPr>
            <w:r>
              <w:rPr>
                <w:rFonts w:ascii="Arial" w:cs="Arial" w:eastAsia="Arial" w:hAnsi="Arial"/>
                <w:sz w:val="13"/>
                <w:szCs w:val="13"/>
                <w:b w:val="1"/>
                <w:bCs w:val="1"/>
                <w:color w:val="auto"/>
              </w:rPr>
              <w:t>Significant</w:t>
            </w: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Significant</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right"/>
              <w:ind w:right="315"/>
              <w:spacing w:after="0" w:line="148" w:lineRule="exact"/>
              <w:rPr>
                <w:sz w:val="20"/>
                <w:szCs w:val="20"/>
                <w:color w:val="auto"/>
              </w:rPr>
            </w:pPr>
            <w:r>
              <w:rPr>
                <w:rFonts w:ascii="Arial" w:cs="Arial" w:eastAsia="Arial" w:hAnsi="Arial"/>
                <w:sz w:val="13"/>
                <w:szCs w:val="13"/>
                <w:b w:val="1"/>
                <w:bCs w:val="1"/>
                <w:color w:val="auto"/>
              </w:rPr>
              <w:t>Other</w:t>
            </w:r>
          </w:p>
        </w:tc>
        <w:tc>
          <w:tcPr>
            <w:tcW w:w="12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right"/>
              <w:ind w:right="315"/>
              <w:spacing w:after="0" w:line="148" w:lineRule="exact"/>
              <w:rPr>
                <w:sz w:val="20"/>
                <w:szCs w:val="20"/>
                <w:color w:val="auto"/>
              </w:rPr>
            </w:pPr>
            <w:r>
              <w:rPr>
                <w:rFonts w:ascii="Arial" w:cs="Arial" w:eastAsia="Arial" w:hAnsi="Arial"/>
                <w:sz w:val="13"/>
                <w:szCs w:val="13"/>
                <w:b w:val="1"/>
                <w:bCs w:val="1"/>
                <w:color w:val="auto"/>
              </w:rPr>
              <w:t>Other</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in Active</w:t>
            </w:r>
          </w:p>
        </w:tc>
        <w:tc>
          <w:tcPr>
            <w:tcW w:w="320" w:type="dxa"/>
            <w:vAlign w:val="bottom"/>
          </w:tcPr>
          <w:p>
            <w:pPr>
              <w:spacing w:after="0"/>
              <w:rPr>
                <w:sz w:val="12"/>
                <w:szCs w:val="12"/>
                <w:color w:val="auto"/>
              </w:rPr>
            </w:pPr>
          </w:p>
        </w:tc>
        <w:tc>
          <w:tcPr>
            <w:tcW w:w="1240" w:type="dxa"/>
            <w:vAlign w:val="bottom"/>
          </w:tcPr>
          <w:p>
            <w:pPr>
              <w:jc w:val="right"/>
              <w:ind w:right="315"/>
              <w:spacing w:after="0" w:line="148" w:lineRule="exact"/>
              <w:rPr>
                <w:sz w:val="20"/>
                <w:szCs w:val="20"/>
                <w:color w:val="auto"/>
              </w:rPr>
            </w:pPr>
            <w:r>
              <w:rPr>
                <w:rFonts w:ascii="Arial" w:cs="Arial" w:eastAsia="Arial" w:hAnsi="Arial"/>
                <w:sz w:val="13"/>
                <w:szCs w:val="13"/>
                <w:b w:val="1"/>
                <w:bCs w:val="1"/>
                <w:color w:val="auto"/>
              </w:rPr>
              <w:t>Observable</w:t>
            </w:r>
          </w:p>
        </w:tc>
        <w:tc>
          <w:tcPr>
            <w:tcW w:w="120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Unobservable</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in Active</w:t>
            </w:r>
          </w:p>
        </w:tc>
        <w:tc>
          <w:tcPr>
            <w:tcW w:w="320" w:type="dxa"/>
            <w:vAlign w:val="bottom"/>
          </w:tcPr>
          <w:p>
            <w:pPr>
              <w:spacing w:after="0"/>
              <w:rPr>
                <w:sz w:val="12"/>
                <w:szCs w:val="12"/>
                <w:color w:val="auto"/>
              </w:rPr>
            </w:pPr>
          </w:p>
        </w:tc>
        <w:tc>
          <w:tcPr>
            <w:tcW w:w="1240" w:type="dxa"/>
            <w:vAlign w:val="bottom"/>
          </w:tcPr>
          <w:p>
            <w:pPr>
              <w:jc w:val="right"/>
              <w:ind w:right="315"/>
              <w:spacing w:after="0" w:line="148" w:lineRule="exact"/>
              <w:rPr>
                <w:sz w:val="20"/>
                <w:szCs w:val="20"/>
                <w:color w:val="auto"/>
              </w:rPr>
            </w:pPr>
            <w:r>
              <w:rPr>
                <w:rFonts w:ascii="Arial" w:cs="Arial" w:eastAsia="Arial" w:hAnsi="Arial"/>
                <w:sz w:val="13"/>
                <w:szCs w:val="13"/>
                <w:b w:val="1"/>
                <w:bCs w:val="1"/>
                <w:color w:val="auto"/>
              </w:rPr>
              <w:t>Observable</w:t>
            </w:r>
          </w:p>
        </w:tc>
        <w:tc>
          <w:tcPr>
            <w:tcW w:w="10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Unobservable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Markets</w:t>
            </w:r>
          </w:p>
        </w:tc>
        <w:tc>
          <w:tcPr>
            <w:tcW w:w="320" w:type="dxa"/>
            <w:vAlign w:val="bottom"/>
          </w:tcPr>
          <w:p>
            <w:pPr>
              <w:spacing w:after="0"/>
              <w:rPr>
                <w:sz w:val="12"/>
                <w:szCs w:val="12"/>
                <w:color w:val="auto"/>
              </w:rPr>
            </w:pPr>
          </w:p>
        </w:tc>
        <w:tc>
          <w:tcPr>
            <w:tcW w:w="1240" w:type="dxa"/>
            <w:vAlign w:val="bottom"/>
          </w:tcPr>
          <w:p>
            <w:pPr>
              <w:jc w:val="right"/>
              <w:ind w:right="315"/>
              <w:spacing w:after="0" w:line="148" w:lineRule="exact"/>
              <w:rPr>
                <w:sz w:val="20"/>
                <w:szCs w:val="20"/>
                <w:color w:val="auto"/>
              </w:rPr>
            </w:pPr>
            <w:r>
              <w:rPr>
                <w:rFonts w:ascii="Arial" w:cs="Arial" w:eastAsia="Arial" w:hAnsi="Arial"/>
                <w:sz w:val="13"/>
                <w:szCs w:val="13"/>
                <w:b w:val="1"/>
                <w:bCs w:val="1"/>
                <w:color w:val="auto"/>
              </w:rPr>
              <w:t>Inputs</w:t>
            </w:r>
          </w:p>
        </w:tc>
        <w:tc>
          <w:tcPr>
            <w:tcW w:w="120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Inputs</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33"/>
              <w:spacing w:after="0" w:line="148" w:lineRule="exact"/>
              <w:rPr>
                <w:sz w:val="20"/>
                <w:szCs w:val="20"/>
                <w:color w:val="auto"/>
              </w:rPr>
            </w:pPr>
            <w:r>
              <w:rPr>
                <w:rFonts w:ascii="Arial" w:cs="Arial" w:eastAsia="Arial" w:hAnsi="Arial"/>
                <w:sz w:val="13"/>
                <w:szCs w:val="13"/>
                <w:b w:val="1"/>
                <w:bCs w:val="1"/>
                <w:color w:val="auto"/>
              </w:rPr>
              <w:t>Markets</w:t>
            </w:r>
          </w:p>
        </w:tc>
        <w:tc>
          <w:tcPr>
            <w:tcW w:w="320" w:type="dxa"/>
            <w:vAlign w:val="bottom"/>
          </w:tcPr>
          <w:p>
            <w:pPr>
              <w:spacing w:after="0"/>
              <w:rPr>
                <w:sz w:val="12"/>
                <w:szCs w:val="12"/>
                <w:color w:val="auto"/>
              </w:rPr>
            </w:pPr>
          </w:p>
        </w:tc>
        <w:tc>
          <w:tcPr>
            <w:tcW w:w="1240" w:type="dxa"/>
            <w:vAlign w:val="bottom"/>
          </w:tcPr>
          <w:p>
            <w:pPr>
              <w:jc w:val="right"/>
              <w:ind w:right="315"/>
              <w:spacing w:after="0" w:line="148" w:lineRule="exact"/>
              <w:rPr>
                <w:sz w:val="20"/>
                <w:szCs w:val="20"/>
                <w:color w:val="auto"/>
              </w:rPr>
            </w:pPr>
            <w:r>
              <w:rPr>
                <w:rFonts w:ascii="Arial" w:cs="Arial" w:eastAsia="Arial" w:hAnsi="Arial"/>
                <w:sz w:val="13"/>
                <w:szCs w:val="13"/>
                <w:b w:val="1"/>
                <w:bCs w:val="1"/>
                <w:color w:val="auto"/>
              </w:rPr>
              <w:t>Inputs</w:t>
            </w:r>
          </w:p>
        </w:tc>
        <w:tc>
          <w:tcPr>
            <w:tcW w:w="10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Inputs</w:t>
            </w:r>
          </w:p>
        </w:tc>
        <w:tc>
          <w:tcPr>
            <w:tcW w:w="0" w:type="dxa"/>
            <w:vAlign w:val="bottom"/>
          </w:tcPr>
          <w:p>
            <w:pPr>
              <w:spacing w:after="0"/>
              <w:rPr>
                <w:sz w:val="1"/>
                <w:szCs w:val="1"/>
                <w:color w:val="auto"/>
              </w:rPr>
            </w:pPr>
          </w:p>
        </w:tc>
      </w:tr>
      <w:tr>
        <w:trPr>
          <w:trHeight w:val="190"/>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left="191"/>
              <w:spacing w:after="0"/>
              <w:rPr>
                <w:sz w:val="20"/>
                <w:szCs w:val="20"/>
                <w:color w:val="auto"/>
              </w:rPr>
            </w:pPr>
            <w:r>
              <w:rPr>
                <w:rFonts w:ascii="Arial" w:cs="Arial" w:eastAsia="Arial" w:hAnsi="Arial"/>
                <w:sz w:val="13"/>
                <w:szCs w:val="13"/>
                <w:b w:val="1"/>
                <w:bCs w:val="1"/>
                <w:color w:val="auto"/>
                <w:w w:val="96"/>
              </w:rPr>
              <w:t>Total</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5"/>
              <w:spacing w:after="0"/>
              <w:rPr>
                <w:sz w:val="20"/>
                <w:szCs w:val="20"/>
                <w:color w:val="auto"/>
              </w:rPr>
            </w:pPr>
            <w:r>
              <w:rPr>
                <w:rFonts w:ascii="Arial" w:cs="Arial" w:eastAsia="Arial" w:hAnsi="Arial"/>
                <w:sz w:val="13"/>
                <w:szCs w:val="13"/>
                <w:b w:val="1"/>
                <w:bCs w:val="1"/>
                <w:color w:val="auto"/>
              </w:rPr>
              <w:t>(Level 2)</w:t>
            </w:r>
          </w:p>
        </w:tc>
        <w:tc>
          <w:tcPr>
            <w:tcW w:w="1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(Level 3)</w:t>
            </w:r>
          </w:p>
        </w:tc>
        <w:tc>
          <w:tcPr>
            <w:tcW w:w="4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left="191"/>
              <w:spacing w:after="0"/>
              <w:rPr>
                <w:sz w:val="20"/>
                <w:szCs w:val="20"/>
                <w:color w:val="auto"/>
              </w:rPr>
            </w:pPr>
            <w:r>
              <w:rPr>
                <w:rFonts w:ascii="Arial" w:cs="Arial" w:eastAsia="Arial" w:hAnsi="Arial"/>
                <w:sz w:val="13"/>
                <w:szCs w:val="13"/>
                <w:b w:val="1"/>
                <w:bCs w:val="1"/>
                <w:color w:val="auto"/>
                <w:w w:val="96"/>
              </w:rPr>
              <w:t>Total</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5"/>
              <w:spacing w:after="0"/>
              <w:rPr>
                <w:sz w:val="20"/>
                <w:szCs w:val="20"/>
                <w:color w:val="auto"/>
              </w:rPr>
            </w:pPr>
            <w:r>
              <w:rPr>
                <w:rFonts w:ascii="Arial" w:cs="Arial" w:eastAsia="Arial" w:hAnsi="Arial"/>
                <w:sz w:val="13"/>
                <w:szCs w:val="13"/>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208"/>
        </w:trPr>
        <w:tc>
          <w:tcPr>
            <w:tcW w:w="1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Assets</w:t>
            </w:r>
          </w:p>
        </w:tc>
        <w:tc>
          <w:tcPr>
            <w:tcW w:w="40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20" w:type="dxa"/>
            <w:vAlign w:val="bottom"/>
          </w:tcPr>
          <w:p>
            <w:pPr>
              <w:ind w:left="140"/>
              <w:spacing w:after="0"/>
              <w:rPr>
                <w:sz w:val="20"/>
                <w:szCs w:val="20"/>
                <w:color w:val="auto"/>
              </w:rPr>
            </w:pPr>
            <w:r>
              <w:rPr>
                <w:rFonts w:ascii="Arial" w:cs="Arial" w:eastAsia="Arial" w:hAnsi="Arial"/>
                <w:sz w:val="14"/>
                <w:szCs w:val="14"/>
                <w:color w:val="auto"/>
              </w:rPr>
              <w:t>Mutual funds</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center"/>
              <w:ind w:left="231"/>
              <w:spacing w:after="0"/>
              <w:rPr>
                <w:sz w:val="20"/>
                <w:szCs w:val="20"/>
                <w:color w:val="auto"/>
              </w:rPr>
            </w:pPr>
            <w:r>
              <w:rPr>
                <w:rFonts w:ascii="Arial" w:cs="Arial" w:eastAsia="Arial" w:hAnsi="Arial"/>
                <w:sz w:val="14"/>
                <w:szCs w:val="14"/>
                <w:color w:val="auto"/>
                <w:w w:val="92"/>
              </w:rPr>
              <w:t>1.6</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1.6</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5"/>
              <w:spacing w:after="0"/>
              <w:rPr>
                <w:sz w:val="20"/>
                <w:szCs w:val="20"/>
                <w:color w:val="auto"/>
              </w:rPr>
            </w:pPr>
            <w:r>
              <w:rPr>
                <w:rFonts w:ascii="Arial" w:cs="Arial" w:eastAsia="Arial" w:hAnsi="Arial"/>
                <w:sz w:val="14"/>
                <w:szCs w:val="14"/>
                <w:color w:val="auto"/>
              </w:rPr>
              <w:t>—   $</w:t>
            </w: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80" w:type="dxa"/>
            <w:vAlign w:val="bottom"/>
          </w:tcPr>
          <w:p>
            <w:pPr>
              <w:jc w:val="center"/>
              <w:ind w:left="231"/>
              <w:spacing w:after="0"/>
              <w:rPr>
                <w:sz w:val="20"/>
                <w:szCs w:val="20"/>
                <w:color w:val="auto"/>
              </w:rPr>
            </w:pPr>
            <w:r>
              <w:rPr>
                <w:rFonts w:ascii="Arial" w:cs="Arial" w:eastAsia="Arial" w:hAnsi="Arial"/>
                <w:sz w:val="14"/>
                <w:szCs w:val="14"/>
                <w:color w:val="auto"/>
                <w:w w:val="92"/>
              </w:rPr>
              <w:t>1.2</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1.2</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5"/>
              <w:spacing w:after="0"/>
              <w:rPr>
                <w:sz w:val="20"/>
                <w:szCs w:val="20"/>
                <w:color w:val="auto"/>
              </w:rPr>
            </w:pPr>
            <w:r>
              <w:rPr>
                <w:rFonts w:ascii="Arial" w:cs="Arial" w:eastAsia="Arial" w:hAnsi="Arial"/>
                <w:sz w:val="14"/>
                <w:szCs w:val="14"/>
                <w:color w:val="auto"/>
              </w:rPr>
              <w:t>—   $</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9"/>
        </w:trPr>
        <w:tc>
          <w:tcPr>
            <w:tcW w:w="1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2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w w:val="95"/>
              </w:rPr>
              <w:t>Interest rate swap</w:t>
            </w:r>
          </w:p>
        </w:tc>
        <w:tc>
          <w:tcPr>
            <w:tcW w:w="40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center"/>
              <w:ind w:left="231"/>
              <w:spacing w:after="0"/>
              <w:rPr>
                <w:sz w:val="20"/>
                <w:szCs w:val="20"/>
                <w:color w:val="auto"/>
              </w:rPr>
            </w:pPr>
            <w:r>
              <w:rPr>
                <w:rFonts w:ascii="Arial" w:cs="Arial" w:eastAsia="Arial" w:hAnsi="Arial"/>
                <w:sz w:val="14"/>
                <w:szCs w:val="14"/>
                <w:color w:val="auto"/>
                <w:w w:val="92"/>
              </w:rPr>
              <w:t>0.9</w:t>
            </w:r>
          </w:p>
        </w:tc>
        <w:tc>
          <w:tcPr>
            <w:tcW w:w="22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53"/>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jc w:val="right"/>
              <w:ind w:right="355"/>
              <w:spacing w:after="0"/>
              <w:rPr>
                <w:sz w:val="20"/>
                <w:szCs w:val="20"/>
                <w:color w:val="auto"/>
              </w:rPr>
            </w:pPr>
            <w:r>
              <w:rPr>
                <w:rFonts w:ascii="Arial" w:cs="Arial" w:eastAsia="Arial" w:hAnsi="Arial"/>
                <w:sz w:val="14"/>
                <w:szCs w:val="14"/>
                <w:color w:val="auto"/>
              </w:rPr>
              <w:t>0.9</w:t>
            </w:r>
          </w:p>
        </w:tc>
        <w:tc>
          <w:tcPr>
            <w:tcW w:w="1200" w:type="dxa"/>
            <w:vAlign w:val="bottom"/>
            <w:tcBorders>
              <w:bottom w:val="single" w:sz="8" w:color="DBDBDB"/>
            </w:tcBorders>
            <w:gridSpan w:val="2"/>
            <w:shd w:val="clear" w:color="auto" w:fill="DBDBDB"/>
          </w:tcPr>
          <w:p>
            <w:pPr>
              <w:ind w:left="8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center"/>
              <w:ind w:left="231"/>
              <w:spacing w:after="0"/>
              <w:rPr>
                <w:sz w:val="20"/>
                <w:szCs w:val="20"/>
                <w:color w:val="auto"/>
              </w:rPr>
            </w:pPr>
            <w:r>
              <w:rPr>
                <w:rFonts w:ascii="Arial" w:cs="Arial" w:eastAsia="Arial" w:hAnsi="Arial"/>
                <w:sz w:val="14"/>
                <w:szCs w:val="14"/>
                <w:color w:val="auto"/>
                <w:w w:val="92"/>
              </w:rPr>
              <w:t>2.6</w:t>
            </w:r>
          </w:p>
        </w:tc>
        <w:tc>
          <w:tcPr>
            <w:tcW w:w="24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53"/>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jc w:val="right"/>
              <w:ind w:right="355"/>
              <w:spacing w:after="0"/>
              <w:rPr>
                <w:sz w:val="20"/>
                <w:szCs w:val="20"/>
                <w:color w:val="auto"/>
              </w:rPr>
            </w:pPr>
            <w:r>
              <w:rPr>
                <w:rFonts w:ascii="Arial" w:cs="Arial" w:eastAsia="Arial" w:hAnsi="Arial"/>
                <w:sz w:val="14"/>
                <w:szCs w:val="14"/>
                <w:color w:val="auto"/>
              </w:rPr>
              <w:t>2.6</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right="300" w:firstLine="645"/>
        <w:spacing w:after="0" w:line="273" w:lineRule="auto"/>
        <w:rPr>
          <w:sz w:val="20"/>
          <w:szCs w:val="20"/>
          <w:color w:val="auto"/>
        </w:rPr>
      </w:pPr>
      <w:r>
        <w:rPr>
          <w:rFonts w:ascii="Arial" w:cs="Arial" w:eastAsia="Arial" w:hAnsi="Arial"/>
          <w:sz w:val="16"/>
          <w:szCs w:val="16"/>
          <w:color w:val="auto"/>
        </w:rPr>
        <w:t>Our mutual fund investments relate to our deferred compensation plan, which are held in a Rabbi trust included in other assets in our condensed consolidated balance sheets. The funds are measured at quoted prices in active markets, which is equivalent to their fair value.</w:t>
      </w:r>
    </w:p>
    <w:p>
      <w:pPr>
        <w:spacing w:after="0" w:line="186" w:lineRule="exact"/>
        <w:rPr>
          <w:sz w:val="20"/>
          <w:szCs w:val="20"/>
          <w:color w:val="auto"/>
        </w:rPr>
      </w:pPr>
    </w:p>
    <w:p>
      <w:pPr>
        <w:ind w:right="80" w:firstLine="645"/>
        <w:spacing w:after="0" w:line="255" w:lineRule="auto"/>
        <w:rPr>
          <w:sz w:val="20"/>
          <w:szCs w:val="20"/>
          <w:color w:val="auto"/>
        </w:rPr>
      </w:pPr>
      <w:r>
        <w:rPr>
          <w:rFonts w:ascii="Arial" w:cs="Arial" w:eastAsia="Arial" w:hAnsi="Arial"/>
          <w:sz w:val="16"/>
          <w:szCs w:val="16"/>
          <w:color w:val="auto"/>
        </w:rPr>
        <w:t>The fair value of interest rate swaps is determined using widely accepted valuation techniques, including the discounted cash flow method.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July 31, 2023 and October 31, 2022, the fair value associated with the “significant unobservable inputs” relating to the Company’s risk of non-performance was insignificant to the overall fair value of the interest rate swap agreements and, as a result, the Company has determined that the relevant inputs for purposes of calculating the fair value of the interest rate swap agreements, in their entirety, were based upon “significant other observable inputs”. The assets associated with the interest rate swaps have been included in prepaid expenses and other current assets and other assets in the condensed consolidated balance sheets and gains and losses for the interest rate swaps have been included in other (expense) income, net in the condensed consolidated statements of income (loss).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20"/>
          <w:szCs w:val="20"/>
          <w:b w:val="1"/>
          <w:bCs w:val="1"/>
          <w:color w:val="auto"/>
        </w:rPr>
        <w:t>Earnings Per Share</w:t>
      </w:r>
    </w:p>
    <w:p>
      <w:pPr>
        <w:spacing w:after="0" w:line="29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5"/>
                <w:szCs w:val="15"/>
                <w:color w:val="auto"/>
              </w:rPr>
            </w:pPr>
          </w:p>
        </w:tc>
      </w:tr>
      <w:tr>
        <w:trPr>
          <w:trHeight w:val="208"/>
        </w:trPr>
        <w:tc>
          <w:tcPr>
            <w:tcW w:w="47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July 31,</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July 31,</w:t>
            </w:r>
          </w:p>
        </w:tc>
        <w:tc>
          <w:tcPr>
            <w:tcW w:w="840" w:type="dxa"/>
            <w:vAlign w:val="bottom"/>
            <w:tcBorders>
              <w:bottom w:val="single" w:sz="8" w:color="auto"/>
            </w:tcBorders>
          </w:tcPr>
          <w:p>
            <w:pPr>
              <w:spacing w:after="0"/>
              <w:rPr>
                <w:sz w:val="18"/>
                <w:szCs w:val="18"/>
                <w:color w:val="auto"/>
              </w:rPr>
            </w:pPr>
          </w:p>
        </w:tc>
      </w:tr>
      <w:tr>
        <w:trPr>
          <w:trHeight w:val="222"/>
        </w:trPr>
        <w:tc>
          <w:tcPr>
            <w:tcW w:w="4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r>
      <w:tr>
        <w:trPr>
          <w:trHeight w:val="228"/>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Numerator:</w:t>
            </w:r>
          </w:p>
        </w:tc>
        <w:tc>
          <w:tcPr>
            <w:tcW w:w="38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Net income (loss) attributable to Mission Produce (in millions)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7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18.4</w:t>
            </w:r>
          </w:p>
        </w:tc>
        <w:tc>
          <w:tcPr>
            <w:tcW w:w="26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70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7.4</w:t>
            </w:r>
          </w:p>
        </w:tc>
      </w:tr>
      <w:tr>
        <w:trPr>
          <w:trHeight w:val="25"/>
        </w:trPr>
        <w:tc>
          <w:tcPr>
            <w:tcW w:w="4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2"/>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Denominator:</w:t>
            </w:r>
          </w:p>
        </w:tc>
        <w:tc>
          <w:tcPr>
            <w:tcW w:w="38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196"/>
        </w:trPr>
        <w:tc>
          <w:tcPr>
            <w:tcW w:w="4760" w:type="dxa"/>
            <w:vAlign w:val="bottom"/>
          </w:tcPr>
          <w:p>
            <w:pPr>
              <w:ind w:left="20"/>
              <w:spacing w:after="0"/>
              <w:rPr>
                <w:sz w:val="20"/>
                <w:szCs w:val="20"/>
                <w:color w:val="auto"/>
              </w:rPr>
            </w:pPr>
            <w:r>
              <w:rPr>
                <w:rFonts w:ascii="Arial" w:cs="Arial" w:eastAsia="Arial" w:hAnsi="Arial"/>
                <w:sz w:val="14"/>
                <w:szCs w:val="14"/>
                <w:color w:val="auto"/>
              </w:rPr>
              <w:t>Weighted average shares of common stock outstanding, used in</w:t>
            </w:r>
          </w:p>
        </w:tc>
        <w:tc>
          <w:tcPr>
            <w:tcW w:w="3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70,788,574</w:t>
            </w:r>
          </w:p>
        </w:tc>
        <w:tc>
          <w:tcPr>
            <w:tcW w:w="7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70,656,976</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70,740,638</w:t>
            </w:r>
          </w:p>
        </w:tc>
        <w:tc>
          <w:tcPr>
            <w:tcW w:w="7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70,641,669</w:t>
            </w:r>
          </w:p>
        </w:tc>
      </w:tr>
      <w:tr>
        <w:trPr>
          <w:trHeight w:val="182"/>
        </w:trPr>
        <w:tc>
          <w:tcPr>
            <w:tcW w:w="4760" w:type="dxa"/>
            <w:vAlign w:val="bottom"/>
          </w:tcPr>
          <w:p>
            <w:pPr>
              <w:ind w:left="180"/>
              <w:spacing w:after="0"/>
              <w:rPr>
                <w:sz w:val="20"/>
                <w:szCs w:val="20"/>
                <w:color w:val="auto"/>
              </w:rPr>
            </w:pPr>
            <w:r>
              <w:rPr>
                <w:rFonts w:ascii="Arial" w:cs="Arial" w:eastAsia="Arial" w:hAnsi="Arial"/>
                <w:sz w:val="14"/>
                <w:szCs w:val="14"/>
                <w:color w:val="auto"/>
              </w:rPr>
              <w:t>computing basic earnings per share</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5"/>
        </w:trPr>
        <w:tc>
          <w:tcPr>
            <w:tcW w:w="4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8"/>
        </w:trPr>
        <w:tc>
          <w:tcPr>
            <w:tcW w:w="4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Effect of dilutive stock options</w:t>
            </w:r>
          </w:p>
        </w:tc>
        <w:tc>
          <w:tcPr>
            <w:tcW w:w="38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203</w:t>
            </w:r>
          </w:p>
        </w:tc>
        <w:tc>
          <w:tcPr>
            <w:tcW w:w="74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57,066</w:t>
            </w:r>
          </w:p>
        </w:tc>
        <w:tc>
          <w:tcPr>
            <w:tcW w:w="26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121,383</w:t>
            </w: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Effect of dilutive RSUs</w:t>
            </w:r>
          </w:p>
        </w:tc>
        <w:tc>
          <w:tcPr>
            <w:tcW w:w="3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129,253</w:t>
            </w:r>
          </w:p>
        </w:tc>
        <w:tc>
          <w:tcPr>
            <w:tcW w:w="7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65,865</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21,720</w:t>
            </w:r>
          </w:p>
        </w:tc>
      </w:tr>
      <w:tr>
        <w:trPr>
          <w:trHeight w:val="25"/>
        </w:trPr>
        <w:tc>
          <w:tcPr>
            <w:tcW w:w="4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Weighted average shares of common stock outstanding, used in</w:t>
            </w:r>
          </w:p>
        </w:tc>
        <w:tc>
          <w:tcPr>
            <w:tcW w:w="38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70,918,030</w:t>
            </w:r>
          </w:p>
        </w:tc>
        <w:tc>
          <w:tcPr>
            <w:tcW w:w="74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70,779,907</w:t>
            </w:r>
          </w:p>
        </w:tc>
        <w:tc>
          <w:tcPr>
            <w:tcW w:w="26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1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70,740,638</w:t>
            </w:r>
          </w:p>
        </w:tc>
        <w:tc>
          <w:tcPr>
            <w:tcW w:w="700" w:type="dxa"/>
            <w:vAlign w:val="bottom"/>
            <w:shd w:val="clear" w:color="auto" w:fill="DBDBDB"/>
          </w:tcPr>
          <w:p>
            <w:pPr>
              <w:spacing w:after="0"/>
              <w:rPr>
                <w:sz w:val="16"/>
                <w:szCs w:val="16"/>
                <w:color w:val="auto"/>
              </w:rPr>
            </w:pPr>
          </w:p>
        </w:tc>
        <w:tc>
          <w:tcPr>
            <w:tcW w:w="8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70,784,772</w:t>
            </w:r>
          </w:p>
        </w:tc>
      </w:tr>
      <w:tr>
        <w:trPr>
          <w:trHeight w:val="212"/>
        </w:trPr>
        <w:tc>
          <w:tcPr>
            <w:tcW w:w="47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rPr>
              <w:t>computing diluted earnings per share</w:t>
            </w:r>
          </w:p>
        </w:tc>
        <w:tc>
          <w:tcPr>
            <w:tcW w:w="38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spacing w:after="0"/>
              <w:rPr>
                <w:sz w:val="17"/>
                <w:szCs w:val="17"/>
                <w:color w:val="auto"/>
              </w:rPr>
            </w:pPr>
          </w:p>
        </w:tc>
      </w:tr>
      <w:tr>
        <w:trPr>
          <w:trHeight w:val="197"/>
        </w:trPr>
        <w:tc>
          <w:tcPr>
            <w:tcW w:w="47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Earnings per share</w:t>
            </w: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5"/>
        </w:trPr>
        <w:tc>
          <w:tcPr>
            <w:tcW w:w="4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8"/>
        </w:trPr>
        <w:tc>
          <w:tcPr>
            <w:tcW w:w="4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DBDBDB"/>
            </w:tcBorders>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0.09</w:t>
            </w:r>
          </w:p>
        </w:tc>
        <w:tc>
          <w:tcPr>
            <w:tcW w:w="740" w:type="dxa"/>
            <w:vAlign w:val="bottom"/>
            <w:tcBorders>
              <w:bottom w:val="single" w:sz="8" w:color="DBDBDB"/>
            </w:tcBorders>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0.26</w:t>
            </w:r>
          </w:p>
        </w:tc>
        <w:tc>
          <w:tcPr>
            <w:tcW w:w="26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(0.10)</w:t>
            </w:r>
          </w:p>
        </w:tc>
        <w:tc>
          <w:tcPr>
            <w:tcW w:w="700" w:type="dxa"/>
            <w:vAlign w:val="bottom"/>
            <w:tcBorders>
              <w:bottom w:val="single" w:sz="8" w:color="DBDBDB"/>
            </w:tcBorders>
            <w:shd w:val="clear" w:color="auto" w:fill="DBDBDB"/>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0.10</w:t>
            </w: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Diluted</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0.09</w:t>
            </w:r>
          </w:p>
        </w:tc>
        <w:tc>
          <w:tcPr>
            <w:tcW w:w="7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0.26</w:t>
            </w:r>
          </w:p>
        </w:tc>
        <w:tc>
          <w:tcPr>
            <w:tcW w:w="26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(0.10)</w:t>
            </w:r>
          </w:p>
        </w:tc>
        <w:tc>
          <w:tcPr>
            <w:tcW w:w="70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0.10</w:t>
            </w:r>
          </w:p>
        </w:tc>
      </w:tr>
      <w:tr>
        <w:trPr>
          <w:trHeight w:val="25"/>
        </w:trPr>
        <w:tc>
          <w:tcPr>
            <w:tcW w:w="4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73025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8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1"/>
          <w:szCs w:val="21"/>
          <w:b w:val="1"/>
          <w:bCs w:val="1"/>
          <w:color w:val="auto"/>
        </w:rPr>
        <w:t>MISSION PRODUCE,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00" w:firstLine="645"/>
        <w:spacing w:after="0" w:line="291" w:lineRule="auto"/>
        <w:rPr>
          <w:sz w:val="20"/>
          <w:szCs w:val="20"/>
          <w:color w:val="auto"/>
        </w:rPr>
      </w:pPr>
      <w:r>
        <w:rPr>
          <w:rFonts w:ascii="Arial" w:cs="Arial" w:eastAsia="Arial" w:hAnsi="Arial"/>
          <w:sz w:val="16"/>
          <w:szCs w:val="16"/>
          <w:color w:val="auto"/>
        </w:rPr>
        <w:t>Equity awards representing shares of common stock outstanding that were excluded in the computation of diluted earnings per share because their effect would have been anti-dilutive,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2340" w:type="dxa"/>
            <w:vAlign w:val="bottom"/>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tcPr>
          <w:p>
            <w:pPr>
              <w:jc w:val="right"/>
              <w:ind w:right="48"/>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5"/>
                <w:szCs w:val="15"/>
                <w:color w:val="auto"/>
              </w:rPr>
            </w:pPr>
          </w:p>
        </w:tc>
      </w:tr>
      <w:tr>
        <w:trPr>
          <w:trHeight w:val="208"/>
        </w:trPr>
        <w:tc>
          <w:tcPr>
            <w:tcW w:w="4920" w:type="dxa"/>
            <w:vAlign w:val="bottom"/>
          </w:tcPr>
          <w:p>
            <w:pPr>
              <w:spacing w:after="0"/>
              <w:rPr>
                <w:sz w:val="18"/>
                <w:szCs w:val="18"/>
                <w:color w:val="auto"/>
              </w:rPr>
            </w:pPr>
          </w:p>
        </w:tc>
        <w:tc>
          <w:tcPr>
            <w:tcW w:w="23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July 31,</w:t>
            </w:r>
          </w:p>
        </w:tc>
        <w:tc>
          <w:tcPr>
            <w:tcW w:w="6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July 31,</w:t>
            </w:r>
          </w:p>
        </w:tc>
        <w:tc>
          <w:tcPr>
            <w:tcW w:w="720" w:type="dxa"/>
            <w:vAlign w:val="bottom"/>
            <w:tcBorders>
              <w:bottom w:val="single" w:sz="8" w:color="auto"/>
            </w:tcBorders>
          </w:tcPr>
          <w:p>
            <w:pPr>
              <w:spacing w:after="0"/>
              <w:rPr>
                <w:sz w:val="18"/>
                <w:szCs w:val="18"/>
                <w:color w:val="auto"/>
              </w:rPr>
            </w:pPr>
          </w:p>
        </w:tc>
      </w:tr>
      <w:tr>
        <w:trPr>
          <w:trHeight w:val="222"/>
        </w:trPr>
        <w:tc>
          <w:tcPr>
            <w:tcW w:w="49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r>
      <w:tr>
        <w:trPr>
          <w:trHeight w:val="208"/>
        </w:trPr>
        <w:tc>
          <w:tcPr>
            <w:tcW w:w="4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Anti-dilutive stock options</w:t>
            </w:r>
          </w:p>
        </w:tc>
        <w:tc>
          <w:tcPr>
            <w:tcW w:w="2340" w:type="dxa"/>
            <w:vAlign w:val="bottom"/>
            <w:tcBorders>
              <w:bottom w:val="single" w:sz="8" w:color="DBDBDB"/>
            </w:tcBorders>
            <w:shd w:val="clear" w:color="auto" w:fill="DBDBDB"/>
          </w:tcPr>
          <w:p>
            <w:pPr>
              <w:jc w:val="right"/>
              <w:ind w:right="888"/>
              <w:spacing w:after="0"/>
              <w:rPr>
                <w:sz w:val="20"/>
                <w:szCs w:val="20"/>
                <w:color w:val="auto"/>
              </w:rPr>
            </w:pPr>
            <w:r>
              <w:rPr>
                <w:rFonts w:ascii="Arial" w:cs="Arial" w:eastAsia="Arial" w:hAnsi="Arial"/>
                <w:sz w:val="14"/>
                <w:szCs w:val="14"/>
                <w:color w:val="auto"/>
              </w:rPr>
              <w:t>1,897,256</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729,660</w:t>
            </w:r>
          </w:p>
        </w:tc>
        <w:tc>
          <w:tcPr>
            <w:tcW w:w="260" w:type="dxa"/>
            <w:vAlign w:val="bottom"/>
            <w:tcBorders>
              <w:bottom w:val="single" w:sz="8" w:color="DBDBDB"/>
            </w:tcBorders>
            <w:shd w:val="clear" w:color="auto" w:fill="DBDBDB"/>
          </w:tcPr>
          <w:p>
            <w:pPr>
              <w:spacing w:after="0"/>
              <w:rPr>
                <w:sz w:val="18"/>
                <w:szCs w:val="18"/>
                <w:color w:val="auto"/>
              </w:rPr>
            </w:pPr>
          </w:p>
        </w:tc>
        <w:tc>
          <w:tcPr>
            <w:tcW w:w="2320" w:type="dxa"/>
            <w:vAlign w:val="bottom"/>
            <w:tcBorders>
              <w:bottom w:val="single" w:sz="8" w:color="DBDBDB"/>
            </w:tcBorders>
            <w:shd w:val="clear" w:color="auto" w:fill="DBDBDB"/>
          </w:tcPr>
          <w:p>
            <w:pPr>
              <w:jc w:val="right"/>
              <w:ind w:right="868"/>
              <w:spacing w:after="0"/>
              <w:rPr>
                <w:sz w:val="20"/>
                <w:szCs w:val="20"/>
                <w:color w:val="auto"/>
              </w:rPr>
            </w:pPr>
            <w:r>
              <w:rPr>
                <w:rFonts w:ascii="Arial" w:cs="Arial" w:eastAsia="Arial" w:hAnsi="Arial"/>
                <w:sz w:val="14"/>
                <w:szCs w:val="14"/>
                <w:color w:val="auto"/>
              </w:rPr>
              <w:t>2,103,633</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732,066</w:t>
            </w:r>
          </w:p>
        </w:tc>
      </w:tr>
      <w:tr>
        <w:trPr>
          <w:trHeight w:val="203"/>
        </w:trPr>
        <w:tc>
          <w:tcPr>
            <w:tcW w:w="4920" w:type="dxa"/>
            <w:vAlign w:val="bottom"/>
          </w:tcPr>
          <w:p>
            <w:pPr>
              <w:ind w:left="20"/>
              <w:spacing w:after="0"/>
              <w:rPr>
                <w:sz w:val="20"/>
                <w:szCs w:val="20"/>
                <w:color w:val="auto"/>
              </w:rPr>
            </w:pPr>
            <w:r>
              <w:rPr>
                <w:rFonts w:ascii="Arial" w:cs="Arial" w:eastAsia="Arial" w:hAnsi="Arial"/>
                <w:sz w:val="14"/>
                <w:szCs w:val="14"/>
                <w:color w:val="auto"/>
              </w:rPr>
              <w:t>Anti-dilutive RSUs</w:t>
            </w:r>
          </w:p>
        </w:tc>
        <w:tc>
          <w:tcPr>
            <w:tcW w:w="2340" w:type="dxa"/>
            <w:vAlign w:val="bottom"/>
          </w:tcPr>
          <w:p>
            <w:pPr>
              <w:jc w:val="right"/>
              <w:ind w:right="888"/>
              <w:spacing w:after="0"/>
              <w:rPr>
                <w:sz w:val="20"/>
                <w:szCs w:val="20"/>
                <w:color w:val="auto"/>
              </w:rPr>
            </w:pPr>
            <w:r>
              <w:rPr>
                <w:rFonts w:ascii="Arial" w:cs="Arial" w:eastAsia="Arial" w:hAnsi="Arial"/>
                <w:sz w:val="14"/>
                <w:szCs w:val="14"/>
                <w:color w:val="auto"/>
              </w:rPr>
              <w:t>120,214</w:t>
            </w:r>
          </w:p>
        </w:tc>
        <w:tc>
          <w:tcPr>
            <w:tcW w:w="680" w:type="dxa"/>
            <w:vAlign w:val="bottom"/>
          </w:tcPr>
          <w:p>
            <w:pPr>
              <w:jc w:val="right"/>
              <w:spacing w:after="0"/>
              <w:rPr>
                <w:sz w:val="20"/>
                <w:szCs w:val="20"/>
                <w:color w:val="auto"/>
              </w:rPr>
            </w:pPr>
            <w:r>
              <w:rPr>
                <w:rFonts w:ascii="Arial" w:cs="Arial" w:eastAsia="Arial" w:hAnsi="Arial"/>
                <w:sz w:val="14"/>
                <w:szCs w:val="14"/>
                <w:color w:val="auto"/>
              </w:rPr>
              <w:t>193,896</w:t>
            </w:r>
          </w:p>
        </w:tc>
        <w:tc>
          <w:tcPr>
            <w:tcW w:w="260" w:type="dxa"/>
            <w:vAlign w:val="bottom"/>
          </w:tcPr>
          <w:p>
            <w:pPr>
              <w:spacing w:after="0"/>
              <w:rPr>
                <w:sz w:val="17"/>
                <w:szCs w:val="17"/>
                <w:color w:val="auto"/>
              </w:rPr>
            </w:pPr>
          </w:p>
        </w:tc>
        <w:tc>
          <w:tcPr>
            <w:tcW w:w="2320" w:type="dxa"/>
            <w:vAlign w:val="bottom"/>
          </w:tcPr>
          <w:p>
            <w:pPr>
              <w:jc w:val="right"/>
              <w:ind w:right="868"/>
              <w:spacing w:after="0"/>
              <w:rPr>
                <w:sz w:val="20"/>
                <w:szCs w:val="20"/>
                <w:color w:val="auto"/>
              </w:rPr>
            </w:pPr>
            <w:r>
              <w:rPr>
                <w:rFonts w:ascii="Arial" w:cs="Arial" w:eastAsia="Arial" w:hAnsi="Arial"/>
                <w:sz w:val="14"/>
                <w:szCs w:val="14"/>
                <w:color w:val="auto"/>
              </w:rPr>
              <w:t>571,640</w:t>
            </w:r>
          </w:p>
        </w:tc>
        <w:tc>
          <w:tcPr>
            <w:tcW w:w="720" w:type="dxa"/>
            <w:vAlign w:val="bottom"/>
          </w:tcPr>
          <w:p>
            <w:pPr>
              <w:jc w:val="right"/>
              <w:spacing w:after="0"/>
              <w:rPr>
                <w:sz w:val="20"/>
                <w:szCs w:val="20"/>
                <w:color w:val="auto"/>
              </w:rPr>
            </w:pPr>
            <w:r>
              <w:rPr>
                <w:rFonts w:ascii="Arial" w:cs="Arial" w:eastAsia="Arial" w:hAnsi="Arial"/>
                <w:sz w:val="14"/>
                <w:szCs w:val="14"/>
                <w:color w:val="auto"/>
              </w:rPr>
              <w:t>252,883</w:t>
            </w:r>
          </w:p>
        </w:tc>
      </w:tr>
      <w:tr>
        <w:trPr>
          <w:trHeight w:val="25"/>
        </w:trPr>
        <w:tc>
          <w:tcPr>
            <w:tcW w:w="49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77" w:lineRule="exact"/>
        <w:rPr>
          <w:sz w:val="20"/>
          <w:szCs w:val="20"/>
          <w:color w:val="auto"/>
        </w:rPr>
      </w:pPr>
    </w:p>
    <w:p>
      <w:pPr>
        <w:ind w:left="560" w:hanging="553"/>
        <w:spacing w:after="0"/>
        <w:tabs>
          <w:tab w:leader="none" w:pos="56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 Transactions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Transactions with related parties included in the condensed consolidated financial statements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40" w:type="dxa"/>
            <w:vAlign w:val="bottom"/>
            <w:gridSpan w:val="6"/>
          </w:tcPr>
          <w:p>
            <w:pPr>
              <w:jc w:val="right"/>
              <w:ind w:right="77"/>
              <w:spacing w:after="0"/>
              <w:rPr>
                <w:sz w:val="20"/>
                <w:szCs w:val="20"/>
                <w:color w:val="auto"/>
              </w:rPr>
            </w:pPr>
            <w:r>
              <w:rPr>
                <w:rFonts w:ascii="Arial" w:cs="Arial" w:eastAsia="Arial" w:hAnsi="Arial"/>
                <w:sz w:val="13"/>
                <w:szCs w:val="13"/>
                <w:b w:val="1"/>
                <w:bCs w:val="1"/>
                <w:color w:val="auto"/>
              </w:rPr>
              <w:t>Condensed Consolidated Balance Sheets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4"/>
          </w:tcPr>
          <w:p>
            <w:pPr>
              <w:spacing w:after="0" w:line="20" w:lineRule="exact"/>
              <w:rPr>
                <w:sz w:val="1"/>
                <w:szCs w:val="1"/>
                <w:color w:val="auto"/>
              </w:rPr>
            </w:pPr>
          </w:p>
        </w:tc>
      </w:tr>
      <w:tr>
        <w:trPr>
          <w:trHeight w:val="174"/>
        </w:trPr>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3"/>
                <w:szCs w:val="13"/>
                <w:b w:val="1"/>
                <w:bCs w:val="1"/>
                <w:color w:val="auto"/>
              </w:rPr>
              <w:t>July 31, 2023</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4"/>
          </w:tcPr>
          <w:p>
            <w:pPr>
              <w:jc w:val="right"/>
              <w:ind w:right="857"/>
              <w:spacing w:after="0"/>
              <w:rPr>
                <w:sz w:val="20"/>
                <w:szCs w:val="20"/>
                <w:color w:val="auto"/>
              </w:rPr>
            </w:pPr>
            <w:r>
              <w:rPr>
                <w:rFonts w:ascii="Arial" w:cs="Arial" w:eastAsia="Arial" w:hAnsi="Arial"/>
                <w:sz w:val="13"/>
                <w:szCs w:val="13"/>
                <w:b w:val="1"/>
                <w:bCs w:val="1"/>
                <w:color w:val="auto"/>
              </w:rPr>
              <w:t>October 31, 2022</w:t>
            </w:r>
          </w:p>
        </w:tc>
      </w:tr>
      <w:tr>
        <w:trPr>
          <w:trHeight w:val="21"/>
        </w:trPr>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146"/>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gridSpan w:val="2"/>
          </w:tcPr>
          <w:p>
            <w:pPr>
              <w:jc w:val="right"/>
              <w:ind w:right="17"/>
              <w:spacing w:after="0" w:line="146" w:lineRule="exact"/>
              <w:rPr>
                <w:sz w:val="20"/>
                <w:szCs w:val="20"/>
                <w:color w:val="auto"/>
              </w:rPr>
            </w:pPr>
            <w:r>
              <w:rPr>
                <w:rFonts w:ascii="Arial" w:cs="Arial" w:eastAsia="Arial" w:hAnsi="Arial"/>
                <w:sz w:val="13"/>
                <w:szCs w:val="13"/>
                <w:b w:val="1"/>
                <w:bCs w:val="1"/>
                <w:color w:val="auto"/>
              </w:rPr>
              <w:t>Property, plant and</w:t>
            </w:r>
          </w:p>
        </w:tc>
        <w:tc>
          <w:tcPr>
            <w:tcW w:w="1460" w:type="dxa"/>
            <w:vAlign w:val="bottom"/>
            <w:gridSpan w:val="3"/>
          </w:tcPr>
          <w:p>
            <w:pPr>
              <w:jc w:val="right"/>
              <w:spacing w:after="0" w:line="146" w:lineRule="exact"/>
              <w:rPr>
                <w:sz w:val="20"/>
                <w:szCs w:val="20"/>
                <w:color w:val="auto"/>
              </w:rPr>
            </w:pPr>
            <w:r>
              <w:rPr>
                <w:rFonts w:ascii="Arial" w:cs="Arial" w:eastAsia="Arial" w:hAnsi="Arial"/>
                <w:sz w:val="13"/>
                <w:szCs w:val="13"/>
                <w:b w:val="1"/>
                <w:bCs w:val="1"/>
                <w:color w:val="auto"/>
              </w:rPr>
              <w:t>Accounts payable &amp;</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Finance lease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spacing w:after="0" w:line="146" w:lineRule="exact"/>
              <w:rPr>
                <w:sz w:val="20"/>
                <w:szCs w:val="20"/>
                <w:color w:val="auto"/>
              </w:rPr>
            </w:pPr>
            <w:r>
              <w:rPr>
                <w:rFonts w:ascii="Arial" w:cs="Arial" w:eastAsia="Arial" w:hAnsi="Arial"/>
                <w:sz w:val="13"/>
                <w:szCs w:val="13"/>
                <w:b w:val="1"/>
                <w:bCs w:val="1"/>
                <w:color w:val="auto"/>
                <w:w w:val="98"/>
              </w:rPr>
              <w:t>Accounts payable &amp;</w:t>
            </w:r>
          </w:p>
        </w:tc>
      </w:tr>
      <w:tr>
        <w:trPr>
          <w:trHeight w:val="175"/>
        </w:trPr>
        <w:tc>
          <w:tcPr>
            <w:tcW w:w="2260" w:type="dxa"/>
            <w:vAlign w:val="bottom"/>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Accounts receivable</w:t>
            </w:r>
          </w:p>
        </w:tc>
        <w:tc>
          <w:tcPr>
            <w:tcW w:w="58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b w:val="1"/>
                <w:bCs w:val="1"/>
                <w:color w:val="auto"/>
                <w:w w:val="97"/>
              </w:rPr>
              <w:t>equipment, net</w:t>
            </w:r>
          </w:p>
        </w:tc>
        <w:tc>
          <w:tcPr>
            <w:tcW w:w="1460" w:type="dxa"/>
            <w:vAlign w:val="bottom"/>
            <w:gridSpan w:val="3"/>
          </w:tcPr>
          <w:p>
            <w:pPr>
              <w:jc w:val="right"/>
              <w:spacing w:after="0"/>
              <w:rPr>
                <w:sz w:val="20"/>
                <w:szCs w:val="20"/>
                <w:color w:val="auto"/>
              </w:rPr>
            </w:pPr>
            <w:r>
              <w:rPr>
                <w:rFonts w:ascii="Arial" w:cs="Arial" w:eastAsia="Arial" w:hAnsi="Arial"/>
                <w:sz w:val="13"/>
                <w:szCs w:val="13"/>
                <w:b w:val="1"/>
                <w:bCs w:val="1"/>
                <w:color w:val="auto"/>
              </w:rPr>
              <w:t>accrued expenses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liabilities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w w:val="96"/>
              </w:rPr>
              <w:t>Accounts receivable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w w:val="97"/>
              </w:rPr>
              <w:t>accrued expenses</w:t>
            </w:r>
          </w:p>
        </w:tc>
      </w:tr>
      <w:tr>
        <w:trPr>
          <w:trHeight w:val="21"/>
        </w:trPr>
        <w:tc>
          <w:tcPr>
            <w:tcW w:w="2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5"/>
        </w:trPr>
        <w:tc>
          <w:tcPr>
            <w:tcW w:w="2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Equity method investees:</w:t>
            </w:r>
          </w:p>
        </w:tc>
        <w:tc>
          <w:tcPr>
            <w:tcW w:w="10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spacing w:after="0"/>
              <w:rPr>
                <w:sz w:val="15"/>
                <w:szCs w:val="15"/>
                <w:color w:val="auto"/>
              </w:rPr>
            </w:pPr>
          </w:p>
        </w:tc>
        <w:tc>
          <w:tcPr>
            <w:tcW w:w="46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spacing w:after="0"/>
              <w:rPr>
                <w:sz w:val="15"/>
                <w:szCs w:val="15"/>
                <w:color w:val="auto"/>
              </w:rPr>
            </w:pPr>
          </w:p>
        </w:tc>
      </w:tr>
      <w:tr>
        <w:trPr>
          <w:trHeight w:val="170"/>
        </w:trPr>
        <w:tc>
          <w:tcPr>
            <w:tcW w:w="2260" w:type="dxa"/>
            <w:vAlign w:val="bottom"/>
          </w:tcPr>
          <w:p>
            <w:pPr>
              <w:ind w:left="140"/>
              <w:spacing w:after="0"/>
              <w:rPr>
                <w:sz w:val="20"/>
                <w:szCs w:val="20"/>
                <w:color w:val="auto"/>
              </w:rPr>
            </w:pPr>
            <w:r>
              <w:rPr>
                <w:rFonts w:ascii="Arial" w:cs="Arial" w:eastAsia="Arial" w:hAnsi="Arial"/>
                <w:sz w:val="13"/>
                <w:szCs w:val="13"/>
                <w:color w:val="auto"/>
              </w:rPr>
              <w:t>Henry Avocado</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0.6</w:t>
            </w:r>
          </w:p>
        </w:tc>
        <w:tc>
          <w:tcPr>
            <w:tcW w:w="5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1"/>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2"/>
        </w:trPr>
        <w:tc>
          <w:tcPr>
            <w:tcW w:w="22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3"/>
                <w:szCs w:val="13"/>
                <w:color w:val="auto"/>
              </w:rPr>
              <w:t>Mr. Avocado</w:t>
            </w:r>
          </w:p>
        </w:tc>
        <w:tc>
          <w:tcPr>
            <w:tcW w:w="10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3"/>
                <w:szCs w:val="13"/>
                <w:color w:val="auto"/>
              </w:rPr>
              <w:t>4.1</w:t>
            </w:r>
          </w:p>
        </w:tc>
        <w:tc>
          <w:tcPr>
            <w:tcW w:w="58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117"/>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2260" w:type="dxa"/>
            <w:vAlign w:val="bottom"/>
          </w:tcPr>
          <w:p>
            <w:pPr>
              <w:ind w:left="2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2"/>
        </w:trPr>
        <w:tc>
          <w:tcPr>
            <w:tcW w:w="2260" w:type="dxa"/>
            <w:vAlign w:val="bottom"/>
            <w:shd w:val="clear" w:color="auto" w:fill="DBDBDB"/>
          </w:tcPr>
          <w:p>
            <w:pPr>
              <w:ind w:left="140"/>
              <w:spacing w:after="0"/>
              <w:rPr>
                <w:sz w:val="20"/>
                <w:szCs w:val="20"/>
                <w:color w:val="auto"/>
              </w:rPr>
            </w:pPr>
            <w:r>
              <w:rPr>
                <w:rFonts w:ascii="Arial" w:cs="Arial" w:eastAsia="Arial" w:hAnsi="Arial"/>
                <w:sz w:val="13"/>
                <w:szCs w:val="13"/>
                <w:color w:val="auto"/>
              </w:rPr>
              <w:t>Directors/Officers</w:t>
            </w:r>
            <w:r>
              <w:rPr>
                <w:rFonts w:ascii="Arial" w:cs="Arial" w:eastAsia="Arial" w:hAnsi="Arial"/>
                <w:sz w:val="16"/>
                <w:szCs w:val="16"/>
                <w:color w:val="auto"/>
                <w:vertAlign w:val="superscript"/>
              </w:rPr>
              <w:t>(1)</w:t>
            </w:r>
          </w:p>
        </w:tc>
        <w:tc>
          <w:tcPr>
            <w:tcW w:w="100" w:type="dxa"/>
            <w:vAlign w:val="bottom"/>
            <w:shd w:val="clear" w:color="auto" w:fill="DBDBDB"/>
          </w:tcPr>
          <w:p>
            <w:pPr>
              <w:spacing w:after="0"/>
              <w:rPr>
                <w:sz w:val="17"/>
                <w:szCs w:val="17"/>
                <w:color w:val="auto"/>
              </w:rPr>
            </w:pP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0.2</w:t>
            </w:r>
          </w:p>
        </w:tc>
        <w:tc>
          <w:tcPr>
            <w:tcW w:w="5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15.3</w:t>
            </w:r>
          </w:p>
        </w:tc>
        <w:tc>
          <w:tcPr>
            <w:tcW w:w="4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0.9</w:t>
            </w:r>
          </w:p>
        </w:tc>
        <w:tc>
          <w:tcPr>
            <w:tcW w:w="2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15.3</w:t>
            </w:r>
          </w:p>
        </w:tc>
        <w:tc>
          <w:tcPr>
            <w:tcW w:w="2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w:t>
            </w:r>
          </w:p>
        </w:tc>
      </w:tr>
      <w:tr>
        <w:trPr>
          <w:trHeight w:val="229"/>
        </w:trPr>
        <w:tc>
          <w:tcPr>
            <w:tcW w:w="2260" w:type="dxa"/>
            <w:vAlign w:val="bottom"/>
          </w:tcPr>
          <w:p>
            <w:pPr>
              <w:ind w:left="140"/>
              <w:spacing w:after="0"/>
              <w:rPr>
                <w:sz w:val="20"/>
                <w:szCs w:val="20"/>
                <w:color w:val="auto"/>
              </w:rPr>
            </w:pPr>
            <w:r>
              <w:rPr>
                <w:rFonts w:ascii="Arial" w:cs="Arial" w:eastAsia="Arial" w:hAnsi="Arial"/>
                <w:sz w:val="13"/>
                <w:szCs w:val="13"/>
                <w:color w:val="auto"/>
              </w:rPr>
              <w:t>Employees</w:t>
            </w:r>
            <w:r>
              <w:rPr>
                <w:rFonts w:ascii="Arial" w:cs="Arial" w:eastAsia="Arial" w:hAnsi="Arial"/>
                <w:sz w:val="16"/>
                <w:szCs w:val="16"/>
                <w:color w:val="auto"/>
                <w:vertAlign w:val="superscript"/>
              </w:rPr>
              <w:t>(2)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9"/>
                <w:szCs w:val="19"/>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0.2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0.4</w:t>
            </w:r>
          </w:p>
        </w:tc>
      </w:tr>
      <w:tr>
        <w:trPr>
          <w:trHeight w:val="355"/>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0" w:type="dxa"/>
            <w:vAlign w:val="bottom"/>
            <w:gridSpan w:val="9"/>
          </w:tcPr>
          <w:p>
            <w:pPr>
              <w:jc w:val="right"/>
              <w:spacing w:after="0"/>
              <w:rPr>
                <w:sz w:val="20"/>
                <w:szCs w:val="20"/>
                <w:color w:val="auto"/>
              </w:rPr>
            </w:pPr>
            <w:r>
              <w:rPr>
                <w:rFonts w:ascii="Arial" w:cs="Arial" w:eastAsia="Arial" w:hAnsi="Arial"/>
                <w:sz w:val="13"/>
                <w:szCs w:val="13"/>
                <w:b w:val="1"/>
                <w:bCs w:val="1"/>
                <w:color w:val="auto"/>
              </w:rPr>
              <w:t>Condensed Consolidated Statements of Income (Loss)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4"/>
        </w:trPr>
        <w:tc>
          <w:tcPr>
            <w:tcW w:w="2260" w:type="dxa"/>
            <w:vAlign w:val="bottom"/>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4"/>
              </w:rPr>
              <w:t>Net sales</w:t>
            </w:r>
          </w:p>
        </w:tc>
        <w:tc>
          <w:tcPr>
            <w:tcW w:w="146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Cost of sales</w:t>
            </w:r>
          </w:p>
        </w:tc>
        <w:tc>
          <w:tcPr>
            <w:tcW w:w="20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3"/>
                <w:szCs w:val="13"/>
                <w:b w:val="1"/>
                <w:bCs w:val="1"/>
                <w:color w:val="auto"/>
              </w:rPr>
              <w:t>Interest expense</w:t>
            </w:r>
          </w:p>
        </w:tc>
        <w:tc>
          <w:tcPr>
            <w:tcW w:w="12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Net sales</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Cost of sales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Other income</w:t>
            </w:r>
          </w:p>
        </w:tc>
      </w:tr>
      <w:tr>
        <w:trPr>
          <w:trHeight w:val="21"/>
        </w:trPr>
        <w:tc>
          <w:tcPr>
            <w:tcW w:w="2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0"/>
        </w:trPr>
        <w:tc>
          <w:tcPr>
            <w:tcW w:w="22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1460" w:type="dxa"/>
            <w:vAlign w:val="bottom"/>
            <w:gridSpan w:val="2"/>
            <w:shd w:val="clear" w:color="auto" w:fill="DBDBDB"/>
          </w:tcPr>
          <w:p>
            <w:pPr>
              <w:jc w:val="center"/>
              <w:spacing w:after="0"/>
              <w:rPr>
                <w:sz w:val="20"/>
                <w:szCs w:val="20"/>
                <w:color w:val="auto"/>
              </w:rPr>
            </w:pPr>
            <w:r>
              <w:rPr>
                <w:rFonts w:ascii="Arial" w:cs="Arial" w:eastAsia="Arial" w:hAnsi="Arial"/>
                <w:sz w:val="13"/>
                <w:szCs w:val="13"/>
                <w:b w:val="1"/>
                <w:bCs w:val="1"/>
                <w:color w:val="auto"/>
                <w:w w:val="96"/>
              </w:rPr>
              <w:t>Three Months Ended</w:t>
            </w:r>
          </w:p>
        </w:tc>
        <w:tc>
          <w:tcPr>
            <w:tcW w:w="20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380" w:type="dxa"/>
            <w:vAlign w:val="bottom"/>
            <w:gridSpan w:val="2"/>
            <w:shd w:val="clear" w:color="auto" w:fill="DBDBDB"/>
          </w:tcPr>
          <w:p>
            <w:pPr>
              <w:jc w:val="center"/>
              <w:spacing w:after="0"/>
              <w:rPr>
                <w:sz w:val="20"/>
                <w:szCs w:val="20"/>
                <w:color w:val="auto"/>
              </w:rPr>
            </w:pPr>
            <w:r>
              <w:rPr>
                <w:rFonts w:ascii="Arial" w:cs="Arial" w:eastAsia="Arial" w:hAnsi="Arial"/>
                <w:sz w:val="13"/>
                <w:szCs w:val="13"/>
                <w:b w:val="1"/>
                <w:bCs w:val="1"/>
                <w:color w:val="auto"/>
                <w:w w:val="96"/>
              </w:rPr>
              <w:t>Three Months Ended</w:t>
            </w:r>
          </w:p>
        </w:tc>
        <w:tc>
          <w:tcPr>
            <w:tcW w:w="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r>
      <w:tr>
        <w:trPr>
          <w:trHeight w:val="183"/>
        </w:trPr>
        <w:tc>
          <w:tcPr>
            <w:tcW w:w="22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66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spacing w:after="0"/>
              <w:rPr>
                <w:sz w:val="15"/>
                <w:szCs w:val="15"/>
                <w:color w:val="auto"/>
              </w:rPr>
            </w:pPr>
          </w:p>
        </w:tc>
        <w:tc>
          <w:tcPr>
            <w:tcW w:w="1460" w:type="dxa"/>
            <w:vAlign w:val="bottom"/>
            <w:tcBorders>
              <w:bottom w:val="single" w:sz="8" w:color="auto"/>
            </w:tcBorders>
            <w:gridSpan w:val="2"/>
            <w:shd w:val="clear" w:color="auto" w:fill="DBDBDB"/>
          </w:tcPr>
          <w:p>
            <w:pPr>
              <w:jc w:val="center"/>
              <w:spacing w:after="0"/>
              <w:rPr>
                <w:sz w:val="20"/>
                <w:szCs w:val="20"/>
                <w:color w:val="auto"/>
              </w:rPr>
            </w:pPr>
            <w:r>
              <w:rPr>
                <w:rFonts w:ascii="Arial" w:cs="Arial" w:eastAsia="Arial" w:hAnsi="Arial"/>
                <w:sz w:val="13"/>
                <w:szCs w:val="13"/>
                <w:b w:val="1"/>
                <w:bCs w:val="1"/>
                <w:color w:val="auto"/>
                <w:w w:val="94"/>
              </w:rPr>
              <w:t>July 31, 2023</w:t>
            </w:r>
          </w:p>
        </w:tc>
        <w:tc>
          <w:tcPr>
            <w:tcW w:w="200" w:type="dxa"/>
            <w:vAlign w:val="bottom"/>
            <w:tcBorders>
              <w:bottom w:val="single" w:sz="8" w:color="auto"/>
            </w:tcBorders>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30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center"/>
              <w:ind w:right="137"/>
              <w:spacing w:after="0"/>
              <w:rPr>
                <w:sz w:val="20"/>
                <w:szCs w:val="20"/>
                <w:color w:val="auto"/>
              </w:rPr>
            </w:pPr>
            <w:r>
              <w:rPr>
                <w:rFonts w:ascii="Arial" w:cs="Arial" w:eastAsia="Arial" w:hAnsi="Arial"/>
                <w:sz w:val="13"/>
                <w:szCs w:val="13"/>
                <w:b w:val="1"/>
                <w:bCs w:val="1"/>
                <w:color w:val="auto"/>
                <w:w w:val="94"/>
              </w:rPr>
              <w:t>July 31, 2022</w:t>
            </w:r>
          </w:p>
        </w:tc>
        <w:tc>
          <w:tcPr>
            <w:tcW w:w="12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spacing w:after="0"/>
              <w:rPr>
                <w:sz w:val="15"/>
                <w:szCs w:val="15"/>
                <w:color w:val="auto"/>
              </w:rPr>
            </w:pPr>
          </w:p>
        </w:tc>
      </w:tr>
      <w:tr>
        <w:trPr>
          <w:trHeight w:val="160"/>
        </w:trPr>
        <w:tc>
          <w:tcPr>
            <w:tcW w:w="2260" w:type="dxa"/>
            <w:vAlign w:val="bottom"/>
          </w:tcPr>
          <w:p>
            <w:pPr>
              <w:ind w:left="20"/>
              <w:spacing w:after="0"/>
              <w:rPr>
                <w:sz w:val="20"/>
                <w:szCs w:val="20"/>
                <w:color w:val="auto"/>
              </w:rPr>
            </w:pPr>
            <w:r>
              <w:rPr>
                <w:rFonts w:ascii="Arial" w:cs="Arial" w:eastAsia="Arial" w:hAnsi="Arial"/>
                <w:sz w:val="13"/>
                <w:szCs w:val="13"/>
                <w:b w:val="1"/>
                <w:bCs w:val="1"/>
                <w:color w:val="auto"/>
              </w:rPr>
              <w:t>Equity method investees: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2"/>
        </w:trPr>
        <w:tc>
          <w:tcPr>
            <w:tcW w:w="22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3"/>
                <w:szCs w:val="13"/>
                <w:color w:val="auto"/>
              </w:rPr>
              <w:t>Henry Avocado</w:t>
            </w:r>
          </w:p>
        </w:tc>
        <w:tc>
          <w:tcPr>
            <w:tcW w:w="10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gridSpan w:val="2"/>
            <w:shd w:val="clear" w:color="auto" w:fill="DBDBDB"/>
          </w:tcPr>
          <w:p>
            <w:pPr>
              <w:jc w:val="right"/>
              <w:ind w:right="5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1.1</w:t>
            </w:r>
          </w:p>
        </w:tc>
        <w:tc>
          <w:tcPr>
            <w:tcW w:w="1000" w:type="dxa"/>
            <w:vAlign w:val="bottom"/>
            <w:tcBorders>
              <w:bottom w:val="single" w:sz="8" w:color="DBDBDB"/>
            </w:tcBorders>
            <w:shd w:val="clear" w:color="auto" w:fill="DBDBDB"/>
          </w:tcPr>
          <w:p>
            <w:pPr>
              <w:jc w:val="right"/>
              <w:ind w:right="69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BDBDB"/>
            </w:tcBorders>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gridSpan w:val="2"/>
            <w:shd w:val="clear" w:color="auto" w:fill="DBDBDB"/>
          </w:tcPr>
          <w:p>
            <w:pPr>
              <w:jc w:val="right"/>
              <w:ind w:right="36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DBDBDB"/>
            </w:tcBorders>
            <w:shd w:val="clear" w:color="auto" w:fill="DBDBDB"/>
          </w:tcPr>
          <w:p>
            <w:pPr>
              <w:jc w:val="right"/>
              <w:ind w:right="777"/>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DBDBDB"/>
            </w:tcBorders>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2.7</w:t>
            </w:r>
          </w:p>
        </w:tc>
        <w:tc>
          <w:tcPr>
            <w:tcW w:w="300" w:type="dxa"/>
            <w:vAlign w:val="bottom"/>
            <w:tcBorders>
              <w:bottom w:val="single" w:sz="8" w:color="DBDBDB"/>
            </w:tcBorders>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2260" w:type="dxa"/>
            <w:vAlign w:val="bottom"/>
          </w:tcPr>
          <w:p>
            <w:pPr>
              <w:ind w:left="140"/>
              <w:spacing w:after="0"/>
              <w:rPr>
                <w:sz w:val="20"/>
                <w:szCs w:val="20"/>
                <w:color w:val="auto"/>
              </w:rPr>
            </w:pPr>
            <w:r>
              <w:rPr>
                <w:rFonts w:ascii="Arial" w:cs="Arial" w:eastAsia="Arial" w:hAnsi="Arial"/>
                <w:sz w:val="13"/>
                <w:szCs w:val="13"/>
                <w:color w:val="auto"/>
              </w:rPr>
              <w:t>Mr. Avocado</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w:t>
            </w:r>
          </w:p>
        </w:tc>
        <w:tc>
          <w:tcPr>
            <w:tcW w:w="100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30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1"/>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2"/>
        </w:trPr>
        <w:tc>
          <w:tcPr>
            <w:tcW w:w="2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Other:</w:t>
            </w:r>
          </w:p>
        </w:tc>
        <w:tc>
          <w:tcPr>
            <w:tcW w:w="10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spacing w:after="0"/>
              <w:rPr>
                <w:sz w:val="15"/>
                <w:szCs w:val="15"/>
                <w:color w:val="auto"/>
              </w:rPr>
            </w:pPr>
          </w:p>
        </w:tc>
        <w:tc>
          <w:tcPr>
            <w:tcW w:w="46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spacing w:after="0"/>
              <w:rPr>
                <w:sz w:val="15"/>
                <w:szCs w:val="15"/>
                <w:color w:val="auto"/>
              </w:rPr>
            </w:pPr>
          </w:p>
        </w:tc>
      </w:tr>
      <w:tr>
        <w:trPr>
          <w:trHeight w:val="202"/>
        </w:trPr>
        <w:tc>
          <w:tcPr>
            <w:tcW w:w="2260" w:type="dxa"/>
            <w:vAlign w:val="bottom"/>
          </w:tcPr>
          <w:p>
            <w:pPr>
              <w:ind w:left="140"/>
              <w:spacing w:after="0"/>
              <w:rPr>
                <w:sz w:val="20"/>
                <w:szCs w:val="20"/>
                <w:color w:val="auto"/>
              </w:rPr>
            </w:pPr>
            <w:r>
              <w:rPr>
                <w:rFonts w:ascii="Arial" w:cs="Arial" w:eastAsia="Arial" w:hAnsi="Arial"/>
                <w:sz w:val="13"/>
                <w:szCs w:val="13"/>
                <w:color w:val="auto"/>
              </w:rPr>
              <w:t>Directors/Officers</w:t>
            </w:r>
            <w:r>
              <w:rPr>
                <w:rFonts w:ascii="Arial" w:cs="Arial" w:eastAsia="Arial" w:hAnsi="Arial"/>
                <w:sz w:val="16"/>
                <w:szCs w:val="16"/>
                <w:color w:val="auto"/>
                <w:vertAlign w:val="superscript"/>
              </w:rPr>
              <w:t>(1)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0.3</w:t>
            </w:r>
          </w:p>
        </w:tc>
        <w:tc>
          <w:tcPr>
            <w:tcW w:w="1000" w:type="dxa"/>
            <w:vAlign w:val="bottom"/>
          </w:tcPr>
          <w:p>
            <w:pPr>
              <w:spacing w:after="0"/>
              <w:rPr>
                <w:sz w:val="17"/>
                <w:szCs w:val="17"/>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9"/>
              </w:rPr>
              <w:t>0.3</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rPr>
              <w:t>0.2</w:t>
            </w:r>
          </w:p>
        </w:tc>
        <w:tc>
          <w:tcPr>
            <w:tcW w:w="300" w:type="dxa"/>
            <w:vAlign w:val="bottom"/>
          </w:tcPr>
          <w:p>
            <w:pPr>
              <w:spacing w:after="0"/>
              <w:rPr>
                <w:sz w:val="17"/>
                <w:szCs w:val="17"/>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2"/>
        </w:trPr>
        <w:tc>
          <w:tcPr>
            <w:tcW w:w="2260" w:type="dxa"/>
            <w:vAlign w:val="bottom"/>
            <w:shd w:val="clear" w:color="auto" w:fill="DBDBDB"/>
          </w:tcPr>
          <w:p>
            <w:pPr>
              <w:ind w:left="140"/>
              <w:spacing w:after="0"/>
              <w:rPr>
                <w:sz w:val="20"/>
                <w:szCs w:val="20"/>
                <w:color w:val="auto"/>
              </w:rPr>
            </w:pPr>
            <w:r>
              <w:rPr>
                <w:rFonts w:ascii="Arial" w:cs="Arial" w:eastAsia="Arial" w:hAnsi="Arial"/>
                <w:sz w:val="13"/>
                <w:szCs w:val="13"/>
                <w:color w:val="auto"/>
              </w:rPr>
              <w:t>Employees</w:t>
            </w:r>
            <w:r>
              <w:rPr>
                <w:rFonts w:ascii="Arial" w:cs="Arial" w:eastAsia="Arial" w:hAnsi="Arial"/>
                <w:sz w:val="16"/>
                <w:szCs w:val="16"/>
                <w:color w:val="auto"/>
                <w:vertAlign w:val="superscript"/>
              </w:rPr>
              <w:t>(2)</w:t>
            </w: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spacing w:after="0"/>
              <w:rPr>
                <w:sz w:val="17"/>
                <w:szCs w:val="17"/>
                <w:color w:val="auto"/>
              </w:rPr>
            </w:pPr>
          </w:p>
        </w:tc>
        <w:tc>
          <w:tcPr>
            <w:tcW w:w="46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2.0</w:t>
            </w:r>
          </w:p>
        </w:tc>
        <w:tc>
          <w:tcPr>
            <w:tcW w:w="20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560" w:type="dxa"/>
            <w:vAlign w:val="bottom"/>
            <w:gridSpan w:val="2"/>
            <w:shd w:val="clear" w:color="auto" w:fill="DBDBDB"/>
          </w:tcPr>
          <w:p>
            <w:pPr>
              <w:jc w:val="right"/>
              <w:ind w:right="360"/>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spacing w:after="0"/>
              <w:rPr>
                <w:sz w:val="17"/>
                <w:szCs w:val="17"/>
                <w:color w:val="auto"/>
              </w:rPr>
            </w:pPr>
          </w:p>
        </w:tc>
        <w:tc>
          <w:tcPr>
            <w:tcW w:w="36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0.6</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Nine Months Ended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left="37"/>
              <w:spacing w:after="0"/>
              <w:rPr>
                <w:sz w:val="20"/>
                <w:szCs w:val="20"/>
                <w:color w:val="auto"/>
              </w:rPr>
            </w:pPr>
            <w:r>
              <w:rPr>
                <w:rFonts w:ascii="Arial" w:cs="Arial" w:eastAsia="Arial" w:hAnsi="Arial"/>
                <w:sz w:val="13"/>
                <w:szCs w:val="13"/>
                <w:b w:val="1"/>
                <w:bCs w:val="1"/>
                <w:color w:val="auto"/>
                <w:w w:val="95"/>
              </w:rPr>
              <w:t>Nine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7"/>
        </w:trPr>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July 31, 2023</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4"/>
              </w:rPr>
              <w:t>July 31, 2022</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0"/>
        </w:trPr>
        <w:tc>
          <w:tcPr>
            <w:tcW w:w="2260" w:type="dxa"/>
            <w:vAlign w:val="bottom"/>
          </w:tcPr>
          <w:p>
            <w:pPr>
              <w:ind w:left="20"/>
              <w:spacing w:after="0"/>
              <w:rPr>
                <w:sz w:val="20"/>
                <w:szCs w:val="20"/>
                <w:color w:val="auto"/>
              </w:rPr>
            </w:pPr>
            <w:r>
              <w:rPr>
                <w:rFonts w:ascii="Arial" w:cs="Arial" w:eastAsia="Arial" w:hAnsi="Arial"/>
                <w:sz w:val="13"/>
                <w:szCs w:val="13"/>
                <w:b w:val="1"/>
                <w:bCs w:val="1"/>
                <w:color w:val="auto"/>
              </w:rPr>
              <w:t>Equity method investees: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2"/>
        </w:trPr>
        <w:tc>
          <w:tcPr>
            <w:tcW w:w="22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3"/>
                <w:szCs w:val="13"/>
                <w:color w:val="auto"/>
              </w:rPr>
              <w:t>Henry Avocado</w:t>
            </w:r>
          </w:p>
        </w:tc>
        <w:tc>
          <w:tcPr>
            <w:tcW w:w="10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gridSpan w:val="2"/>
            <w:shd w:val="clear" w:color="auto" w:fill="DBDBDB"/>
          </w:tcPr>
          <w:p>
            <w:pPr>
              <w:jc w:val="right"/>
              <w:ind w:right="5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1.1</w:t>
            </w:r>
          </w:p>
        </w:tc>
        <w:tc>
          <w:tcPr>
            <w:tcW w:w="1000" w:type="dxa"/>
            <w:vAlign w:val="bottom"/>
            <w:tcBorders>
              <w:bottom w:val="single" w:sz="8" w:color="DBDBDB"/>
            </w:tcBorders>
            <w:shd w:val="clear" w:color="auto" w:fill="DBDBDB"/>
          </w:tcPr>
          <w:p>
            <w:pPr>
              <w:jc w:val="right"/>
              <w:ind w:right="69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BDBDB"/>
            </w:tcBorders>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gridSpan w:val="2"/>
            <w:shd w:val="clear" w:color="auto" w:fill="DBDBDB"/>
          </w:tcPr>
          <w:p>
            <w:pPr>
              <w:jc w:val="right"/>
              <w:ind w:right="36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DBDBDB"/>
            </w:tcBorders>
            <w:shd w:val="clear" w:color="auto" w:fill="DBDBDB"/>
          </w:tcPr>
          <w:p>
            <w:pPr>
              <w:jc w:val="right"/>
              <w:ind w:right="777"/>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DBDBDB"/>
            </w:tcBorders>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2.7</w:t>
            </w:r>
          </w:p>
        </w:tc>
        <w:tc>
          <w:tcPr>
            <w:tcW w:w="300" w:type="dxa"/>
            <w:vAlign w:val="bottom"/>
            <w:tcBorders>
              <w:bottom w:val="single" w:sz="8" w:color="DBDBDB"/>
            </w:tcBorders>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rPr>
              <w:t>0.5</w:t>
            </w:r>
          </w:p>
        </w:tc>
        <w:tc>
          <w:tcPr>
            <w:tcW w:w="12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2260" w:type="dxa"/>
            <w:vAlign w:val="bottom"/>
          </w:tcPr>
          <w:p>
            <w:pPr>
              <w:ind w:left="140"/>
              <w:spacing w:after="0"/>
              <w:rPr>
                <w:sz w:val="20"/>
                <w:szCs w:val="20"/>
                <w:color w:val="auto"/>
              </w:rPr>
            </w:pPr>
            <w:r>
              <w:rPr>
                <w:rFonts w:ascii="Arial" w:cs="Arial" w:eastAsia="Arial" w:hAnsi="Arial"/>
                <w:sz w:val="13"/>
                <w:szCs w:val="13"/>
                <w:color w:val="auto"/>
              </w:rPr>
              <w:t>Mr. Avocado</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6.7</w:t>
            </w:r>
          </w:p>
        </w:tc>
        <w:tc>
          <w:tcPr>
            <w:tcW w:w="100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30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1"/>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2260" w:type="dxa"/>
            <w:vAlign w:val="bottom"/>
            <w:shd w:val="clear" w:color="auto" w:fill="DBDBDB"/>
          </w:tcPr>
          <w:p>
            <w:pPr>
              <w:ind w:left="140"/>
              <w:spacing w:after="0"/>
              <w:rPr>
                <w:sz w:val="20"/>
                <w:szCs w:val="20"/>
                <w:color w:val="auto"/>
              </w:rPr>
            </w:pPr>
            <w:r>
              <w:rPr>
                <w:rFonts w:ascii="Arial" w:cs="Arial" w:eastAsia="Arial" w:hAnsi="Arial"/>
                <w:sz w:val="13"/>
                <w:szCs w:val="13"/>
                <w:color w:val="auto"/>
              </w:rPr>
              <w:t>Moruga</w:t>
            </w:r>
            <w:r>
              <w:rPr>
                <w:rFonts w:ascii="Arial" w:cs="Arial" w:eastAsia="Arial" w:hAnsi="Arial"/>
                <w:sz w:val="16"/>
                <w:szCs w:val="16"/>
                <w:color w:val="auto"/>
                <w:vertAlign w:val="superscript"/>
              </w:rPr>
              <w:t>(3)</w:t>
            </w: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spacing w:after="0"/>
              <w:rPr>
                <w:sz w:val="17"/>
                <w:szCs w:val="17"/>
                <w:color w:val="auto"/>
              </w:rPr>
            </w:pPr>
          </w:p>
        </w:tc>
        <w:tc>
          <w:tcPr>
            <w:tcW w:w="46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560" w:type="dxa"/>
            <w:vAlign w:val="bottom"/>
            <w:gridSpan w:val="2"/>
            <w:shd w:val="clear" w:color="auto" w:fill="DBDBDB"/>
          </w:tcPr>
          <w:p>
            <w:pPr>
              <w:jc w:val="right"/>
              <w:ind w:right="360"/>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spacing w:after="0"/>
              <w:rPr>
                <w:sz w:val="17"/>
                <w:szCs w:val="17"/>
                <w:color w:val="auto"/>
              </w:rPr>
            </w:pPr>
          </w:p>
        </w:tc>
        <w:tc>
          <w:tcPr>
            <w:tcW w:w="36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4.1</w:t>
            </w:r>
          </w:p>
        </w:tc>
        <w:tc>
          <w:tcPr>
            <w:tcW w:w="3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0.4</w:t>
            </w:r>
          </w:p>
        </w:tc>
      </w:tr>
      <w:tr>
        <w:trPr>
          <w:trHeight w:val="202"/>
        </w:trPr>
        <w:tc>
          <w:tcPr>
            <w:tcW w:w="2260" w:type="dxa"/>
            <w:vAlign w:val="bottom"/>
          </w:tcPr>
          <w:p>
            <w:pPr>
              <w:ind w:left="140"/>
              <w:spacing w:after="0"/>
              <w:rPr>
                <w:sz w:val="20"/>
                <w:szCs w:val="20"/>
                <w:color w:val="auto"/>
              </w:rPr>
            </w:pPr>
            <w:r>
              <w:rPr>
                <w:rFonts w:ascii="Arial" w:cs="Arial" w:eastAsia="Arial" w:hAnsi="Arial"/>
                <w:sz w:val="13"/>
                <w:szCs w:val="13"/>
                <w:color w:val="auto"/>
              </w:rPr>
              <w:t>Copaltas</w:t>
            </w:r>
            <w:r>
              <w:rPr>
                <w:rFonts w:ascii="Arial" w:cs="Arial" w:eastAsia="Arial" w:hAnsi="Arial"/>
                <w:sz w:val="16"/>
                <w:szCs w:val="16"/>
                <w:color w:val="auto"/>
                <w:vertAlign w:val="superscript"/>
              </w:rPr>
              <w:t>(4)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7"/>
                <w:szCs w:val="17"/>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182"/>
        </w:trPr>
        <w:tc>
          <w:tcPr>
            <w:tcW w:w="2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Other:</w:t>
            </w:r>
          </w:p>
        </w:tc>
        <w:tc>
          <w:tcPr>
            <w:tcW w:w="10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spacing w:after="0"/>
              <w:rPr>
                <w:sz w:val="15"/>
                <w:szCs w:val="15"/>
                <w:color w:val="auto"/>
              </w:rPr>
            </w:pPr>
          </w:p>
        </w:tc>
        <w:tc>
          <w:tcPr>
            <w:tcW w:w="46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spacing w:after="0"/>
              <w:rPr>
                <w:sz w:val="15"/>
                <w:szCs w:val="15"/>
                <w:color w:val="auto"/>
              </w:rPr>
            </w:pPr>
          </w:p>
        </w:tc>
      </w:tr>
      <w:tr>
        <w:trPr>
          <w:trHeight w:val="202"/>
        </w:trPr>
        <w:tc>
          <w:tcPr>
            <w:tcW w:w="2260" w:type="dxa"/>
            <w:vAlign w:val="bottom"/>
          </w:tcPr>
          <w:p>
            <w:pPr>
              <w:ind w:left="140"/>
              <w:spacing w:after="0"/>
              <w:rPr>
                <w:sz w:val="20"/>
                <w:szCs w:val="20"/>
                <w:color w:val="auto"/>
              </w:rPr>
            </w:pPr>
            <w:r>
              <w:rPr>
                <w:rFonts w:ascii="Arial" w:cs="Arial" w:eastAsia="Arial" w:hAnsi="Arial"/>
                <w:sz w:val="13"/>
                <w:szCs w:val="13"/>
                <w:color w:val="auto"/>
              </w:rPr>
              <w:t>Directors/Officers</w:t>
            </w:r>
            <w:r>
              <w:rPr>
                <w:rFonts w:ascii="Arial" w:cs="Arial" w:eastAsia="Arial" w:hAnsi="Arial"/>
                <w:sz w:val="16"/>
                <w:szCs w:val="16"/>
                <w:color w:val="auto"/>
                <w:vertAlign w:val="superscript"/>
              </w:rPr>
              <w:t>(1))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0.9</w:t>
            </w:r>
          </w:p>
        </w:tc>
        <w:tc>
          <w:tcPr>
            <w:tcW w:w="1000" w:type="dxa"/>
            <w:vAlign w:val="bottom"/>
          </w:tcPr>
          <w:p>
            <w:pPr>
              <w:spacing w:after="0"/>
              <w:rPr>
                <w:sz w:val="17"/>
                <w:szCs w:val="17"/>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9"/>
              </w:rPr>
              <w:t>1.0</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rPr>
              <w:t>0.9</w:t>
            </w:r>
          </w:p>
        </w:tc>
        <w:tc>
          <w:tcPr>
            <w:tcW w:w="300" w:type="dxa"/>
            <w:vAlign w:val="bottom"/>
          </w:tcPr>
          <w:p>
            <w:pPr>
              <w:spacing w:after="0"/>
              <w:rPr>
                <w:sz w:val="17"/>
                <w:szCs w:val="17"/>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2"/>
        </w:trPr>
        <w:tc>
          <w:tcPr>
            <w:tcW w:w="226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3"/>
                <w:szCs w:val="13"/>
                <w:color w:val="auto"/>
              </w:rPr>
              <w:t>Employees</w:t>
            </w:r>
            <w:r>
              <w:rPr>
                <w:rFonts w:ascii="Arial" w:cs="Arial" w:eastAsia="Arial" w:hAnsi="Arial"/>
                <w:sz w:val="16"/>
                <w:szCs w:val="16"/>
                <w:color w:val="auto"/>
                <w:vertAlign w:val="superscript"/>
              </w:rPr>
              <w:t>(2)</w:t>
            </w:r>
          </w:p>
        </w:tc>
        <w:tc>
          <w:tcPr>
            <w:tcW w:w="10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jc w:val="right"/>
              <w:ind w:right="57"/>
              <w:spacing w:after="0"/>
              <w:rPr>
                <w:sz w:val="20"/>
                <w:szCs w:val="20"/>
                <w:color w:val="auto"/>
              </w:rPr>
            </w:pPr>
            <w:r>
              <w:rPr>
                <w:rFonts w:ascii="Arial" w:cs="Arial" w:eastAsia="Arial" w:hAnsi="Arial"/>
                <w:sz w:val="13"/>
                <w:szCs w:val="13"/>
                <w:color w:val="auto"/>
              </w:rPr>
              <w:t>7.3</w:t>
            </w:r>
          </w:p>
        </w:tc>
        <w:tc>
          <w:tcPr>
            <w:tcW w:w="200" w:type="dxa"/>
            <w:vAlign w:val="bottom"/>
            <w:tcBorders>
              <w:bottom w:val="single" w:sz="8" w:color="auto"/>
            </w:tcBorders>
            <w:shd w:val="clear" w:color="auto" w:fill="DBDBDB"/>
          </w:tcPr>
          <w:p>
            <w:pPr>
              <w:spacing w:after="0"/>
              <w:rPr>
                <w:sz w:val="17"/>
                <w:szCs w:val="17"/>
                <w:color w:val="auto"/>
              </w:rPr>
            </w:pPr>
          </w:p>
        </w:tc>
        <w:tc>
          <w:tcPr>
            <w:tcW w:w="800" w:type="dxa"/>
            <w:vAlign w:val="bottom"/>
            <w:tcBorders>
              <w:bottom w:val="single" w:sz="8" w:color="auto"/>
            </w:tcBorders>
            <w:shd w:val="clear" w:color="auto" w:fill="DBDBDB"/>
          </w:tcPr>
          <w:p>
            <w:pPr>
              <w:spacing w:after="0"/>
              <w:rPr>
                <w:sz w:val="17"/>
                <w:szCs w:val="17"/>
                <w:color w:val="auto"/>
              </w:rPr>
            </w:pPr>
          </w:p>
        </w:tc>
        <w:tc>
          <w:tcPr>
            <w:tcW w:w="560" w:type="dxa"/>
            <w:vAlign w:val="bottom"/>
            <w:tcBorders>
              <w:bottom w:val="single" w:sz="8" w:color="auto"/>
            </w:tcBorders>
            <w:gridSpan w:val="2"/>
            <w:shd w:val="clear" w:color="auto" w:fill="DBDBDB"/>
          </w:tcPr>
          <w:p>
            <w:pPr>
              <w:jc w:val="right"/>
              <w:ind w:right="36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DBDBDB"/>
          </w:tcPr>
          <w:p>
            <w:pPr>
              <w:spacing w:after="0"/>
              <w:rPr>
                <w:sz w:val="17"/>
                <w:szCs w:val="17"/>
                <w:color w:val="auto"/>
              </w:rPr>
            </w:pPr>
          </w:p>
        </w:tc>
        <w:tc>
          <w:tcPr>
            <w:tcW w:w="360" w:type="dxa"/>
            <w:vAlign w:val="bottom"/>
            <w:tcBorders>
              <w:bottom w:val="single" w:sz="8" w:color="auto"/>
            </w:tcBorders>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17"/>
              <w:spacing w:after="0"/>
              <w:rPr>
                <w:sz w:val="20"/>
                <w:szCs w:val="20"/>
                <w:color w:val="auto"/>
              </w:rPr>
            </w:pPr>
            <w:r>
              <w:rPr>
                <w:rFonts w:ascii="Arial" w:cs="Arial" w:eastAsia="Arial" w:hAnsi="Arial"/>
                <w:sz w:val="13"/>
                <w:szCs w:val="13"/>
                <w:color w:val="auto"/>
              </w:rPr>
              <w:t>4.7</w:t>
            </w:r>
          </w:p>
        </w:tc>
        <w:tc>
          <w:tcPr>
            <w:tcW w:w="1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bl>
    <w:p>
      <w:pPr>
        <w:spacing w:after="0" w:line="134" w:lineRule="exact"/>
        <w:rPr>
          <w:sz w:val="20"/>
          <w:szCs w:val="20"/>
          <w:color w:val="auto"/>
        </w:rPr>
      </w:pPr>
    </w:p>
    <w:p>
      <w:pPr>
        <w:ind w:left="160" w:right="20" w:hanging="153"/>
        <w:spacing w:after="0" w:line="294" w:lineRule="auto"/>
        <w:tabs>
          <w:tab w:leader="none" w:pos="179"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Company purchases from and sells avocados to, and provides logistics services to, a small number of entities having full or partial ownership by some of our directors/officers. These transactions are made under substantially similar terms as with other growers and customers. In November 2022, Moruga entered into a long-term land lease with a company owned by one of our directors. The rental rate in the lease was comparable to market rates and reflective of an arms-length transaction. The lease was accounted for as a finance lease right-of-use asset and is included in property, plant and equipment, net in the condensed consolidated balance sheets, with amortization and interest expense recognized in cost of sales and interest expense, respectively, in the condensed consolidated statements of income (loss). The portion of lease costs attributable to noncontrolling interest, net of income taxes, was $0.2 million and $0.5 million for the three and nine months ended July 31, 2023, respectively, and included as part of net loss attributable to noncontrolling interest in the condensed consolidated statements of income (loss). During the second quarter of 2023, we purchased 20 hectares of land in Peru from the same company owned by this same director for $0.2 million, which was comparable to market rates and reflective of an arms-length transaction.</w:t>
      </w:r>
    </w:p>
    <w:p>
      <w:pPr>
        <w:sectPr>
          <w:pgSz w:w="11900" w:h="16838" w:orient="portrait"/>
          <w:cols w:equalWidth="0" w:num="1">
            <w:col w:w="11240"/>
          </w:cols>
          <w:pgMar w:left="320" w:top="1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88"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1"/>
          <w:szCs w:val="21"/>
          <w:b w:val="1"/>
          <w:bCs w:val="1"/>
          <w:color w:val="auto"/>
        </w:rPr>
        <w:t>MISSION PRODUCE,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0" w:right="120" w:hanging="153"/>
        <w:spacing w:after="0" w:line="344" w:lineRule="auto"/>
        <w:tabs>
          <w:tab w:leader="none" w:pos="165"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Company utilizes a small number of transportation vendors in Mexico having full or partial ownership by some of our employees. The Company also purchases avocados from a small number of entities having full or partial ownership by some employees. These transactions are made under substantially similar terms as with other transportation carriers and growers.</w:t>
      </w:r>
    </w:p>
    <w:p>
      <w:pPr>
        <w:ind w:left="160" w:hanging="153"/>
        <w:spacing w:after="0" w:line="309" w:lineRule="auto"/>
        <w:tabs>
          <w:tab w:leader="none" w:pos="165" w:val="left"/>
        </w:tabs>
        <w:numPr>
          <w:ilvl w:val="0"/>
          <w:numId w:val="13"/>
        </w:numPr>
        <w:rPr>
          <w:rFonts w:ascii="Arial" w:cs="Arial" w:eastAsia="Arial" w:hAnsi="Arial"/>
          <w:sz w:val="11"/>
          <w:szCs w:val="11"/>
          <w:color w:val="auto"/>
        </w:rPr>
      </w:pPr>
      <w:r>
        <w:rPr>
          <w:rFonts w:ascii="Arial" w:cs="Arial" w:eastAsia="Arial" w:hAnsi="Arial"/>
          <w:sz w:val="11"/>
          <w:szCs w:val="11"/>
          <w:color w:val="auto"/>
        </w:rPr>
        <w:t>Effective May 1, 2022, Moruga was prospectively consolidated into the Company’s financial statements, at which time transactions between parties were prospectively eliminated in the consolidation of our financial statements. Transactions prior to consolidation are presented the same as in prior periods. The Company provides packing and cooling services for blueberries and leases owned land to Moruga. The Company has also provided loans to Moruga to support growth and expansion projects, bearing interest at 6.5%, due December 31, 2024.</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(4)The Company has provided loans to Copaltas to support expansion projects, bearing interest at 6.66%. The loans have been repaid in full as of October 31, 2022.</w:t>
      </w:r>
    </w:p>
    <w:p>
      <w:pPr>
        <w:spacing w:after="0" w:line="253" w:lineRule="exact"/>
        <w:rPr>
          <w:sz w:val="20"/>
          <w:szCs w:val="20"/>
          <w:color w:val="auto"/>
        </w:rPr>
      </w:pPr>
    </w:p>
    <w:p>
      <w:pPr>
        <w:ind w:left="540" w:hanging="533"/>
        <w:spacing w:after="0"/>
        <w:tabs>
          <w:tab w:leader="none" w:pos="54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Segment and Revenue Information</w:t>
      </w:r>
    </w:p>
    <w:p>
      <w:pPr>
        <w:spacing w:after="0" w:line="244" w:lineRule="exact"/>
        <w:rPr>
          <w:sz w:val="20"/>
          <w:szCs w:val="20"/>
          <w:color w:val="auto"/>
        </w:rPr>
      </w:pPr>
    </w:p>
    <w:p>
      <w:pPr>
        <w:ind w:right="60" w:firstLine="645"/>
        <w:spacing w:after="0" w:line="260" w:lineRule="auto"/>
        <w:rPr>
          <w:sz w:val="20"/>
          <w:szCs w:val="20"/>
          <w:color w:val="auto"/>
        </w:rPr>
      </w:pPr>
      <w:r>
        <w:rPr>
          <w:rFonts w:ascii="Arial" w:cs="Arial" w:eastAsia="Arial" w:hAnsi="Arial"/>
          <w:sz w:val="16"/>
          <w:szCs w:val="16"/>
          <w:color w:val="auto"/>
        </w:rPr>
        <w:t>We have three operating segments which are also reportable segments. Our reportable segments are presented based on how information is used by our CEO, who is the chief operating decision maker, to measure performance and allocate resources. After the consolidation of Moruga on May 1, 2022 (refer to Note 1 for more information), the information used by the CEO changed to include the results of Moruga, and as such, we determined our reportable segments to be:</w:t>
      </w:r>
    </w:p>
    <w:p>
      <w:pPr>
        <w:spacing w:after="0" w:line="193" w:lineRule="exact"/>
        <w:rPr>
          <w:sz w:val="20"/>
          <w:szCs w:val="20"/>
          <w:color w:val="auto"/>
        </w:rPr>
      </w:pPr>
    </w:p>
    <w:p>
      <w:pPr>
        <w:ind w:left="660" w:right="200" w:hanging="330"/>
        <w:spacing w:after="0" w:line="279"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Marketing and Distribution. </w:t>
      </w:r>
      <w:r>
        <w:rPr>
          <w:rFonts w:ascii="Arial" w:cs="Arial" w:eastAsia="Arial" w:hAnsi="Arial"/>
          <w:sz w:val="16"/>
          <w:szCs w:val="16"/>
          <w:color w:val="auto"/>
        </w:rPr>
        <w:t>Our Marketing and Distribution reportable segment sources fruit from growers and then distributes the fruit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global distribution network.</w:t>
      </w:r>
    </w:p>
    <w:p>
      <w:pPr>
        <w:spacing w:after="0" w:line="163" w:lineRule="exact"/>
        <w:rPr>
          <w:rFonts w:ascii="Arial" w:cs="Arial" w:eastAsia="Arial" w:hAnsi="Arial"/>
          <w:sz w:val="16"/>
          <w:szCs w:val="16"/>
          <w:color w:val="auto"/>
        </w:rPr>
      </w:pPr>
    </w:p>
    <w:p>
      <w:pPr>
        <w:ind w:left="660" w:right="100" w:hanging="330"/>
        <w:spacing w:after="0" w:line="268"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International Farming. </w:t>
      </w:r>
      <w:r>
        <w:rPr>
          <w:rFonts w:ascii="Arial" w:cs="Arial" w:eastAsia="Arial" w:hAnsi="Arial"/>
          <w:sz w:val="16"/>
          <w:szCs w:val="16"/>
          <w:color w:val="auto"/>
        </w:rPr>
        <w:t>International Farming owns and operates orchards from which substantially all fruit produced is sold to our Marketing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segment. Its farming activities range from cultivating early-stage plantings to harvesting from mature trees, and it also earns service revenues for packing and processing for our Blueberries segment, as well as for third-party producers of other crops during the avocado off-harvest season. Operations are principally located in Peru, with smaller operations emerging in other areas of Latin America.</w:t>
      </w:r>
    </w:p>
    <w:p>
      <w:pPr>
        <w:spacing w:after="0" w:line="172" w:lineRule="exact"/>
        <w:rPr>
          <w:rFonts w:ascii="Arial" w:cs="Arial" w:eastAsia="Arial" w:hAnsi="Arial"/>
          <w:sz w:val="16"/>
          <w:szCs w:val="16"/>
          <w:color w:val="auto"/>
        </w:rPr>
      </w:pPr>
    </w:p>
    <w:p>
      <w:pPr>
        <w:ind w:left="660" w:right="80" w:hanging="330"/>
        <w:spacing w:after="0" w:line="271"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Blueberries. </w:t>
      </w:r>
      <w:r>
        <w:rPr>
          <w:rFonts w:ascii="Arial" w:cs="Arial" w:eastAsia="Arial" w:hAnsi="Arial"/>
          <w:sz w:val="16"/>
          <w:szCs w:val="16"/>
          <w:color w:val="auto"/>
        </w:rPr>
        <w:t>The Blueberries segment represents the results of Moruga, subsequent to its consolidation on May 1, 2022. Moruga’s farming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cultivating early-stage blueberry plantings and harvesting mature bushes. Substantially all of blueberries produced are sold to a single distributor under an exclusive marketing agreement.</w:t>
      </w:r>
    </w:p>
    <w:p>
      <w:pPr>
        <w:spacing w:after="0" w:line="174" w:lineRule="exact"/>
        <w:rPr>
          <w:sz w:val="20"/>
          <w:szCs w:val="20"/>
          <w:color w:val="auto"/>
        </w:rPr>
      </w:pPr>
    </w:p>
    <w:p>
      <w:pPr>
        <w:ind w:right="20" w:firstLine="645"/>
        <w:spacing w:after="0" w:line="255" w:lineRule="auto"/>
        <w:rPr>
          <w:sz w:val="20"/>
          <w:szCs w:val="20"/>
          <w:color w:val="auto"/>
        </w:rPr>
      </w:pPr>
      <w:r>
        <w:rPr>
          <w:rFonts w:ascii="Arial" w:cs="Arial" w:eastAsia="Arial" w:hAnsi="Arial"/>
          <w:sz w:val="16"/>
          <w:szCs w:val="16"/>
          <w:color w:val="auto"/>
        </w:rPr>
        <w:t>The CEO evaluates and monitors segment performance primarily through segment sales and segment adjusted EBITDA. 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certain noncash and nonrecurring ERP costs, transaction costs, amortization of inventory adjustments recognized from business combinations, and any special, non-recurring, or one-time items such as remeasurements or impairments, and any portion of these items attributable to the noncontrolling interest, all of which are excluded from the results the CEO reviews uses to assess segment performance and results.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73025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88"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1"/>
          <w:szCs w:val="21"/>
          <w:b w:val="1"/>
          <w:bCs w:val="1"/>
          <w:color w:val="auto"/>
        </w:rPr>
        <w:t>MISSION PRODUCE, INC.</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sales from each of our reportable segments were as follows.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b w:val="1"/>
                <w:bCs w:val="1"/>
                <w:color w:val="auto"/>
              </w:rPr>
              <w:t>Marketing and</w:t>
            </w:r>
          </w:p>
        </w:tc>
        <w:tc>
          <w:tcPr>
            <w:tcW w:w="280" w:type="dxa"/>
            <w:vAlign w:val="bottom"/>
          </w:tcPr>
          <w:p>
            <w:pPr>
              <w:spacing w:after="0"/>
              <w:rPr>
                <w:sz w:val="10"/>
                <w:szCs w:val="10"/>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b w:val="1"/>
                <w:bCs w:val="1"/>
                <w:color w:val="auto"/>
              </w:rPr>
              <w:t>International</w:t>
            </w: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b w:val="1"/>
                <w:bCs w:val="1"/>
                <w:color w:val="auto"/>
              </w:rPr>
              <w:t>Marketing and</w:t>
            </w:r>
          </w:p>
        </w:tc>
        <w:tc>
          <w:tcPr>
            <w:tcW w:w="300" w:type="dxa"/>
            <w:vAlign w:val="bottom"/>
          </w:tcPr>
          <w:p>
            <w:pPr>
              <w:spacing w:after="0"/>
              <w:rPr>
                <w:sz w:val="10"/>
                <w:szCs w:val="10"/>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b w:val="1"/>
                <w:bCs w:val="1"/>
                <w:color w:val="auto"/>
              </w:rPr>
              <w:t>International</w:t>
            </w: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b w:val="1"/>
                <w:bCs w:val="1"/>
                <w:color w:val="auto"/>
              </w:rPr>
              <w:t>Distribution</w:t>
            </w:r>
          </w:p>
        </w:tc>
        <w:tc>
          <w:tcPr>
            <w:tcW w:w="280" w:type="dxa"/>
            <w:vAlign w:val="bottom"/>
          </w:tcPr>
          <w:p>
            <w:pPr>
              <w:spacing w:after="0"/>
              <w:rPr>
                <w:sz w:val="12"/>
                <w:szCs w:val="12"/>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b w:val="1"/>
                <w:bCs w:val="1"/>
                <w:color w:val="auto"/>
              </w:rPr>
              <w:t>Farming</w:t>
            </w:r>
          </w:p>
        </w:tc>
        <w:tc>
          <w:tcPr>
            <w:tcW w:w="32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b w:val="1"/>
                <w:bCs w:val="1"/>
                <w:color w:val="auto"/>
              </w:rPr>
              <w:t>Blueberries</w:t>
            </w:r>
          </w:p>
        </w:tc>
        <w:tc>
          <w:tcPr>
            <w:tcW w:w="420" w:type="dxa"/>
            <w:vAlign w:val="bottom"/>
          </w:tcPr>
          <w:p>
            <w:pPr>
              <w:spacing w:after="0"/>
              <w:rPr>
                <w:sz w:val="12"/>
                <w:szCs w:val="12"/>
                <w:color w:val="auto"/>
              </w:rPr>
            </w:pPr>
          </w:p>
        </w:tc>
        <w:tc>
          <w:tcPr>
            <w:tcW w:w="920" w:type="dxa"/>
            <w:vAlign w:val="bottom"/>
            <w:gridSpan w:val="2"/>
          </w:tcPr>
          <w:p>
            <w:pPr>
              <w:ind w:left="400"/>
              <w:spacing w:after="0"/>
              <w:rPr>
                <w:sz w:val="20"/>
                <w:szCs w:val="20"/>
                <w:color w:val="auto"/>
              </w:rPr>
            </w:pPr>
            <w:r>
              <w:rPr>
                <w:rFonts w:ascii="Arial" w:cs="Arial" w:eastAsia="Arial" w:hAnsi="Arial"/>
                <w:sz w:val="11"/>
                <w:szCs w:val="11"/>
                <w:b w:val="1"/>
                <w:bCs w:val="1"/>
                <w:color w:val="auto"/>
              </w:rPr>
              <w:t>Total</w:t>
            </w:r>
          </w:p>
        </w:tc>
        <w:tc>
          <w:tcPr>
            <w:tcW w:w="160" w:type="dxa"/>
            <w:vAlign w:val="bottom"/>
          </w:tcPr>
          <w:p>
            <w:pPr>
              <w:spacing w:after="0"/>
              <w:rPr>
                <w:sz w:val="12"/>
                <w:szCs w:val="12"/>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b w:val="1"/>
                <w:bCs w:val="1"/>
                <w:color w:val="auto"/>
              </w:rPr>
              <w:t>Distribution</w:t>
            </w:r>
          </w:p>
        </w:tc>
        <w:tc>
          <w:tcPr>
            <w:tcW w:w="300" w:type="dxa"/>
            <w:vAlign w:val="bottom"/>
          </w:tcPr>
          <w:p>
            <w:pPr>
              <w:spacing w:after="0"/>
              <w:rPr>
                <w:sz w:val="12"/>
                <w:szCs w:val="12"/>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b w:val="1"/>
                <w:bCs w:val="1"/>
                <w:color w:val="auto"/>
              </w:rPr>
              <w:t>Farming</w:t>
            </w:r>
          </w:p>
        </w:tc>
        <w:tc>
          <w:tcPr>
            <w:tcW w:w="320" w:type="dxa"/>
            <w:vAlign w:val="bottom"/>
          </w:tcPr>
          <w:p>
            <w:pPr>
              <w:spacing w:after="0"/>
              <w:rPr>
                <w:sz w:val="12"/>
                <w:szCs w:val="12"/>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b w:val="1"/>
                <w:bCs w:val="1"/>
                <w:color w:val="auto"/>
              </w:rPr>
              <w:t>Blueberries</w:t>
            </w:r>
          </w:p>
        </w:tc>
        <w:tc>
          <w:tcPr>
            <w:tcW w:w="4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0" w:type="dxa"/>
            <w:vAlign w:val="bottom"/>
            <w:gridSpan w:val="4"/>
          </w:tcPr>
          <w:p>
            <w:pPr>
              <w:jc w:val="right"/>
              <w:ind w:right="626"/>
              <w:spacing w:after="0"/>
              <w:rPr>
                <w:sz w:val="20"/>
                <w:szCs w:val="20"/>
                <w:color w:val="auto"/>
              </w:rPr>
            </w:pPr>
            <w:r>
              <w:rPr>
                <w:rFonts w:ascii="Arial" w:cs="Arial" w:eastAsia="Arial" w:hAnsi="Arial"/>
                <w:sz w:val="11"/>
                <w:szCs w:val="11"/>
                <w:b w:val="1"/>
                <w:bCs w:val="1"/>
                <w:color w:val="auto"/>
              </w:rPr>
              <w:t>Three Months Ended</w:t>
            </w: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3"/>
          </w:tcPr>
          <w:p>
            <w:pPr>
              <w:jc w:val="right"/>
              <w:ind w:right="52"/>
              <w:spacing w:after="0"/>
              <w:rPr>
                <w:sz w:val="20"/>
                <w:szCs w:val="20"/>
                <w:color w:val="auto"/>
              </w:rPr>
            </w:pPr>
            <w:r>
              <w:rPr>
                <w:rFonts w:ascii="Arial" w:cs="Arial" w:eastAsia="Arial" w:hAnsi="Arial"/>
                <w:sz w:val="11"/>
                <w:szCs w:val="11"/>
                <w:b w:val="1"/>
                <w:bCs w:val="1"/>
                <w:color w:val="auto"/>
              </w:rPr>
              <w:t>July 31,</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900" w:type="dxa"/>
            <w:vAlign w:val="bottom"/>
            <w:vMerge w:val="restart"/>
          </w:tcPr>
          <w:p>
            <w:pPr>
              <w:ind w:left="20"/>
              <w:spacing w:after="0"/>
              <w:rPr>
                <w:sz w:val="20"/>
                <w:szCs w:val="20"/>
                <w:color w:val="auto"/>
              </w:rPr>
            </w:pPr>
            <w:r>
              <w:rPr>
                <w:rFonts w:ascii="Arial" w:cs="Arial" w:eastAsia="Arial" w:hAnsi="Arial"/>
                <w:sz w:val="11"/>
                <w:szCs w:val="11"/>
                <w:color w:val="auto"/>
              </w:rPr>
              <w:t>(In millions)</w:t>
            </w: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1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ind w:right="146"/>
              <w:spacing w:after="0"/>
              <w:rPr>
                <w:sz w:val="20"/>
                <w:szCs w:val="20"/>
                <w:color w:val="auto"/>
              </w:rPr>
            </w:pPr>
            <w:r>
              <w:rPr>
                <w:rFonts w:ascii="Arial" w:cs="Arial" w:eastAsia="Arial" w:hAnsi="Arial"/>
                <w:sz w:val="11"/>
                <w:szCs w:val="11"/>
                <w:b w:val="1"/>
                <w:bCs w:val="1"/>
                <w:color w:val="auto"/>
              </w:rPr>
              <w:t>2023</w:t>
            </w: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Third party sales</w:t>
            </w:r>
          </w:p>
        </w:tc>
        <w:tc>
          <w:tcPr>
            <w:tcW w:w="16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256.6</w:t>
            </w:r>
          </w:p>
        </w:tc>
        <w:tc>
          <w:tcPr>
            <w:tcW w:w="2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3.4</w:t>
            </w:r>
          </w:p>
        </w:tc>
        <w:tc>
          <w:tcPr>
            <w:tcW w:w="32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1.4</w:t>
            </w:r>
          </w:p>
        </w:tc>
        <w:tc>
          <w:tcPr>
            <w:tcW w:w="420" w:type="dxa"/>
            <w:vAlign w:val="bottom"/>
            <w:tcBorders>
              <w:bottom w:val="single" w:sz="8" w:color="DBDBDB"/>
            </w:tcBorders>
            <w:shd w:val="clear" w:color="auto" w:fill="DBDBDB"/>
          </w:tcPr>
          <w:p>
            <w:pPr>
              <w:jc w:val="right"/>
              <w:ind w:right="22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261.4</w:t>
            </w:r>
          </w:p>
        </w:tc>
        <w:tc>
          <w:tcPr>
            <w:tcW w:w="26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308.9</w:t>
            </w:r>
          </w:p>
        </w:tc>
        <w:tc>
          <w:tcPr>
            <w:tcW w:w="30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4.0</w:t>
            </w:r>
          </w:p>
        </w:tc>
        <w:tc>
          <w:tcPr>
            <w:tcW w:w="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0.3</w:t>
            </w:r>
          </w:p>
        </w:tc>
        <w:tc>
          <w:tcPr>
            <w:tcW w:w="460" w:type="dxa"/>
            <w:vAlign w:val="bottom"/>
            <w:tcBorders>
              <w:bottom w:val="single" w:sz="8" w:color="DBDBDB"/>
            </w:tcBorders>
            <w:shd w:val="clear" w:color="auto" w:fill="DBDBDB"/>
          </w:tcPr>
          <w:p>
            <w:pPr>
              <w:jc w:val="right"/>
              <w:ind w:right="24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313.2</w:t>
            </w:r>
          </w:p>
        </w:tc>
        <w:tc>
          <w:tcPr>
            <w:tcW w:w="0" w:type="dxa"/>
            <w:vAlign w:val="bottom"/>
          </w:tcPr>
          <w:p>
            <w:pPr>
              <w:spacing w:after="0"/>
              <w:rPr>
                <w:sz w:val="1"/>
                <w:szCs w:val="1"/>
                <w:color w:val="auto"/>
              </w:rPr>
            </w:pPr>
          </w:p>
        </w:tc>
      </w:tr>
      <w:tr>
        <w:trPr>
          <w:trHeight w:val="153"/>
        </w:trPr>
        <w:tc>
          <w:tcPr>
            <w:tcW w:w="1900" w:type="dxa"/>
            <w:vAlign w:val="bottom"/>
          </w:tcPr>
          <w:p>
            <w:pPr>
              <w:ind w:left="20"/>
              <w:spacing w:after="0"/>
              <w:rPr>
                <w:sz w:val="20"/>
                <w:szCs w:val="20"/>
                <w:color w:val="auto"/>
              </w:rPr>
            </w:pPr>
            <w:r>
              <w:rPr>
                <w:rFonts w:ascii="Arial" w:cs="Arial" w:eastAsia="Arial" w:hAnsi="Arial"/>
                <w:sz w:val="11"/>
                <w:szCs w:val="11"/>
                <w:color w:val="auto"/>
              </w:rPr>
              <w:t>Affiliated sales</w:t>
            </w:r>
          </w:p>
        </w:tc>
        <w:tc>
          <w:tcPr>
            <w:tcW w:w="160" w:type="dxa"/>
            <w:vAlign w:val="bottom"/>
          </w:tcPr>
          <w:p>
            <w:pPr>
              <w:spacing w:after="0"/>
              <w:rPr>
                <w:sz w:val="13"/>
                <w:szCs w:val="13"/>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34.8</w:t>
            </w:r>
          </w:p>
        </w:tc>
        <w:tc>
          <w:tcPr>
            <w:tcW w:w="320" w:type="dxa"/>
            <w:vAlign w:val="bottom"/>
          </w:tcPr>
          <w:p>
            <w:pPr>
              <w:spacing w:after="0"/>
              <w:rPr>
                <w:sz w:val="13"/>
                <w:szCs w:val="13"/>
                <w:color w:val="auto"/>
              </w:rPr>
            </w:pP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34.8</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60.6</w:t>
            </w:r>
          </w:p>
        </w:tc>
        <w:tc>
          <w:tcPr>
            <w:tcW w:w="320" w:type="dxa"/>
            <w:vAlign w:val="bottom"/>
          </w:tcPr>
          <w:p>
            <w:pPr>
              <w:spacing w:after="0"/>
              <w:rPr>
                <w:sz w:val="13"/>
                <w:szCs w:val="13"/>
                <w:color w:val="auto"/>
              </w:rPr>
            </w:pP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60.6</w:t>
            </w:r>
          </w:p>
        </w:tc>
        <w:tc>
          <w:tcPr>
            <w:tcW w:w="0" w:type="dxa"/>
            <w:vAlign w:val="bottom"/>
          </w:tcPr>
          <w:p>
            <w:pPr>
              <w:spacing w:after="0"/>
              <w:rPr>
                <w:sz w:val="1"/>
                <w:szCs w:val="1"/>
                <w:color w:val="auto"/>
              </w:rPr>
            </w:pPr>
          </w:p>
        </w:tc>
      </w:tr>
      <w:tr>
        <w:trPr>
          <w:trHeight w:val="35"/>
        </w:trPr>
        <w:tc>
          <w:tcPr>
            <w:tcW w:w="1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Total segment sales</w:t>
            </w:r>
          </w:p>
        </w:tc>
        <w:tc>
          <w:tcPr>
            <w:tcW w:w="16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256.6</w:t>
            </w:r>
          </w:p>
        </w:tc>
        <w:tc>
          <w:tcPr>
            <w:tcW w:w="28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38.2</w:t>
            </w:r>
          </w:p>
        </w:tc>
        <w:tc>
          <w:tcPr>
            <w:tcW w:w="320" w:type="dxa"/>
            <w:vAlign w:val="bottom"/>
            <w:tcBorders>
              <w:bottom w:val="single" w:sz="8" w:color="DBDBDB"/>
            </w:tcBorders>
            <w:shd w:val="clear" w:color="auto" w:fill="DBDBDB"/>
          </w:tcPr>
          <w:p>
            <w:pPr>
              <w:spacing w:after="0"/>
              <w:rPr>
                <w:sz w:val="14"/>
                <w:szCs w:val="14"/>
                <w:color w:val="auto"/>
              </w:rPr>
            </w:pPr>
          </w:p>
        </w:tc>
        <w:tc>
          <w:tcPr>
            <w:tcW w:w="86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1.4</w:t>
            </w:r>
          </w:p>
        </w:tc>
        <w:tc>
          <w:tcPr>
            <w:tcW w:w="420" w:type="dxa"/>
            <w:vAlign w:val="bottom"/>
            <w:tcBorders>
              <w:bottom w:val="single" w:sz="8" w:color="DBDBDB"/>
            </w:tcBorders>
            <w:shd w:val="clear" w:color="auto" w:fill="DBDBDB"/>
          </w:tcPr>
          <w:p>
            <w:pPr>
              <w:spacing w:after="0"/>
              <w:rPr>
                <w:sz w:val="14"/>
                <w:szCs w:val="14"/>
                <w:color w:val="auto"/>
              </w:rPr>
            </w:pPr>
          </w:p>
        </w:tc>
        <w:tc>
          <w:tcPr>
            <w:tcW w:w="66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296.2</w:t>
            </w:r>
          </w:p>
        </w:tc>
        <w:tc>
          <w:tcPr>
            <w:tcW w:w="26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308.9</w:t>
            </w:r>
          </w:p>
        </w:tc>
        <w:tc>
          <w:tcPr>
            <w:tcW w:w="3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64.6</w:t>
            </w:r>
          </w:p>
        </w:tc>
        <w:tc>
          <w:tcPr>
            <w:tcW w:w="32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0.3</w:t>
            </w:r>
          </w:p>
        </w:tc>
        <w:tc>
          <w:tcPr>
            <w:tcW w:w="460" w:type="dxa"/>
            <w:vAlign w:val="bottom"/>
            <w:tcBorders>
              <w:bottom w:val="single" w:sz="8" w:color="DBDBDB"/>
            </w:tcBorders>
            <w:shd w:val="clear" w:color="auto" w:fill="DBDBDB"/>
          </w:tcPr>
          <w:p>
            <w:pPr>
              <w:spacing w:after="0"/>
              <w:rPr>
                <w:sz w:val="14"/>
                <w:szCs w:val="14"/>
                <w:color w:val="auto"/>
              </w:rPr>
            </w:pPr>
          </w:p>
        </w:tc>
        <w:tc>
          <w:tcPr>
            <w:tcW w:w="64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373.8</w:t>
            </w:r>
          </w:p>
        </w:tc>
        <w:tc>
          <w:tcPr>
            <w:tcW w:w="0" w:type="dxa"/>
            <w:vAlign w:val="bottom"/>
          </w:tcPr>
          <w:p>
            <w:pPr>
              <w:spacing w:after="0"/>
              <w:rPr>
                <w:sz w:val="1"/>
                <w:szCs w:val="1"/>
                <w:color w:val="auto"/>
              </w:rPr>
            </w:pPr>
          </w:p>
        </w:tc>
      </w:tr>
      <w:tr>
        <w:trPr>
          <w:trHeight w:val="153"/>
        </w:trPr>
        <w:tc>
          <w:tcPr>
            <w:tcW w:w="1900" w:type="dxa"/>
            <w:vAlign w:val="bottom"/>
          </w:tcPr>
          <w:p>
            <w:pPr>
              <w:ind w:left="20"/>
              <w:spacing w:after="0"/>
              <w:rPr>
                <w:sz w:val="20"/>
                <w:szCs w:val="20"/>
                <w:color w:val="auto"/>
              </w:rPr>
            </w:pPr>
            <w:r>
              <w:rPr>
                <w:rFonts w:ascii="Arial" w:cs="Arial" w:eastAsia="Arial" w:hAnsi="Arial"/>
                <w:sz w:val="11"/>
                <w:szCs w:val="11"/>
                <w:color w:val="auto"/>
              </w:rPr>
              <w:t>Intercompany eliminations</w:t>
            </w:r>
          </w:p>
        </w:tc>
        <w:tc>
          <w:tcPr>
            <w:tcW w:w="160" w:type="dxa"/>
            <w:vAlign w:val="bottom"/>
          </w:tcPr>
          <w:p>
            <w:pPr>
              <w:spacing w:after="0"/>
              <w:rPr>
                <w:sz w:val="13"/>
                <w:szCs w:val="13"/>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(34.8)</w:t>
            </w:r>
          </w:p>
        </w:tc>
        <w:tc>
          <w:tcPr>
            <w:tcW w:w="320" w:type="dxa"/>
            <w:vAlign w:val="bottom"/>
          </w:tcPr>
          <w:p>
            <w:pPr>
              <w:spacing w:after="0"/>
              <w:rPr>
                <w:sz w:val="13"/>
                <w:szCs w:val="13"/>
                <w:color w:val="auto"/>
              </w:rPr>
            </w:pP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(34.8)</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(60.6)</w:t>
            </w:r>
          </w:p>
        </w:tc>
        <w:tc>
          <w:tcPr>
            <w:tcW w:w="320" w:type="dxa"/>
            <w:vAlign w:val="bottom"/>
          </w:tcPr>
          <w:p>
            <w:pPr>
              <w:spacing w:after="0"/>
              <w:rPr>
                <w:sz w:val="13"/>
                <w:szCs w:val="13"/>
                <w:color w:val="auto"/>
              </w:rPr>
            </w:pP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(60.6)</w:t>
            </w:r>
          </w:p>
        </w:tc>
        <w:tc>
          <w:tcPr>
            <w:tcW w:w="0" w:type="dxa"/>
            <w:vAlign w:val="bottom"/>
          </w:tcPr>
          <w:p>
            <w:pPr>
              <w:spacing w:after="0"/>
              <w:rPr>
                <w:sz w:val="1"/>
                <w:szCs w:val="1"/>
                <w:color w:val="auto"/>
              </w:rPr>
            </w:pPr>
          </w:p>
        </w:tc>
      </w:tr>
      <w:tr>
        <w:trPr>
          <w:trHeight w:val="35"/>
        </w:trPr>
        <w:tc>
          <w:tcPr>
            <w:tcW w:w="1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Total net sales</w:t>
            </w:r>
          </w:p>
        </w:tc>
        <w:tc>
          <w:tcPr>
            <w:tcW w:w="16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256.6</w:t>
            </w:r>
          </w:p>
        </w:tc>
        <w:tc>
          <w:tcPr>
            <w:tcW w:w="2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3.4</w:t>
            </w:r>
          </w:p>
        </w:tc>
        <w:tc>
          <w:tcPr>
            <w:tcW w:w="32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1.4</w:t>
            </w:r>
          </w:p>
        </w:tc>
        <w:tc>
          <w:tcPr>
            <w:tcW w:w="420" w:type="dxa"/>
            <w:vAlign w:val="bottom"/>
            <w:tcBorders>
              <w:bottom w:val="single" w:sz="8" w:color="DBDBDB"/>
            </w:tcBorders>
            <w:shd w:val="clear" w:color="auto" w:fill="DBDBDB"/>
          </w:tcPr>
          <w:p>
            <w:pPr>
              <w:jc w:val="right"/>
              <w:ind w:right="22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261.4</w:t>
            </w:r>
          </w:p>
        </w:tc>
        <w:tc>
          <w:tcPr>
            <w:tcW w:w="26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308.9</w:t>
            </w:r>
          </w:p>
        </w:tc>
        <w:tc>
          <w:tcPr>
            <w:tcW w:w="30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4.0</w:t>
            </w:r>
          </w:p>
        </w:tc>
        <w:tc>
          <w:tcPr>
            <w:tcW w:w="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0.3</w:t>
            </w:r>
          </w:p>
        </w:tc>
        <w:tc>
          <w:tcPr>
            <w:tcW w:w="460" w:type="dxa"/>
            <w:vAlign w:val="bottom"/>
            <w:tcBorders>
              <w:bottom w:val="single" w:sz="8" w:color="DBDBDB"/>
            </w:tcBorders>
            <w:shd w:val="clear" w:color="auto" w:fill="DBDBDB"/>
          </w:tcPr>
          <w:p>
            <w:pPr>
              <w:jc w:val="right"/>
              <w:ind w:right="24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313.2</w:t>
            </w:r>
          </w:p>
        </w:tc>
        <w:tc>
          <w:tcPr>
            <w:tcW w:w="0" w:type="dxa"/>
            <w:vAlign w:val="bottom"/>
          </w:tcPr>
          <w:p>
            <w:pPr>
              <w:spacing w:after="0"/>
              <w:rPr>
                <w:sz w:val="1"/>
                <w:szCs w:val="1"/>
                <w:color w:val="auto"/>
              </w:rPr>
            </w:pPr>
          </w:p>
        </w:tc>
      </w:tr>
      <w:tr>
        <w:trPr>
          <w:trHeight w:val="126"/>
        </w:trPr>
        <w:tc>
          <w:tcPr>
            <w:tcW w:w="19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0" w:type="dxa"/>
            <w:vAlign w:val="bottom"/>
            <w:tcBorders>
              <w:top w:val="single" w:sz="8" w:color="auto"/>
            </w:tcBorders>
            <w:gridSpan w:val="4"/>
          </w:tcPr>
          <w:p>
            <w:pPr>
              <w:jc w:val="right"/>
              <w:ind w:right="646"/>
              <w:spacing w:after="0"/>
              <w:rPr>
                <w:sz w:val="20"/>
                <w:szCs w:val="20"/>
                <w:color w:val="auto"/>
              </w:rPr>
            </w:pPr>
            <w:r>
              <w:rPr>
                <w:rFonts w:ascii="Arial" w:cs="Arial" w:eastAsia="Arial" w:hAnsi="Arial"/>
                <w:sz w:val="11"/>
                <w:szCs w:val="11"/>
                <w:b w:val="1"/>
                <w:bCs w:val="1"/>
                <w:color w:val="auto"/>
              </w:rPr>
              <w:t>Nine Months Ended</w:t>
            </w: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3"/>
          </w:tcPr>
          <w:p>
            <w:pPr>
              <w:jc w:val="right"/>
              <w:ind w:right="52"/>
              <w:spacing w:after="0"/>
              <w:rPr>
                <w:sz w:val="20"/>
                <w:szCs w:val="20"/>
                <w:color w:val="auto"/>
              </w:rPr>
            </w:pPr>
            <w:r>
              <w:rPr>
                <w:rFonts w:ascii="Arial" w:cs="Arial" w:eastAsia="Arial" w:hAnsi="Arial"/>
                <w:sz w:val="11"/>
                <w:szCs w:val="11"/>
                <w:b w:val="1"/>
                <w:bCs w:val="1"/>
                <w:color w:val="auto"/>
              </w:rPr>
              <w:t>July 31,</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ind w:right="146"/>
              <w:spacing w:after="0"/>
              <w:rPr>
                <w:sz w:val="20"/>
                <w:szCs w:val="20"/>
                <w:color w:val="auto"/>
              </w:rPr>
            </w:pPr>
            <w:r>
              <w:rPr>
                <w:rFonts w:ascii="Arial" w:cs="Arial" w:eastAsia="Arial" w:hAnsi="Arial"/>
                <w:sz w:val="11"/>
                <w:szCs w:val="11"/>
                <w:b w:val="1"/>
                <w:bCs w:val="1"/>
                <w:color w:val="auto"/>
              </w:rPr>
              <w:t>2023</w:t>
            </w: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9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Third party sales</w:t>
            </w:r>
          </w:p>
        </w:tc>
        <w:tc>
          <w:tcPr>
            <w:tcW w:w="16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653.7</w:t>
            </w:r>
          </w:p>
        </w:tc>
        <w:tc>
          <w:tcPr>
            <w:tcW w:w="2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9.4</w:t>
            </w:r>
          </w:p>
        </w:tc>
        <w:tc>
          <w:tcPr>
            <w:tcW w:w="32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32.9</w:t>
            </w:r>
          </w:p>
        </w:tc>
        <w:tc>
          <w:tcPr>
            <w:tcW w:w="420" w:type="dxa"/>
            <w:vAlign w:val="bottom"/>
            <w:tcBorders>
              <w:bottom w:val="single" w:sz="8" w:color="DBDBDB"/>
            </w:tcBorders>
            <w:shd w:val="clear" w:color="auto" w:fill="DBDBDB"/>
          </w:tcPr>
          <w:p>
            <w:pPr>
              <w:jc w:val="right"/>
              <w:ind w:right="22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696.0</w:t>
            </w:r>
          </w:p>
        </w:tc>
        <w:tc>
          <w:tcPr>
            <w:tcW w:w="26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794.9</w:t>
            </w:r>
          </w:p>
        </w:tc>
        <w:tc>
          <w:tcPr>
            <w:tcW w:w="30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12.7</w:t>
            </w:r>
          </w:p>
        </w:tc>
        <w:tc>
          <w:tcPr>
            <w:tcW w:w="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0.3</w:t>
            </w:r>
          </w:p>
        </w:tc>
        <w:tc>
          <w:tcPr>
            <w:tcW w:w="460" w:type="dxa"/>
            <w:vAlign w:val="bottom"/>
            <w:tcBorders>
              <w:bottom w:val="single" w:sz="8" w:color="DBDBDB"/>
            </w:tcBorders>
            <w:shd w:val="clear" w:color="auto" w:fill="DBDBDB"/>
          </w:tcPr>
          <w:p>
            <w:pPr>
              <w:jc w:val="right"/>
              <w:ind w:right="24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807.9</w:t>
            </w:r>
          </w:p>
        </w:tc>
        <w:tc>
          <w:tcPr>
            <w:tcW w:w="0" w:type="dxa"/>
            <w:vAlign w:val="bottom"/>
          </w:tcPr>
          <w:p>
            <w:pPr>
              <w:spacing w:after="0"/>
              <w:rPr>
                <w:sz w:val="1"/>
                <w:szCs w:val="1"/>
                <w:color w:val="auto"/>
              </w:rPr>
            </w:pPr>
          </w:p>
        </w:tc>
      </w:tr>
      <w:tr>
        <w:trPr>
          <w:trHeight w:val="153"/>
        </w:trPr>
        <w:tc>
          <w:tcPr>
            <w:tcW w:w="1900" w:type="dxa"/>
            <w:vAlign w:val="bottom"/>
          </w:tcPr>
          <w:p>
            <w:pPr>
              <w:ind w:left="20"/>
              <w:spacing w:after="0"/>
              <w:rPr>
                <w:sz w:val="20"/>
                <w:szCs w:val="20"/>
                <w:color w:val="auto"/>
              </w:rPr>
            </w:pPr>
            <w:r>
              <w:rPr>
                <w:rFonts w:ascii="Arial" w:cs="Arial" w:eastAsia="Arial" w:hAnsi="Arial"/>
                <w:sz w:val="11"/>
                <w:szCs w:val="11"/>
                <w:color w:val="auto"/>
              </w:rPr>
              <w:t>Affiliated sales</w:t>
            </w:r>
          </w:p>
        </w:tc>
        <w:tc>
          <w:tcPr>
            <w:tcW w:w="160" w:type="dxa"/>
            <w:vAlign w:val="bottom"/>
          </w:tcPr>
          <w:p>
            <w:pPr>
              <w:spacing w:after="0"/>
              <w:rPr>
                <w:sz w:val="13"/>
                <w:szCs w:val="13"/>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40.5</w:t>
            </w:r>
          </w:p>
        </w:tc>
        <w:tc>
          <w:tcPr>
            <w:tcW w:w="320" w:type="dxa"/>
            <w:vAlign w:val="bottom"/>
          </w:tcPr>
          <w:p>
            <w:pPr>
              <w:spacing w:after="0"/>
              <w:rPr>
                <w:sz w:val="13"/>
                <w:szCs w:val="13"/>
                <w:color w:val="auto"/>
              </w:rPr>
            </w:pP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40.5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62.2</w:t>
            </w:r>
          </w:p>
        </w:tc>
        <w:tc>
          <w:tcPr>
            <w:tcW w:w="320" w:type="dxa"/>
            <w:vAlign w:val="bottom"/>
          </w:tcPr>
          <w:p>
            <w:pPr>
              <w:spacing w:after="0"/>
              <w:rPr>
                <w:sz w:val="13"/>
                <w:szCs w:val="13"/>
                <w:color w:val="auto"/>
              </w:rPr>
            </w:pP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62.2</w:t>
            </w:r>
          </w:p>
        </w:tc>
        <w:tc>
          <w:tcPr>
            <w:tcW w:w="0" w:type="dxa"/>
            <w:vAlign w:val="bottom"/>
          </w:tcPr>
          <w:p>
            <w:pPr>
              <w:spacing w:after="0"/>
              <w:rPr>
                <w:sz w:val="1"/>
                <w:szCs w:val="1"/>
                <w:color w:val="auto"/>
              </w:rPr>
            </w:pPr>
          </w:p>
        </w:tc>
      </w:tr>
      <w:tr>
        <w:trPr>
          <w:trHeight w:val="35"/>
        </w:trPr>
        <w:tc>
          <w:tcPr>
            <w:tcW w:w="1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Total segment sales</w:t>
            </w:r>
          </w:p>
        </w:tc>
        <w:tc>
          <w:tcPr>
            <w:tcW w:w="16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653.7</w:t>
            </w:r>
          </w:p>
        </w:tc>
        <w:tc>
          <w:tcPr>
            <w:tcW w:w="28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49.9</w:t>
            </w:r>
          </w:p>
        </w:tc>
        <w:tc>
          <w:tcPr>
            <w:tcW w:w="320" w:type="dxa"/>
            <w:vAlign w:val="bottom"/>
            <w:tcBorders>
              <w:bottom w:val="single" w:sz="8" w:color="DBDBDB"/>
            </w:tcBorders>
            <w:shd w:val="clear" w:color="auto" w:fill="DBDBDB"/>
          </w:tcPr>
          <w:p>
            <w:pPr>
              <w:spacing w:after="0"/>
              <w:rPr>
                <w:sz w:val="14"/>
                <w:szCs w:val="14"/>
                <w:color w:val="auto"/>
              </w:rPr>
            </w:pPr>
          </w:p>
        </w:tc>
        <w:tc>
          <w:tcPr>
            <w:tcW w:w="86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32.9</w:t>
            </w:r>
          </w:p>
        </w:tc>
        <w:tc>
          <w:tcPr>
            <w:tcW w:w="420" w:type="dxa"/>
            <w:vAlign w:val="bottom"/>
            <w:tcBorders>
              <w:bottom w:val="single" w:sz="8" w:color="DBDBDB"/>
            </w:tcBorders>
            <w:shd w:val="clear" w:color="auto" w:fill="DBDBDB"/>
          </w:tcPr>
          <w:p>
            <w:pPr>
              <w:spacing w:after="0"/>
              <w:rPr>
                <w:sz w:val="14"/>
                <w:szCs w:val="14"/>
                <w:color w:val="auto"/>
              </w:rPr>
            </w:pPr>
          </w:p>
        </w:tc>
        <w:tc>
          <w:tcPr>
            <w:tcW w:w="66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736.5</w:t>
            </w:r>
          </w:p>
        </w:tc>
        <w:tc>
          <w:tcPr>
            <w:tcW w:w="26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794.9</w:t>
            </w:r>
          </w:p>
        </w:tc>
        <w:tc>
          <w:tcPr>
            <w:tcW w:w="3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74.9</w:t>
            </w:r>
          </w:p>
        </w:tc>
        <w:tc>
          <w:tcPr>
            <w:tcW w:w="32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0.3</w:t>
            </w:r>
          </w:p>
        </w:tc>
        <w:tc>
          <w:tcPr>
            <w:tcW w:w="460" w:type="dxa"/>
            <w:vAlign w:val="bottom"/>
            <w:tcBorders>
              <w:bottom w:val="single" w:sz="8" w:color="DBDBDB"/>
            </w:tcBorders>
            <w:shd w:val="clear" w:color="auto" w:fill="DBDBDB"/>
          </w:tcPr>
          <w:p>
            <w:pPr>
              <w:spacing w:after="0"/>
              <w:rPr>
                <w:sz w:val="14"/>
                <w:szCs w:val="14"/>
                <w:color w:val="auto"/>
              </w:rPr>
            </w:pPr>
          </w:p>
        </w:tc>
        <w:tc>
          <w:tcPr>
            <w:tcW w:w="64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870.1</w:t>
            </w:r>
          </w:p>
        </w:tc>
        <w:tc>
          <w:tcPr>
            <w:tcW w:w="0" w:type="dxa"/>
            <w:vAlign w:val="bottom"/>
          </w:tcPr>
          <w:p>
            <w:pPr>
              <w:spacing w:after="0"/>
              <w:rPr>
                <w:sz w:val="1"/>
                <w:szCs w:val="1"/>
                <w:color w:val="auto"/>
              </w:rPr>
            </w:pPr>
          </w:p>
        </w:tc>
      </w:tr>
      <w:tr>
        <w:trPr>
          <w:trHeight w:val="153"/>
        </w:trPr>
        <w:tc>
          <w:tcPr>
            <w:tcW w:w="1900" w:type="dxa"/>
            <w:vAlign w:val="bottom"/>
          </w:tcPr>
          <w:p>
            <w:pPr>
              <w:ind w:left="20"/>
              <w:spacing w:after="0"/>
              <w:rPr>
                <w:sz w:val="20"/>
                <w:szCs w:val="20"/>
                <w:color w:val="auto"/>
              </w:rPr>
            </w:pPr>
            <w:r>
              <w:rPr>
                <w:rFonts w:ascii="Arial" w:cs="Arial" w:eastAsia="Arial" w:hAnsi="Arial"/>
                <w:sz w:val="11"/>
                <w:szCs w:val="11"/>
                <w:color w:val="auto"/>
              </w:rPr>
              <w:t>Intercompany eliminations</w:t>
            </w:r>
          </w:p>
        </w:tc>
        <w:tc>
          <w:tcPr>
            <w:tcW w:w="160" w:type="dxa"/>
            <w:vAlign w:val="bottom"/>
          </w:tcPr>
          <w:p>
            <w:pPr>
              <w:spacing w:after="0"/>
              <w:rPr>
                <w:sz w:val="13"/>
                <w:szCs w:val="13"/>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(40.5)</w:t>
            </w:r>
          </w:p>
        </w:tc>
        <w:tc>
          <w:tcPr>
            <w:tcW w:w="320" w:type="dxa"/>
            <w:vAlign w:val="bottom"/>
          </w:tcPr>
          <w:p>
            <w:pPr>
              <w:spacing w:after="0"/>
              <w:rPr>
                <w:sz w:val="13"/>
                <w:szCs w:val="13"/>
                <w:color w:val="auto"/>
              </w:rPr>
            </w:pP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(40.5)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(62.2)</w:t>
            </w:r>
          </w:p>
        </w:tc>
        <w:tc>
          <w:tcPr>
            <w:tcW w:w="320" w:type="dxa"/>
            <w:vAlign w:val="bottom"/>
          </w:tcPr>
          <w:p>
            <w:pPr>
              <w:spacing w:after="0"/>
              <w:rPr>
                <w:sz w:val="13"/>
                <w:szCs w:val="13"/>
                <w:color w:val="auto"/>
              </w:rPr>
            </w:pP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(62.2)</w:t>
            </w:r>
          </w:p>
        </w:tc>
        <w:tc>
          <w:tcPr>
            <w:tcW w:w="0" w:type="dxa"/>
            <w:vAlign w:val="bottom"/>
          </w:tcPr>
          <w:p>
            <w:pPr>
              <w:spacing w:after="0"/>
              <w:rPr>
                <w:sz w:val="1"/>
                <w:szCs w:val="1"/>
                <w:color w:val="auto"/>
              </w:rPr>
            </w:pPr>
          </w:p>
        </w:tc>
      </w:tr>
      <w:tr>
        <w:trPr>
          <w:trHeight w:val="35"/>
        </w:trPr>
        <w:tc>
          <w:tcPr>
            <w:tcW w:w="1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Total net sales</w:t>
            </w:r>
          </w:p>
        </w:tc>
        <w:tc>
          <w:tcPr>
            <w:tcW w:w="16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653.7</w:t>
            </w:r>
          </w:p>
        </w:tc>
        <w:tc>
          <w:tcPr>
            <w:tcW w:w="2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9.4</w:t>
            </w:r>
          </w:p>
        </w:tc>
        <w:tc>
          <w:tcPr>
            <w:tcW w:w="32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32.9</w:t>
            </w:r>
          </w:p>
        </w:tc>
        <w:tc>
          <w:tcPr>
            <w:tcW w:w="420" w:type="dxa"/>
            <w:vAlign w:val="bottom"/>
            <w:tcBorders>
              <w:bottom w:val="single" w:sz="8" w:color="DBDBDB"/>
            </w:tcBorders>
            <w:shd w:val="clear" w:color="auto" w:fill="DBDBDB"/>
          </w:tcPr>
          <w:p>
            <w:pPr>
              <w:jc w:val="right"/>
              <w:ind w:right="22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696.0</w:t>
            </w:r>
          </w:p>
        </w:tc>
        <w:tc>
          <w:tcPr>
            <w:tcW w:w="26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794.9</w:t>
            </w:r>
          </w:p>
        </w:tc>
        <w:tc>
          <w:tcPr>
            <w:tcW w:w="30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12.7</w:t>
            </w:r>
          </w:p>
        </w:tc>
        <w:tc>
          <w:tcPr>
            <w:tcW w:w="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0.3</w:t>
            </w:r>
          </w:p>
        </w:tc>
        <w:tc>
          <w:tcPr>
            <w:tcW w:w="460" w:type="dxa"/>
            <w:vAlign w:val="bottom"/>
            <w:tcBorders>
              <w:bottom w:val="single" w:sz="8" w:color="DBDBDB"/>
            </w:tcBorders>
            <w:shd w:val="clear" w:color="auto" w:fill="DBDBDB"/>
          </w:tcPr>
          <w:p>
            <w:pPr>
              <w:jc w:val="right"/>
              <w:ind w:right="24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807.9</w:t>
            </w: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Supplemental sales information is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8"/>
        </w:trPr>
        <w:tc>
          <w:tcPr>
            <w:tcW w:w="37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July 31,</w:t>
            </w: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July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r>
      <w:tr>
        <w:trPr>
          <w:trHeight w:val="208"/>
        </w:trPr>
        <w:tc>
          <w:tcPr>
            <w:tcW w:w="3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i w:val="1"/>
                <w:iCs w:val="1"/>
                <w:color w:val="auto"/>
              </w:rPr>
              <w:t>By type</w:t>
            </w:r>
          </w:p>
        </w:tc>
        <w:tc>
          <w:tcPr>
            <w:tcW w:w="56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3720" w:type="dxa"/>
            <w:vAlign w:val="bottom"/>
          </w:tcPr>
          <w:p>
            <w:pPr>
              <w:ind w:left="240"/>
              <w:spacing w:after="0"/>
              <w:rPr>
                <w:sz w:val="20"/>
                <w:szCs w:val="20"/>
                <w:color w:val="auto"/>
              </w:rPr>
            </w:pPr>
            <w:r>
              <w:rPr>
                <w:rFonts w:ascii="Arial" w:cs="Arial" w:eastAsia="Arial" w:hAnsi="Arial"/>
                <w:sz w:val="14"/>
                <w:szCs w:val="14"/>
                <w:color w:val="auto"/>
              </w:rPr>
              <w:t>Avocado</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249.2</w:t>
            </w:r>
          </w:p>
        </w:tc>
        <w:tc>
          <w:tcPr>
            <w:tcW w:w="102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303.9</w:t>
            </w:r>
          </w:p>
        </w:tc>
        <w:tc>
          <w:tcPr>
            <w:tcW w:w="260" w:type="dxa"/>
            <w:vAlign w:val="bottom"/>
          </w:tcPr>
          <w:p>
            <w:pPr>
              <w:spacing w:after="0"/>
              <w:rPr>
                <w:sz w:val="17"/>
                <w:szCs w:val="17"/>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626.1</w:t>
            </w:r>
          </w:p>
        </w:tc>
        <w:tc>
          <w:tcPr>
            <w:tcW w:w="10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781.5</w:t>
            </w:r>
          </w:p>
        </w:tc>
        <w:tc>
          <w:tcPr>
            <w:tcW w:w="120" w:type="dxa"/>
            <w:vAlign w:val="bottom"/>
          </w:tcPr>
          <w:p>
            <w:pPr>
              <w:spacing w:after="0"/>
              <w:rPr>
                <w:sz w:val="17"/>
                <w:szCs w:val="17"/>
                <w:color w:val="auto"/>
              </w:rPr>
            </w:pPr>
          </w:p>
        </w:tc>
      </w:tr>
      <w:tr>
        <w:trPr>
          <w:trHeight w:val="25"/>
        </w:trPr>
        <w:tc>
          <w:tcPr>
            <w:tcW w:w="3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8"/>
        </w:trPr>
        <w:tc>
          <w:tcPr>
            <w:tcW w:w="37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Blueberry</w:t>
            </w:r>
          </w:p>
        </w:tc>
        <w:tc>
          <w:tcPr>
            <w:tcW w:w="56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1.4</w:t>
            </w:r>
          </w:p>
        </w:tc>
        <w:tc>
          <w:tcPr>
            <w:tcW w:w="102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0.3</w:t>
            </w: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32.9</w:t>
            </w:r>
          </w:p>
        </w:tc>
        <w:tc>
          <w:tcPr>
            <w:tcW w:w="10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Pr>
          <w:p>
            <w:pPr>
              <w:jc w:val="right"/>
              <w:spacing w:after="0"/>
              <w:rPr>
                <w:sz w:val="20"/>
                <w:szCs w:val="20"/>
                <w:color w:val="auto"/>
              </w:rPr>
            </w:pPr>
            <w:r>
              <w:rPr>
                <w:rFonts w:ascii="Arial" w:cs="Arial" w:eastAsia="Arial" w:hAnsi="Arial"/>
                <w:sz w:val="9"/>
                <w:szCs w:val="9"/>
                <w:color w:val="auto"/>
                <w:w w:val="90"/>
              </w:rPr>
              <w:t>(1)</w:t>
            </w:r>
          </w:p>
        </w:tc>
      </w:tr>
      <w:tr>
        <w:trPr>
          <w:trHeight w:val="203"/>
        </w:trPr>
        <w:tc>
          <w:tcPr>
            <w:tcW w:w="3720" w:type="dxa"/>
            <w:vAlign w:val="bottom"/>
          </w:tcPr>
          <w:p>
            <w:pPr>
              <w:ind w:left="240"/>
              <w:spacing w:after="0"/>
              <w:rPr>
                <w:sz w:val="20"/>
                <w:szCs w:val="20"/>
                <w:color w:val="auto"/>
              </w:rPr>
            </w:pPr>
            <w:r>
              <w:rPr>
                <w:rFonts w:ascii="Arial" w:cs="Arial" w:eastAsia="Arial" w:hAnsi="Arial"/>
                <w:sz w:val="14"/>
                <w:szCs w:val="14"/>
                <w:color w:val="auto"/>
              </w:rPr>
              <w:t>Mango</w:t>
            </w:r>
          </w:p>
        </w:tc>
        <w:tc>
          <w:tcPr>
            <w:tcW w:w="56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0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27.2</w:t>
            </w:r>
          </w:p>
        </w:tc>
        <w:tc>
          <w:tcPr>
            <w:tcW w:w="10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7"/>
                <w:szCs w:val="17"/>
                <w:color w:val="auto"/>
              </w:rPr>
            </w:pPr>
          </w:p>
        </w:tc>
      </w:tr>
      <w:tr>
        <w:trPr>
          <w:trHeight w:val="25"/>
        </w:trPr>
        <w:tc>
          <w:tcPr>
            <w:tcW w:w="3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3"/>
        </w:trPr>
        <w:tc>
          <w:tcPr>
            <w:tcW w:w="37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Other</w:t>
            </w:r>
          </w:p>
        </w:tc>
        <w:tc>
          <w:tcPr>
            <w:tcW w:w="56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3.9</w:t>
            </w:r>
          </w:p>
        </w:tc>
        <w:tc>
          <w:tcPr>
            <w:tcW w:w="102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5.5</w:t>
            </w:r>
          </w:p>
        </w:tc>
        <w:tc>
          <w:tcPr>
            <w:tcW w:w="260" w:type="dxa"/>
            <w:vAlign w:val="bottom"/>
            <w:tcBorders>
              <w:bottom w:val="single" w:sz="8" w:color="DBDBDB"/>
            </w:tcBorders>
            <w:shd w:val="clear" w:color="auto" w:fill="DBDBDB"/>
          </w:tcPr>
          <w:p>
            <w:pPr>
              <w:spacing w:after="0"/>
              <w:rPr>
                <w:sz w:val="19"/>
                <w:szCs w:val="19"/>
                <w:color w:val="auto"/>
              </w:rPr>
            </w:pPr>
          </w:p>
        </w:tc>
        <w:tc>
          <w:tcPr>
            <w:tcW w:w="580" w:type="dxa"/>
            <w:vAlign w:val="bottom"/>
            <w:tcBorders>
              <w:bottom w:val="single" w:sz="8" w:color="DBDBDB"/>
            </w:tcBorders>
            <w:shd w:val="clear" w:color="auto" w:fill="DBDBDB"/>
          </w:tcPr>
          <w:p>
            <w:pPr>
              <w:spacing w:after="0"/>
              <w:rPr>
                <w:sz w:val="19"/>
                <w:szCs w:val="19"/>
                <w:color w:val="auto"/>
              </w:rPr>
            </w:pPr>
          </w:p>
        </w:tc>
        <w:tc>
          <w:tcPr>
            <w:tcW w:w="11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9.8</w:t>
            </w:r>
          </w:p>
        </w:tc>
        <w:tc>
          <w:tcPr>
            <w:tcW w:w="102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9"/>
                <w:szCs w:val="19"/>
                <w:color w:val="auto"/>
              </w:rPr>
            </w:pPr>
          </w:p>
        </w:tc>
      </w:tr>
      <w:tr>
        <w:trPr>
          <w:trHeight w:val="197"/>
        </w:trPr>
        <w:tc>
          <w:tcPr>
            <w:tcW w:w="37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5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261.4</w:t>
            </w:r>
          </w:p>
        </w:tc>
        <w:tc>
          <w:tcPr>
            <w:tcW w:w="1020" w:type="dxa"/>
            <w:vAlign w:val="bottom"/>
            <w:tcBorders>
              <w:top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313.2</w:t>
            </w: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696.0</w:t>
            </w:r>
          </w:p>
        </w:tc>
        <w:tc>
          <w:tcPr>
            <w:tcW w:w="1020" w:type="dxa"/>
            <w:vAlign w:val="bottom"/>
            <w:tcBorders>
              <w:top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807.9</w:t>
            </w:r>
          </w:p>
        </w:tc>
        <w:tc>
          <w:tcPr>
            <w:tcW w:w="120" w:type="dxa"/>
            <w:vAlign w:val="bottom"/>
          </w:tcPr>
          <w:p>
            <w:pPr>
              <w:spacing w:after="0"/>
              <w:rPr>
                <w:sz w:val="17"/>
                <w:szCs w:val="17"/>
                <w:color w:val="auto"/>
              </w:rPr>
            </w:pPr>
          </w:p>
        </w:tc>
      </w:tr>
      <w:tr>
        <w:trPr>
          <w:trHeight w:val="25"/>
        </w:trPr>
        <w:tc>
          <w:tcPr>
            <w:tcW w:w="3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8"/>
        </w:trPr>
        <w:tc>
          <w:tcPr>
            <w:tcW w:w="3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i w:val="1"/>
                <w:iCs w:val="1"/>
                <w:color w:val="auto"/>
              </w:rPr>
              <w:t>By customer location</w:t>
            </w:r>
          </w:p>
        </w:tc>
        <w:tc>
          <w:tcPr>
            <w:tcW w:w="56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3720" w:type="dxa"/>
            <w:vAlign w:val="bottom"/>
          </w:tcPr>
          <w:p>
            <w:pPr>
              <w:ind w:left="240"/>
              <w:spacing w:after="0"/>
              <w:rPr>
                <w:sz w:val="20"/>
                <w:szCs w:val="20"/>
                <w:color w:val="auto"/>
              </w:rPr>
            </w:pPr>
            <w:r>
              <w:rPr>
                <w:rFonts w:ascii="Arial" w:cs="Arial" w:eastAsia="Arial" w:hAnsi="Arial"/>
                <w:sz w:val="14"/>
                <w:szCs w:val="14"/>
                <w:color w:val="auto"/>
              </w:rPr>
              <w:t>United States</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202.4</w:t>
            </w:r>
          </w:p>
        </w:tc>
        <w:tc>
          <w:tcPr>
            <w:tcW w:w="102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264.4</w:t>
            </w:r>
          </w:p>
        </w:tc>
        <w:tc>
          <w:tcPr>
            <w:tcW w:w="260" w:type="dxa"/>
            <w:vAlign w:val="bottom"/>
          </w:tcPr>
          <w:p>
            <w:pPr>
              <w:spacing w:after="0"/>
              <w:rPr>
                <w:sz w:val="17"/>
                <w:szCs w:val="17"/>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560.3</w:t>
            </w:r>
          </w:p>
        </w:tc>
        <w:tc>
          <w:tcPr>
            <w:tcW w:w="10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678.0</w:t>
            </w:r>
          </w:p>
        </w:tc>
        <w:tc>
          <w:tcPr>
            <w:tcW w:w="120" w:type="dxa"/>
            <w:vAlign w:val="bottom"/>
          </w:tcPr>
          <w:p>
            <w:pPr>
              <w:spacing w:after="0"/>
              <w:rPr>
                <w:sz w:val="17"/>
                <w:szCs w:val="17"/>
                <w:color w:val="auto"/>
              </w:rPr>
            </w:pPr>
          </w:p>
        </w:tc>
      </w:tr>
      <w:tr>
        <w:trPr>
          <w:trHeight w:val="25"/>
        </w:trPr>
        <w:tc>
          <w:tcPr>
            <w:tcW w:w="3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3"/>
        </w:trPr>
        <w:tc>
          <w:tcPr>
            <w:tcW w:w="37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Rest of world</w:t>
            </w:r>
          </w:p>
        </w:tc>
        <w:tc>
          <w:tcPr>
            <w:tcW w:w="56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59.0</w:t>
            </w:r>
          </w:p>
        </w:tc>
        <w:tc>
          <w:tcPr>
            <w:tcW w:w="102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48.8</w:t>
            </w:r>
          </w:p>
        </w:tc>
        <w:tc>
          <w:tcPr>
            <w:tcW w:w="260" w:type="dxa"/>
            <w:vAlign w:val="bottom"/>
            <w:tcBorders>
              <w:bottom w:val="single" w:sz="8" w:color="DBDBDB"/>
            </w:tcBorders>
            <w:shd w:val="clear" w:color="auto" w:fill="DBDBDB"/>
          </w:tcPr>
          <w:p>
            <w:pPr>
              <w:spacing w:after="0"/>
              <w:rPr>
                <w:sz w:val="19"/>
                <w:szCs w:val="19"/>
                <w:color w:val="auto"/>
              </w:rPr>
            </w:pPr>
          </w:p>
        </w:tc>
        <w:tc>
          <w:tcPr>
            <w:tcW w:w="580" w:type="dxa"/>
            <w:vAlign w:val="bottom"/>
            <w:tcBorders>
              <w:bottom w:val="single" w:sz="8" w:color="DBDBDB"/>
            </w:tcBorders>
            <w:shd w:val="clear" w:color="auto" w:fill="DBDBDB"/>
          </w:tcPr>
          <w:p>
            <w:pPr>
              <w:spacing w:after="0"/>
              <w:rPr>
                <w:sz w:val="19"/>
                <w:szCs w:val="19"/>
                <w:color w:val="auto"/>
              </w:rPr>
            </w:pPr>
          </w:p>
        </w:tc>
        <w:tc>
          <w:tcPr>
            <w:tcW w:w="11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135.7</w:t>
            </w:r>
          </w:p>
        </w:tc>
        <w:tc>
          <w:tcPr>
            <w:tcW w:w="102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129.9</w:t>
            </w:r>
          </w:p>
        </w:tc>
        <w:tc>
          <w:tcPr>
            <w:tcW w:w="120" w:type="dxa"/>
            <w:vAlign w:val="bottom"/>
          </w:tcPr>
          <w:p>
            <w:pPr>
              <w:spacing w:after="0"/>
              <w:rPr>
                <w:sz w:val="19"/>
                <w:szCs w:val="19"/>
                <w:color w:val="auto"/>
              </w:rPr>
            </w:pPr>
          </w:p>
        </w:tc>
      </w:tr>
      <w:tr>
        <w:trPr>
          <w:trHeight w:val="197"/>
        </w:trPr>
        <w:tc>
          <w:tcPr>
            <w:tcW w:w="37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5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261.4</w:t>
            </w:r>
          </w:p>
        </w:tc>
        <w:tc>
          <w:tcPr>
            <w:tcW w:w="1020" w:type="dxa"/>
            <w:vAlign w:val="bottom"/>
            <w:tcBorders>
              <w:top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313.2</w:t>
            </w: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696.0</w:t>
            </w:r>
          </w:p>
        </w:tc>
        <w:tc>
          <w:tcPr>
            <w:tcW w:w="1020" w:type="dxa"/>
            <w:vAlign w:val="bottom"/>
            <w:tcBorders>
              <w:top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807.9</w:t>
            </w:r>
          </w:p>
        </w:tc>
        <w:tc>
          <w:tcPr>
            <w:tcW w:w="120" w:type="dxa"/>
            <w:vAlign w:val="bottom"/>
          </w:tcPr>
          <w:p>
            <w:pPr>
              <w:spacing w:after="0"/>
              <w:rPr>
                <w:sz w:val="17"/>
                <w:szCs w:val="17"/>
                <w:color w:val="auto"/>
              </w:rPr>
            </w:pPr>
          </w:p>
        </w:tc>
      </w:tr>
      <w:tr>
        <w:trPr>
          <w:trHeight w:val="25"/>
        </w:trPr>
        <w:tc>
          <w:tcPr>
            <w:tcW w:w="3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(1) Blueberry sales are generated entirely by our Blueberries segment and are therefore reported prospectively from May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73025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88" w:right="359" w:bottom="1440" w:gutter="0" w:footer="0" w:header="0"/>
        </w:sectPr>
      </w:pPr>
    </w:p>
    <w:bookmarkStart w:id="19" w:name="page20"/>
    <w:bookmarkEnd w:id="19"/>
    <w:p>
      <w:pPr>
        <w:jc w:val="center"/>
        <w:spacing w:after="0"/>
        <w:rPr>
          <w:sz w:val="20"/>
          <w:szCs w:val="20"/>
          <w:color w:val="auto"/>
        </w:rPr>
      </w:pPr>
      <w:r>
        <w:rPr>
          <w:rFonts w:ascii="Arial" w:cs="Arial" w:eastAsia="Arial" w:hAnsi="Arial"/>
          <w:sz w:val="21"/>
          <w:szCs w:val="21"/>
          <w:b w:val="1"/>
          <w:bCs w:val="1"/>
          <w:color w:val="auto"/>
        </w:rPr>
        <w:t>MISSION PRODUCE,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Adjusted EBITDA (as defined above) for each of our reportable segments was as follows: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5"/>
                <w:szCs w:val="15"/>
                <w:color w:val="auto"/>
              </w:rPr>
            </w:pPr>
          </w:p>
        </w:tc>
      </w:tr>
      <w:tr>
        <w:trPr>
          <w:trHeight w:val="208"/>
        </w:trPr>
        <w:tc>
          <w:tcPr>
            <w:tcW w:w="40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July 31,</w:t>
            </w:r>
          </w:p>
        </w:tc>
        <w:tc>
          <w:tcPr>
            <w:tcW w:w="7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July 31,</w:t>
            </w:r>
          </w:p>
        </w:tc>
        <w:tc>
          <w:tcPr>
            <w:tcW w:w="760" w:type="dxa"/>
            <w:vAlign w:val="bottom"/>
            <w:tcBorders>
              <w:bottom w:val="single" w:sz="8" w:color="auto"/>
            </w:tcBorders>
          </w:tcPr>
          <w:p>
            <w:pPr>
              <w:spacing w:after="0"/>
              <w:rPr>
                <w:sz w:val="18"/>
                <w:szCs w:val="18"/>
                <w:color w:val="auto"/>
              </w:rPr>
            </w:pPr>
          </w:p>
        </w:tc>
      </w:tr>
      <w:tr>
        <w:trPr>
          <w:trHeight w:val="222"/>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10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r>
      <w:tr>
        <w:trPr>
          <w:trHeight w:val="208"/>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Marketing and Distribution adjusted EBITDA</w:t>
            </w:r>
          </w:p>
        </w:tc>
        <w:tc>
          <w:tcPr>
            <w:tcW w:w="56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16.1</w:t>
            </w:r>
          </w:p>
        </w:tc>
        <w:tc>
          <w:tcPr>
            <w:tcW w:w="1000" w:type="dxa"/>
            <w:vAlign w:val="bottom"/>
            <w:tcBorders>
              <w:bottom w:val="single" w:sz="8" w:color="DBDBDB"/>
            </w:tcBorders>
            <w:shd w:val="clear" w:color="auto" w:fill="DBDBDB"/>
          </w:tcPr>
          <w:p>
            <w:pPr>
              <w:jc w:val="right"/>
              <w:ind w:right="7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15.5</w:t>
            </w: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29.3</w:t>
            </w:r>
          </w:p>
        </w:tc>
        <w:tc>
          <w:tcPr>
            <w:tcW w:w="980" w:type="dxa"/>
            <w:vAlign w:val="bottom"/>
            <w:tcBorders>
              <w:bottom w:val="single" w:sz="8" w:color="DBDBDB"/>
            </w:tcBorders>
            <w:shd w:val="clear" w:color="auto" w:fill="DBDBDB"/>
          </w:tcPr>
          <w:p>
            <w:pPr>
              <w:jc w:val="right"/>
              <w:ind w:right="7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19.5</w:t>
            </w: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International Farming adjusted EBITDA</w:t>
            </w:r>
          </w:p>
        </w:tc>
        <w:tc>
          <w:tcPr>
            <w:tcW w:w="5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4.9</w:t>
            </w:r>
          </w:p>
        </w:tc>
        <w:tc>
          <w:tcPr>
            <w:tcW w:w="10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9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5"/>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3"/>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Blueberries adjusted EBITDA</w:t>
            </w:r>
          </w:p>
        </w:tc>
        <w:tc>
          <w:tcPr>
            <w:tcW w:w="56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0.2</w:t>
            </w:r>
          </w:p>
        </w:tc>
        <w:tc>
          <w:tcPr>
            <w:tcW w:w="1000" w:type="dxa"/>
            <w:vAlign w:val="bottom"/>
            <w:tcBorders>
              <w:bottom w:val="single" w:sz="8" w:color="DBDBDB"/>
            </w:tcBorders>
            <w:shd w:val="clear" w:color="auto" w:fill="DBDBDB"/>
          </w:tcPr>
          <w:p>
            <w:pPr>
              <w:spacing w:after="0"/>
              <w:rPr>
                <w:sz w:val="19"/>
                <w:szCs w:val="19"/>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DBDBDB"/>
            </w:tcBorders>
            <w:shd w:val="clear" w:color="auto" w:fill="DBDBDB"/>
          </w:tcPr>
          <w:p>
            <w:pPr>
              <w:spacing w:after="0"/>
              <w:rPr>
                <w:sz w:val="19"/>
                <w:szCs w:val="19"/>
                <w:color w:val="auto"/>
              </w:rPr>
            </w:pPr>
          </w:p>
        </w:tc>
        <w:tc>
          <w:tcPr>
            <w:tcW w:w="58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(0.2)</w:t>
            </w:r>
          </w:p>
        </w:tc>
        <w:tc>
          <w:tcPr>
            <w:tcW w:w="98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w:t>
            </w:r>
          </w:p>
        </w:tc>
      </w:tr>
      <w:tr>
        <w:trPr>
          <w:trHeight w:val="197"/>
        </w:trPr>
        <w:tc>
          <w:tcPr>
            <w:tcW w:w="4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reportable segment adjusted EBITDA</w:t>
            </w:r>
          </w:p>
        </w:tc>
        <w:tc>
          <w:tcPr>
            <w:tcW w:w="5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21.2</w:t>
            </w:r>
          </w:p>
        </w:tc>
        <w:tc>
          <w:tcPr>
            <w:tcW w:w="10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31.1</w:t>
            </w:r>
          </w:p>
        </w:tc>
        <w:tc>
          <w:tcPr>
            <w:tcW w:w="980" w:type="dxa"/>
            <w:vAlign w:val="bottom"/>
            <w:tcBorders>
              <w:top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30.4</w:t>
            </w:r>
          </w:p>
        </w:tc>
      </w:tr>
      <w:tr>
        <w:trPr>
          <w:trHeight w:val="25"/>
        </w:trPr>
        <w:tc>
          <w:tcPr>
            <w:tcW w:w="4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(loss)</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6.2</w:t>
            </w: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17.9</w:t>
            </w:r>
          </w:p>
        </w:tc>
        <w:tc>
          <w:tcPr>
            <w:tcW w:w="26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(9.1)</w:t>
            </w:r>
          </w:p>
        </w:tc>
        <w:tc>
          <w:tcPr>
            <w:tcW w:w="9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6.9</w:t>
            </w: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5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10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8.3</w:t>
            </w:r>
          </w:p>
        </w:tc>
        <w:tc>
          <w:tcPr>
            <w:tcW w:w="9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5"/>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8"/>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Provision for income taxes</w:t>
            </w:r>
          </w:p>
        </w:tc>
        <w:tc>
          <w:tcPr>
            <w:tcW w:w="56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2.3</w:t>
            </w:r>
          </w:p>
        </w:tc>
        <w:tc>
          <w:tcPr>
            <w:tcW w:w="100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5.4</w:t>
            </w: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2.4</w:t>
            </w:r>
          </w:p>
        </w:tc>
        <w:tc>
          <w:tcPr>
            <w:tcW w:w="98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3.7</w:t>
            </w:r>
          </w:p>
        </w:tc>
      </w:tr>
      <w:tr>
        <w:trPr>
          <w:trHeight w:val="228"/>
        </w:trPr>
        <w:tc>
          <w:tcPr>
            <w:tcW w:w="4060" w:type="dxa"/>
            <w:vAlign w:val="bottom"/>
          </w:tcPr>
          <w:p>
            <w:pPr>
              <w:ind w:left="20"/>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(1)</w:t>
            </w:r>
          </w:p>
        </w:tc>
        <w:tc>
          <w:tcPr>
            <w:tcW w:w="560" w:type="dxa"/>
            <w:vAlign w:val="bottom"/>
          </w:tcPr>
          <w:p>
            <w:pPr>
              <w:spacing w:after="0"/>
              <w:rPr>
                <w:sz w:val="19"/>
                <w:szCs w:val="19"/>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7.6</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22.8</w:t>
            </w:r>
          </w:p>
        </w:tc>
        <w:tc>
          <w:tcPr>
            <w:tcW w:w="9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17.2</w:t>
            </w:r>
          </w:p>
        </w:tc>
      </w:tr>
      <w:tr>
        <w:trPr>
          <w:trHeight w:val="208"/>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56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(1.8)</w:t>
            </w:r>
          </w:p>
        </w:tc>
        <w:tc>
          <w:tcPr>
            <w:tcW w:w="100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(3.2)</w:t>
            </w:r>
          </w:p>
        </w:tc>
        <w:tc>
          <w:tcPr>
            <w:tcW w:w="98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(3.6)</w:t>
            </w: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5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0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0.9</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9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5"/>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8"/>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Asset impairment and disposals, net of insurance recoveries</w:t>
            </w:r>
          </w:p>
        </w:tc>
        <w:tc>
          <w:tcPr>
            <w:tcW w:w="56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0.4</w:t>
            </w:r>
          </w:p>
        </w:tc>
        <w:tc>
          <w:tcPr>
            <w:tcW w:w="100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1.2</w:t>
            </w:r>
          </w:p>
        </w:tc>
        <w:tc>
          <w:tcPr>
            <w:tcW w:w="98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w:t>
            </w: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Farming costs for nonproductive orchards</w:t>
            </w:r>
          </w:p>
        </w:tc>
        <w:tc>
          <w:tcPr>
            <w:tcW w:w="5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10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0.3</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9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5"/>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8"/>
        </w:trPr>
        <w:tc>
          <w:tcPr>
            <w:tcW w:w="4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ERP costs</w:t>
            </w:r>
            <w:r>
              <w:rPr>
                <w:rFonts w:ascii="Arial" w:cs="Arial" w:eastAsia="Arial" w:hAnsi="Arial"/>
                <w:sz w:val="18"/>
                <w:szCs w:val="18"/>
                <w:color w:val="auto"/>
                <w:vertAlign w:val="superscript"/>
              </w:rPr>
              <w:t>(2)</w:t>
            </w:r>
          </w:p>
        </w:tc>
        <w:tc>
          <w:tcPr>
            <w:tcW w:w="5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0.6</w:t>
            </w:r>
          </w:p>
        </w:tc>
        <w:tc>
          <w:tcPr>
            <w:tcW w:w="100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26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1.7</w:t>
            </w:r>
          </w:p>
        </w:tc>
        <w:tc>
          <w:tcPr>
            <w:tcW w:w="9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w:t>
            </w: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5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0.3</w:t>
            </w:r>
          </w:p>
        </w:tc>
        <w:tc>
          <w:tcPr>
            <w:tcW w:w="9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5"/>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6"/>
        </w:trPr>
        <w:tc>
          <w:tcPr>
            <w:tcW w:w="4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Amortization of inventory adjustment recognized from business</w:t>
            </w:r>
          </w:p>
        </w:tc>
        <w:tc>
          <w:tcPr>
            <w:tcW w:w="56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spacing w:after="0"/>
              <w:rPr>
                <w:sz w:val="17"/>
                <w:szCs w:val="17"/>
                <w:color w:val="auto"/>
              </w:rPr>
            </w:pPr>
          </w:p>
        </w:tc>
        <w:tc>
          <w:tcPr>
            <w:tcW w:w="980" w:type="dxa"/>
            <w:vAlign w:val="bottom"/>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58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0.7</w:t>
            </w:r>
          </w:p>
        </w:tc>
        <w:tc>
          <w:tcPr>
            <w:tcW w:w="98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0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rPr>
              <w:t>combination</w:t>
            </w:r>
          </w:p>
        </w:tc>
        <w:tc>
          <w:tcPr>
            <w:tcW w:w="56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spacing w:after="0"/>
              <w:rPr>
                <w:sz w:val="16"/>
                <w:szCs w:val="16"/>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Remeasurement gain on business combination with Moruga</w:t>
            </w:r>
          </w:p>
        </w:tc>
        <w:tc>
          <w:tcPr>
            <w:tcW w:w="5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5"/>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8"/>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expense (income)</w:t>
            </w:r>
          </w:p>
        </w:tc>
        <w:tc>
          <w:tcPr>
            <w:tcW w:w="56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1.1</w:t>
            </w:r>
          </w:p>
        </w:tc>
        <w:tc>
          <w:tcPr>
            <w:tcW w:w="100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1.3</w:t>
            </w:r>
          </w:p>
        </w:tc>
        <w:tc>
          <w:tcPr>
            <w:tcW w:w="98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(3.6)</w:t>
            </w:r>
          </w:p>
        </w:tc>
      </w:tr>
      <w:tr>
        <w:trPr>
          <w:trHeight w:val="228"/>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Noncontrolling interest</w:t>
            </w:r>
            <w:r>
              <w:rPr>
                <w:rFonts w:ascii="Arial" w:cs="Arial" w:eastAsia="Arial" w:hAnsi="Arial"/>
                <w:sz w:val="18"/>
                <w:szCs w:val="18"/>
                <w:color w:val="auto"/>
                <w:vertAlign w:val="superscript"/>
              </w:rPr>
              <w:t>(3)</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0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w:t>
            </w:r>
          </w:p>
        </w:tc>
        <w:tc>
          <w:tcPr>
            <w:tcW w:w="9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202"/>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adjusted EBITDA</w:t>
            </w:r>
          </w:p>
        </w:tc>
        <w:tc>
          <w:tcPr>
            <w:tcW w:w="56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21.2</w:t>
            </w:r>
          </w:p>
        </w:tc>
        <w:tc>
          <w:tcPr>
            <w:tcW w:w="1000" w:type="dxa"/>
            <w:vAlign w:val="bottom"/>
            <w:tcBorders>
              <w:bottom w:val="single" w:sz="8" w:color="DBDBDB"/>
            </w:tcBorders>
            <w:shd w:val="clear" w:color="auto" w:fill="DBDBDB"/>
          </w:tcPr>
          <w:p>
            <w:pPr>
              <w:jc w:val="right"/>
              <w:ind w:right="7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31.6</w:t>
            </w:r>
          </w:p>
        </w:tc>
        <w:tc>
          <w:tcPr>
            <w:tcW w:w="26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31.1</w:t>
            </w:r>
          </w:p>
        </w:tc>
        <w:tc>
          <w:tcPr>
            <w:tcW w:w="980" w:type="dxa"/>
            <w:vAlign w:val="bottom"/>
            <w:tcBorders>
              <w:bottom w:val="single" w:sz="8" w:color="DBDBDB"/>
            </w:tcBorders>
            <w:shd w:val="clear" w:color="auto" w:fill="DBDBDB"/>
          </w:tcPr>
          <w:p>
            <w:pPr>
              <w:jc w:val="right"/>
              <w:ind w:right="7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30.4</w:t>
            </w:r>
          </w:p>
        </w:tc>
      </w:tr>
      <w:tr>
        <w:trPr>
          <w:trHeight w:val="20"/>
        </w:trPr>
        <w:tc>
          <w:tcPr>
            <w:tcW w:w="4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20" w:lineRule="exact"/>
        <w:rPr>
          <w:sz w:val="20"/>
          <w:szCs w:val="20"/>
          <w:color w:val="auto"/>
        </w:rPr>
      </w:pPr>
    </w:p>
    <w:p>
      <w:pPr>
        <w:ind w:left="160" w:right="40" w:hanging="153"/>
        <w:spacing w:after="0" w:line="250" w:lineRule="auto"/>
        <w:tabs>
          <w:tab w:leader="none" w:pos="179"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depreciation and amortization of purchase accounting assets of $0.1 million and $1.8 million for the three and nine months ended July 31, 2023, respectively, and $0.4 million and $0.5 million for the three and nine months ended July 31, 2022, respectively.</w:t>
      </w:r>
    </w:p>
    <w:p>
      <w:pPr>
        <w:spacing w:after="0" w:line="24" w:lineRule="exact"/>
        <w:rPr>
          <w:rFonts w:ascii="Arial" w:cs="Arial" w:eastAsia="Arial" w:hAnsi="Arial"/>
          <w:sz w:val="13"/>
          <w:szCs w:val="13"/>
          <w:color w:val="auto"/>
        </w:rPr>
      </w:pPr>
    </w:p>
    <w:p>
      <w:pPr>
        <w:ind w:left="160" w:right="20" w:hanging="153"/>
        <w:spacing w:after="0" w:line="289" w:lineRule="auto"/>
        <w:tabs>
          <w:tab w:leader="none" w:pos="165"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Includes recognition of deferred implementation costs for both periods, and for the three and nine months ended July 31, 2022, non-recurring post-implementation process reengineering costs are also included.</w:t>
      </w:r>
    </w:p>
    <w:p>
      <w:pPr>
        <w:spacing w:after="0" w:line="210" w:lineRule="exact"/>
        <w:rPr>
          <w:rFonts w:ascii="Arial" w:cs="Arial" w:eastAsia="Arial" w:hAnsi="Arial"/>
          <w:sz w:val="11"/>
          <w:szCs w:val="11"/>
          <w:color w:val="auto"/>
        </w:rPr>
      </w:pPr>
    </w:p>
    <w:p>
      <w:pPr>
        <w:ind w:left="180" w:hanging="173"/>
        <w:spacing w:after="0"/>
        <w:tabs>
          <w:tab w:leader="none" w:pos="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Represents net loss attributable to noncontrolling interest plus the impact of non-GAAP adjustments, allocable to the noncontrolling owner based on their percentage of ownership interest.</w:t>
      </w:r>
    </w:p>
    <w:p>
      <w:pPr>
        <w:spacing w:after="0" w:line="253" w:lineRule="exact"/>
        <w:rPr>
          <w:sz w:val="20"/>
          <w:szCs w:val="20"/>
          <w:color w:val="auto"/>
        </w:rPr>
      </w:pPr>
    </w:p>
    <w:p>
      <w:pPr>
        <w:ind w:left="500" w:hanging="493"/>
        <w:spacing w:after="0"/>
        <w:tabs>
          <w:tab w:leader="none" w:pos="5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Subsequent Event</w:t>
      </w:r>
    </w:p>
    <w:p>
      <w:pPr>
        <w:spacing w:after="0" w:line="231" w:lineRule="exact"/>
        <w:rPr>
          <w:sz w:val="20"/>
          <w:szCs w:val="20"/>
          <w:color w:val="auto"/>
        </w:rPr>
      </w:pPr>
    </w:p>
    <w:p>
      <w:pPr>
        <w:ind w:right="20" w:firstLine="645"/>
        <w:spacing w:after="0" w:line="266" w:lineRule="auto"/>
        <w:rPr>
          <w:sz w:val="20"/>
          <w:szCs w:val="20"/>
          <w:color w:val="auto"/>
        </w:rPr>
      </w:pPr>
      <w:r>
        <w:rPr>
          <w:rFonts w:ascii="Arial" w:cs="Arial" w:eastAsia="Arial" w:hAnsi="Arial"/>
          <w:sz w:val="16"/>
          <w:szCs w:val="16"/>
          <w:color w:val="auto"/>
        </w:rPr>
        <w:t>On September 6, 2023, the Board of Directors approved a stock repurchase program, which permits the Company to repurchase up to $20 million of shares of the Company’s common stock over the next 36 months. The shares may be repurchased from time to time in open market or privately negotiated transactions in such quantities and at such prices as may be authorized by certain designated officers of the Company. No shares were repurchased following approval through September 11,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88" w:right="339" w:bottom="1440" w:gutter="0" w:footer="0" w:header="0"/>
        </w:sectPr>
      </w:pPr>
    </w:p>
    <w:bookmarkStart w:id="20" w:name="page21"/>
    <w:bookmarkEnd w:id="20"/>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auto"/>
        </w:rPr>
        <w:t>Item 2.</w:t>
      </w:r>
      <w:r>
        <w:rPr>
          <w:sz w:val="20"/>
          <w:szCs w:val="20"/>
          <w:color w:val="auto"/>
        </w:rPr>
        <w:tab/>
      </w:r>
      <w:r>
        <w:rPr>
          <w:rFonts w:ascii="Arial" w:cs="Arial" w:eastAsia="Arial" w:hAnsi="Arial"/>
          <w:sz w:val="21"/>
          <w:szCs w:val="21"/>
          <w:b w:val="1"/>
          <w:bCs w:val="1"/>
          <w:color w:val="auto"/>
        </w:rPr>
        <w:t>Management’s Discussion and Analysis of Financial Condition and Results of Operations</w:t>
      </w:r>
    </w:p>
    <w:p>
      <w:pPr>
        <w:spacing w:after="0" w:line="238" w:lineRule="exact"/>
        <w:rPr>
          <w:sz w:val="20"/>
          <w:szCs w:val="20"/>
          <w:color w:val="auto"/>
        </w:rPr>
      </w:pPr>
    </w:p>
    <w:p>
      <w:pPr>
        <w:ind w:right="200" w:firstLine="645"/>
        <w:spacing w:after="0" w:line="260" w:lineRule="auto"/>
        <w:rPr>
          <w:sz w:val="20"/>
          <w:szCs w:val="20"/>
          <w:color w:val="auto"/>
        </w:rPr>
      </w:pPr>
      <w:r>
        <w:rPr>
          <w:rFonts w:ascii="Arial" w:cs="Arial" w:eastAsia="Arial" w:hAnsi="Arial"/>
          <w:sz w:val="16"/>
          <w:szCs w:val="16"/>
          <w:color w:val="auto"/>
        </w:rPr>
        <w:t>You should read the following discussion and analysis of our financial condition and results of operations together with our unaudited financial statements and related notes included elsewhere in this quarterly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 Looking Statements.”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1" w:lineRule="exact"/>
        <w:rPr>
          <w:sz w:val="20"/>
          <w:szCs w:val="20"/>
          <w:color w:val="auto"/>
        </w:rPr>
      </w:pPr>
    </w:p>
    <w:p>
      <w:pPr>
        <w:ind w:right="100" w:firstLine="645"/>
        <w:spacing w:after="0" w:line="266" w:lineRule="auto"/>
        <w:rPr>
          <w:sz w:val="20"/>
          <w:szCs w:val="20"/>
          <w:color w:val="auto"/>
        </w:rPr>
      </w:pPr>
      <w:r>
        <w:rPr>
          <w:rFonts w:ascii="Arial" w:cs="Arial" w:eastAsia="Arial" w:hAnsi="Arial"/>
          <w:sz w:val="16"/>
          <w:szCs w:val="16"/>
          <w:color w:val="auto"/>
        </w:rPr>
        <w:t>We are a world leader in sourcing, producing and distributing fresh avocados, serving retail, wholesale and foodservice customers. We source, produce, pack and distribute avocados and a small amount of other fruits to our customers and provide value-added services including ripening, bagging, custom packaging and logistical management. In addition, we provide our customers with merchandising and promotional support, insights on market trends and training designed to increase their retail avocado sales.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three operating segments which are also reportable segments:</w:t>
      </w:r>
    </w:p>
    <w:p>
      <w:pPr>
        <w:spacing w:after="0" w:line="215" w:lineRule="exact"/>
        <w:rPr>
          <w:sz w:val="20"/>
          <w:szCs w:val="20"/>
          <w:color w:val="auto"/>
        </w:rPr>
      </w:pPr>
    </w:p>
    <w:p>
      <w:pPr>
        <w:ind w:left="660" w:right="200" w:hanging="330"/>
        <w:spacing w:after="0" w:line="29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Marketing and Distribution. </w:t>
      </w:r>
      <w:r>
        <w:rPr>
          <w:rFonts w:ascii="Arial" w:cs="Arial" w:eastAsia="Arial" w:hAnsi="Arial"/>
          <w:sz w:val="16"/>
          <w:szCs w:val="16"/>
          <w:color w:val="auto"/>
        </w:rPr>
        <w:t>Our Marketing and Distribution reportable segment sources fruit from growers and then distributes the fruit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global distribution network.</w:t>
      </w:r>
    </w:p>
    <w:p>
      <w:pPr>
        <w:spacing w:after="0" w:line="150" w:lineRule="exact"/>
        <w:rPr>
          <w:rFonts w:ascii="Arial" w:cs="Arial" w:eastAsia="Arial" w:hAnsi="Arial"/>
          <w:sz w:val="16"/>
          <w:szCs w:val="16"/>
          <w:color w:val="auto"/>
        </w:rPr>
      </w:pPr>
    </w:p>
    <w:p>
      <w:pPr>
        <w:ind w:left="660" w:right="100" w:hanging="330"/>
        <w:spacing w:after="0" w:line="262"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International Farming. </w:t>
      </w:r>
      <w:r>
        <w:rPr>
          <w:rFonts w:ascii="Arial" w:cs="Arial" w:eastAsia="Arial" w:hAnsi="Arial"/>
          <w:sz w:val="16"/>
          <w:szCs w:val="16"/>
          <w:color w:val="auto"/>
        </w:rPr>
        <w:t>International Farming owns and operates orchards from which substantially all fruit produced is sold to our Marketing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segment. Its farming activities range from cultivating early-stage plantings to harvesting from mature trees, and it also earns service revenues for packing and processing for our Blueberries segment, as well as for third-party producers of other crops during the avocado off-harvest season. Operations are principally located in Peru, with smaller operations emerging in other areas of Latin America.</w:t>
      </w:r>
    </w:p>
    <w:p>
      <w:pPr>
        <w:spacing w:after="0" w:line="190" w:lineRule="exact"/>
        <w:rPr>
          <w:rFonts w:ascii="Arial" w:cs="Arial" w:eastAsia="Arial" w:hAnsi="Arial"/>
          <w:sz w:val="16"/>
          <w:szCs w:val="16"/>
          <w:color w:val="auto"/>
        </w:rPr>
      </w:pPr>
    </w:p>
    <w:p>
      <w:pPr>
        <w:ind w:left="660" w:right="80" w:hanging="330"/>
        <w:spacing w:after="0" w:line="262"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Blueberries. </w:t>
      </w:r>
      <w:r>
        <w:rPr>
          <w:rFonts w:ascii="Arial" w:cs="Arial" w:eastAsia="Arial" w:hAnsi="Arial"/>
          <w:sz w:val="16"/>
          <w:szCs w:val="16"/>
          <w:color w:val="auto"/>
        </w:rPr>
        <w:t>The Blueberries segment represents the results of Moruga, subsequent to its consolidation on May 1, 2022. Moruga’s farming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cultivating early-stage blueberry plantings and harvesting mature bushes. Substantially all of blueberries produced are sold to a single distributor under an exclusive marketing agreement.</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1" w:lineRule="exact"/>
        <w:rPr>
          <w:sz w:val="20"/>
          <w:szCs w:val="20"/>
          <w:color w:val="auto"/>
        </w:rPr>
      </w:pPr>
    </w:p>
    <w:p>
      <w:pPr>
        <w:ind w:right="60" w:firstLine="645"/>
        <w:spacing w:after="0" w:line="261" w:lineRule="auto"/>
        <w:rPr>
          <w:sz w:val="20"/>
          <w:szCs w:val="20"/>
          <w:color w:val="auto"/>
        </w:rPr>
      </w:pPr>
      <w:r>
        <w:rPr>
          <w:rFonts w:ascii="Arial" w:cs="Arial" w:eastAsia="Arial" w:hAnsi="Arial"/>
          <w:sz w:val="16"/>
          <w:szCs w:val="16"/>
          <w:color w:val="auto"/>
        </w:rPr>
        <w:t>The operating results of our businesses are significantly impacted by the price and volume of fruit we farm, source and distribute. In addition, our results have been, and will continue to be, affected by quarterly and annual fluctuations due to a number of factors, including but not limited to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spacing w:after="0" w:line="182" w:lineRule="exact"/>
        <w:rPr>
          <w:sz w:val="20"/>
          <w:szCs w:val="20"/>
          <w:color w:val="auto"/>
        </w:rPr>
      </w:pPr>
    </w:p>
    <w:p>
      <w:pPr>
        <w:ind w:firstLine="645"/>
        <w:spacing w:after="0" w:line="258" w:lineRule="auto"/>
        <w:rPr>
          <w:sz w:val="20"/>
          <w:szCs w:val="20"/>
          <w:color w:val="auto"/>
        </w:rPr>
      </w:pPr>
      <w:r>
        <w:rPr>
          <w:rFonts w:ascii="Arial" w:cs="Arial" w:eastAsia="Arial" w:hAnsi="Arial"/>
          <w:sz w:val="16"/>
          <w:szCs w:val="16"/>
          <w:color w:val="auto"/>
        </w:rPr>
        <w:t>Our financial reporting currency is the U.S. dollar. The functional currency of substantially all of our subsidiaries is the U.S. dollar and substantially all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3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4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5"/>
                <w:szCs w:val="15"/>
                <w:color w:val="auto"/>
              </w:rPr>
            </w:pPr>
          </w:p>
        </w:tc>
      </w:tr>
      <w:tr>
        <w:trPr>
          <w:trHeight w:val="208"/>
        </w:trPr>
        <w:tc>
          <w:tcPr>
            <w:tcW w:w="3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July 31,</w:t>
            </w: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July 31,</w:t>
            </w: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222"/>
        </w:trPr>
        <w:tc>
          <w:tcPr>
            <w:tcW w:w="3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9"/>
                <w:szCs w:val="19"/>
                <w:color w:val="auto"/>
              </w:rPr>
            </w:pPr>
          </w:p>
        </w:tc>
      </w:tr>
      <w:tr>
        <w:trPr>
          <w:trHeight w:val="223"/>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for percentages)</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Dollars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Dollars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Dollars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Dollars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08"/>
        </w:trPr>
        <w:tc>
          <w:tcPr>
            <w:tcW w:w="3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261.4</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8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jc w:val="right"/>
              <w:ind w:right="2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313.2</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696.0</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807.9</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r>
      <w:tr>
        <w:trPr>
          <w:trHeight w:val="203"/>
        </w:trPr>
        <w:tc>
          <w:tcPr>
            <w:tcW w:w="31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32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233.0</w:t>
            </w:r>
          </w:p>
        </w:tc>
        <w:tc>
          <w:tcPr>
            <w:tcW w:w="700" w:type="dxa"/>
            <w:vAlign w:val="bottom"/>
          </w:tcPr>
          <w:p>
            <w:pPr>
              <w:jc w:val="right"/>
              <w:spacing w:after="0"/>
              <w:rPr>
                <w:sz w:val="20"/>
                <w:szCs w:val="20"/>
                <w:color w:val="auto"/>
              </w:rPr>
            </w:pPr>
            <w:r>
              <w:rPr>
                <w:rFonts w:ascii="Arial" w:cs="Arial" w:eastAsia="Arial" w:hAnsi="Arial"/>
                <w:sz w:val="14"/>
                <w:szCs w:val="14"/>
                <w:color w:val="auto"/>
              </w:rPr>
              <w:t>89 %</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270.6</w:t>
            </w:r>
          </w:p>
        </w:tc>
        <w:tc>
          <w:tcPr>
            <w:tcW w:w="620" w:type="dxa"/>
            <w:vAlign w:val="bottom"/>
          </w:tcPr>
          <w:p>
            <w:pPr>
              <w:jc w:val="right"/>
              <w:spacing w:after="0"/>
              <w:rPr>
                <w:sz w:val="20"/>
                <w:szCs w:val="20"/>
                <w:color w:val="auto"/>
              </w:rPr>
            </w:pPr>
            <w:r>
              <w:rPr>
                <w:rFonts w:ascii="Arial" w:cs="Arial" w:eastAsia="Arial" w:hAnsi="Arial"/>
                <w:sz w:val="14"/>
                <w:szCs w:val="14"/>
                <w:color w:val="auto"/>
              </w:rPr>
              <w:t>86 %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640.5</w:t>
            </w:r>
          </w:p>
        </w:tc>
        <w:tc>
          <w:tcPr>
            <w:tcW w:w="700" w:type="dxa"/>
            <w:vAlign w:val="bottom"/>
          </w:tcPr>
          <w:p>
            <w:pPr>
              <w:jc w:val="right"/>
              <w:spacing w:after="0"/>
              <w:rPr>
                <w:sz w:val="20"/>
                <w:szCs w:val="20"/>
                <w:color w:val="auto"/>
              </w:rPr>
            </w:pPr>
            <w:r>
              <w:rPr>
                <w:rFonts w:ascii="Arial" w:cs="Arial" w:eastAsia="Arial" w:hAnsi="Arial"/>
                <w:sz w:val="14"/>
                <w:szCs w:val="14"/>
                <w:color w:val="auto"/>
              </w:rPr>
              <w:t>92 %</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745.0</w:t>
            </w:r>
          </w:p>
        </w:tc>
        <w:tc>
          <w:tcPr>
            <w:tcW w:w="620" w:type="dxa"/>
            <w:vAlign w:val="bottom"/>
          </w:tcPr>
          <w:p>
            <w:pPr>
              <w:jc w:val="right"/>
              <w:spacing w:after="0"/>
              <w:rPr>
                <w:sz w:val="20"/>
                <w:szCs w:val="20"/>
                <w:color w:val="auto"/>
              </w:rPr>
            </w:pPr>
            <w:r>
              <w:rPr>
                <w:rFonts w:ascii="Arial" w:cs="Arial" w:eastAsia="Arial" w:hAnsi="Arial"/>
                <w:sz w:val="14"/>
                <w:szCs w:val="14"/>
                <w:color w:val="auto"/>
              </w:rPr>
              <w:t>92 %</w:t>
            </w:r>
          </w:p>
        </w:tc>
      </w:tr>
      <w:tr>
        <w:trPr>
          <w:trHeight w:val="25"/>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2"/>
        </w:trPr>
        <w:tc>
          <w:tcPr>
            <w:tcW w:w="3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3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28.4</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11 %</w:t>
            </w:r>
          </w:p>
        </w:tc>
        <w:tc>
          <w:tcPr>
            <w:tcW w:w="18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42.6</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14 %</w:t>
            </w:r>
          </w:p>
        </w:tc>
        <w:tc>
          <w:tcPr>
            <w:tcW w:w="8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55.5</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8 %</w:t>
            </w:r>
          </w:p>
        </w:tc>
        <w:tc>
          <w:tcPr>
            <w:tcW w:w="16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62.9</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8 %</w:t>
            </w:r>
          </w:p>
        </w:tc>
      </w:tr>
      <w:tr>
        <w:trPr>
          <w:trHeight w:val="203"/>
        </w:trPr>
        <w:tc>
          <w:tcPr>
            <w:tcW w:w="310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17.4</w:t>
            </w:r>
          </w:p>
        </w:tc>
        <w:tc>
          <w:tcPr>
            <w:tcW w:w="700" w:type="dxa"/>
            <w:vAlign w:val="bottom"/>
          </w:tcPr>
          <w:p>
            <w:pPr>
              <w:jc w:val="right"/>
              <w:spacing w:after="0"/>
              <w:rPr>
                <w:sz w:val="20"/>
                <w:szCs w:val="20"/>
                <w:color w:val="auto"/>
              </w:rPr>
            </w:pPr>
            <w:r>
              <w:rPr>
                <w:rFonts w:ascii="Arial" w:cs="Arial" w:eastAsia="Arial" w:hAnsi="Arial"/>
                <w:sz w:val="14"/>
                <w:szCs w:val="14"/>
                <w:color w:val="auto"/>
              </w:rPr>
              <w:t>7 %</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20.6</w:t>
            </w:r>
          </w:p>
        </w:tc>
        <w:tc>
          <w:tcPr>
            <w:tcW w:w="620" w:type="dxa"/>
            <w:vAlign w:val="bottom"/>
          </w:tcPr>
          <w:p>
            <w:pPr>
              <w:jc w:val="right"/>
              <w:spacing w:after="0"/>
              <w:rPr>
                <w:sz w:val="20"/>
                <w:szCs w:val="20"/>
                <w:color w:val="auto"/>
              </w:rPr>
            </w:pPr>
            <w:r>
              <w:rPr>
                <w:rFonts w:ascii="Arial" w:cs="Arial" w:eastAsia="Arial" w:hAnsi="Arial"/>
                <w:sz w:val="14"/>
                <w:szCs w:val="14"/>
                <w:color w:val="auto"/>
              </w:rPr>
              <w:t>7 %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55.8</w:t>
            </w:r>
          </w:p>
        </w:tc>
        <w:tc>
          <w:tcPr>
            <w:tcW w:w="700" w:type="dxa"/>
            <w:vAlign w:val="bottom"/>
          </w:tcPr>
          <w:p>
            <w:pPr>
              <w:jc w:val="right"/>
              <w:spacing w:after="0"/>
              <w:rPr>
                <w:sz w:val="20"/>
                <w:szCs w:val="20"/>
                <w:color w:val="auto"/>
              </w:rPr>
            </w:pPr>
            <w:r>
              <w:rPr>
                <w:rFonts w:ascii="Arial" w:cs="Arial" w:eastAsia="Arial" w:hAnsi="Arial"/>
                <w:sz w:val="14"/>
                <w:szCs w:val="14"/>
                <w:color w:val="auto"/>
              </w:rPr>
              <w:t>8 %</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58.0</w:t>
            </w:r>
          </w:p>
        </w:tc>
        <w:tc>
          <w:tcPr>
            <w:tcW w:w="62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25"/>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2"/>
        </w:trPr>
        <w:tc>
          <w:tcPr>
            <w:tcW w:w="3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Operating income (loss)</w:t>
            </w:r>
          </w:p>
        </w:tc>
        <w:tc>
          <w:tcPr>
            <w:tcW w:w="3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11.0</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4 %</w:t>
            </w:r>
          </w:p>
        </w:tc>
        <w:tc>
          <w:tcPr>
            <w:tcW w:w="18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22.0</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7 %</w:t>
            </w:r>
          </w:p>
        </w:tc>
        <w:tc>
          <w:tcPr>
            <w:tcW w:w="8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(0.3)</w:t>
            </w:r>
          </w:p>
        </w:tc>
        <w:tc>
          <w:tcPr>
            <w:tcW w:w="860" w:type="dxa"/>
            <w:vAlign w:val="bottom"/>
            <w:tcBorders>
              <w:bottom w:val="single" w:sz="8" w:color="DBDBDB"/>
            </w:tcBorders>
            <w:gridSpan w:val="2"/>
            <w:shd w:val="clear" w:color="auto" w:fill="DBDBDB"/>
          </w:tcPr>
          <w:p>
            <w:pPr>
              <w:jc w:val="right"/>
              <w:ind w:right="20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4.9</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1 %</w:t>
            </w:r>
          </w:p>
        </w:tc>
      </w:tr>
      <w:tr>
        <w:trPr>
          <w:trHeight w:val="203"/>
        </w:trPr>
        <w:tc>
          <w:tcPr>
            <w:tcW w:w="31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(1.5)</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(8.3)</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(3.5)</w:t>
            </w:r>
          </w:p>
        </w:tc>
        <w:tc>
          <w:tcPr>
            <w:tcW w:w="6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5"/>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8"/>
        </w:trPr>
        <w:tc>
          <w:tcPr>
            <w:tcW w:w="3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32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1.8</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1 %</w:t>
            </w:r>
          </w:p>
        </w:tc>
        <w:tc>
          <w:tcPr>
            <w:tcW w:w="18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spacing w:after="0"/>
              <w:rPr>
                <w:sz w:val="18"/>
                <w:szCs w:val="18"/>
                <w:color w:val="auto"/>
              </w:rPr>
            </w:pPr>
          </w:p>
        </w:tc>
        <w:tc>
          <w:tcPr>
            <w:tcW w:w="9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1 %</w:t>
            </w:r>
          </w:p>
        </w:tc>
        <w:tc>
          <w:tcPr>
            <w:tcW w:w="8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86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3.2</w:t>
            </w:r>
          </w:p>
        </w:tc>
        <w:tc>
          <w:tcPr>
            <w:tcW w:w="860" w:type="dxa"/>
            <w:vAlign w:val="bottom"/>
            <w:tcBorders>
              <w:bottom w:val="single" w:sz="8" w:color="DBDBDB"/>
            </w:tcBorders>
            <w:gridSpan w:val="2"/>
            <w:shd w:val="clear" w:color="auto" w:fill="DBDBDB"/>
          </w:tcPr>
          <w:p>
            <w:pPr>
              <w:jc w:val="right"/>
              <w:ind w:right="20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DBDBDB"/>
            </w:tcBorders>
            <w:shd w:val="clear" w:color="auto" w:fill="DBDBDB"/>
          </w:tcPr>
          <w:p>
            <w:pPr>
              <w:spacing w:after="0"/>
              <w:rPr>
                <w:sz w:val="18"/>
                <w:szCs w:val="18"/>
                <w:color w:val="auto"/>
              </w:rPr>
            </w:pPr>
          </w:p>
        </w:tc>
        <w:tc>
          <w:tcPr>
            <w:tcW w:w="9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3.6</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 %</w:t>
            </w:r>
          </w:p>
        </w:tc>
      </w:tr>
      <w:tr>
        <w:trPr>
          <w:trHeight w:val="196"/>
        </w:trPr>
        <w:tc>
          <w:tcPr>
            <w:tcW w:w="3100" w:type="dxa"/>
            <w:vAlign w:val="bottom"/>
          </w:tcPr>
          <w:p>
            <w:pPr>
              <w:ind w:left="20"/>
              <w:spacing w:after="0"/>
              <w:rPr>
                <w:sz w:val="20"/>
                <w:szCs w:val="20"/>
                <w:color w:val="auto"/>
              </w:rPr>
            </w:pPr>
            <w:r>
              <w:rPr>
                <w:rFonts w:ascii="Arial" w:cs="Arial" w:eastAsia="Arial" w:hAnsi="Arial"/>
                <w:sz w:val="14"/>
                <w:szCs w:val="14"/>
                <w:color w:val="auto"/>
              </w:rPr>
              <w:t>Remeasurement gain on business combination</w:t>
            </w:r>
          </w:p>
        </w:tc>
        <w:tc>
          <w:tcPr>
            <w:tcW w:w="32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 %</w:t>
            </w:r>
          </w:p>
        </w:tc>
        <w:tc>
          <w:tcPr>
            <w:tcW w:w="36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2.0</w:t>
            </w:r>
          </w:p>
        </w:tc>
        <w:tc>
          <w:tcPr>
            <w:tcW w:w="620" w:type="dxa"/>
            <w:vAlign w:val="bottom"/>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 %</w:t>
            </w:r>
          </w:p>
        </w:tc>
        <w:tc>
          <w:tcPr>
            <w:tcW w:w="38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2.0</w:t>
            </w:r>
          </w:p>
        </w:tc>
        <w:tc>
          <w:tcPr>
            <w:tcW w:w="6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2"/>
        </w:trPr>
        <w:tc>
          <w:tcPr>
            <w:tcW w:w="3100" w:type="dxa"/>
            <w:vAlign w:val="bottom"/>
          </w:tcPr>
          <w:p>
            <w:pPr>
              <w:ind w:left="180"/>
              <w:spacing w:after="0"/>
              <w:rPr>
                <w:sz w:val="20"/>
                <w:szCs w:val="20"/>
                <w:color w:val="auto"/>
              </w:rPr>
            </w:pPr>
            <w:r>
              <w:rPr>
                <w:rFonts w:ascii="Arial" w:cs="Arial" w:eastAsia="Arial" w:hAnsi="Arial"/>
                <w:sz w:val="14"/>
                <w:szCs w:val="14"/>
                <w:color w:val="auto"/>
              </w:rPr>
              <w:t>with Moruga</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5"/>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3"/>
        </w:trPr>
        <w:tc>
          <w:tcPr>
            <w:tcW w:w="3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(expense) income, net</w:t>
            </w:r>
          </w:p>
        </w:tc>
        <w:tc>
          <w:tcPr>
            <w:tcW w:w="320" w:type="dxa"/>
            <w:vAlign w:val="bottom"/>
            <w:tcBorders>
              <w:bottom w:val="single" w:sz="8" w:color="DBDBDB"/>
            </w:tcBorders>
            <w:shd w:val="clear" w:color="auto" w:fill="DBDBDB"/>
          </w:tcPr>
          <w:p>
            <w:pPr>
              <w:spacing w:after="0"/>
              <w:rPr>
                <w:sz w:val="19"/>
                <w:szCs w:val="19"/>
                <w:color w:val="auto"/>
              </w:rPr>
            </w:pPr>
          </w:p>
        </w:tc>
        <w:tc>
          <w:tcPr>
            <w:tcW w:w="8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(1.1)</w:t>
            </w:r>
          </w:p>
        </w:tc>
        <w:tc>
          <w:tcPr>
            <w:tcW w:w="880" w:type="dxa"/>
            <w:vAlign w:val="bottom"/>
            <w:tcBorders>
              <w:bottom w:val="single" w:sz="8" w:color="DBDBDB"/>
            </w:tcBorders>
            <w:gridSpan w:val="2"/>
            <w:shd w:val="clear" w:color="auto" w:fill="DBDBDB"/>
          </w:tcPr>
          <w:p>
            <w:pPr>
              <w:jc w:val="right"/>
              <w:ind w:right="200"/>
              <w:spacing w:after="0"/>
              <w:rPr>
                <w:sz w:val="20"/>
                <w:szCs w:val="20"/>
                <w:color w:val="auto"/>
              </w:rPr>
            </w:pPr>
            <w:r>
              <w:rPr>
                <w:rFonts w:ascii="Arial" w:cs="Arial" w:eastAsia="Arial" w:hAnsi="Arial"/>
                <w:sz w:val="14"/>
                <w:szCs w:val="14"/>
                <w:color w:val="auto"/>
              </w:rPr>
              <w:t>— %</w:t>
            </w:r>
          </w:p>
        </w:tc>
        <w:tc>
          <w:tcPr>
            <w:tcW w:w="360" w:type="dxa"/>
            <w:vAlign w:val="bottom"/>
            <w:tcBorders>
              <w:bottom w:val="single" w:sz="8" w:color="DBDBDB"/>
            </w:tcBorders>
            <w:shd w:val="clear" w:color="auto" w:fill="DBDBDB"/>
          </w:tcPr>
          <w:p>
            <w:pPr>
              <w:spacing w:after="0"/>
              <w:rPr>
                <w:sz w:val="19"/>
                <w:szCs w:val="19"/>
                <w:color w:val="auto"/>
              </w:rPr>
            </w:pPr>
          </w:p>
        </w:tc>
        <w:tc>
          <w:tcPr>
            <w:tcW w:w="9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(0.9)</w:t>
            </w:r>
          </w:p>
        </w:tc>
        <w:tc>
          <w:tcPr>
            <w:tcW w:w="700" w:type="dxa"/>
            <w:vAlign w:val="bottom"/>
            <w:tcBorders>
              <w:bottom w:val="single" w:sz="8" w:color="DBDBDB"/>
            </w:tcBorders>
            <w:gridSpan w:val="2"/>
            <w:shd w:val="clear" w:color="auto" w:fill="DBDBDB"/>
          </w:tcPr>
          <w:p>
            <w:pPr>
              <w:jc w:val="right"/>
              <w:ind w:right="100"/>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DBDBDB"/>
            </w:tcBorders>
            <w:shd w:val="clear" w:color="auto" w:fill="DBDBDB"/>
          </w:tcPr>
          <w:p>
            <w:pPr>
              <w:spacing w:after="0"/>
              <w:rPr>
                <w:sz w:val="19"/>
                <w:szCs w:val="19"/>
                <w:color w:val="auto"/>
              </w:rPr>
            </w:pPr>
          </w:p>
        </w:tc>
        <w:tc>
          <w:tcPr>
            <w:tcW w:w="86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(1.3)</w:t>
            </w:r>
          </w:p>
        </w:tc>
        <w:tc>
          <w:tcPr>
            <w:tcW w:w="860" w:type="dxa"/>
            <w:vAlign w:val="bottom"/>
            <w:tcBorders>
              <w:bottom w:val="single" w:sz="8" w:color="DBDBDB"/>
            </w:tcBorders>
            <w:gridSpan w:val="2"/>
            <w:shd w:val="clear" w:color="auto" w:fill="DBDBDB"/>
          </w:tcPr>
          <w:p>
            <w:pPr>
              <w:jc w:val="right"/>
              <w:ind w:right="20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DBDBDB"/>
            </w:tcBorders>
            <w:shd w:val="clear" w:color="auto" w:fill="DBDBDB"/>
          </w:tcPr>
          <w:p>
            <w:pPr>
              <w:spacing w:after="0"/>
              <w:rPr>
                <w:sz w:val="19"/>
                <w:szCs w:val="19"/>
                <w:color w:val="auto"/>
              </w:rPr>
            </w:pPr>
          </w:p>
        </w:tc>
        <w:tc>
          <w:tcPr>
            <w:tcW w:w="9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3.6</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 %</w:t>
            </w:r>
          </w:p>
        </w:tc>
      </w:tr>
      <w:tr>
        <w:trPr>
          <w:trHeight w:val="197"/>
        </w:trPr>
        <w:tc>
          <w:tcPr>
            <w:tcW w:w="3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Income (loss) before income taxes</w:t>
            </w: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8.5</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23.3</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(6.7)</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10.6</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1 %</w:t>
            </w:r>
          </w:p>
        </w:tc>
      </w:tr>
      <w:tr>
        <w:trPr>
          <w:trHeight w:val="25"/>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3"/>
        </w:trPr>
        <w:tc>
          <w:tcPr>
            <w:tcW w:w="3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DBDBDB"/>
            </w:tcBorders>
            <w:shd w:val="clear" w:color="auto" w:fill="DBDBDB"/>
          </w:tcPr>
          <w:p>
            <w:pPr>
              <w:spacing w:after="0"/>
              <w:rPr>
                <w:sz w:val="19"/>
                <w:szCs w:val="19"/>
                <w:color w:val="auto"/>
              </w:rPr>
            </w:pP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2.3</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1 %</w:t>
            </w:r>
          </w:p>
        </w:tc>
        <w:tc>
          <w:tcPr>
            <w:tcW w:w="18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DBDBDB"/>
            </w:tcBorders>
            <w:shd w:val="clear" w:color="auto" w:fill="DBDBDB"/>
          </w:tcPr>
          <w:p>
            <w:pPr>
              <w:spacing w:after="0"/>
              <w:rPr>
                <w:sz w:val="19"/>
                <w:szCs w:val="19"/>
                <w:color w:val="auto"/>
              </w:rPr>
            </w:pPr>
          </w:p>
        </w:tc>
        <w:tc>
          <w:tcPr>
            <w:tcW w:w="9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5.4</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2 %</w:t>
            </w:r>
          </w:p>
        </w:tc>
        <w:tc>
          <w:tcPr>
            <w:tcW w:w="8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DBDBDB"/>
            </w:tcBorders>
            <w:shd w:val="clear" w:color="auto" w:fill="DBDBDB"/>
          </w:tcPr>
          <w:p>
            <w:pPr>
              <w:spacing w:after="0"/>
              <w:rPr>
                <w:sz w:val="19"/>
                <w:szCs w:val="19"/>
                <w:color w:val="auto"/>
              </w:rPr>
            </w:pPr>
          </w:p>
        </w:tc>
        <w:tc>
          <w:tcPr>
            <w:tcW w:w="86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2.4</w:t>
            </w:r>
          </w:p>
        </w:tc>
        <w:tc>
          <w:tcPr>
            <w:tcW w:w="860" w:type="dxa"/>
            <w:vAlign w:val="bottom"/>
            <w:tcBorders>
              <w:bottom w:val="single" w:sz="8" w:color="DBDBDB"/>
            </w:tcBorders>
            <w:gridSpan w:val="2"/>
            <w:shd w:val="clear" w:color="auto" w:fill="DBDBDB"/>
          </w:tcPr>
          <w:p>
            <w:pPr>
              <w:jc w:val="right"/>
              <w:ind w:right="20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DBDBDB"/>
            </w:tcBorders>
            <w:shd w:val="clear" w:color="auto" w:fill="DBDBDB"/>
          </w:tcPr>
          <w:p>
            <w:pPr>
              <w:spacing w:after="0"/>
              <w:rPr>
                <w:sz w:val="19"/>
                <w:szCs w:val="19"/>
                <w:color w:val="auto"/>
              </w:rPr>
            </w:pPr>
          </w:p>
        </w:tc>
        <w:tc>
          <w:tcPr>
            <w:tcW w:w="90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3.7</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 %</w:t>
            </w:r>
          </w:p>
        </w:tc>
      </w:tr>
      <w:tr>
        <w:trPr>
          <w:trHeight w:val="197"/>
        </w:trPr>
        <w:tc>
          <w:tcPr>
            <w:tcW w:w="3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6.2</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17.9</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6.9</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1 %</w:t>
            </w:r>
          </w:p>
        </w:tc>
      </w:tr>
      <w:tr>
        <w:trPr>
          <w:trHeight w:val="25"/>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3100" w:type="dxa"/>
            <w:vAlign w:val="bottom"/>
            <w:shd w:val="clear" w:color="auto" w:fill="DBDBDB"/>
          </w:tcPr>
          <w:p>
            <w:pPr>
              <w:ind w:left="20"/>
              <w:spacing w:after="0"/>
              <w:rPr>
                <w:sz w:val="20"/>
                <w:szCs w:val="20"/>
                <w:color w:val="auto"/>
              </w:rPr>
            </w:pPr>
            <w:r>
              <w:rPr>
                <w:rFonts w:ascii="Arial" w:cs="Arial" w:eastAsia="Arial" w:hAnsi="Arial"/>
                <w:sz w:val="14"/>
                <w:szCs w:val="14"/>
                <w:color w:val="auto"/>
              </w:rPr>
              <w:t>Less:</w:t>
            </w:r>
          </w:p>
        </w:tc>
        <w:tc>
          <w:tcPr>
            <w:tcW w:w="320" w:type="dxa"/>
            <w:vAlign w:val="bottom"/>
            <w:shd w:val="clear" w:color="auto" w:fill="DBDBDB"/>
          </w:tcPr>
          <w:p>
            <w:pPr>
              <w:spacing w:after="0"/>
              <w:rPr>
                <w:sz w:val="16"/>
                <w:szCs w:val="16"/>
                <w:color w:val="auto"/>
              </w:rPr>
            </w:pPr>
          </w:p>
        </w:tc>
        <w:tc>
          <w:tcPr>
            <w:tcW w:w="84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(0.4)</w:t>
            </w:r>
          </w:p>
        </w:tc>
        <w:tc>
          <w:tcPr>
            <w:tcW w:w="880" w:type="dxa"/>
            <w:vAlign w:val="bottom"/>
            <w:gridSpan w:val="2"/>
            <w:shd w:val="clear" w:color="auto" w:fill="DBDBDB"/>
          </w:tcPr>
          <w:p>
            <w:pPr>
              <w:jc w:val="right"/>
              <w:ind w:right="200"/>
              <w:spacing w:after="0"/>
              <w:rPr>
                <w:sz w:val="20"/>
                <w:szCs w:val="20"/>
                <w:color w:val="auto"/>
              </w:rPr>
            </w:pPr>
            <w:r>
              <w:rPr>
                <w:rFonts w:ascii="Arial" w:cs="Arial" w:eastAsia="Arial" w:hAnsi="Arial"/>
                <w:sz w:val="14"/>
                <w:szCs w:val="14"/>
                <w:color w:val="auto"/>
              </w:rPr>
              <w:t>— %</w:t>
            </w:r>
          </w:p>
        </w:tc>
        <w:tc>
          <w:tcPr>
            <w:tcW w:w="360" w:type="dxa"/>
            <w:vAlign w:val="bottom"/>
            <w:shd w:val="clear" w:color="auto" w:fill="DBDBDB"/>
          </w:tcPr>
          <w:p>
            <w:pPr>
              <w:spacing w:after="0"/>
              <w:rPr>
                <w:sz w:val="16"/>
                <w:szCs w:val="16"/>
                <w:color w:val="auto"/>
              </w:rPr>
            </w:pPr>
          </w:p>
        </w:tc>
        <w:tc>
          <w:tcPr>
            <w:tcW w:w="90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(0.5)</w:t>
            </w:r>
          </w:p>
        </w:tc>
        <w:tc>
          <w:tcPr>
            <w:tcW w:w="700" w:type="dxa"/>
            <w:vAlign w:val="bottom"/>
            <w:gridSpan w:val="2"/>
            <w:shd w:val="clear" w:color="auto" w:fill="DBDBDB"/>
          </w:tcPr>
          <w:p>
            <w:pPr>
              <w:jc w:val="right"/>
              <w:ind w:right="100"/>
              <w:spacing w:after="0"/>
              <w:rPr>
                <w:sz w:val="20"/>
                <w:szCs w:val="20"/>
                <w:color w:val="auto"/>
              </w:rPr>
            </w:pPr>
            <w:r>
              <w:rPr>
                <w:rFonts w:ascii="Arial" w:cs="Arial" w:eastAsia="Arial" w:hAnsi="Arial"/>
                <w:sz w:val="14"/>
                <w:szCs w:val="14"/>
                <w:color w:val="auto"/>
              </w:rPr>
              <w:t>— %</w:t>
            </w:r>
          </w:p>
        </w:tc>
        <w:tc>
          <w:tcPr>
            <w:tcW w:w="340" w:type="dxa"/>
            <w:vAlign w:val="bottom"/>
            <w:shd w:val="clear" w:color="auto" w:fill="DBDBDB"/>
          </w:tcPr>
          <w:p>
            <w:pPr>
              <w:spacing w:after="0"/>
              <w:rPr>
                <w:sz w:val="16"/>
                <w:szCs w:val="16"/>
                <w:color w:val="auto"/>
              </w:rPr>
            </w:pPr>
          </w:p>
        </w:tc>
        <w:tc>
          <w:tcPr>
            <w:tcW w:w="86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(2.3)</w:t>
            </w:r>
          </w:p>
        </w:tc>
        <w:tc>
          <w:tcPr>
            <w:tcW w:w="860" w:type="dxa"/>
            <w:vAlign w:val="bottom"/>
            <w:gridSpan w:val="2"/>
            <w:shd w:val="clear" w:color="auto" w:fill="DBDBDB"/>
          </w:tcPr>
          <w:p>
            <w:pPr>
              <w:jc w:val="right"/>
              <w:ind w:right="200"/>
              <w:spacing w:after="0"/>
              <w:rPr>
                <w:sz w:val="20"/>
                <w:szCs w:val="20"/>
                <w:color w:val="auto"/>
              </w:rPr>
            </w:pPr>
            <w:r>
              <w:rPr>
                <w:rFonts w:ascii="Arial" w:cs="Arial" w:eastAsia="Arial" w:hAnsi="Arial"/>
                <w:sz w:val="14"/>
                <w:szCs w:val="14"/>
                <w:color w:val="auto"/>
              </w:rPr>
              <w:t>— %</w:t>
            </w:r>
          </w:p>
        </w:tc>
        <w:tc>
          <w:tcPr>
            <w:tcW w:w="380" w:type="dxa"/>
            <w:vAlign w:val="bottom"/>
            <w:shd w:val="clear" w:color="auto" w:fill="DBDBDB"/>
          </w:tcPr>
          <w:p>
            <w:pPr>
              <w:spacing w:after="0"/>
              <w:rPr>
                <w:sz w:val="16"/>
                <w:szCs w:val="16"/>
                <w:color w:val="auto"/>
              </w:rPr>
            </w:pPr>
          </w:p>
        </w:tc>
        <w:tc>
          <w:tcPr>
            <w:tcW w:w="90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(0.5)</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 %</w:t>
            </w:r>
          </w:p>
        </w:tc>
      </w:tr>
      <w:tr>
        <w:trPr>
          <w:trHeight w:val="212"/>
        </w:trPr>
        <w:tc>
          <w:tcPr>
            <w:tcW w:w="3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3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r>
      <w:tr>
        <w:trPr>
          <w:trHeight w:val="190"/>
        </w:trPr>
        <w:tc>
          <w:tcPr>
            <w:tcW w:w="3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income (loss) attributable to Mission</w:t>
            </w:r>
          </w:p>
        </w:tc>
        <w:tc>
          <w:tcPr>
            <w:tcW w:w="3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r>
      <w:tr>
        <w:trPr>
          <w:trHeight w:val="182"/>
        </w:trPr>
        <w:tc>
          <w:tcPr>
            <w:tcW w:w="3100" w:type="dxa"/>
            <w:vAlign w:val="bottom"/>
          </w:tcPr>
          <w:p>
            <w:pPr>
              <w:ind w:left="180"/>
              <w:spacing w:after="0"/>
              <w:rPr>
                <w:sz w:val="20"/>
                <w:szCs w:val="20"/>
                <w:color w:val="auto"/>
              </w:rPr>
            </w:pPr>
            <w:r>
              <w:rPr>
                <w:rFonts w:ascii="Arial" w:cs="Arial" w:eastAsia="Arial" w:hAnsi="Arial"/>
                <w:sz w:val="14"/>
                <w:szCs w:val="14"/>
                <w:color w:val="auto"/>
              </w:rPr>
              <w:t>Produce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700" w:type="dxa"/>
            <w:vAlign w:val="bottom"/>
          </w:tcPr>
          <w:p>
            <w:pPr>
              <w:jc w:val="right"/>
              <w:spacing w:after="0"/>
              <w:rPr>
                <w:sz w:val="20"/>
                <w:szCs w:val="20"/>
                <w:color w:val="auto"/>
              </w:rPr>
            </w:pPr>
            <w:r>
              <w:rPr>
                <w:rFonts w:ascii="Arial" w:cs="Arial" w:eastAsia="Arial" w:hAnsi="Arial"/>
                <w:sz w:val="14"/>
                <w:szCs w:val="14"/>
                <w:color w:val="auto"/>
              </w:rPr>
              <w:t>3 %</w:t>
            </w:r>
          </w:p>
        </w:tc>
        <w:tc>
          <w:tcPr>
            <w:tcW w:w="18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18.4</w:t>
            </w:r>
          </w:p>
        </w:tc>
        <w:tc>
          <w:tcPr>
            <w:tcW w:w="620" w:type="dxa"/>
            <w:vAlign w:val="bottom"/>
          </w:tcPr>
          <w:p>
            <w:pPr>
              <w:jc w:val="right"/>
              <w:spacing w:after="0"/>
              <w:rPr>
                <w:sz w:val="20"/>
                <w:szCs w:val="20"/>
                <w:color w:val="auto"/>
              </w:rPr>
            </w:pPr>
            <w:r>
              <w:rPr>
                <w:rFonts w:ascii="Arial" w:cs="Arial" w:eastAsia="Arial" w:hAnsi="Arial"/>
                <w:sz w:val="14"/>
                <w:szCs w:val="14"/>
                <w:color w:val="auto"/>
              </w:rPr>
              <w:t>6 %</w:t>
            </w:r>
          </w:p>
        </w:tc>
        <w:tc>
          <w:tcPr>
            <w:tcW w:w="8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(6.8)</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7.4</w:t>
            </w:r>
          </w:p>
        </w:tc>
        <w:tc>
          <w:tcPr>
            <w:tcW w:w="62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25"/>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27" w:lineRule="exact"/>
        <w:rPr>
          <w:sz w:val="20"/>
          <w:szCs w:val="20"/>
          <w:color w:val="auto"/>
        </w:rPr>
      </w:pPr>
    </w:p>
    <w:p>
      <w:pPr>
        <w:jc w:val="both"/>
        <w:ind w:right="100" w:firstLine="645"/>
        <w:spacing w:after="0" w:line="268" w:lineRule="auto"/>
        <w:rPr>
          <w:sz w:val="20"/>
          <w:szCs w:val="20"/>
          <w:color w:val="auto"/>
        </w:rPr>
      </w:pPr>
      <w:r>
        <w:rPr>
          <w:rFonts w:ascii="Arial" w:cs="Arial" w:eastAsia="Arial" w:hAnsi="Arial"/>
          <w:sz w:val="16"/>
          <w:szCs w:val="16"/>
          <w:color w:val="auto"/>
        </w:rPr>
        <w:t>Our net sales are generated predominantly from the shipment of fresh avocados to retail, wholesale and foodservice customers worldwide. Our net sales are affected by numerous factors, including the balance between the supply of and demand for our produce and competition from other fresh produce companies. Our net sales are also dependent on our ability to supply a consistent volume and quality of fresh produce to the markets we serve.</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5"/>
                <w:szCs w:val="15"/>
                <w:color w:val="auto"/>
              </w:rPr>
            </w:pPr>
          </w:p>
        </w:tc>
      </w:tr>
      <w:tr>
        <w:trPr>
          <w:trHeight w:val="208"/>
        </w:trPr>
        <w:tc>
          <w:tcPr>
            <w:tcW w:w="39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July 31,</w:t>
            </w: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July 31,</w:t>
            </w:r>
          </w:p>
        </w:tc>
        <w:tc>
          <w:tcPr>
            <w:tcW w:w="780" w:type="dxa"/>
            <w:vAlign w:val="bottom"/>
            <w:tcBorders>
              <w:bottom w:val="single" w:sz="8" w:color="auto"/>
            </w:tcBorders>
          </w:tcPr>
          <w:p>
            <w:pPr>
              <w:spacing w:after="0"/>
              <w:rPr>
                <w:sz w:val="18"/>
                <w:szCs w:val="18"/>
                <w:color w:val="auto"/>
              </w:rPr>
            </w:pPr>
          </w:p>
        </w:tc>
      </w:tr>
      <w:tr>
        <w:trPr>
          <w:trHeight w:val="223"/>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10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r>
      <w:tr>
        <w:trPr>
          <w:trHeight w:val="208"/>
        </w:trPr>
        <w:tc>
          <w:tcPr>
            <w:tcW w:w="3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sales:</w:t>
            </w:r>
          </w:p>
        </w:tc>
        <w:tc>
          <w:tcPr>
            <w:tcW w:w="56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spacing w:after="0"/>
              <w:rPr>
                <w:sz w:val="18"/>
                <w:szCs w:val="18"/>
                <w:color w:val="auto"/>
              </w:rPr>
            </w:pPr>
          </w:p>
        </w:tc>
      </w:tr>
      <w:tr>
        <w:trPr>
          <w:trHeight w:val="203"/>
        </w:trPr>
        <w:tc>
          <w:tcPr>
            <w:tcW w:w="3960" w:type="dxa"/>
            <w:vAlign w:val="bottom"/>
          </w:tcPr>
          <w:p>
            <w:pPr>
              <w:ind w:left="240"/>
              <w:spacing w:after="0"/>
              <w:rPr>
                <w:sz w:val="20"/>
                <w:szCs w:val="20"/>
                <w:color w:val="auto"/>
              </w:rPr>
            </w:pPr>
            <w:r>
              <w:rPr>
                <w:rFonts w:ascii="Arial" w:cs="Arial" w:eastAsia="Arial" w:hAnsi="Arial"/>
                <w:sz w:val="14"/>
                <w:szCs w:val="14"/>
                <w:color w:val="auto"/>
              </w:rPr>
              <w:t>Marketing and Distribution</w:t>
            </w: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256.6</w:t>
            </w:r>
          </w:p>
        </w:tc>
        <w:tc>
          <w:tcPr>
            <w:tcW w:w="10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308.9</w:t>
            </w:r>
          </w:p>
        </w:tc>
        <w:tc>
          <w:tcPr>
            <w:tcW w:w="260" w:type="dxa"/>
            <w:vAlign w:val="bottom"/>
          </w:tcPr>
          <w:p>
            <w:pPr>
              <w:spacing w:after="0"/>
              <w:rPr>
                <w:sz w:val="17"/>
                <w:szCs w:val="17"/>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653.7</w:t>
            </w:r>
          </w:p>
        </w:tc>
        <w:tc>
          <w:tcPr>
            <w:tcW w:w="10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794.9</w:t>
            </w:r>
          </w:p>
        </w:tc>
      </w:tr>
      <w:tr>
        <w:trPr>
          <w:trHeight w:val="25"/>
        </w:trPr>
        <w:tc>
          <w:tcPr>
            <w:tcW w:w="3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8"/>
        </w:trPr>
        <w:tc>
          <w:tcPr>
            <w:tcW w:w="39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International Farming</w:t>
            </w:r>
          </w:p>
        </w:tc>
        <w:tc>
          <w:tcPr>
            <w:tcW w:w="56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3.4</w:t>
            </w:r>
          </w:p>
        </w:tc>
        <w:tc>
          <w:tcPr>
            <w:tcW w:w="104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4.0</w:t>
            </w: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9.4</w:t>
            </w:r>
          </w:p>
        </w:tc>
        <w:tc>
          <w:tcPr>
            <w:tcW w:w="100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12.7</w:t>
            </w:r>
          </w:p>
        </w:tc>
      </w:tr>
      <w:tr>
        <w:trPr>
          <w:trHeight w:val="203"/>
        </w:trPr>
        <w:tc>
          <w:tcPr>
            <w:tcW w:w="3960" w:type="dxa"/>
            <w:vAlign w:val="bottom"/>
          </w:tcPr>
          <w:p>
            <w:pPr>
              <w:ind w:left="240"/>
              <w:spacing w:after="0"/>
              <w:rPr>
                <w:sz w:val="20"/>
                <w:szCs w:val="20"/>
                <w:color w:val="auto"/>
              </w:rPr>
            </w:pPr>
            <w:r>
              <w:rPr>
                <w:rFonts w:ascii="Arial" w:cs="Arial" w:eastAsia="Arial" w:hAnsi="Arial"/>
                <w:sz w:val="14"/>
                <w:szCs w:val="14"/>
                <w:color w:val="auto"/>
              </w:rPr>
              <w:t>Blueberries</w:t>
            </w:r>
          </w:p>
        </w:tc>
        <w:tc>
          <w:tcPr>
            <w:tcW w:w="5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32.9</w:t>
            </w:r>
          </w:p>
        </w:tc>
        <w:tc>
          <w:tcPr>
            <w:tcW w:w="10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0.3</w:t>
            </w:r>
          </w:p>
        </w:tc>
      </w:tr>
      <w:tr>
        <w:trPr>
          <w:trHeight w:val="25"/>
        </w:trPr>
        <w:tc>
          <w:tcPr>
            <w:tcW w:w="3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2"/>
        </w:trPr>
        <w:tc>
          <w:tcPr>
            <w:tcW w:w="3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net sales</w:t>
            </w:r>
          </w:p>
        </w:tc>
        <w:tc>
          <w:tcPr>
            <w:tcW w:w="56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261.4</w:t>
            </w:r>
          </w:p>
        </w:tc>
        <w:tc>
          <w:tcPr>
            <w:tcW w:w="1040" w:type="dxa"/>
            <w:vAlign w:val="bottom"/>
            <w:tcBorders>
              <w:bottom w:val="single" w:sz="8" w:color="DBDBDB"/>
            </w:tcBorders>
            <w:shd w:val="clear" w:color="auto" w:fill="DBDBDB"/>
          </w:tcPr>
          <w:p>
            <w:pPr>
              <w:jc w:val="right"/>
              <w:ind w:right="7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313.2</w:t>
            </w:r>
          </w:p>
        </w:tc>
        <w:tc>
          <w:tcPr>
            <w:tcW w:w="26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696.0</w:t>
            </w:r>
          </w:p>
        </w:tc>
        <w:tc>
          <w:tcPr>
            <w:tcW w:w="1000" w:type="dxa"/>
            <w:vAlign w:val="bottom"/>
            <w:tcBorders>
              <w:bottom w:val="single" w:sz="8" w:color="DBDBDB"/>
            </w:tcBorders>
            <w:shd w:val="clear" w:color="auto" w:fill="DBDBDB"/>
          </w:tcPr>
          <w:p>
            <w:pPr>
              <w:jc w:val="right"/>
              <w:ind w:right="7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807.9</w:t>
            </w:r>
          </w:p>
        </w:tc>
      </w:tr>
      <w:tr>
        <w:trPr>
          <w:trHeight w:val="20"/>
        </w:trPr>
        <w:tc>
          <w:tcPr>
            <w:tcW w:w="3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99" w:lineRule="exact"/>
        <w:rPr>
          <w:sz w:val="20"/>
          <w:szCs w:val="20"/>
          <w:color w:val="auto"/>
        </w:rPr>
      </w:pPr>
    </w:p>
    <w:p>
      <w:pPr>
        <w:ind w:right="80" w:firstLine="645"/>
        <w:spacing w:after="0" w:line="260" w:lineRule="auto"/>
        <w:rPr>
          <w:sz w:val="20"/>
          <w:szCs w:val="20"/>
          <w:color w:val="auto"/>
        </w:rPr>
      </w:pPr>
      <w:r>
        <w:rPr>
          <w:rFonts w:ascii="Arial" w:cs="Arial" w:eastAsia="Arial" w:hAnsi="Arial"/>
          <w:sz w:val="16"/>
          <w:szCs w:val="16"/>
          <w:color w:val="auto"/>
        </w:rPr>
        <w:t>Net sales decreased $51.8 million or 17% in the three months ended July 31, 2023 compared to the same period last year, driven by our Marketing and Distribution segment. A 33% decrease in average per-unit avocado sales prices was partially offset by an increase in avocado volume sold of 23%, both of which were driven by higher industry supply out of Mexico during the current quarter as compared to limited supply out of Mexico in the same period last year.</w:t>
      </w:r>
    </w:p>
    <w:p>
      <w:pPr>
        <w:spacing w:after="0" w:line="184" w:lineRule="exact"/>
        <w:rPr>
          <w:sz w:val="20"/>
          <w:szCs w:val="20"/>
          <w:color w:val="auto"/>
        </w:rPr>
      </w:pPr>
    </w:p>
    <w:p>
      <w:pPr>
        <w:ind w:firstLine="645"/>
        <w:spacing w:after="0" w:line="266" w:lineRule="auto"/>
        <w:rPr>
          <w:sz w:val="20"/>
          <w:szCs w:val="20"/>
          <w:color w:val="auto"/>
        </w:rPr>
      </w:pPr>
      <w:r>
        <w:rPr>
          <w:rFonts w:ascii="Arial" w:cs="Arial" w:eastAsia="Arial" w:hAnsi="Arial"/>
          <w:sz w:val="16"/>
          <w:szCs w:val="16"/>
          <w:color w:val="auto"/>
        </w:rPr>
        <w:t>Net sales decreased $111.9 million or 14% in the nine months ended July 31, 2023 compared to the same period last year, primarily attributed to our Marketing and Distribution segment, partially offset by the consolidation of revenue from our Blueberries segment. A 32% decrease in average per-unit avocado sales prices was partially offset by an increase in avocado volume sold of 19%, both of which were driven by higher industry supply out of Mexico in the current year as compared to limited supply out of Mexico in the previous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profit</w:t>
      </w:r>
    </w:p>
    <w:p>
      <w:pPr>
        <w:spacing w:after="0" w:line="227" w:lineRule="exact"/>
        <w:rPr>
          <w:sz w:val="20"/>
          <w:szCs w:val="20"/>
          <w:color w:val="auto"/>
        </w:rPr>
      </w:pPr>
    </w:p>
    <w:p>
      <w:pPr>
        <w:ind w:right="120" w:firstLine="645"/>
        <w:spacing w:after="0" w:line="261" w:lineRule="auto"/>
        <w:rPr>
          <w:sz w:val="20"/>
          <w:szCs w:val="20"/>
          <w:color w:val="auto"/>
        </w:rPr>
      </w:pPr>
      <w:r>
        <w:rPr>
          <w:rFonts w:ascii="Arial" w:cs="Arial" w:eastAsia="Arial" w:hAnsi="Arial"/>
          <w:sz w:val="16"/>
          <w:szCs w:val="16"/>
          <w:color w:val="auto"/>
        </w:rPr>
        <w:t>Cost of sales is composed primarily of avocado procurement costs from independent growers and packers, logistics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spacing w:after="0" w:line="182" w:lineRule="exact"/>
        <w:rPr>
          <w:sz w:val="20"/>
          <w:szCs w:val="20"/>
          <w:color w:val="auto"/>
        </w:rPr>
      </w:pPr>
    </w:p>
    <w:p>
      <w:pPr>
        <w:ind w:right="20" w:firstLine="645"/>
        <w:spacing w:after="0" w:line="261" w:lineRule="auto"/>
        <w:rPr>
          <w:sz w:val="20"/>
          <w:szCs w:val="20"/>
          <w:color w:val="auto"/>
        </w:rPr>
      </w:pPr>
      <w:r>
        <w:rPr>
          <w:rFonts w:ascii="Arial" w:cs="Arial" w:eastAsia="Arial" w:hAnsi="Arial"/>
          <w:sz w:val="16"/>
          <w:szCs w:val="16"/>
          <w:color w:val="auto"/>
        </w:rPr>
        <w:t>Logistics costs include land and sea transportation and expenses related to port facilities and distribution centers.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Fuel prices as well as variations in containerboard prices, which affect the cost of boxes and other packaging materials, impact our product cost and our profit margins. Variations in the production yields, and other input costs also affect our cost of sales.</w:t>
      </w:r>
    </w:p>
    <w:p>
      <w:pPr>
        <w:spacing w:after="0" w:line="182" w:lineRule="exact"/>
        <w:rPr>
          <w:sz w:val="20"/>
          <w:szCs w:val="20"/>
          <w:color w:val="auto"/>
        </w:rPr>
      </w:pPr>
    </w:p>
    <w:p>
      <w:pPr>
        <w:ind w:right="80" w:firstLine="645"/>
        <w:spacing w:after="0" w:line="261" w:lineRule="auto"/>
        <w:rPr>
          <w:sz w:val="20"/>
          <w:szCs w:val="20"/>
          <w:color w:val="auto"/>
        </w:rPr>
      </w:pPr>
      <w:r>
        <w:rPr>
          <w:rFonts w:ascii="Arial" w:cs="Arial" w:eastAsia="Arial" w:hAnsi="Arial"/>
          <w:sz w:val="16"/>
          <w:szCs w:val="16"/>
          <w:color w:val="auto"/>
        </w:rPr>
        <w:t>In general, changes in our volume of products sold can have a disproportionate effect on our gross profit. Within any particular year, a significant portion of our cost of products are fixed.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distribution facilities directly reduce the average overhead cost per unit of fruit handled, while lower volumes directly increase the average overhead cost per unit of fruit handled.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2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5"/>
                <w:szCs w:val="15"/>
                <w:color w:val="auto"/>
              </w:rPr>
            </w:pPr>
          </w:p>
        </w:tc>
      </w:tr>
      <w:tr>
        <w:trPr>
          <w:trHeight w:val="208"/>
        </w:trPr>
        <w:tc>
          <w:tcPr>
            <w:tcW w:w="38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b w:val="1"/>
                <w:bCs w:val="1"/>
                <w:color w:val="auto"/>
              </w:rPr>
              <w:t>July 31,</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b w:val="1"/>
                <w:bCs w:val="1"/>
                <w:color w:val="auto"/>
              </w:rPr>
              <w:t>July 31,</w:t>
            </w:r>
          </w:p>
        </w:tc>
        <w:tc>
          <w:tcPr>
            <w:tcW w:w="780" w:type="dxa"/>
            <w:vAlign w:val="bottom"/>
            <w:tcBorders>
              <w:bottom w:val="single" w:sz="8" w:color="auto"/>
            </w:tcBorders>
          </w:tcPr>
          <w:p>
            <w:pPr>
              <w:spacing w:after="0"/>
              <w:rPr>
                <w:sz w:val="18"/>
                <w:szCs w:val="18"/>
                <w:color w:val="auto"/>
              </w:rPr>
            </w:pPr>
          </w:p>
        </w:tc>
      </w:tr>
      <w:tr>
        <w:trPr>
          <w:trHeight w:val="222"/>
        </w:trPr>
        <w:tc>
          <w:tcPr>
            <w:tcW w:w="3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r>
      <w:tr>
        <w:trPr>
          <w:trHeight w:val="208"/>
        </w:trPr>
        <w:tc>
          <w:tcPr>
            <w:tcW w:w="3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 (in millions)</w:t>
            </w:r>
          </w:p>
        </w:tc>
        <w:tc>
          <w:tcPr>
            <w:tcW w:w="58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tcBorders>
            <w:shd w:val="clear" w:color="auto" w:fill="DBDBDB"/>
          </w:tcPr>
          <w:p>
            <w:pPr>
              <w:ind w:left="660"/>
              <w:spacing w:after="0"/>
              <w:rPr>
                <w:sz w:val="20"/>
                <w:szCs w:val="20"/>
                <w:color w:val="auto"/>
              </w:rPr>
            </w:pPr>
            <w:r>
              <w:rPr>
                <w:rFonts w:ascii="Arial" w:cs="Arial" w:eastAsia="Arial" w:hAnsi="Arial"/>
                <w:sz w:val="14"/>
                <w:szCs w:val="14"/>
                <w:color w:val="auto"/>
              </w:rPr>
              <w:t>28.4</w:t>
            </w:r>
          </w:p>
        </w:tc>
        <w:tc>
          <w:tcPr>
            <w:tcW w:w="1020" w:type="dxa"/>
            <w:vAlign w:val="bottom"/>
            <w:tcBorders>
              <w:bottom w:val="single" w:sz="8" w:color="DBDBDB"/>
            </w:tcBorders>
            <w:shd w:val="clear" w:color="auto" w:fill="DBDBDB"/>
          </w:tcPr>
          <w:p>
            <w:pPr>
              <w:jc w:val="right"/>
              <w:ind w:right="7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42.6</w:t>
            </w:r>
          </w:p>
        </w:tc>
        <w:tc>
          <w:tcPr>
            <w:tcW w:w="24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ind w:right="4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55.5</w:t>
            </w:r>
          </w:p>
        </w:tc>
        <w:tc>
          <w:tcPr>
            <w:tcW w:w="1020" w:type="dxa"/>
            <w:vAlign w:val="bottom"/>
            <w:tcBorders>
              <w:bottom w:val="single" w:sz="8" w:color="DBDBDB"/>
            </w:tcBorders>
            <w:shd w:val="clear" w:color="auto" w:fill="DBDBDB"/>
          </w:tcPr>
          <w:p>
            <w:pPr>
              <w:jc w:val="right"/>
              <w:ind w:right="7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62.9</w:t>
            </w:r>
          </w:p>
        </w:tc>
      </w:tr>
      <w:tr>
        <w:trPr>
          <w:trHeight w:val="203"/>
        </w:trPr>
        <w:tc>
          <w:tcPr>
            <w:tcW w:w="3840" w:type="dxa"/>
            <w:vAlign w:val="bottom"/>
          </w:tcPr>
          <w:p>
            <w:pPr>
              <w:ind w:left="20"/>
              <w:spacing w:after="0"/>
              <w:rPr>
                <w:sz w:val="20"/>
                <w:szCs w:val="20"/>
                <w:color w:val="auto"/>
              </w:rPr>
            </w:pPr>
            <w:r>
              <w:rPr>
                <w:rFonts w:ascii="Arial" w:cs="Arial" w:eastAsia="Arial" w:hAnsi="Arial"/>
                <w:sz w:val="14"/>
                <w:szCs w:val="14"/>
                <w:color w:val="auto"/>
              </w:rPr>
              <w:t>Gross profit as a percentage of sales</w:t>
            </w:r>
          </w:p>
        </w:tc>
        <w:tc>
          <w:tcPr>
            <w:tcW w:w="580" w:type="dxa"/>
            <w:vAlign w:val="bottom"/>
          </w:tcPr>
          <w:p>
            <w:pPr>
              <w:spacing w:after="0"/>
              <w:rPr>
                <w:sz w:val="17"/>
                <w:szCs w:val="17"/>
                <w:color w:val="auto"/>
              </w:rPr>
            </w:pPr>
          </w:p>
        </w:tc>
        <w:tc>
          <w:tcPr>
            <w:tcW w:w="1200" w:type="dxa"/>
            <w:vAlign w:val="bottom"/>
          </w:tcPr>
          <w:p>
            <w:pPr>
              <w:ind w:left="660"/>
              <w:spacing w:after="0"/>
              <w:rPr>
                <w:sz w:val="20"/>
                <w:szCs w:val="20"/>
                <w:color w:val="auto"/>
              </w:rPr>
            </w:pPr>
            <w:r>
              <w:rPr>
                <w:rFonts w:ascii="Arial" w:cs="Arial" w:eastAsia="Arial" w:hAnsi="Arial"/>
                <w:sz w:val="14"/>
                <w:szCs w:val="14"/>
                <w:color w:val="auto"/>
              </w:rPr>
              <w:t>10.9 %</w:t>
            </w:r>
          </w:p>
        </w:tc>
        <w:tc>
          <w:tcPr>
            <w:tcW w:w="10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13.6 %</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8.0 %</w:t>
            </w:r>
          </w:p>
        </w:tc>
        <w:tc>
          <w:tcPr>
            <w:tcW w:w="10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7.8 %</w:t>
            </w:r>
          </w:p>
        </w:tc>
      </w:tr>
      <w:tr>
        <w:trPr>
          <w:trHeight w:val="25"/>
        </w:trPr>
        <w:tc>
          <w:tcPr>
            <w:tcW w:w="3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99" w:lineRule="exact"/>
        <w:rPr>
          <w:sz w:val="20"/>
          <w:szCs w:val="20"/>
          <w:color w:val="auto"/>
        </w:rPr>
      </w:pPr>
    </w:p>
    <w:p>
      <w:pPr>
        <w:ind w:right="60" w:firstLine="645"/>
        <w:spacing w:after="0" w:line="260" w:lineRule="auto"/>
        <w:rPr>
          <w:sz w:val="20"/>
          <w:szCs w:val="20"/>
          <w:color w:val="auto"/>
        </w:rPr>
      </w:pPr>
      <w:r>
        <w:rPr>
          <w:rFonts w:ascii="Arial" w:cs="Arial" w:eastAsia="Arial" w:hAnsi="Arial"/>
          <w:sz w:val="16"/>
          <w:szCs w:val="16"/>
          <w:color w:val="auto"/>
        </w:rPr>
        <w:t>Gross profit decreased $14.2 million or 33% in the three months ended July 31, 2023 compared to the same period last year to $28.4 million and gross profit percentage decreased 270 basis points to 10.9% of revenue, compared to the same period last year. The decreases were concentrated in our International Farming segment and driven by lower pricing on avocados sold from Company-owned farms. Lower pricing resulted from higher industry supply in the current period relative to the prior period.</w:t>
      </w:r>
    </w:p>
    <w:p>
      <w:pPr>
        <w:spacing w:after="0" w:line="184" w:lineRule="exact"/>
        <w:rPr>
          <w:sz w:val="20"/>
          <w:szCs w:val="20"/>
          <w:color w:val="auto"/>
        </w:rPr>
      </w:pPr>
    </w:p>
    <w:p>
      <w:pPr>
        <w:ind w:right="20" w:firstLine="645"/>
        <w:spacing w:after="0" w:line="268" w:lineRule="auto"/>
        <w:rPr>
          <w:sz w:val="20"/>
          <w:szCs w:val="20"/>
          <w:color w:val="auto"/>
        </w:rPr>
      </w:pPr>
      <w:r>
        <w:rPr>
          <w:rFonts w:ascii="Arial" w:cs="Arial" w:eastAsia="Arial" w:hAnsi="Arial"/>
          <w:sz w:val="16"/>
          <w:szCs w:val="16"/>
          <w:color w:val="auto"/>
        </w:rPr>
        <w:t>Gross profit decreased $7.4 million or 12%, in the nine months ended July 31, 2023 compared to the same period last year to $55.5 million and gross profit percentage increased 20 basis points to 8.0% of revenue in the nine months ended July 31, 2023, primarily due to the same factors impacting the current quarter, partially offset by the impact of higher volume of avocados sold in our Marketing &amp; Distribution segment.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27" w:lineRule="exact"/>
        <w:rPr>
          <w:sz w:val="20"/>
          <w:szCs w:val="20"/>
          <w:color w:val="auto"/>
        </w:rPr>
      </w:pPr>
    </w:p>
    <w:p>
      <w:pPr>
        <w:ind w:right="480" w:firstLine="645"/>
        <w:spacing w:after="0" w:line="273" w:lineRule="auto"/>
        <w:rPr>
          <w:sz w:val="20"/>
          <w:szCs w:val="20"/>
          <w:color w:val="auto"/>
        </w:rPr>
      </w:pPr>
      <w:r>
        <w:rPr>
          <w:rFonts w:ascii="Arial" w:cs="Arial" w:eastAsia="Arial" w:hAnsi="Arial"/>
          <w:sz w:val="16"/>
          <w:szCs w:val="16"/>
          <w:color w:val="auto"/>
        </w:rPr>
        <w:t>Selling, general and administrative (“SG&amp;A”) expenses primarily include the costs associated with selling, professional fees, general corporate overhead and other related administrative functions.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8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5"/>
                <w:szCs w:val="15"/>
                <w:color w:val="auto"/>
              </w:rPr>
            </w:pPr>
          </w:p>
        </w:tc>
      </w:tr>
      <w:tr>
        <w:trPr>
          <w:trHeight w:val="208"/>
        </w:trPr>
        <w:tc>
          <w:tcPr>
            <w:tcW w:w="39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b w:val="1"/>
                <w:bCs w:val="1"/>
                <w:color w:val="auto"/>
              </w:rPr>
              <w:t>July 31,</w:t>
            </w: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b w:val="1"/>
                <w:bCs w:val="1"/>
                <w:color w:val="auto"/>
              </w:rPr>
              <w:t>July 31,</w:t>
            </w:r>
          </w:p>
        </w:tc>
        <w:tc>
          <w:tcPr>
            <w:tcW w:w="780" w:type="dxa"/>
            <w:vAlign w:val="bottom"/>
            <w:tcBorders>
              <w:bottom w:val="single" w:sz="8" w:color="auto"/>
            </w:tcBorders>
          </w:tcPr>
          <w:p>
            <w:pPr>
              <w:spacing w:after="0"/>
              <w:rPr>
                <w:sz w:val="18"/>
                <w:szCs w:val="18"/>
                <w:color w:val="auto"/>
              </w:rPr>
            </w:pPr>
          </w:p>
        </w:tc>
      </w:tr>
      <w:tr>
        <w:trPr>
          <w:trHeight w:val="22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r>
      <w:tr>
        <w:trPr>
          <w:trHeight w:val="208"/>
        </w:trPr>
        <w:tc>
          <w:tcPr>
            <w:tcW w:w="3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560" w:type="dxa"/>
            <w:vAlign w:val="bottom"/>
            <w:tcBorders>
              <w:bottom w:val="single" w:sz="8" w:color="DBDBDB"/>
            </w:tcBorders>
            <w:shd w:val="clear" w:color="auto" w:fill="DBDBDB"/>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17.4</w:t>
            </w:r>
          </w:p>
        </w:tc>
        <w:tc>
          <w:tcPr>
            <w:tcW w:w="1020" w:type="dxa"/>
            <w:vAlign w:val="bottom"/>
            <w:tcBorders>
              <w:bottom w:val="single" w:sz="8" w:color="DBDBDB"/>
            </w:tcBorders>
            <w:shd w:val="clear" w:color="auto" w:fill="DBDBDB"/>
          </w:tcPr>
          <w:p>
            <w:pPr>
              <w:jc w:val="right"/>
              <w:ind w:right="7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20.6</w:t>
            </w: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55.8</w:t>
            </w:r>
          </w:p>
        </w:tc>
        <w:tc>
          <w:tcPr>
            <w:tcW w:w="1020" w:type="dxa"/>
            <w:vAlign w:val="bottom"/>
            <w:tcBorders>
              <w:bottom w:val="single" w:sz="8" w:color="DBDBDB"/>
            </w:tcBorders>
            <w:shd w:val="clear" w:color="auto" w:fill="DBDBDB"/>
          </w:tcPr>
          <w:p>
            <w:pPr>
              <w:jc w:val="right"/>
              <w:ind w:right="7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58.0</w:t>
            </w:r>
          </w:p>
        </w:tc>
      </w:tr>
      <w:tr>
        <w:trPr>
          <w:trHeight w:val="20"/>
        </w:trPr>
        <w:tc>
          <w:tcPr>
            <w:tcW w:w="3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72" w:lineRule="exact"/>
        <w:rPr>
          <w:sz w:val="20"/>
          <w:szCs w:val="20"/>
          <w:color w:val="auto"/>
        </w:rPr>
      </w:pPr>
    </w:p>
    <w:p>
      <w:pPr>
        <w:ind w:right="280" w:firstLine="645"/>
        <w:spacing w:after="0" w:line="291" w:lineRule="auto"/>
        <w:rPr>
          <w:sz w:val="20"/>
          <w:szCs w:val="20"/>
          <w:color w:val="auto"/>
        </w:rPr>
      </w:pPr>
      <w:r>
        <w:rPr>
          <w:rFonts w:ascii="Arial" w:cs="Arial" w:eastAsia="Arial" w:hAnsi="Arial"/>
          <w:sz w:val="16"/>
          <w:szCs w:val="16"/>
          <w:color w:val="auto"/>
        </w:rPr>
        <w:t>SG&amp;A expenses decreased $3.2 million or 16% in the three months ended July 31, 2023 compared to the same period last year, primarily due to lower employee-related incentive compensation accruals, lower ERP process reengineering costs and lower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5" w:lineRule="exact"/>
        <w:rPr>
          <w:sz w:val="20"/>
          <w:szCs w:val="20"/>
          <w:color w:val="auto"/>
        </w:rPr>
      </w:pPr>
    </w:p>
    <w:p>
      <w:pPr>
        <w:ind w:firstLine="645"/>
        <w:spacing w:after="0" w:line="260" w:lineRule="auto"/>
        <w:rPr>
          <w:sz w:val="20"/>
          <w:szCs w:val="20"/>
          <w:color w:val="auto"/>
        </w:rPr>
      </w:pPr>
      <w:r>
        <w:rPr>
          <w:rFonts w:ascii="Arial" w:cs="Arial" w:eastAsia="Arial" w:hAnsi="Arial"/>
          <w:sz w:val="16"/>
          <w:szCs w:val="16"/>
          <w:color w:val="auto"/>
        </w:rPr>
        <w:t>SG&amp;A expenses decreased $2.2 million or 4% in the nine months ended July 31, 2023 compared to the same period last year, primarily due to lower ERP costs and lower employee-related incentive compensation as described above. Offsetting these factors was the consolidation of approximately $2.0 million of expenses from the Blueberries segment in the current year, a large portion of which was attributed to amortization of an intangible asset recognized in the business combination.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expense</w:t>
      </w:r>
    </w:p>
    <w:p>
      <w:pPr>
        <w:spacing w:after="0" w:line="227" w:lineRule="exact"/>
        <w:rPr>
          <w:sz w:val="20"/>
          <w:szCs w:val="20"/>
          <w:color w:val="auto"/>
        </w:rPr>
      </w:pPr>
    </w:p>
    <w:p>
      <w:pPr>
        <w:jc w:val="both"/>
        <w:ind w:right="260" w:firstLine="645"/>
        <w:spacing w:after="0" w:line="268" w:lineRule="auto"/>
        <w:rPr>
          <w:sz w:val="20"/>
          <w:szCs w:val="20"/>
          <w:color w:val="auto"/>
        </w:rPr>
      </w:pPr>
      <w:r>
        <w:rPr>
          <w:rFonts w:ascii="Arial" w:cs="Arial" w:eastAsia="Arial" w:hAnsi="Arial"/>
          <w:sz w:val="16"/>
          <w:szCs w:val="16"/>
          <w:color w:val="auto"/>
        </w:rPr>
        <w:t>Interest expense consists primarily of interest on borrowings under working capital facilities that we maintain and interest on other long-term debt used to make capital and equity investments. We also incur interest expense on finance leases, computed using each leases’ explicit or implicit borrowing rate.</w:t>
      </w:r>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3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5"/>
                <w:szCs w:val="15"/>
                <w:color w:val="auto"/>
              </w:rPr>
            </w:pPr>
          </w:p>
        </w:tc>
      </w:tr>
      <w:tr>
        <w:trPr>
          <w:trHeight w:val="208"/>
        </w:trPr>
        <w:tc>
          <w:tcPr>
            <w:tcW w:w="38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rPr>
              <w:t>July 31,</w:t>
            </w: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b w:val="1"/>
                <w:bCs w:val="1"/>
                <w:color w:val="auto"/>
              </w:rPr>
              <w:t>July 31,</w:t>
            </w:r>
          </w:p>
        </w:tc>
        <w:tc>
          <w:tcPr>
            <w:tcW w:w="760" w:type="dxa"/>
            <w:vAlign w:val="bottom"/>
            <w:tcBorders>
              <w:bottom w:val="single" w:sz="8" w:color="auto"/>
            </w:tcBorders>
          </w:tcPr>
          <w:p>
            <w:pPr>
              <w:spacing w:after="0"/>
              <w:rPr>
                <w:sz w:val="18"/>
                <w:szCs w:val="18"/>
                <w:color w:val="auto"/>
              </w:rPr>
            </w:pPr>
          </w:p>
        </w:tc>
      </w:tr>
      <w:tr>
        <w:trPr>
          <w:trHeight w:val="223"/>
        </w:trPr>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r>
      <w:tr>
        <w:trPr>
          <w:trHeight w:val="208"/>
        </w:trPr>
        <w:tc>
          <w:tcPr>
            <w:tcW w:w="38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Interest expense</w:t>
            </w:r>
          </w:p>
        </w:tc>
        <w:tc>
          <w:tcPr>
            <w:tcW w:w="56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3.2</w:t>
            </w:r>
          </w:p>
        </w:tc>
        <w:tc>
          <w:tcPr>
            <w:tcW w:w="1040" w:type="dxa"/>
            <w:vAlign w:val="bottom"/>
            <w:tcBorders>
              <w:bottom w:val="single" w:sz="8" w:color="DBDBDB"/>
            </w:tcBorders>
            <w:shd w:val="clear" w:color="auto" w:fill="DBDBDB"/>
          </w:tcPr>
          <w:p>
            <w:pPr>
              <w:jc w:val="right"/>
              <w:ind w:right="7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8.3</w:t>
            </w:r>
          </w:p>
        </w:tc>
        <w:tc>
          <w:tcPr>
            <w:tcW w:w="1020" w:type="dxa"/>
            <w:vAlign w:val="bottom"/>
            <w:tcBorders>
              <w:bottom w:val="single" w:sz="8" w:color="DBDBDB"/>
            </w:tcBorders>
            <w:shd w:val="clear" w:color="auto" w:fill="DBDBDB"/>
          </w:tcPr>
          <w:p>
            <w:pPr>
              <w:jc w:val="right"/>
              <w:ind w:right="7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3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99" w:lineRule="exact"/>
        <w:rPr>
          <w:sz w:val="20"/>
          <w:szCs w:val="20"/>
          <w:color w:val="auto"/>
        </w:rPr>
      </w:pPr>
    </w:p>
    <w:p>
      <w:pPr>
        <w:ind w:firstLine="645"/>
        <w:spacing w:after="0" w:line="260" w:lineRule="auto"/>
        <w:rPr>
          <w:sz w:val="20"/>
          <w:szCs w:val="20"/>
          <w:color w:val="auto"/>
        </w:rPr>
      </w:pPr>
      <w:r>
        <w:rPr>
          <w:rFonts w:ascii="Arial" w:cs="Arial" w:eastAsia="Arial" w:hAnsi="Arial"/>
          <w:sz w:val="16"/>
          <w:szCs w:val="16"/>
          <w:color w:val="auto"/>
        </w:rPr>
        <w:t>Interest expense increased $1.7 million or 113% and $4.8 million or 137% in the three and nine months ended July 31, 2023, respectively, compared to the same periods last year. The increases were primarily related to the effect of rising interest rates on our credit facility, which is subject to variable rates, as well as higher average outstanding debt balances. Additionally, the Blueberries segment incurred interest expense of $0.7 million and $1.6 million in the three and nine months ended July 31, 2023, respectively, related to a long-term finance lease of land as well as short-term bank borrowings.</w:t>
      </w:r>
    </w:p>
    <w:p>
      <w:pPr>
        <w:spacing w:after="0" w:line="184" w:lineRule="exact"/>
        <w:rPr>
          <w:sz w:val="20"/>
          <w:szCs w:val="20"/>
          <w:color w:val="auto"/>
        </w:rPr>
      </w:pPr>
    </w:p>
    <w:p>
      <w:pPr>
        <w:ind w:right="140" w:firstLine="645"/>
        <w:spacing w:after="0" w:line="268" w:lineRule="auto"/>
        <w:rPr>
          <w:sz w:val="20"/>
          <w:szCs w:val="20"/>
          <w:color w:val="auto"/>
        </w:rPr>
      </w:pPr>
      <w:r>
        <w:rPr>
          <w:rFonts w:ascii="Arial" w:cs="Arial" w:eastAsia="Arial" w:hAnsi="Arial"/>
          <w:sz w:val="16"/>
          <w:szCs w:val="16"/>
          <w:color w:val="auto"/>
        </w:rPr>
        <w:t>To reduce interest rate risk on our long-term debt, we have interest rate swaps with a total notional amount of $100 million to hedge changes in the variable rates applicable to our term loan principal. Gains or losses generated from the swaps are recognized in other (expense) income, net in the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method income</w:t>
      </w:r>
    </w:p>
    <w:p>
      <w:pPr>
        <w:spacing w:after="0" w:line="227" w:lineRule="exact"/>
        <w:rPr>
          <w:sz w:val="20"/>
          <w:szCs w:val="20"/>
          <w:color w:val="auto"/>
        </w:rPr>
      </w:pPr>
    </w:p>
    <w:p>
      <w:pPr>
        <w:ind w:right="120" w:firstLine="645"/>
        <w:spacing w:after="0" w:line="273" w:lineRule="auto"/>
        <w:rPr>
          <w:sz w:val="20"/>
          <w:szCs w:val="20"/>
          <w:color w:val="auto"/>
        </w:rPr>
      </w:pPr>
      <w:r>
        <w:rPr>
          <w:rFonts w:ascii="Arial" w:cs="Arial" w:eastAsia="Arial" w:hAnsi="Arial"/>
          <w:sz w:val="16"/>
          <w:szCs w:val="16"/>
          <w:color w:val="auto"/>
        </w:rPr>
        <w:t>Our material equity method investees include Henry Avocado (“HAC”), Mr. Avocado, Copaltas, and up until May 1, 2022, Moruga. On May 1, 2022, Moruga became a variable interest entity and prospectively consolidated into our financial statements.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4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4"/>
                <w:szCs w:val="14"/>
                <w:color w:val="auto"/>
              </w:rPr>
            </w:pPr>
          </w:p>
        </w:tc>
      </w:tr>
      <w:tr>
        <w:trPr>
          <w:trHeight w:val="200"/>
        </w:trPr>
        <w:tc>
          <w:tcPr>
            <w:tcW w:w="3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July 31,</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4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July 31,</w:t>
            </w:r>
          </w:p>
        </w:tc>
        <w:tc>
          <w:tcPr>
            <w:tcW w:w="760" w:type="dxa"/>
            <w:vAlign w:val="bottom"/>
          </w:tcPr>
          <w:p>
            <w:pPr>
              <w:spacing w:after="0"/>
              <w:rPr>
                <w:sz w:val="17"/>
                <w:szCs w:val="17"/>
                <w:color w:val="auto"/>
              </w:rPr>
            </w:pPr>
          </w:p>
        </w:tc>
      </w:tr>
      <w:tr>
        <w:trPr>
          <w:trHeight w:val="29"/>
        </w:trPr>
        <w:tc>
          <w:tcPr>
            <w:tcW w:w="39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6"/>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r>
      <w:tr>
        <w:trPr>
          <w:trHeight w:val="208"/>
        </w:trPr>
        <w:tc>
          <w:tcPr>
            <w:tcW w:w="3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56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1.8</w:t>
            </w:r>
          </w:p>
        </w:tc>
        <w:tc>
          <w:tcPr>
            <w:tcW w:w="1040" w:type="dxa"/>
            <w:vAlign w:val="bottom"/>
            <w:tcBorders>
              <w:bottom w:val="single" w:sz="8" w:color="DBDBDB"/>
            </w:tcBorders>
            <w:shd w:val="clear" w:color="auto" w:fill="DBDBDB"/>
          </w:tcPr>
          <w:p>
            <w:pPr>
              <w:jc w:val="right"/>
              <w:ind w:right="7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1.7</w:t>
            </w:r>
          </w:p>
        </w:tc>
        <w:tc>
          <w:tcPr>
            <w:tcW w:w="24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jc w:val="right"/>
              <w:ind w:right="4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3.2</w:t>
            </w:r>
          </w:p>
        </w:tc>
        <w:tc>
          <w:tcPr>
            <w:tcW w:w="1020" w:type="dxa"/>
            <w:vAlign w:val="bottom"/>
            <w:tcBorders>
              <w:bottom w:val="single" w:sz="8" w:color="DBDBDB"/>
            </w:tcBorders>
            <w:shd w:val="clear" w:color="auto" w:fill="DBDBDB"/>
          </w:tcPr>
          <w:p>
            <w:pPr>
              <w:jc w:val="right"/>
              <w:ind w:right="7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3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85" w:lineRule="exact"/>
        <w:rPr>
          <w:sz w:val="20"/>
          <w:szCs w:val="20"/>
          <w:color w:val="auto"/>
        </w:rPr>
      </w:pPr>
    </w:p>
    <w:p>
      <w:pPr>
        <w:ind w:right="60" w:firstLine="645"/>
        <w:spacing w:after="0" w:line="291" w:lineRule="auto"/>
        <w:rPr>
          <w:sz w:val="20"/>
          <w:szCs w:val="20"/>
          <w:color w:val="auto"/>
        </w:rPr>
      </w:pPr>
      <w:r>
        <w:rPr>
          <w:rFonts w:ascii="Arial" w:cs="Arial" w:eastAsia="Arial" w:hAnsi="Arial"/>
          <w:sz w:val="16"/>
          <w:szCs w:val="16"/>
          <w:color w:val="auto"/>
        </w:rPr>
        <w:t>Equity method income was nearly flat in the three months ended July 31, 2023 compared to the same period last year, as income from Mr. Avocado was largely offset by lower income at HAC.</w:t>
      </w:r>
    </w:p>
    <w:p>
      <w:pPr>
        <w:spacing w:after="0" w:line="158" w:lineRule="exact"/>
        <w:rPr>
          <w:sz w:val="20"/>
          <w:szCs w:val="20"/>
          <w:color w:val="auto"/>
        </w:rPr>
      </w:pPr>
    </w:p>
    <w:p>
      <w:pPr>
        <w:ind w:right="440" w:firstLine="645"/>
        <w:spacing w:after="0" w:line="268" w:lineRule="auto"/>
        <w:rPr>
          <w:sz w:val="20"/>
          <w:szCs w:val="20"/>
          <w:color w:val="auto"/>
        </w:rPr>
      </w:pPr>
      <w:r>
        <w:rPr>
          <w:rFonts w:ascii="Arial" w:cs="Arial" w:eastAsia="Arial" w:hAnsi="Arial"/>
          <w:sz w:val="16"/>
          <w:szCs w:val="16"/>
          <w:color w:val="auto"/>
        </w:rPr>
        <w:t>Equity method income decreased $0.4 million or 11% in the nine months ended July 31, 2023 compared to the same period last year, as lower income at HAC was partially offset by income at Mr. Avocado. Equity method income was also generated from Moruga in the prior year before its consolidation.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expense (income), net</w:t>
      </w:r>
    </w:p>
    <w:p>
      <w:pPr>
        <w:spacing w:after="0" w:line="241" w:lineRule="exact"/>
        <w:rPr>
          <w:sz w:val="20"/>
          <w:szCs w:val="20"/>
          <w:color w:val="auto"/>
        </w:rPr>
      </w:pPr>
    </w:p>
    <w:p>
      <w:pPr>
        <w:ind w:right="480" w:firstLine="645"/>
        <w:spacing w:after="0" w:line="273" w:lineRule="auto"/>
        <w:rPr>
          <w:sz w:val="20"/>
          <w:szCs w:val="20"/>
          <w:color w:val="auto"/>
        </w:rPr>
      </w:pPr>
      <w:r>
        <w:rPr>
          <w:rFonts w:ascii="Arial" w:cs="Arial" w:eastAsia="Arial" w:hAnsi="Arial"/>
          <w:sz w:val="16"/>
          <w:szCs w:val="16"/>
          <w:color w:val="auto"/>
        </w:rPr>
        <w:t>Other expense (income), net consists of interest income, currency exchange gains or losses, interest rate derivative gains or losses and other miscellaneous income and expense items.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8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5"/>
                <w:szCs w:val="15"/>
                <w:color w:val="auto"/>
              </w:rPr>
            </w:pPr>
          </w:p>
        </w:tc>
      </w:tr>
      <w:tr>
        <w:trPr>
          <w:trHeight w:val="208"/>
        </w:trPr>
        <w:tc>
          <w:tcPr>
            <w:tcW w:w="39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b w:val="1"/>
                <w:bCs w:val="1"/>
                <w:color w:val="auto"/>
              </w:rPr>
              <w:t>July 31,</w:t>
            </w: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b w:val="1"/>
                <w:bCs w:val="1"/>
                <w:color w:val="auto"/>
              </w:rPr>
              <w:t>July 31,</w:t>
            </w:r>
          </w:p>
        </w:tc>
        <w:tc>
          <w:tcPr>
            <w:tcW w:w="780" w:type="dxa"/>
            <w:vAlign w:val="bottom"/>
            <w:tcBorders>
              <w:bottom w:val="single" w:sz="8" w:color="auto"/>
            </w:tcBorders>
          </w:tcPr>
          <w:p>
            <w:pPr>
              <w:spacing w:after="0"/>
              <w:rPr>
                <w:sz w:val="18"/>
                <w:szCs w:val="18"/>
                <w:color w:val="auto"/>
              </w:rPr>
            </w:pPr>
          </w:p>
        </w:tc>
      </w:tr>
      <w:tr>
        <w:trPr>
          <w:trHeight w:val="22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r>
      <w:tr>
        <w:trPr>
          <w:trHeight w:val="208"/>
        </w:trPr>
        <w:tc>
          <w:tcPr>
            <w:tcW w:w="3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expense (income), net</w:t>
            </w:r>
          </w:p>
        </w:tc>
        <w:tc>
          <w:tcPr>
            <w:tcW w:w="560" w:type="dxa"/>
            <w:vAlign w:val="bottom"/>
            <w:tcBorders>
              <w:bottom w:val="single" w:sz="8" w:color="DBDBDB"/>
            </w:tcBorders>
            <w:shd w:val="clear" w:color="auto" w:fill="DBDBDB"/>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1.1</w:t>
            </w:r>
          </w:p>
        </w:tc>
        <w:tc>
          <w:tcPr>
            <w:tcW w:w="1020" w:type="dxa"/>
            <w:vAlign w:val="bottom"/>
            <w:tcBorders>
              <w:bottom w:val="single" w:sz="8" w:color="DBDBDB"/>
            </w:tcBorders>
            <w:shd w:val="clear" w:color="auto" w:fill="DBDBDB"/>
          </w:tcPr>
          <w:p>
            <w:pPr>
              <w:jc w:val="right"/>
              <w:ind w:right="7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1.3</w:t>
            </w:r>
          </w:p>
        </w:tc>
        <w:tc>
          <w:tcPr>
            <w:tcW w:w="1020" w:type="dxa"/>
            <w:vAlign w:val="bottom"/>
            <w:tcBorders>
              <w:bottom w:val="single" w:sz="8" w:color="DBDBDB"/>
            </w:tcBorders>
            <w:shd w:val="clear" w:color="auto" w:fill="DBDBDB"/>
          </w:tcPr>
          <w:p>
            <w:pPr>
              <w:jc w:val="right"/>
              <w:ind w:right="7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3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4" w:name="page25"/>
    <w:bookmarkEnd w:id="24"/>
    <w:p>
      <w:pPr>
        <w:spacing w:after="0" w:line="195" w:lineRule="exact"/>
        <w:rPr>
          <w:sz w:val="20"/>
          <w:szCs w:val="20"/>
          <w:color w:val="auto"/>
        </w:rPr>
      </w:pPr>
    </w:p>
    <w:p>
      <w:pPr>
        <w:ind w:right="200" w:firstLine="645"/>
        <w:spacing w:after="0" w:line="268" w:lineRule="auto"/>
        <w:rPr>
          <w:sz w:val="20"/>
          <w:szCs w:val="20"/>
          <w:color w:val="auto"/>
        </w:rPr>
      </w:pPr>
      <w:r>
        <w:rPr>
          <w:rFonts w:ascii="Arial" w:cs="Arial" w:eastAsia="Arial" w:hAnsi="Arial"/>
          <w:sz w:val="16"/>
          <w:szCs w:val="16"/>
          <w:color w:val="auto"/>
        </w:rPr>
        <w:t>Other expense increased $0.2 million or 22% in three months ended July 31, 2023 compared to the same period last year, with the majority of the expense being driven by foreign currency transaction losses primarily due to the weakening of the U.S. dollar relative to the Mexican peso during both periods.</w:t>
      </w:r>
    </w:p>
    <w:p>
      <w:pPr>
        <w:spacing w:after="0" w:line="176" w:lineRule="exact"/>
        <w:rPr>
          <w:sz w:val="20"/>
          <w:szCs w:val="20"/>
          <w:color w:val="auto"/>
        </w:rPr>
      </w:pPr>
    </w:p>
    <w:p>
      <w:pPr>
        <w:ind w:firstLine="645"/>
        <w:spacing w:after="0" w:line="268" w:lineRule="auto"/>
        <w:rPr>
          <w:sz w:val="20"/>
          <w:szCs w:val="20"/>
          <w:color w:val="auto"/>
        </w:rPr>
      </w:pPr>
      <w:r>
        <w:rPr>
          <w:rFonts w:ascii="Arial" w:cs="Arial" w:eastAsia="Arial" w:hAnsi="Arial"/>
          <w:sz w:val="16"/>
          <w:szCs w:val="16"/>
          <w:color w:val="auto"/>
        </w:rPr>
        <w:t>Other expense was $1.3 million for the nine months ended July 31, 2023, compared to other income of $3.6 million in the same period last year. Current year expense is primarily attributed to foreign currency transaction losses as described above. In the prior year, gains were generated on interest rate swaps as a result of rising interest rates during the period.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41" w:lineRule="exact"/>
        <w:rPr>
          <w:sz w:val="20"/>
          <w:szCs w:val="20"/>
          <w:color w:val="auto"/>
        </w:rPr>
      </w:pPr>
    </w:p>
    <w:p>
      <w:pPr>
        <w:ind w:firstLine="645"/>
        <w:spacing w:after="0" w:line="260" w:lineRule="auto"/>
        <w:rPr>
          <w:sz w:val="20"/>
          <w:szCs w:val="20"/>
          <w:color w:val="auto"/>
        </w:rPr>
      </w:pPr>
      <w:r>
        <w:rPr>
          <w:rFonts w:ascii="Arial" w:cs="Arial" w:eastAsia="Arial" w:hAnsi="Arial"/>
          <w:sz w:val="16"/>
          <w:szCs w:val="16"/>
          <w:color w:val="auto"/>
        </w:rPr>
        <w:t>The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spacing w:after="0" w:line="184" w:lineRule="exact"/>
        <w:rPr>
          <w:sz w:val="20"/>
          <w:szCs w:val="20"/>
          <w:color w:val="auto"/>
        </w:rPr>
      </w:pPr>
    </w:p>
    <w:p>
      <w:pPr>
        <w:ind w:right="220" w:firstLine="645"/>
        <w:spacing w:after="0" w:line="260" w:lineRule="auto"/>
        <w:rPr>
          <w:sz w:val="20"/>
          <w:szCs w:val="20"/>
          <w:color w:val="auto"/>
        </w:rPr>
      </w:pPr>
      <w:r>
        <w:rPr>
          <w:rFonts w:ascii="Arial" w:cs="Arial" w:eastAsia="Arial" w:hAnsi="Arial"/>
          <w:sz w:val="16"/>
          <w:szCs w:val="16"/>
          <w:color w:val="auto"/>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spacing w:after="0" w:line="197" w:lineRule="exact"/>
        <w:rPr>
          <w:sz w:val="20"/>
          <w:szCs w:val="20"/>
          <w:color w:val="auto"/>
        </w:rPr>
      </w:pPr>
    </w:p>
    <w:p>
      <w:pPr>
        <w:ind w:right="260" w:firstLine="645"/>
        <w:spacing w:after="0" w:line="273" w:lineRule="auto"/>
        <w:rPr>
          <w:sz w:val="20"/>
          <w:szCs w:val="20"/>
          <w:color w:val="auto"/>
        </w:rPr>
      </w:pPr>
      <w:r>
        <w:rPr>
          <w:rFonts w:ascii="Arial" w:cs="Arial" w:eastAsia="Arial" w:hAnsi="Arial"/>
          <w:sz w:val="16"/>
          <w:szCs w:val="16"/>
          <w:color w:val="auto"/>
        </w:rPr>
        <w:t>Our effective tax rate is impacted by income attributable to foreign jurisdictions which is taxed at different rates from the U.S. federal statutory tax rate of 21%, changes in foreign exchange rates taxable in foreign jurisdictions and nondeductible tax items.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2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8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4"/>
                <w:szCs w:val="14"/>
                <w:color w:val="auto"/>
              </w:rPr>
            </w:pPr>
          </w:p>
        </w:tc>
      </w:tr>
      <w:tr>
        <w:trPr>
          <w:trHeight w:val="200"/>
        </w:trPr>
        <w:tc>
          <w:tcPr>
            <w:tcW w:w="3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2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July 31,</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8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July 31,</w:t>
            </w:r>
          </w:p>
        </w:tc>
        <w:tc>
          <w:tcPr>
            <w:tcW w:w="800" w:type="dxa"/>
            <w:vAlign w:val="bottom"/>
          </w:tcPr>
          <w:p>
            <w:pPr>
              <w:spacing w:after="0"/>
              <w:rPr>
                <w:sz w:val="17"/>
                <w:szCs w:val="17"/>
                <w:color w:val="auto"/>
              </w:rPr>
            </w:pPr>
          </w:p>
        </w:tc>
      </w:tr>
      <w:tr>
        <w:trPr>
          <w:trHeight w:val="29"/>
        </w:trPr>
        <w:tc>
          <w:tcPr>
            <w:tcW w:w="3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5"/>
        </w:trPr>
        <w:tc>
          <w:tcPr>
            <w:tcW w:w="3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r>
      <w:tr>
        <w:trPr>
          <w:trHeight w:val="208"/>
        </w:trPr>
        <w:tc>
          <w:tcPr>
            <w:tcW w:w="37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4"/>
                <w:szCs w:val="14"/>
                <w:color w:val="auto"/>
              </w:rPr>
              <w:t>Provision for income taxes (in millions)</w:t>
            </w:r>
          </w:p>
        </w:tc>
        <w:tc>
          <w:tcPr>
            <w:tcW w:w="580" w:type="dxa"/>
            <w:vAlign w:val="bottom"/>
            <w:tcBorders>
              <w:bottom w:val="single" w:sz="8" w:color="DBDBDB"/>
            </w:tcBorders>
            <w:shd w:val="clear" w:color="auto" w:fill="DBDBDB"/>
          </w:tcPr>
          <w:p>
            <w:pPr>
              <w:jc w:val="right"/>
              <w:ind w:right="4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DBDBDB"/>
            </w:tcBorders>
            <w:shd w:val="clear" w:color="auto" w:fill="DBDBDB"/>
          </w:tcPr>
          <w:p>
            <w:pPr>
              <w:jc w:val="right"/>
              <w:ind w:right="208"/>
              <w:spacing w:after="0"/>
              <w:rPr>
                <w:sz w:val="20"/>
                <w:szCs w:val="20"/>
                <w:color w:val="auto"/>
              </w:rPr>
            </w:pPr>
            <w:r>
              <w:rPr>
                <w:rFonts w:ascii="Arial" w:cs="Arial" w:eastAsia="Arial" w:hAnsi="Arial"/>
                <w:sz w:val="14"/>
                <w:szCs w:val="14"/>
                <w:color w:val="auto"/>
              </w:rPr>
              <w:t>2.3</w:t>
            </w:r>
          </w:p>
        </w:tc>
        <w:tc>
          <w:tcPr>
            <w:tcW w:w="1020" w:type="dxa"/>
            <w:vAlign w:val="bottom"/>
            <w:tcBorders>
              <w:bottom w:val="single" w:sz="8" w:color="DBDBDB"/>
            </w:tcBorders>
            <w:shd w:val="clear" w:color="auto" w:fill="DBDBDB"/>
          </w:tcPr>
          <w:p>
            <w:pPr>
              <w:jc w:val="right"/>
              <w:ind w:right="7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5.4</w:t>
            </w:r>
          </w:p>
        </w:tc>
        <w:tc>
          <w:tcPr>
            <w:tcW w:w="24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ind w:right="4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2.4</w:t>
            </w:r>
          </w:p>
        </w:tc>
        <w:tc>
          <w:tcPr>
            <w:tcW w:w="1000" w:type="dxa"/>
            <w:vAlign w:val="bottom"/>
            <w:tcBorders>
              <w:bottom w:val="single" w:sz="8" w:color="DBDBDB"/>
            </w:tcBorders>
            <w:shd w:val="clear" w:color="auto" w:fill="DBDBDB"/>
          </w:tcPr>
          <w:p>
            <w:pPr>
              <w:jc w:val="right"/>
              <w:ind w:right="7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3.7</w:t>
            </w:r>
          </w:p>
        </w:tc>
      </w:tr>
      <w:tr>
        <w:trPr>
          <w:trHeight w:val="203"/>
        </w:trPr>
        <w:tc>
          <w:tcPr>
            <w:tcW w:w="3760" w:type="dxa"/>
            <w:vAlign w:val="bottom"/>
          </w:tcPr>
          <w:p>
            <w:pPr>
              <w:spacing w:after="0"/>
              <w:rPr>
                <w:sz w:val="20"/>
                <w:szCs w:val="20"/>
                <w:color w:val="auto"/>
              </w:rPr>
            </w:pPr>
            <w:r>
              <w:rPr>
                <w:rFonts w:ascii="Arial" w:cs="Arial" w:eastAsia="Arial" w:hAnsi="Arial"/>
                <w:sz w:val="14"/>
                <w:szCs w:val="14"/>
                <w:color w:val="auto"/>
              </w:rPr>
              <w:t>Effective tax rate</w:t>
            </w:r>
          </w:p>
        </w:tc>
        <w:tc>
          <w:tcPr>
            <w:tcW w:w="5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27.1 %</w:t>
            </w:r>
          </w:p>
        </w:tc>
        <w:tc>
          <w:tcPr>
            <w:tcW w:w="10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23.2 %</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(35.8)%</w:t>
            </w:r>
          </w:p>
        </w:tc>
        <w:tc>
          <w:tcPr>
            <w:tcW w:w="1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34.9 %</w:t>
            </w:r>
          </w:p>
        </w:tc>
      </w:tr>
      <w:tr>
        <w:trPr>
          <w:trHeight w:val="25"/>
        </w:trPr>
        <w:tc>
          <w:tcPr>
            <w:tcW w:w="3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85" w:lineRule="exact"/>
        <w:rPr>
          <w:sz w:val="20"/>
          <w:szCs w:val="20"/>
          <w:color w:val="auto"/>
        </w:rPr>
      </w:pPr>
    </w:p>
    <w:p>
      <w:pPr>
        <w:jc w:val="both"/>
        <w:ind w:right="20" w:firstLine="645"/>
        <w:spacing w:after="0" w:line="268" w:lineRule="auto"/>
        <w:rPr>
          <w:sz w:val="20"/>
          <w:szCs w:val="20"/>
          <w:color w:val="auto"/>
        </w:rPr>
      </w:pPr>
      <w:r>
        <w:rPr>
          <w:rFonts w:ascii="Arial" w:cs="Arial" w:eastAsia="Arial" w:hAnsi="Arial"/>
          <w:sz w:val="16"/>
          <w:szCs w:val="16"/>
          <w:color w:val="auto"/>
        </w:rPr>
        <w:t>The provision for income tax decreased $3.1 million or 57% and $1.3 million or 35% in the three and nine months ended July 31, 2023, compared to the same periods last year, respectively. The decreases were primarily due to lower pretax income. Additionally, we experienced losses in jurisdictions where either a full valuation allowance has been recorded or where loss carryforward is disallowed.</w:t>
      </w:r>
    </w:p>
    <w:p>
      <w:pPr>
        <w:spacing w:after="0" w:line="176" w:lineRule="exact"/>
        <w:rPr>
          <w:sz w:val="20"/>
          <w:szCs w:val="20"/>
          <w:color w:val="auto"/>
        </w:rPr>
      </w:pPr>
    </w:p>
    <w:p>
      <w:pPr>
        <w:jc w:val="both"/>
        <w:ind w:right="40" w:firstLine="645"/>
        <w:spacing w:after="0" w:line="291" w:lineRule="auto"/>
        <w:rPr>
          <w:sz w:val="20"/>
          <w:szCs w:val="20"/>
          <w:color w:val="auto"/>
        </w:rPr>
      </w:pPr>
      <w:r>
        <w:rPr>
          <w:rFonts w:ascii="Arial" w:cs="Arial" w:eastAsia="Arial" w:hAnsi="Arial"/>
          <w:sz w:val="16"/>
          <w:szCs w:val="16"/>
          <w:color w:val="auto"/>
        </w:rPr>
        <w:t>Additionally, the provision for income tax in the nine months ended July 31, 2023 contained a $1.7 million discrete charge related to an uncertain tax position in Mexico.</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Results of Operations</w:t>
      </w:r>
    </w:p>
    <w:p>
      <w:pPr>
        <w:spacing w:after="0" w:line="244" w:lineRule="exact"/>
        <w:rPr>
          <w:sz w:val="20"/>
          <w:szCs w:val="20"/>
          <w:color w:val="auto"/>
        </w:rPr>
      </w:pPr>
    </w:p>
    <w:p>
      <w:pPr>
        <w:ind w:firstLine="645"/>
        <w:spacing w:after="0" w:line="260" w:lineRule="auto"/>
        <w:rPr>
          <w:sz w:val="20"/>
          <w:szCs w:val="20"/>
          <w:color w:val="auto"/>
        </w:rPr>
      </w:pPr>
      <w:r>
        <w:rPr>
          <w:rFonts w:ascii="Arial" w:cs="Arial" w:eastAsia="Arial" w:hAnsi="Arial"/>
          <w:sz w:val="16"/>
          <w:szCs w:val="16"/>
          <w:color w:val="auto"/>
        </w:rPr>
        <w:t>Our CEO evaluates and monitors segment performance primarily through segment sales and segment adjusted earnings before interest expense, income taxes and depreciation and amortization (“adjusted EBITDA”).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pacing w:after="0" w:line="184" w:lineRule="exact"/>
        <w:rPr>
          <w:sz w:val="20"/>
          <w:szCs w:val="20"/>
          <w:color w:val="auto"/>
        </w:rPr>
      </w:pPr>
    </w:p>
    <w:p>
      <w:pPr>
        <w:ind w:right="40" w:firstLine="645"/>
        <w:spacing w:after="0" w:line="261" w:lineRule="auto"/>
        <w:rPr>
          <w:sz w:val="20"/>
          <w:szCs w:val="20"/>
          <w:color w:val="auto"/>
        </w:rPr>
      </w:pPr>
      <w:r>
        <w:rPr>
          <w:rFonts w:ascii="Arial" w:cs="Arial" w:eastAsia="Arial" w:hAnsi="Arial"/>
          <w:sz w:val="16"/>
          <w:szCs w:val="16"/>
          <w:color w:val="auto"/>
        </w:rPr>
        <w:t>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certain noncash and nonrecurring ERP costs, transaction costs, amortization of inventory adjustments recognized from business combinations, and any special, non-recurring, or one-time items such as remeasurements or impairments, and any portion of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the noncontrolling interest, all of which are excluded from the results the CEO reviews uses to assess segment performance and results.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b w:val="1"/>
                <w:bCs w:val="1"/>
                <w:color w:val="auto"/>
              </w:rPr>
              <w:t>Marketing and</w:t>
            </w:r>
          </w:p>
        </w:tc>
        <w:tc>
          <w:tcPr>
            <w:tcW w:w="280" w:type="dxa"/>
            <w:vAlign w:val="bottom"/>
          </w:tcPr>
          <w:p>
            <w:pPr>
              <w:spacing w:after="0"/>
              <w:rPr>
                <w:sz w:val="10"/>
                <w:szCs w:val="10"/>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b w:val="1"/>
                <w:bCs w:val="1"/>
                <w:color w:val="auto"/>
              </w:rPr>
              <w:t>International</w:t>
            </w: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b w:val="1"/>
                <w:bCs w:val="1"/>
                <w:color w:val="auto"/>
              </w:rPr>
              <w:t>Marketing and</w:t>
            </w:r>
          </w:p>
        </w:tc>
        <w:tc>
          <w:tcPr>
            <w:tcW w:w="300" w:type="dxa"/>
            <w:vAlign w:val="bottom"/>
          </w:tcPr>
          <w:p>
            <w:pPr>
              <w:spacing w:after="0"/>
              <w:rPr>
                <w:sz w:val="10"/>
                <w:szCs w:val="10"/>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b w:val="1"/>
                <w:bCs w:val="1"/>
                <w:color w:val="auto"/>
              </w:rPr>
              <w:t>International</w:t>
            </w: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b w:val="1"/>
                <w:bCs w:val="1"/>
                <w:color w:val="auto"/>
              </w:rPr>
              <w:t>Distribution</w:t>
            </w:r>
          </w:p>
        </w:tc>
        <w:tc>
          <w:tcPr>
            <w:tcW w:w="280" w:type="dxa"/>
            <w:vAlign w:val="bottom"/>
          </w:tcPr>
          <w:p>
            <w:pPr>
              <w:spacing w:after="0"/>
              <w:rPr>
                <w:sz w:val="12"/>
                <w:szCs w:val="12"/>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b w:val="1"/>
                <w:bCs w:val="1"/>
                <w:color w:val="auto"/>
              </w:rPr>
              <w:t>Farming</w:t>
            </w:r>
          </w:p>
        </w:tc>
        <w:tc>
          <w:tcPr>
            <w:tcW w:w="32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b w:val="1"/>
                <w:bCs w:val="1"/>
                <w:color w:val="auto"/>
              </w:rPr>
              <w:t>Blueberries</w:t>
            </w:r>
          </w:p>
        </w:tc>
        <w:tc>
          <w:tcPr>
            <w:tcW w:w="420" w:type="dxa"/>
            <w:vAlign w:val="bottom"/>
          </w:tcPr>
          <w:p>
            <w:pPr>
              <w:spacing w:after="0"/>
              <w:rPr>
                <w:sz w:val="12"/>
                <w:szCs w:val="12"/>
                <w:color w:val="auto"/>
              </w:rPr>
            </w:pPr>
          </w:p>
        </w:tc>
        <w:tc>
          <w:tcPr>
            <w:tcW w:w="920" w:type="dxa"/>
            <w:vAlign w:val="bottom"/>
            <w:gridSpan w:val="2"/>
          </w:tcPr>
          <w:p>
            <w:pPr>
              <w:ind w:left="400"/>
              <w:spacing w:after="0"/>
              <w:rPr>
                <w:sz w:val="20"/>
                <w:szCs w:val="20"/>
                <w:color w:val="auto"/>
              </w:rPr>
            </w:pPr>
            <w:r>
              <w:rPr>
                <w:rFonts w:ascii="Arial" w:cs="Arial" w:eastAsia="Arial" w:hAnsi="Arial"/>
                <w:sz w:val="11"/>
                <w:szCs w:val="11"/>
                <w:b w:val="1"/>
                <w:bCs w:val="1"/>
                <w:color w:val="auto"/>
              </w:rPr>
              <w:t>Total</w:t>
            </w:r>
          </w:p>
        </w:tc>
        <w:tc>
          <w:tcPr>
            <w:tcW w:w="160" w:type="dxa"/>
            <w:vAlign w:val="bottom"/>
          </w:tcPr>
          <w:p>
            <w:pPr>
              <w:spacing w:after="0"/>
              <w:rPr>
                <w:sz w:val="12"/>
                <w:szCs w:val="12"/>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b w:val="1"/>
                <w:bCs w:val="1"/>
                <w:color w:val="auto"/>
              </w:rPr>
              <w:t>Distribution</w:t>
            </w:r>
          </w:p>
        </w:tc>
        <w:tc>
          <w:tcPr>
            <w:tcW w:w="300" w:type="dxa"/>
            <w:vAlign w:val="bottom"/>
          </w:tcPr>
          <w:p>
            <w:pPr>
              <w:spacing w:after="0"/>
              <w:rPr>
                <w:sz w:val="12"/>
                <w:szCs w:val="12"/>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b w:val="1"/>
                <w:bCs w:val="1"/>
                <w:color w:val="auto"/>
              </w:rPr>
              <w:t>Farming</w:t>
            </w:r>
          </w:p>
        </w:tc>
        <w:tc>
          <w:tcPr>
            <w:tcW w:w="320" w:type="dxa"/>
            <w:vAlign w:val="bottom"/>
          </w:tcPr>
          <w:p>
            <w:pPr>
              <w:spacing w:after="0"/>
              <w:rPr>
                <w:sz w:val="12"/>
                <w:szCs w:val="12"/>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b w:val="1"/>
                <w:bCs w:val="1"/>
                <w:color w:val="auto"/>
              </w:rPr>
              <w:t>Blueberries</w:t>
            </w:r>
          </w:p>
        </w:tc>
        <w:tc>
          <w:tcPr>
            <w:tcW w:w="4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0" w:type="dxa"/>
            <w:vAlign w:val="bottom"/>
            <w:gridSpan w:val="4"/>
          </w:tcPr>
          <w:p>
            <w:pPr>
              <w:jc w:val="right"/>
              <w:ind w:right="626"/>
              <w:spacing w:after="0"/>
              <w:rPr>
                <w:sz w:val="20"/>
                <w:szCs w:val="20"/>
                <w:color w:val="auto"/>
              </w:rPr>
            </w:pPr>
            <w:r>
              <w:rPr>
                <w:rFonts w:ascii="Arial" w:cs="Arial" w:eastAsia="Arial" w:hAnsi="Arial"/>
                <w:sz w:val="11"/>
                <w:szCs w:val="11"/>
                <w:b w:val="1"/>
                <w:bCs w:val="1"/>
                <w:color w:val="auto"/>
              </w:rPr>
              <w:t>Three Months Ended</w:t>
            </w: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3"/>
          </w:tcPr>
          <w:p>
            <w:pPr>
              <w:jc w:val="right"/>
              <w:ind w:right="52"/>
              <w:spacing w:after="0"/>
              <w:rPr>
                <w:sz w:val="20"/>
                <w:szCs w:val="20"/>
                <w:color w:val="auto"/>
              </w:rPr>
            </w:pPr>
            <w:r>
              <w:rPr>
                <w:rFonts w:ascii="Arial" w:cs="Arial" w:eastAsia="Arial" w:hAnsi="Arial"/>
                <w:sz w:val="11"/>
                <w:szCs w:val="11"/>
                <w:b w:val="1"/>
                <w:bCs w:val="1"/>
                <w:color w:val="auto"/>
              </w:rPr>
              <w:t>July 31,</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900" w:type="dxa"/>
            <w:vAlign w:val="bottom"/>
            <w:vMerge w:val="restart"/>
          </w:tcPr>
          <w:p>
            <w:pPr>
              <w:ind w:left="20"/>
              <w:spacing w:after="0"/>
              <w:rPr>
                <w:sz w:val="20"/>
                <w:szCs w:val="20"/>
                <w:color w:val="auto"/>
              </w:rPr>
            </w:pPr>
            <w:r>
              <w:rPr>
                <w:rFonts w:ascii="Arial" w:cs="Arial" w:eastAsia="Arial" w:hAnsi="Arial"/>
                <w:sz w:val="11"/>
                <w:szCs w:val="11"/>
                <w:color w:val="auto"/>
              </w:rPr>
              <w:t>(In millions)</w:t>
            </w: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1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ind w:right="146"/>
              <w:spacing w:after="0"/>
              <w:rPr>
                <w:sz w:val="20"/>
                <w:szCs w:val="20"/>
                <w:color w:val="auto"/>
              </w:rPr>
            </w:pPr>
            <w:r>
              <w:rPr>
                <w:rFonts w:ascii="Arial" w:cs="Arial" w:eastAsia="Arial" w:hAnsi="Arial"/>
                <w:sz w:val="11"/>
                <w:szCs w:val="11"/>
                <w:b w:val="1"/>
                <w:bCs w:val="1"/>
                <w:color w:val="auto"/>
              </w:rPr>
              <w:t>2023</w:t>
            </w: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Third party sales</w:t>
            </w:r>
          </w:p>
        </w:tc>
        <w:tc>
          <w:tcPr>
            <w:tcW w:w="16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256.6</w:t>
            </w:r>
          </w:p>
        </w:tc>
        <w:tc>
          <w:tcPr>
            <w:tcW w:w="2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3.4</w:t>
            </w:r>
          </w:p>
        </w:tc>
        <w:tc>
          <w:tcPr>
            <w:tcW w:w="32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1.4</w:t>
            </w:r>
          </w:p>
        </w:tc>
        <w:tc>
          <w:tcPr>
            <w:tcW w:w="420" w:type="dxa"/>
            <w:vAlign w:val="bottom"/>
            <w:tcBorders>
              <w:bottom w:val="single" w:sz="8" w:color="DBDBDB"/>
            </w:tcBorders>
            <w:shd w:val="clear" w:color="auto" w:fill="DBDBDB"/>
          </w:tcPr>
          <w:p>
            <w:pPr>
              <w:jc w:val="right"/>
              <w:ind w:right="22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261.4</w:t>
            </w:r>
          </w:p>
        </w:tc>
        <w:tc>
          <w:tcPr>
            <w:tcW w:w="26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308.9</w:t>
            </w:r>
          </w:p>
        </w:tc>
        <w:tc>
          <w:tcPr>
            <w:tcW w:w="30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4.0</w:t>
            </w:r>
          </w:p>
        </w:tc>
        <w:tc>
          <w:tcPr>
            <w:tcW w:w="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0.3</w:t>
            </w:r>
          </w:p>
        </w:tc>
        <w:tc>
          <w:tcPr>
            <w:tcW w:w="460" w:type="dxa"/>
            <w:vAlign w:val="bottom"/>
            <w:tcBorders>
              <w:bottom w:val="single" w:sz="8" w:color="DBDBDB"/>
            </w:tcBorders>
            <w:shd w:val="clear" w:color="auto" w:fill="DBDBDB"/>
          </w:tcPr>
          <w:p>
            <w:pPr>
              <w:jc w:val="right"/>
              <w:ind w:right="24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313.2</w:t>
            </w:r>
          </w:p>
        </w:tc>
        <w:tc>
          <w:tcPr>
            <w:tcW w:w="0" w:type="dxa"/>
            <w:vAlign w:val="bottom"/>
          </w:tcPr>
          <w:p>
            <w:pPr>
              <w:spacing w:after="0"/>
              <w:rPr>
                <w:sz w:val="1"/>
                <w:szCs w:val="1"/>
                <w:color w:val="auto"/>
              </w:rPr>
            </w:pPr>
          </w:p>
        </w:tc>
      </w:tr>
      <w:tr>
        <w:trPr>
          <w:trHeight w:val="153"/>
        </w:trPr>
        <w:tc>
          <w:tcPr>
            <w:tcW w:w="1900" w:type="dxa"/>
            <w:vAlign w:val="bottom"/>
          </w:tcPr>
          <w:p>
            <w:pPr>
              <w:ind w:left="20"/>
              <w:spacing w:after="0"/>
              <w:rPr>
                <w:sz w:val="20"/>
                <w:szCs w:val="20"/>
                <w:color w:val="auto"/>
              </w:rPr>
            </w:pPr>
            <w:r>
              <w:rPr>
                <w:rFonts w:ascii="Arial" w:cs="Arial" w:eastAsia="Arial" w:hAnsi="Arial"/>
                <w:sz w:val="11"/>
                <w:szCs w:val="11"/>
                <w:color w:val="auto"/>
              </w:rPr>
              <w:t>Affiliated sales</w:t>
            </w:r>
          </w:p>
        </w:tc>
        <w:tc>
          <w:tcPr>
            <w:tcW w:w="160" w:type="dxa"/>
            <w:vAlign w:val="bottom"/>
          </w:tcPr>
          <w:p>
            <w:pPr>
              <w:spacing w:after="0"/>
              <w:rPr>
                <w:sz w:val="13"/>
                <w:szCs w:val="13"/>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34.8</w:t>
            </w:r>
          </w:p>
        </w:tc>
        <w:tc>
          <w:tcPr>
            <w:tcW w:w="320" w:type="dxa"/>
            <w:vAlign w:val="bottom"/>
          </w:tcPr>
          <w:p>
            <w:pPr>
              <w:spacing w:after="0"/>
              <w:rPr>
                <w:sz w:val="13"/>
                <w:szCs w:val="13"/>
                <w:color w:val="auto"/>
              </w:rPr>
            </w:pP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34.8</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60.6</w:t>
            </w:r>
          </w:p>
        </w:tc>
        <w:tc>
          <w:tcPr>
            <w:tcW w:w="320" w:type="dxa"/>
            <w:vAlign w:val="bottom"/>
          </w:tcPr>
          <w:p>
            <w:pPr>
              <w:spacing w:after="0"/>
              <w:rPr>
                <w:sz w:val="13"/>
                <w:szCs w:val="13"/>
                <w:color w:val="auto"/>
              </w:rPr>
            </w:pP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60.6</w:t>
            </w:r>
          </w:p>
        </w:tc>
        <w:tc>
          <w:tcPr>
            <w:tcW w:w="0" w:type="dxa"/>
            <w:vAlign w:val="bottom"/>
          </w:tcPr>
          <w:p>
            <w:pPr>
              <w:spacing w:after="0"/>
              <w:rPr>
                <w:sz w:val="1"/>
                <w:szCs w:val="1"/>
                <w:color w:val="auto"/>
              </w:rPr>
            </w:pPr>
          </w:p>
        </w:tc>
      </w:tr>
      <w:tr>
        <w:trPr>
          <w:trHeight w:val="35"/>
        </w:trPr>
        <w:tc>
          <w:tcPr>
            <w:tcW w:w="1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Total segment sales</w:t>
            </w:r>
          </w:p>
        </w:tc>
        <w:tc>
          <w:tcPr>
            <w:tcW w:w="16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256.6</w:t>
            </w:r>
          </w:p>
        </w:tc>
        <w:tc>
          <w:tcPr>
            <w:tcW w:w="28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38.2</w:t>
            </w:r>
          </w:p>
        </w:tc>
        <w:tc>
          <w:tcPr>
            <w:tcW w:w="320" w:type="dxa"/>
            <w:vAlign w:val="bottom"/>
            <w:tcBorders>
              <w:bottom w:val="single" w:sz="8" w:color="DBDBDB"/>
            </w:tcBorders>
            <w:shd w:val="clear" w:color="auto" w:fill="DBDBDB"/>
          </w:tcPr>
          <w:p>
            <w:pPr>
              <w:spacing w:after="0"/>
              <w:rPr>
                <w:sz w:val="14"/>
                <w:szCs w:val="14"/>
                <w:color w:val="auto"/>
              </w:rPr>
            </w:pPr>
          </w:p>
        </w:tc>
        <w:tc>
          <w:tcPr>
            <w:tcW w:w="86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1.4</w:t>
            </w:r>
          </w:p>
        </w:tc>
        <w:tc>
          <w:tcPr>
            <w:tcW w:w="420" w:type="dxa"/>
            <w:vAlign w:val="bottom"/>
            <w:tcBorders>
              <w:bottom w:val="single" w:sz="8" w:color="DBDBDB"/>
            </w:tcBorders>
            <w:shd w:val="clear" w:color="auto" w:fill="DBDBDB"/>
          </w:tcPr>
          <w:p>
            <w:pPr>
              <w:spacing w:after="0"/>
              <w:rPr>
                <w:sz w:val="14"/>
                <w:szCs w:val="14"/>
                <w:color w:val="auto"/>
              </w:rPr>
            </w:pPr>
          </w:p>
        </w:tc>
        <w:tc>
          <w:tcPr>
            <w:tcW w:w="66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296.2</w:t>
            </w:r>
          </w:p>
        </w:tc>
        <w:tc>
          <w:tcPr>
            <w:tcW w:w="26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308.9</w:t>
            </w:r>
          </w:p>
        </w:tc>
        <w:tc>
          <w:tcPr>
            <w:tcW w:w="3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64.6</w:t>
            </w:r>
          </w:p>
        </w:tc>
        <w:tc>
          <w:tcPr>
            <w:tcW w:w="32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0.3</w:t>
            </w:r>
          </w:p>
        </w:tc>
        <w:tc>
          <w:tcPr>
            <w:tcW w:w="460" w:type="dxa"/>
            <w:vAlign w:val="bottom"/>
            <w:tcBorders>
              <w:bottom w:val="single" w:sz="8" w:color="DBDBDB"/>
            </w:tcBorders>
            <w:shd w:val="clear" w:color="auto" w:fill="DBDBDB"/>
          </w:tcPr>
          <w:p>
            <w:pPr>
              <w:spacing w:after="0"/>
              <w:rPr>
                <w:sz w:val="14"/>
                <w:szCs w:val="14"/>
                <w:color w:val="auto"/>
              </w:rPr>
            </w:pPr>
          </w:p>
        </w:tc>
        <w:tc>
          <w:tcPr>
            <w:tcW w:w="64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373.8</w:t>
            </w:r>
          </w:p>
        </w:tc>
        <w:tc>
          <w:tcPr>
            <w:tcW w:w="0" w:type="dxa"/>
            <w:vAlign w:val="bottom"/>
          </w:tcPr>
          <w:p>
            <w:pPr>
              <w:spacing w:after="0"/>
              <w:rPr>
                <w:sz w:val="1"/>
                <w:szCs w:val="1"/>
                <w:color w:val="auto"/>
              </w:rPr>
            </w:pPr>
          </w:p>
        </w:tc>
      </w:tr>
      <w:tr>
        <w:trPr>
          <w:trHeight w:val="153"/>
        </w:trPr>
        <w:tc>
          <w:tcPr>
            <w:tcW w:w="1900" w:type="dxa"/>
            <w:vAlign w:val="bottom"/>
          </w:tcPr>
          <w:p>
            <w:pPr>
              <w:ind w:left="20"/>
              <w:spacing w:after="0"/>
              <w:rPr>
                <w:sz w:val="20"/>
                <w:szCs w:val="20"/>
                <w:color w:val="auto"/>
              </w:rPr>
            </w:pPr>
            <w:r>
              <w:rPr>
                <w:rFonts w:ascii="Arial" w:cs="Arial" w:eastAsia="Arial" w:hAnsi="Arial"/>
                <w:sz w:val="11"/>
                <w:szCs w:val="11"/>
                <w:color w:val="auto"/>
              </w:rPr>
              <w:t>Intercompany eliminations</w:t>
            </w:r>
          </w:p>
        </w:tc>
        <w:tc>
          <w:tcPr>
            <w:tcW w:w="160" w:type="dxa"/>
            <w:vAlign w:val="bottom"/>
          </w:tcPr>
          <w:p>
            <w:pPr>
              <w:spacing w:after="0"/>
              <w:rPr>
                <w:sz w:val="13"/>
                <w:szCs w:val="13"/>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(34.8)</w:t>
            </w:r>
          </w:p>
        </w:tc>
        <w:tc>
          <w:tcPr>
            <w:tcW w:w="320" w:type="dxa"/>
            <w:vAlign w:val="bottom"/>
          </w:tcPr>
          <w:p>
            <w:pPr>
              <w:spacing w:after="0"/>
              <w:rPr>
                <w:sz w:val="13"/>
                <w:szCs w:val="13"/>
                <w:color w:val="auto"/>
              </w:rPr>
            </w:pP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(34.8)</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(60.6)</w:t>
            </w:r>
          </w:p>
        </w:tc>
        <w:tc>
          <w:tcPr>
            <w:tcW w:w="320" w:type="dxa"/>
            <w:vAlign w:val="bottom"/>
          </w:tcPr>
          <w:p>
            <w:pPr>
              <w:spacing w:after="0"/>
              <w:rPr>
                <w:sz w:val="13"/>
                <w:szCs w:val="13"/>
                <w:color w:val="auto"/>
              </w:rPr>
            </w:pP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(60.6)</w:t>
            </w:r>
          </w:p>
        </w:tc>
        <w:tc>
          <w:tcPr>
            <w:tcW w:w="0" w:type="dxa"/>
            <w:vAlign w:val="bottom"/>
          </w:tcPr>
          <w:p>
            <w:pPr>
              <w:spacing w:after="0"/>
              <w:rPr>
                <w:sz w:val="1"/>
                <w:szCs w:val="1"/>
                <w:color w:val="auto"/>
              </w:rPr>
            </w:pPr>
          </w:p>
        </w:tc>
      </w:tr>
      <w:tr>
        <w:trPr>
          <w:trHeight w:val="35"/>
        </w:trPr>
        <w:tc>
          <w:tcPr>
            <w:tcW w:w="1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Total net sales</w:t>
            </w:r>
          </w:p>
        </w:tc>
        <w:tc>
          <w:tcPr>
            <w:tcW w:w="16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256.6</w:t>
            </w:r>
          </w:p>
        </w:tc>
        <w:tc>
          <w:tcPr>
            <w:tcW w:w="2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3.4</w:t>
            </w:r>
          </w:p>
        </w:tc>
        <w:tc>
          <w:tcPr>
            <w:tcW w:w="32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1.4</w:t>
            </w:r>
          </w:p>
        </w:tc>
        <w:tc>
          <w:tcPr>
            <w:tcW w:w="420" w:type="dxa"/>
            <w:vAlign w:val="bottom"/>
            <w:tcBorders>
              <w:bottom w:val="single" w:sz="8" w:color="DBDBDB"/>
            </w:tcBorders>
            <w:shd w:val="clear" w:color="auto" w:fill="DBDBDB"/>
          </w:tcPr>
          <w:p>
            <w:pPr>
              <w:jc w:val="right"/>
              <w:ind w:right="22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261.4</w:t>
            </w:r>
          </w:p>
        </w:tc>
        <w:tc>
          <w:tcPr>
            <w:tcW w:w="26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308.9</w:t>
            </w:r>
          </w:p>
        </w:tc>
        <w:tc>
          <w:tcPr>
            <w:tcW w:w="30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4.0</w:t>
            </w:r>
          </w:p>
        </w:tc>
        <w:tc>
          <w:tcPr>
            <w:tcW w:w="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0.3</w:t>
            </w:r>
          </w:p>
        </w:tc>
        <w:tc>
          <w:tcPr>
            <w:tcW w:w="460" w:type="dxa"/>
            <w:vAlign w:val="bottom"/>
            <w:tcBorders>
              <w:bottom w:val="single" w:sz="8" w:color="DBDBDB"/>
            </w:tcBorders>
            <w:shd w:val="clear" w:color="auto" w:fill="DBDBDB"/>
          </w:tcPr>
          <w:p>
            <w:pPr>
              <w:jc w:val="right"/>
              <w:ind w:right="24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313.2</w:t>
            </w:r>
          </w:p>
        </w:tc>
        <w:tc>
          <w:tcPr>
            <w:tcW w:w="0" w:type="dxa"/>
            <w:vAlign w:val="bottom"/>
          </w:tcPr>
          <w:p>
            <w:pPr>
              <w:spacing w:after="0"/>
              <w:rPr>
                <w:sz w:val="1"/>
                <w:szCs w:val="1"/>
                <w:color w:val="auto"/>
              </w:rPr>
            </w:pPr>
          </w:p>
        </w:tc>
      </w:tr>
      <w:tr>
        <w:trPr>
          <w:trHeight w:val="126"/>
        </w:trPr>
        <w:tc>
          <w:tcPr>
            <w:tcW w:w="19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0" w:type="dxa"/>
            <w:vAlign w:val="bottom"/>
            <w:tcBorders>
              <w:top w:val="single" w:sz="8" w:color="auto"/>
            </w:tcBorders>
            <w:gridSpan w:val="4"/>
          </w:tcPr>
          <w:p>
            <w:pPr>
              <w:jc w:val="right"/>
              <w:ind w:right="646"/>
              <w:spacing w:after="0"/>
              <w:rPr>
                <w:sz w:val="20"/>
                <w:szCs w:val="20"/>
                <w:color w:val="auto"/>
              </w:rPr>
            </w:pPr>
            <w:r>
              <w:rPr>
                <w:rFonts w:ascii="Arial" w:cs="Arial" w:eastAsia="Arial" w:hAnsi="Arial"/>
                <w:sz w:val="11"/>
                <w:szCs w:val="11"/>
                <w:b w:val="1"/>
                <w:bCs w:val="1"/>
                <w:color w:val="auto"/>
              </w:rPr>
              <w:t>Nine Months Ended</w:t>
            </w: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3"/>
          </w:tcPr>
          <w:p>
            <w:pPr>
              <w:jc w:val="right"/>
              <w:ind w:right="52"/>
              <w:spacing w:after="0"/>
              <w:rPr>
                <w:sz w:val="20"/>
                <w:szCs w:val="20"/>
                <w:color w:val="auto"/>
              </w:rPr>
            </w:pPr>
            <w:r>
              <w:rPr>
                <w:rFonts w:ascii="Arial" w:cs="Arial" w:eastAsia="Arial" w:hAnsi="Arial"/>
                <w:sz w:val="11"/>
                <w:szCs w:val="11"/>
                <w:b w:val="1"/>
                <w:bCs w:val="1"/>
                <w:color w:val="auto"/>
              </w:rPr>
              <w:t>July 31,</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ind w:right="146"/>
              <w:spacing w:after="0"/>
              <w:rPr>
                <w:sz w:val="20"/>
                <w:szCs w:val="20"/>
                <w:color w:val="auto"/>
              </w:rPr>
            </w:pPr>
            <w:r>
              <w:rPr>
                <w:rFonts w:ascii="Arial" w:cs="Arial" w:eastAsia="Arial" w:hAnsi="Arial"/>
                <w:sz w:val="11"/>
                <w:szCs w:val="11"/>
                <w:b w:val="1"/>
                <w:bCs w:val="1"/>
                <w:color w:val="auto"/>
              </w:rPr>
              <w:t>2023</w:t>
            </w: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9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Third party sales</w:t>
            </w:r>
          </w:p>
        </w:tc>
        <w:tc>
          <w:tcPr>
            <w:tcW w:w="16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653.7</w:t>
            </w:r>
          </w:p>
        </w:tc>
        <w:tc>
          <w:tcPr>
            <w:tcW w:w="2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9.4</w:t>
            </w:r>
          </w:p>
        </w:tc>
        <w:tc>
          <w:tcPr>
            <w:tcW w:w="32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32.9</w:t>
            </w:r>
          </w:p>
        </w:tc>
        <w:tc>
          <w:tcPr>
            <w:tcW w:w="420" w:type="dxa"/>
            <w:vAlign w:val="bottom"/>
            <w:tcBorders>
              <w:bottom w:val="single" w:sz="8" w:color="DBDBDB"/>
            </w:tcBorders>
            <w:shd w:val="clear" w:color="auto" w:fill="DBDBDB"/>
          </w:tcPr>
          <w:p>
            <w:pPr>
              <w:jc w:val="right"/>
              <w:ind w:right="22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696.0</w:t>
            </w:r>
          </w:p>
        </w:tc>
        <w:tc>
          <w:tcPr>
            <w:tcW w:w="26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794.9</w:t>
            </w:r>
          </w:p>
        </w:tc>
        <w:tc>
          <w:tcPr>
            <w:tcW w:w="30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12.7</w:t>
            </w:r>
          </w:p>
        </w:tc>
        <w:tc>
          <w:tcPr>
            <w:tcW w:w="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0.3</w:t>
            </w:r>
          </w:p>
        </w:tc>
        <w:tc>
          <w:tcPr>
            <w:tcW w:w="460" w:type="dxa"/>
            <w:vAlign w:val="bottom"/>
            <w:tcBorders>
              <w:bottom w:val="single" w:sz="8" w:color="DBDBDB"/>
            </w:tcBorders>
            <w:shd w:val="clear" w:color="auto" w:fill="DBDBDB"/>
          </w:tcPr>
          <w:p>
            <w:pPr>
              <w:jc w:val="right"/>
              <w:ind w:right="24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807.9</w:t>
            </w:r>
          </w:p>
        </w:tc>
        <w:tc>
          <w:tcPr>
            <w:tcW w:w="0" w:type="dxa"/>
            <w:vAlign w:val="bottom"/>
          </w:tcPr>
          <w:p>
            <w:pPr>
              <w:spacing w:after="0"/>
              <w:rPr>
                <w:sz w:val="1"/>
                <w:szCs w:val="1"/>
                <w:color w:val="auto"/>
              </w:rPr>
            </w:pPr>
          </w:p>
        </w:tc>
      </w:tr>
      <w:tr>
        <w:trPr>
          <w:trHeight w:val="153"/>
        </w:trPr>
        <w:tc>
          <w:tcPr>
            <w:tcW w:w="1900" w:type="dxa"/>
            <w:vAlign w:val="bottom"/>
          </w:tcPr>
          <w:p>
            <w:pPr>
              <w:ind w:left="20"/>
              <w:spacing w:after="0"/>
              <w:rPr>
                <w:sz w:val="20"/>
                <w:szCs w:val="20"/>
                <w:color w:val="auto"/>
              </w:rPr>
            </w:pPr>
            <w:r>
              <w:rPr>
                <w:rFonts w:ascii="Arial" w:cs="Arial" w:eastAsia="Arial" w:hAnsi="Arial"/>
                <w:sz w:val="11"/>
                <w:szCs w:val="11"/>
                <w:color w:val="auto"/>
              </w:rPr>
              <w:t>Affiliated sales</w:t>
            </w:r>
          </w:p>
        </w:tc>
        <w:tc>
          <w:tcPr>
            <w:tcW w:w="160" w:type="dxa"/>
            <w:vAlign w:val="bottom"/>
          </w:tcPr>
          <w:p>
            <w:pPr>
              <w:spacing w:after="0"/>
              <w:rPr>
                <w:sz w:val="13"/>
                <w:szCs w:val="13"/>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40.5</w:t>
            </w:r>
          </w:p>
        </w:tc>
        <w:tc>
          <w:tcPr>
            <w:tcW w:w="320" w:type="dxa"/>
            <w:vAlign w:val="bottom"/>
          </w:tcPr>
          <w:p>
            <w:pPr>
              <w:spacing w:after="0"/>
              <w:rPr>
                <w:sz w:val="13"/>
                <w:szCs w:val="13"/>
                <w:color w:val="auto"/>
              </w:rPr>
            </w:pP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40.5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62.2</w:t>
            </w:r>
          </w:p>
        </w:tc>
        <w:tc>
          <w:tcPr>
            <w:tcW w:w="320" w:type="dxa"/>
            <w:vAlign w:val="bottom"/>
          </w:tcPr>
          <w:p>
            <w:pPr>
              <w:spacing w:after="0"/>
              <w:rPr>
                <w:sz w:val="13"/>
                <w:szCs w:val="13"/>
                <w:color w:val="auto"/>
              </w:rPr>
            </w:pP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62.2</w:t>
            </w:r>
          </w:p>
        </w:tc>
        <w:tc>
          <w:tcPr>
            <w:tcW w:w="0" w:type="dxa"/>
            <w:vAlign w:val="bottom"/>
          </w:tcPr>
          <w:p>
            <w:pPr>
              <w:spacing w:after="0"/>
              <w:rPr>
                <w:sz w:val="1"/>
                <w:szCs w:val="1"/>
                <w:color w:val="auto"/>
              </w:rPr>
            </w:pPr>
          </w:p>
        </w:tc>
      </w:tr>
      <w:tr>
        <w:trPr>
          <w:trHeight w:val="35"/>
        </w:trPr>
        <w:tc>
          <w:tcPr>
            <w:tcW w:w="1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Total segment sales</w:t>
            </w:r>
          </w:p>
        </w:tc>
        <w:tc>
          <w:tcPr>
            <w:tcW w:w="16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653.7</w:t>
            </w:r>
          </w:p>
        </w:tc>
        <w:tc>
          <w:tcPr>
            <w:tcW w:w="28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49.9</w:t>
            </w:r>
          </w:p>
        </w:tc>
        <w:tc>
          <w:tcPr>
            <w:tcW w:w="320" w:type="dxa"/>
            <w:vAlign w:val="bottom"/>
            <w:tcBorders>
              <w:bottom w:val="single" w:sz="8" w:color="DBDBDB"/>
            </w:tcBorders>
            <w:shd w:val="clear" w:color="auto" w:fill="DBDBDB"/>
          </w:tcPr>
          <w:p>
            <w:pPr>
              <w:spacing w:after="0"/>
              <w:rPr>
                <w:sz w:val="14"/>
                <w:szCs w:val="14"/>
                <w:color w:val="auto"/>
              </w:rPr>
            </w:pPr>
          </w:p>
        </w:tc>
        <w:tc>
          <w:tcPr>
            <w:tcW w:w="86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32.9</w:t>
            </w:r>
          </w:p>
        </w:tc>
        <w:tc>
          <w:tcPr>
            <w:tcW w:w="420" w:type="dxa"/>
            <w:vAlign w:val="bottom"/>
            <w:tcBorders>
              <w:bottom w:val="single" w:sz="8" w:color="DBDBDB"/>
            </w:tcBorders>
            <w:shd w:val="clear" w:color="auto" w:fill="DBDBDB"/>
          </w:tcPr>
          <w:p>
            <w:pPr>
              <w:spacing w:after="0"/>
              <w:rPr>
                <w:sz w:val="14"/>
                <w:szCs w:val="14"/>
                <w:color w:val="auto"/>
              </w:rPr>
            </w:pPr>
          </w:p>
        </w:tc>
        <w:tc>
          <w:tcPr>
            <w:tcW w:w="66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736.5</w:t>
            </w:r>
          </w:p>
        </w:tc>
        <w:tc>
          <w:tcPr>
            <w:tcW w:w="26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794.9</w:t>
            </w:r>
          </w:p>
        </w:tc>
        <w:tc>
          <w:tcPr>
            <w:tcW w:w="3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74.9</w:t>
            </w:r>
          </w:p>
        </w:tc>
        <w:tc>
          <w:tcPr>
            <w:tcW w:w="32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0.3</w:t>
            </w:r>
          </w:p>
        </w:tc>
        <w:tc>
          <w:tcPr>
            <w:tcW w:w="460" w:type="dxa"/>
            <w:vAlign w:val="bottom"/>
            <w:tcBorders>
              <w:bottom w:val="single" w:sz="8" w:color="DBDBDB"/>
            </w:tcBorders>
            <w:shd w:val="clear" w:color="auto" w:fill="DBDBDB"/>
          </w:tcPr>
          <w:p>
            <w:pPr>
              <w:spacing w:after="0"/>
              <w:rPr>
                <w:sz w:val="14"/>
                <w:szCs w:val="14"/>
                <w:color w:val="auto"/>
              </w:rPr>
            </w:pPr>
          </w:p>
        </w:tc>
        <w:tc>
          <w:tcPr>
            <w:tcW w:w="64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870.1</w:t>
            </w:r>
          </w:p>
        </w:tc>
        <w:tc>
          <w:tcPr>
            <w:tcW w:w="0" w:type="dxa"/>
            <w:vAlign w:val="bottom"/>
          </w:tcPr>
          <w:p>
            <w:pPr>
              <w:spacing w:after="0"/>
              <w:rPr>
                <w:sz w:val="1"/>
                <w:szCs w:val="1"/>
                <w:color w:val="auto"/>
              </w:rPr>
            </w:pPr>
          </w:p>
        </w:tc>
      </w:tr>
      <w:tr>
        <w:trPr>
          <w:trHeight w:val="153"/>
        </w:trPr>
        <w:tc>
          <w:tcPr>
            <w:tcW w:w="1900" w:type="dxa"/>
            <w:vAlign w:val="bottom"/>
          </w:tcPr>
          <w:p>
            <w:pPr>
              <w:ind w:left="20"/>
              <w:spacing w:after="0"/>
              <w:rPr>
                <w:sz w:val="20"/>
                <w:szCs w:val="20"/>
                <w:color w:val="auto"/>
              </w:rPr>
            </w:pPr>
            <w:r>
              <w:rPr>
                <w:rFonts w:ascii="Arial" w:cs="Arial" w:eastAsia="Arial" w:hAnsi="Arial"/>
                <w:sz w:val="11"/>
                <w:szCs w:val="11"/>
                <w:color w:val="auto"/>
              </w:rPr>
              <w:t>Intercompany eliminations</w:t>
            </w:r>
          </w:p>
        </w:tc>
        <w:tc>
          <w:tcPr>
            <w:tcW w:w="160" w:type="dxa"/>
            <w:vAlign w:val="bottom"/>
          </w:tcPr>
          <w:p>
            <w:pPr>
              <w:spacing w:after="0"/>
              <w:rPr>
                <w:sz w:val="13"/>
                <w:szCs w:val="13"/>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(40.5)</w:t>
            </w:r>
          </w:p>
        </w:tc>
        <w:tc>
          <w:tcPr>
            <w:tcW w:w="320" w:type="dxa"/>
            <w:vAlign w:val="bottom"/>
          </w:tcPr>
          <w:p>
            <w:pPr>
              <w:spacing w:after="0"/>
              <w:rPr>
                <w:sz w:val="13"/>
                <w:szCs w:val="13"/>
                <w:color w:val="auto"/>
              </w:rPr>
            </w:pP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(40.5)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(62.2)</w:t>
            </w:r>
          </w:p>
        </w:tc>
        <w:tc>
          <w:tcPr>
            <w:tcW w:w="320" w:type="dxa"/>
            <w:vAlign w:val="bottom"/>
          </w:tcPr>
          <w:p>
            <w:pPr>
              <w:spacing w:after="0"/>
              <w:rPr>
                <w:sz w:val="13"/>
                <w:szCs w:val="13"/>
                <w:color w:val="auto"/>
              </w:rPr>
            </w:pP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(62.2)</w:t>
            </w:r>
          </w:p>
        </w:tc>
        <w:tc>
          <w:tcPr>
            <w:tcW w:w="0" w:type="dxa"/>
            <w:vAlign w:val="bottom"/>
          </w:tcPr>
          <w:p>
            <w:pPr>
              <w:spacing w:after="0"/>
              <w:rPr>
                <w:sz w:val="1"/>
                <w:szCs w:val="1"/>
                <w:color w:val="auto"/>
              </w:rPr>
            </w:pPr>
          </w:p>
        </w:tc>
      </w:tr>
      <w:tr>
        <w:trPr>
          <w:trHeight w:val="35"/>
        </w:trPr>
        <w:tc>
          <w:tcPr>
            <w:tcW w:w="1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Total net sales</w:t>
            </w:r>
          </w:p>
        </w:tc>
        <w:tc>
          <w:tcPr>
            <w:tcW w:w="16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653.7</w:t>
            </w:r>
          </w:p>
        </w:tc>
        <w:tc>
          <w:tcPr>
            <w:tcW w:w="2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9.4</w:t>
            </w:r>
          </w:p>
        </w:tc>
        <w:tc>
          <w:tcPr>
            <w:tcW w:w="32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32.9</w:t>
            </w:r>
          </w:p>
        </w:tc>
        <w:tc>
          <w:tcPr>
            <w:tcW w:w="420" w:type="dxa"/>
            <w:vAlign w:val="bottom"/>
            <w:tcBorders>
              <w:bottom w:val="single" w:sz="8" w:color="DBDBDB"/>
            </w:tcBorders>
            <w:shd w:val="clear" w:color="auto" w:fill="DBDBDB"/>
          </w:tcPr>
          <w:p>
            <w:pPr>
              <w:jc w:val="right"/>
              <w:ind w:right="22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696.0</w:t>
            </w:r>
          </w:p>
        </w:tc>
        <w:tc>
          <w:tcPr>
            <w:tcW w:w="26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794.9</w:t>
            </w:r>
          </w:p>
        </w:tc>
        <w:tc>
          <w:tcPr>
            <w:tcW w:w="30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rPr>
              <w:t>12.7</w:t>
            </w:r>
          </w:p>
        </w:tc>
        <w:tc>
          <w:tcPr>
            <w:tcW w:w="32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0.3</w:t>
            </w:r>
          </w:p>
        </w:tc>
        <w:tc>
          <w:tcPr>
            <w:tcW w:w="460" w:type="dxa"/>
            <w:vAlign w:val="bottom"/>
            <w:tcBorders>
              <w:bottom w:val="single" w:sz="8" w:color="DBDBDB"/>
            </w:tcBorders>
            <w:shd w:val="clear" w:color="auto" w:fill="DBDBDB"/>
          </w:tcPr>
          <w:p>
            <w:pPr>
              <w:jc w:val="right"/>
              <w:ind w:right="24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807.9</w:t>
            </w: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Pr>
          <w:p>
            <w:pPr>
              <w:spacing w:after="0"/>
              <w:rPr>
                <w:sz w:val="15"/>
                <w:szCs w:val="15"/>
                <w:color w:val="auto"/>
              </w:rPr>
            </w:pPr>
          </w:p>
        </w:tc>
      </w:tr>
      <w:tr>
        <w:trPr>
          <w:trHeight w:val="208"/>
        </w:trPr>
        <w:tc>
          <w:tcPr>
            <w:tcW w:w="40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July 31,</w:t>
            </w: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628"/>
              <w:spacing w:after="0"/>
              <w:rPr>
                <w:sz w:val="20"/>
                <w:szCs w:val="20"/>
                <w:color w:val="auto"/>
              </w:rPr>
            </w:pPr>
            <w:r>
              <w:rPr>
                <w:rFonts w:ascii="Arial" w:cs="Arial" w:eastAsia="Arial" w:hAnsi="Arial"/>
                <w:sz w:val="14"/>
                <w:szCs w:val="14"/>
                <w:b w:val="1"/>
                <w:bCs w:val="1"/>
                <w:color w:val="auto"/>
              </w:rPr>
              <w:t>July 31,</w:t>
            </w:r>
          </w:p>
        </w:tc>
        <w:tc>
          <w:tcPr>
            <w:tcW w:w="700" w:type="dxa"/>
            <w:vAlign w:val="bottom"/>
            <w:tcBorders>
              <w:bottom w:val="single" w:sz="8" w:color="auto"/>
            </w:tcBorders>
          </w:tcPr>
          <w:p>
            <w:pPr>
              <w:spacing w:after="0"/>
              <w:rPr>
                <w:sz w:val="18"/>
                <w:szCs w:val="18"/>
                <w:color w:val="auto"/>
              </w:rPr>
            </w:pPr>
          </w:p>
        </w:tc>
      </w:tr>
      <w:tr>
        <w:trPr>
          <w:trHeight w:val="222"/>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r>
      <w:tr>
        <w:trPr>
          <w:trHeight w:val="208"/>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Marketing and Distribution adjusted EBITDA</w:t>
            </w:r>
          </w:p>
        </w:tc>
        <w:tc>
          <w:tcPr>
            <w:tcW w:w="560" w:type="dxa"/>
            <w:vAlign w:val="bottom"/>
            <w:tcBorders>
              <w:bottom w:val="single" w:sz="8" w:color="DBDBDB"/>
            </w:tcBorders>
            <w:shd w:val="clear" w:color="auto" w:fill="DBDBDB"/>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16.1</w:t>
            </w:r>
          </w:p>
        </w:tc>
        <w:tc>
          <w:tcPr>
            <w:tcW w:w="1000" w:type="dxa"/>
            <w:vAlign w:val="bottom"/>
            <w:tcBorders>
              <w:bottom w:val="single" w:sz="8" w:color="DBDBDB"/>
            </w:tcBorders>
            <w:shd w:val="clear" w:color="auto" w:fill="DBDBDB"/>
          </w:tcPr>
          <w:p>
            <w:pPr>
              <w:jc w:val="right"/>
              <w:ind w:right="7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15.5</w:t>
            </w: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29.3</w:t>
            </w:r>
          </w:p>
        </w:tc>
        <w:tc>
          <w:tcPr>
            <w:tcW w:w="980" w:type="dxa"/>
            <w:vAlign w:val="bottom"/>
            <w:tcBorders>
              <w:bottom w:val="single" w:sz="8" w:color="DBDBDB"/>
            </w:tcBorders>
            <w:shd w:val="clear" w:color="auto" w:fill="DBDBDB"/>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19.5</w:t>
            </w: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International Farming adjusted EBITDA</w:t>
            </w:r>
          </w:p>
        </w:tc>
        <w:tc>
          <w:tcPr>
            <w:tcW w:w="56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16.3</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5"/>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3"/>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Blueberries adjusted EBITDA</w:t>
            </w:r>
          </w:p>
        </w:tc>
        <w:tc>
          <w:tcPr>
            <w:tcW w:w="56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0.2</w:t>
            </w:r>
          </w:p>
        </w:tc>
        <w:tc>
          <w:tcPr>
            <w:tcW w:w="100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DBDBDB"/>
            </w:tcBorders>
            <w:shd w:val="clear" w:color="auto" w:fill="DBDBDB"/>
          </w:tcPr>
          <w:p>
            <w:pPr>
              <w:spacing w:after="0"/>
              <w:rPr>
                <w:sz w:val="19"/>
                <w:szCs w:val="19"/>
                <w:color w:val="auto"/>
              </w:rPr>
            </w:pPr>
          </w:p>
        </w:tc>
        <w:tc>
          <w:tcPr>
            <w:tcW w:w="58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(0.2)</w:t>
            </w:r>
          </w:p>
        </w:tc>
        <w:tc>
          <w:tcPr>
            <w:tcW w:w="980" w:type="dxa"/>
            <w:vAlign w:val="bottom"/>
            <w:tcBorders>
              <w:bottom w:val="single" w:sz="8" w:color="DBDBDB"/>
            </w:tcBorders>
            <w:shd w:val="clear" w:color="auto" w:fill="DBDBDB"/>
          </w:tcPr>
          <w:p>
            <w:pPr>
              <w:spacing w:after="0"/>
              <w:rPr>
                <w:sz w:val="19"/>
                <w:szCs w:val="19"/>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w:t>
            </w:r>
          </w:p>
        </w:tc>
      </w:tr>
      <w:tr>
        <w:trPr>
          <w:trHeight w:val="197"/>
        </w:trPr>
        <w:tc>
          <w:tcPr>
            <w:tcW w:w="4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reportable segment adjusted EBITDA</w:t>
            </w:r>
          </w:p>
        </w:tc>
        <w:tc>
          <w:tcPr>
            <w:tcW w:w="5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10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31.1</w:t>
            </w:r>
          </w:p>
        </w:tc>
        <w:tc>
          <w:tcPr>
            <w:tcW w:w="980" w:type="dxa"/>
            <w:vAlign w:val="bottom"/>
            <w:tcBorders>
              <w:top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30.4</w:t>
            </w:r>
          </w:p>
        </w:tc>
      </w:tr>
      <w:tr>
        <w:trPr>
          <w:trHeight w:val="25"/>
        </w:trPr>
        <w:tc>
          <w:tcPr>
            <w:tcW w:w="4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2"/>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(loss)</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6.2</w:t>
            </w:r>
          </w:p>
        </w:tc>
        <w:tc>
          <w:tcPr>
            <w:tcW w:w="10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17.9</w:t>
            </w:r>
          </w:p>
        </w:tc>
        <w:tc>
          <w:tcPr>
            <w:tcW w:w="26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(9.1)</w:t>
            </w:r>
          </w:p>
        </w:tc>
        <w:tc>
          <w:tcPr>
            <w:tcW w:w="98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6.9</w:t>
            </w: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56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8.3</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5"/>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8"/>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Provision for income taxes</w:t>
            </w:r>
          </w:p>
        </w:tc>
        <w:tc>
          <w:tcPr>
            <w:tcW w:w="56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2.3</w:t>
            </w:r>
          </w:p>
        </w:tc>
        <w:tc>
          <w:tcPr>
            <w:tcW w:w="100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5.4</w:t>
            </w: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2.4</w:t>
            </w:r>
          </w:p>
        </w:tc>
        <w:tc>
          <w:tcPr>
            <w:tcW w:w="98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3.7</w:t>
            </w: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9"/>
                <w:szCs w:val="9"/>
                <w:color w:val="auto"/>
              </w:rPr>
              <w:t>(1)</w:t>
            </w:r>
          </w:p>
        </w:tc>
        <w:tc>
          <w:tcPr>
            <w:tcW w:w="56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22.8</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17.2</w:t>
            </w:r>
          </w:p>
        </w:tc>
      </w:tr>
      <w:tr>
        <w:trPr>
          <w:trHeight w:val="25"/>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8"/>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56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(1.8)</w:t>
            </w:r>
          </w:p>
        </w:tc>
        <w:tc>
          <w:tcPr>
            <w:tcW w:w="100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(3.2)</w:t>
            </w:r>
          </w:p>
        </w:tc>
        <w:tc>
          <w:tcPr>
            <w:tcW w:w="98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(3.6</w:t>
            </w: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56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0.9</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5"/>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8"/>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Asset impairment and disposals, net of insurance recoveries</w:t>
            </w:r>
          </w:p>
        </w:tc>
        <w:tc>
          <w:tcPr>
            <w:tcW w:w="56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0.4</w:t>
            </w:r>
          </w:p>
        </w:tc>
        <w:tc>
          <w:tcPr>
            <w:tcW w:w="100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1.2</w:t>
            </w:r>
          </w:p>
        </w:tc>
        <w:tc>
          <w:tcPr>
            <w:tcW w:w="98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w:t>
            </w: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Farming costs for nonproductive orchards</w:t>
            </w:r>
          </w:p>
        </w:tc>
        <w:tc>
          <w:tcPr>
            <w:tcW w:w="56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0.3</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5"/>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8"/>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ERP costs</w:t>
            </w:r>
            <w:r>
              <w:rPr>
                <w:rFonts w:ascii="Arial" w:cs="Arial" w:eastAsia="Arial" w:hAnsi="Arial"/>
                <w:sz w:val="9"/>
                <w:szCs w:val="9"/>
                <w:color w:val="auto"/>
              </w:rPr>
              <w:t>(2)</w:t>
            </w:r>
          </w:p>
        </w:tc>
        <w:tc>
          <w:tcPr>
            <w:tcW w:w="56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0.6</w:t>
            </w:r>
          </w:p>
        </w:tc>
        <w:tc>
          <w:tcPr>
            <w:tcW w:w="100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1.7</w:t>
            </w:r>
          </w:p>
        </w:tc>
        <w:tc>
          <w:tcPr>
            <w:tcW w:w="98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3.8</w:t>
            </w: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56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0.3</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5"/>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6"/>
        </w:trPr>
        <w:tc>
          <w:tcPr>
            <w:tcW w:w="4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Amortization of inventory adjustment recognized from business</w:t>
            </w:r>
          </w:p>
        </w:tc>
        <w:tc>
          <w:tcPr>
            <w:tcW w:w="56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spacing w:after="0"/>
              <w:rPr>
                <w:sz w:val="17"/>
                <w:szCs w:val="17"/>
                <w:color w:val="auto"/>
              </w:rPr>
            </w:pPr>
          </w:p>
        </w:tc>
        <w:tc>
          <w:tcPr>
            <w:tcW w:w="1000" w:type="dxa"/>
            <w:vAlign w:val="bottom"/>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58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0.7</w:t>
            </w:r>
          </w:p>
        </w:tc>
        <w:tc>
          <w:tcPr>
            <w:tcW w:w="98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combination</w:t>
            </w:r>
          </w:p>
        </w:tc>
        <w:tc>
          <w:tcPr>
            <w:tcW w:w="56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700" w:type="dxa"/>
            <w:vAlign w:val="bottom"/>
            <w:tcBorders>
              <w:bottom w:val="single" w:sz="8" w:color="DBDBDB"/>
            </w:tcBorders>
            <w:shd w:val="clear" w:color="auto" w:fill="DBDBDB"/>
          </w:tcPr>
          <w:p>
            <w:pPr>
              <w:spacing w:after="0"/>
              <w:rPr>
                <w:sz w:val="16"/>
                <w:szCs w:val="16"/>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Remeasurement gain on business combination with Moruga</w:t>
            </w:r>
          </w:p>
        </w:tc>
        <w:tc>
          <w:tcPr>
            <w:tcW w:w="56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5"/>
        </w:trPr>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8"/>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expense (income)</w:t>
            </w:r>
          </w:p>
        </w:tc>
        <w:tc>
          <w:tcPr>
            <w:tcW w:w="56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1.1</w:t>
            </w:r>
          </w:p>
        </w:tc>
        <w:tc>
          <w:tcPr>
            <w:tcW w:w="100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1.3</w:t>
            </w:r>
          </w:p>
        </w:tc>
        <w:tc>
          <w:tcPr>
            <w:tcW w:w="98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(3.6</w:t>
            </w: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Noncontrolling interest</w:t>
            </w:r>
            <w:r>
              <w:rPr>
                <w:rFonts w:ascii="Arial" w:cs="Arial" w:eastAsia="Arial" w:hAnsi="Arial"/>
                <w:sz w:val="9"/>
                <w:szCs w:val="9"/>
                <w:color w:val="auto"/>
              </w:rPr>
              <w:t>(3)</w:t>
            </w:r>
          </w:p>
        </w:tc>
        <w:tc>
          <w:tcPr>
            <w:tcW w:w="5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5"/>
        </w:trPr>
        <w:tc>
          <w:tcPr>
            <w:tcW w:w="4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2"/>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adjusted EBITDA</w:t>
            </w:r>
          </w:p>
        </w:tc>
        <w:tc>
          <w:tcPr>
            <w:tcW w:w="560" w:type="dxa"/>
            <w:vAlign w:val="bottom"/>
            <w:tcBorders>
              <w:bottom w:val="single" w:sz="8" w:color="DBDBDB"/>
            </w:tcBorders>
            <w:shd w:val="clear" w:color="auto" w:fill="DBDBDB"/>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21.2</w:t>
            </w:r>
          </w:p>
        </w:tc>
        <w:tc>
          <w:tcPr>
            <w:tcW w:w="1000" w:type="dxa"/>
            <w:vAlign w:val="bottom"/>
            <w:tcBorders>
              <w:bottom w:val="single" w:sz="8" w:color="DBDBDB"/>
            </w:tcBorders>
            <w:shd w:val="clear" w:color="auto" w:fill="DBDBDB"/>
          </w:tcPr>
          <w:p>
            <w:pPr>
              <w:jc w:val="right"/>
              <w:ind w:right="7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31.6</w:t>
            </w:r>
          </w:p>
        </w:tc>
        <w:tc>
          <w:tcPr>
            <w:tcW w:w="26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31.1</w:t>
            </w:r>
          </w:p>
        </w:tc>
        <w:tc>
          <w:tcPr>
            <w:tcW w:w="980" w:type="dxa"/>
            <w:vAlign w:val="bottom"/>
            <w:tcBorders>
              <w:bottom w:val="single" w:sz="8" w:color="DBDBDB"/>
            </w:tcBorders>
            <w:shd w:val="clear" w:color="auto" w:fill="DBDBDB"/>
          </w:tcPr>
          <w:p>
            <w:pPr>
              <w:jc w:val="right"/>
              <w:ind w:right="7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30.4</w:t>
            </w:r>
          </w:p>
        </w:tc>
      </w:tr>
      <w:tr>
        <w:trPr>
          <w:trHeight w:val="20"/>
        </w:trPr>
        <w:tc>
          <w:tcPr>
            <w:tcW w:w="4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134" w:lineRule="exact"/>
        <w:rPr>
          <w:sz w:val="20"/>
          <w:szCs w:val="20"/>
          <w:color w:val="auto"/>
        </w:rPr>
      </w:pPr>
    </w:p>
    <w:p>
      <w:pPr>
        <w:ind w:left="160" w:right="160" w:hanging="153"/>
        <w:spacing w:after="0" w:line="250" w:lineRule="auto"/>
        <w:tabs>
          <w:tab w:leader="none" w:pos="179"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Includes depreciation and amortization of purchase accounting assets of $0.1 million and $1.8 million for the three and nine months ended July 31, 2023, respectively and $0.4 million and $0.5 million for the three and nine months ended July 31,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6" w:name="page27"/>
    <w:bookmarkEnd w:id="26"/>
    <w:p>
      <w:pPr>
        <w:spacing w:after="0" w:line="30" w:lineRule="exact"/>
        <w:rPr>
          <w:sz w:val="20"/>
          <w:szCs w:val="20"/>
          <w:color w:val="auto"/>
        </w:rPr>
      </w:pPr>
    </w:p>
    <w:p>
      <w:pPr>
        <w:ind w:left="160" w:hanging="153"/>
        <w:spacing w:after="0" w:line="289" w:lineRule="auto"/>
        <w:tabs>
          <w:tab w:leader="none" w:pos="165" w:val="left"/>
        </w:tabs>
        <w:numPr>
          <w:ilvl w:val="0"/>
          <w:numId w:val="20"/>
        </w:numPr>
        <w:rPr>
          <w:rFonts w:ascii="Arial" w:cs="Arial" w:eastAsia="Arial" w:hAnsi="Arial"/>
          <w:sz w:val="11"/>
          <w:szCs w:val="11"/>
          <w:color w:val="auto"/>
        </w:rPr>
      </w:pPr>
      <w:r>
        <w:rPr>
          <w:rFonts w:ascii="Arial" w:cs="Arial" w:eastAsia="Arial" w:hAnsi="Arial"/>
          <w:sz w:val="11"/>
          <w:szCs w:val="11"/>
          <w:color w:val="auto"/>
        </w:rPr>
        <w:t>Includes recognition of deferred implementation costs for both periods, and for the three and nine months ended July 31, 2022, non-recurring post-implementation process reengineering costs are also included.</w:t>
      </w:r>
    </w:p>
    <w:p>
      <w:pPr>
        <w:spacing w:after="0" w:line="197" w:lineRule="exact"/>
        <w:rPr>
          <w:rFonts w:ascii="Arial" w:cs="Arial" w:eastAsia="Arial" w:hAnsi="Arial"/>
          <w:sz w:val="11"/>
          <w:szCs w:val="11"/>
          <w:color w:val="auto"/>
        </w:rPr>
      </w:pPr>
    </w:p>
    <w:p>
      <w:pPr>
        <w:ind w:left="180" w:hanging="173"/>
        <w:spacing w:after="0"/>
        <w:tabs>
          <w:tab w:leader="none" w:pos="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net loss attributable to noncontrolling interest plus the impact of non-GAAP adjustments, allocable to the noncontrolling owner based on their percentage of ownership interest.</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 and Distribution</w:t>
      </w:r>
    </w:p>
    <w:p>
      <w:pPr>
        <w:spacing w:after="0" w:line="223" w:lineRule="exact"/>
        <w:rPr>
          <w:sz w:val="20"/>
          <w:szCs w:val="20"/>
          <w:color w:val="auto"/>
        </w:rPr>
      </w:pPr>
    </w:p>
    <w:p>
      <w:pPr>
        <w:ind w:right="80" w:firstLine="645"/>
        <w:spacing w:after="0" w:line="268" w:lineRule="auto"/>
        <w:rPr>
          <w:sz w:val="20"/>
          <w:szCs w:val="20"/>
          <w:color w:val="auto"/>
        </w:rPr>
      </w:pPr>
      <w:r>
        <w:rPr>
          <w:rFonts w:ascii="Arial" w:cs="Arial" w:eastAsia="Arial" w:hAnsi="Arial"/>
          <w:sz w:val="16"/>
          <w:szCs w:val="16"/>
          <w:color w:val="auto"/>
        </w:rPr>
        <w:t>Net sales in our Marketing and Distribution segment decreased $52.3 million or 17% and $141.2 million or 18% in the three and nine months ended July 31, 2023 compared to the same periods last year. The decreases were driven by pricing and volume dynamics described above, which were driven by higher industry supply out of Mexico relative to the same periods last year.</w:t>
      </w:r>
    </w:p>
    <w:p>
      <w:pPr>
        <w:spacing w:after="0" w:line="176" w:lineRule="exact"/>
        <w:rPr>
          <w:sz w:val="20"/>
          <w:szCs w:val="20"/>
          <w:color w:val="auto"/>
        </w:rPr>
      </w:pPr>
    </w:p>
    <w:p>
      <w:pPr>
        <w:ind w:right="200" w:firstLine="645"/>
        <w:spacing w:after="0" w:line="291" w:lineRule="auto"/>
        <w:rPr>
          <w:sz w:val="20"/>
          <w:szCs w:val="20"/>
          <w:color w:val="auto"/>
        </w:rPr>
      </w:pPr>
      <w:r>
        <w:rPr>
          <w:rFonts w:ascii="Arial" w:cs="Arial" w:eastAsia="Arial" w:hAnsi="Arial"/>
          <w:sz w:val="16"/>
          <w:szCs w:val="16"/>
          <w:color w:val="auto"/>
        </w:rPr>
        <w:t>Segment adjusted EBITDA increased $0.6 million or 4% in the three months ended July 31, 2023 compared to the same period last year primarily due to lower SG&amp;A. The impact of lower per-unit gross margin was largely offset by higher avocado volume sold.</w:t>
      </w:r>
    </w:p>
    <w:p>
      <w:pPr>
        <w:spacing w:after="0" w:line="158" w:lineRule="exact"/>
        <w:rPr>
          <w:sz w:val="20"/>
          <w:szCs w:val="20"/>
          <w:color w:val="auto"/>
        </w:rPr>
      </w:pPr>
    </w:p>
    <w:p>
      <w:pPr>
        <w:ind w:right="140" w:firstLine="645"/>
        <w:spacing w:after="0" w:line="273" w:lineRule="auto"/>
        <w:rPr>
          <w:sz w:val="20"/>
          <w:szCs w:val="20"/>
          <w:color w:val="auto"/>
        </w:rPr>
      </w:pPr>
      <w:r>
        <w:rPr>
          <w:rFonts w:ascii="Arial" w:cs="Arial" w:eastAsia="Arial" w:hAnsi="Arial"/>
          <w:sz w:val="16"/>
          <w:szCs w:val="16"/>
          <w:color w:val="auto"/>
        </w:rPr>
        <w:t>Segment adjusted EBITDA increased $9.8 million or 50% in the nine months ended July 31, 2023 compared to the same period last year, primarily due to higher avocado volume sold.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International Farming</w:t>
      </w:r>
    </w:p>
    <w:p>
      <w:pPr>
        <w:spacing w:after="0" w:line="223" w:lineRule="exact"/>
        <w:rPr>
          <w:sz w:val="20"/>
          <w:szCs w:val="20"/>
          <w:color w:val="auto"/>
        </w:rPr>
      </w:pPr>
    </w:p>
    <w:p>
      <w:pPr>
        <w:ind w:right="80" w:firstLine="645"/>
        <w:spacing w:after="0" w:line="258" w:lineRule="auto"/>
        <w:rPr>
          <w:sz w:val="20"/>
          <w:szCs w:val="20"/>
          <w:color w:val="auto"/>
        </w:rPr>
      </w:pPr>
      <w:r>
        <w:rPr>
          <w:rFonts w:ascii="Arial" w:cs="Arial" w:eastAsia="Arial" w:hAnsi="Arial"/>
          <w:sz w:val="16"/>
          <w:szCs w:val="16"/>
          <w:color w:val="auto"/>
        </w:rPr>
        <w:t>Substantially all sales of fruit from our International Farming segment are to the Marketing and Distribution segment, with the remainder of revenue largely derived from services provided to third parties and our Blueberries segment. Affiliated sales are concentrated in the second half of the fiscal year in alignment with the Peruvian avocado harvest season, which typically runs from April through August of each year. As a result, adjusted EBITDA for the International Farming segment is generally concentrated in the third and fourth quarters of the fiscal year in alignment with the timing of sales. The Company operates approximately 700 acres of mangos in Peru that are largely in an early stage of production. The timing of the mango harvest is concentrated in the fiscal second quarter and, as a result, mangos have a more pronounced impact on segment financial performance during this timeframe.</w:t>
      </w:r>
    </w:p>
    <w:p>
      <w:pPr>
        <w:spacing w:after="0" w:line="184" w:lineRule="exact"/>
        <w:rPr>
          <w:sz w:val="20"/>
          <w:szCs w:val="20"/>
          <w:color w:val="auto"/>
        </w:rPr>
      </w:pPr>
    </w:p>
    <w:p>
      <w:pPr>
        <w:ind w:right="200" w:firstLine="645"/>
        <w:spacing w:after="0" w:line="268" w:lineRule="auto"/>
        <w:rPr>
          <w:sz w:val="20"/>
          <w:szCs w:val="20"/>
          <w:color w:val="auto"/>
        </w:rPr>
      </w:pPr>
      <w:r>
        <w:rPr>
          <w:rFonts w:ascii="Arial" w:cs="Arial" w:eastAsia="Arial" w:hAnsi="Arial"/>
          <w:sz w:val="16"/>
          <w:szCs w:val="16"/>
          <w:color w:val="auto"/>
        </w:rPr>
        <w:t>Total segment sales in our International Farming segment decreased $26.4 million or 41% and $25.0 million, or 33% in the three and nine months ended July 31, 2023, compared to the same periods last year, respectively. The decreases were primarily due to lower pricing on avocados sold from company-owned farms, brought about by higher industry supply.</w:t>
      </w:r>
    </w:p>
    <w:p>
      <w:pPr>
        <w:spacing w:after="0" w:line="190" w:lineRule="exact"/>
        <w:rPr>
          <w:sz w:val="20"/>
          <w:szCs w:val="20"/>
          <w:color w:val="auto"/>
        </w:rPr>
      </w:pPr>
    </w:p>
    <w:p>
      <w:pPr>
        <w:ind w:right="420" w:firstLine="645"/>
        <w:spacing w:after="0" w:line="273" w:lineRule="auto"/>
        <w:rPr>
          <w:sz w:val="20"/>
          <w:szCs w:val="20"/>
          <w:color w:val="auto"/>
        </w:rPr>
      </w:pPr>
      <w:r>
        <w:rPr>
          <w:rFonts w:ascii="Arial" w:cs="Arial" w:eastAsia="Arial" w:hAnsi="Arial"/>
          <w:sz w:val="16"/>
          <w:szCs w:val="16"/>
          <w:color w:val="auto"/>
        </w:rPr>
        <w:t>Segment adjusted EBITDA decreased by $11.4 million or 70% and decreased $9.1 million or 82% in the three and nine months ended July 31, 2023, compared to the same periods last year, respectively. The decreases were primarily due to lower gross profit resulting from lower pricing.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Blueberries</w:t>
      </w:r>
    </w:p>
    <w:p>
      <w:pPr>
        <w:spacing w:after="0" w:line="237" w:lineRule="exact"/>
        <w:rPr>
          <w:sz w:val="20"/>
          <w:szCs w:val="20"/>
          <w:color w:val="auto"/>
        </w:rPr>
      </w:pPr>
    </w:p>
    <w:p>
      <w:pPr>
        <w:ind w:right="80" w:firstLine="645"/>
        <w:spacing w:after="0" w:line="273" w:lineRule="auto"/>
        <w:rPr>
          <w:sz w:val="20"/>
          <w:szCs w:val="20"/>
          <w:color w:val="auto"/>
        </w:rPr>
      </w:pPr>
      <w:r>
        <w:rPr>
          <w:rFonts w:ascii="Arial" w:cs="Arial" w:eastAsia="Arial" w:hAnsi="Arial"/>
          <w:sz w:val="16"/>
          <w:szCs w:val="16"/>
          <w:color w:val="auto"/>
        </w:rPr>
        <w:t>Sales in our Blueberries segment are concentrated in the first and fourth quarters of our fiscal year in alignment with the Peruvian blueberry harvest season, which typically runs from July through January.</w:t>
      </w:r>
    </w:p>
    <w:p>
      <w:pPr>
        <w:spacing w:after="0" w:line="186" w:lineRule="exact"/>
        <w:rPr>
          <w:sz w:val="20"/>
          <w:szCs w:val="20"/>
          <w:color w:val="auto"/>
        </w:rPr>
      </w:pPr>
    </w:p>
    <w:p>
      <w:pPr>
        <w:ind w:right="320" w:firstLine="645"/>
        <w:spacing w:after="0" w:line="273" w:lineRule="auto"/>
        <w:rPr>
          <w:sz w:val="20"/>
          <w:szCs w:val="20"/>
          <w:color w:val="auto"/>
        </w:rPr>
      </w:pPr>
      <w:r>
        <w:rPr>
          <w:rFonts w:ascii="Arial" w:cs="Arial" w:eastAsia="Arial" w:hAnsi="Arial"/>
          <w:sz w:val="16"/>
          <w:szCs w:val="16"/>
          <w:color w:val="auto"/>
        </w:rPr>
        <w:t>Net sales in our Blueberries segment increased $1.1 million or 367% in the three months ended July 31, 2023 compared to the same period last year, primarily due to an earlier start of the blueberry harvest relative to the prior year.</w:t>
      </w:r>
    </w:p>
    <w:p>
      <w:pPr>
        <w:spacing w:after="0" w:line="173" w:lineRule="exact"/>
        <w:rPr>
          <w:sz w:val="20"/>
          <w:szCs w:val="20"/>
          <w:color w:val="auto"/>
        </w:rPr>
      </w:pPr>
    </w:p>
    <w:p>
      <w:pPr>
        <w:ind w:right="620" w:firstLine="645"/>
        <w:spacing w:after="0" w:line="291" w:lineRule="auto"/>
        <w:rPr>
          <w:sz w:val="20"/>
          <w:szCs w:val="20"/>
          <w:color w:val="auto"/>
        </w:rPr>
      </w:pPr>
      <w:r>
        <w:rPr>
          <w:rFonts w:ascii="Arial" w:cs="Arial" w:eastAsia="Arial" w:hAnsi="Arial"/>
          <w:sz w:val="16"/>
          <w:szCs w:val="16"/>
          <w:color w:val="auto"/>
        </w:rPr>
        <w:t>Segment adjusted EBITDA increased $0.4 million or 200% for the three months ended July 31, 2023 compared to the same period last year primarily due to higher volume harvested.</w:t>
      </w:r>
    </w:p>
    <w:p>
      <w:pPr>
        <w:spacing w:after="0" w:line="158" w:lineRule="exact"/>
        <w:rPr>
          <w:sz w:val="20"/>
          <w:szCs w:val="20"/>
          <w:color w:val="auto"/>
        </w:rPr>
      </w:pPr>
    </w:p>
    <w:p>
      <w:pPr>
        <w:ind w:right="60" w:firstLine="645"/>
        <w:spacing w:after="0" w:line="268" w:lineRule="auto"/>
        <w:rPr>
          <w:sz w:val="20"/>
          <w:szCs w:val="20"/>
          <w:color w:val="auto"/>
        </w:rPr>
      </w:pPr>
      <w:r>
        <w:rPr>
          <w:rFonts w:ascii="Arial" w:cs="Arial" w:eastAsia="Arial" w:hAnsi="Arial"/>
          <w:sz w:val="16"/>
          <w:szCs w:val="16"/>
          <w:color w:val="auto"/>
        </w:rPr>
        <w:t>Net sales in our Blueberries segment were $32.9 million and segment adjusted EBITDA was $(0.2) million for the nine months ended July 31, 2023. Negative segment adjusted EBITDA was primarily due to weak blueberry sales prices within the European and U.S. markets in the first quarter of the year, driven by strong industry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227" w:lineRule="exact"/>
        <w:rPr>
          <w:sz w:val="20"/>
          <w:szCs w:val="20"/>
          <w:color w:val="auto"/>
        </w:rPr>
      </w:pPr>
    </w:p>
    <w:p>
      <w:pPr>
        <w:ind w:right="200" w:firstLine="645"/>
        <w:spacing w:after="0" w:line="261" w:lineRule="auto"/>
        <w:rPr>
          <w:sz w:val="20"/>
          <w:szCs w:val="20"/>
          <w:color w:val="auto"/>
        </w:rPr>
      </w:pPr>
      <w:r>
        <w:rPr>
          <w:rFonts w:ascii="Arial" w:cs="Arial" w:eastAsia="Arial" w:hAnsi="Arial"/>
          <w:sz w:val="16"/>
          <w:szCs w:val="16"/>
          <w:color w:val="auto"/>
        </w:rPr>
        <w:t>Operating cash flows are seasonal in nature. We typically see increases in working capital during the first half of our fiscal year as our supply is predominantly sourced from Mexico under payment terms that are shorter than terms established for other source markets. In addition, we are building our growing crops inventory in our International Farming segment during the first half of the year for ultimate harvest and sale that will occur during the second half of the fiscal year. While these increases in working capital can cause operating cash flows to be unfavorable in individual quarters, it is not indicative of operating cash performance that we expect to realize for the full year.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5"/>
                <w:szCs w:val="15"/>
                <w:color w:val="auto"/>
              </w:rPr>
            </w:pPr>
          </w:p>
        </w:tc>
      </w:tr>
      <w:tr>
        <w:trPr>
          <w:trHeight w:val="208"/>
        </w:trPr>
        <w:tc>
          <w:tcPr>
            <w:tcW w:w="76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July 31,</w:t>
            </w:r>
          </w:p>
        </w:tc>
        <w:tc>
          <w:tcPr>
            <w:tcW w:w="800" w:type="dxa"/>
            <w:vAlign w:val="bottom"/>
            <w:tcBorders>
              <w:bottom w:val="single" w:sz="8" w:color="auto"/>
            </w:tcBorders>
          </w:tcPr>
          <w:p>
            <w:pPr>
              <w:spacing w:after="0"/>
              <w:rPr>
                <w:sz w:val="18"/>
                <w:szCs w:val="18"/>
                <w:color w:val="auto"/>
              </w:rPr>
            </w:pP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r>
      <w:tr>
        <w:trPr>
          <w:trHeight w:val="208"/>
        </w:trPr>
        <w:tc>
          <w:tcPr>
            <w:tcW w:w="7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 income</w:t>
            </w:r>
          </w:p>
        </w:tc>
        <w:tc>
          <w:tcPr>
            <w:tcW w:w="620" w:type="dxa"/>
            <w:vAlign w:val="bottom"/>
            <w:tcBorders>
              <w:bottom w:val="single" w:sz="8" w:color="DBDBDB"/>
            </w:tcBorders>
            <w:shd w:val="clear" w:color="auto" w:fill="DBDBDB"/>
          </w:tcPr>
          <w:p>
            <w:pPr>
              <w:jc w:val="right"/>
              <w:ind w:right="4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(9.1)</w:t>
            </w:r>
          </w:p>
        </w:tc>
        <w:tc>
          <w:tcPr>
            <w:tcW w:w="1020" w:type="dxa"/>
            <w:vAlign w:val="bottom"/>
            <w:tcBorders>
              <w:bottom w:val="single" w:sz="8" w:color="DBDBDB"/>
            </w:tcBorders>
            <w:shd w:val="clear" w:color="auto" w:fill="DBDBDB"/>
          </w:tcPr>
          <w:p>
            <w:pPr>
              <w:jc w:val="right"/>
              <w:ind w:right="7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6.9</w:t>
            </w:r>
          </w:p>
        </w:tc>
      </w:tr>
      <w:tr>
        <w:trPr>
          <w:trHeight w:val="203"/>
        </w:trPr>
        <w:tc>
          <w:tcPr>
            <w:tcW w:w="76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62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22.8</w:t>
            </w:r>
          </w:p>
        </w:tc>
        <w:tc>
          <w:tcPr>
            <w:tcW w:w="10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17.2</w:t>
            </w:r>
          </w:p>
        </w:tc>
      </w:tr>
      <w:tr>
        <w:trPr>
          <w:trHeight w:val="25"/>
        </w:trPr>
        <w:tc>
          <w:tcPr>
            <w:tcW w:w="7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8"/>
        </w:trPr>
        <w:tc>
          <w:tcPr>
            <w:tcW w:w="762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4"/>
                <w:szCs w:val="14"/>
                <w:color w:val="auto"/>
              </w:rPr>
              <w:t>Equity method income</w:t>
            </w:r>
          </w:p>
        </w:tc>
        <w:tc>
          <w:tcPr>
            <w:tcW w:w="62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(3.2)</w:t>
            </w:r>
          </w:p>
        </w:tc>
        <w:tc>
          <w:tcPr>
            <w:tcW w:w="102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(3.6)</w:t>
            </w:r>
          </w:p>
        </w:tc>
      </w:tr>
      <w:tr>
        <w:trPr>
          <w:trHeight w:val="203"/>
        </w:trPr>
        <w:tc>
          <w:tcPr>
            <w:tcW w:w="7620" w:type="dxa"/>
            <w:vAlign w:val="bottom"/>
          </w:tcPr>
          <w:p>
            <w:pPr>
              <w:ind w:left="340"/>
              <w:spacing w:after="0"/>
              <w:rPr>
                <w:sz w:val="20"/>
                <w:szCs w:val="20"/>
                <w:color w:val="auto"/>
              </w:rPr>
            </w:pPr>
            <w:r>
              <w:rPr>
                <w:rFonts w:ascii="Arial" w:cs="Arial" w:eastAsia="Arial" w:hAnsi="Arial"/>
                <w:sz w:val="14"/>
                <w:szCs w:val="14"/>
                <w:color w:val="auto"/>
              </w:rPr>
              <w:t>Noncash lease expense</w:t>
            </w:r>
          </w:p>
        </w:tc>
        <w:tc>
          <w:tcPr>
            <w:tcW w:w="62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4.4</w:t>
            </w:r>
          </w:p>
        </w:tc>
        <w:tc>
          <w:tcPr>
            <w:tcW w:w="10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5"/>
        </w:trPr>
        <w:tc>
          <w:tcPr>
            <w:tcW w:w="7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8"/>
        </w:trPr>
        <w:tc>
          <w:tcPr>
            <w:tcW w:w="762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4"/>
                <w:szCs w:val="14"/>
                <w:color w:val="auto"/>
              </w:rPr>
              <w:t>Stock-based compensation</w:t>
            </w:r>
          </w:p>
        </w:tc>
        <w:tc>
          <w:tcPr>
            <w:tcW w:w="62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3.2</w:t>
            </w:r>
          </w:p>
        </w:tc>
        <w:tc>
          <w:tcPr>
            <w:tcW w:w="102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2.6</w:t>
            </w:r>
          </w:p>
        </w:tc>
      </w:tr>
      <w:tr>
        <w:trPr>
          <w:trHeight w:val="203"/>
        </w:trPr>
        <w:tc>
          <w:tcPr>
            <w:tcW w:w="7620" w:type="dxa"/>
            <w:vAlign w:val="bottom"/>
          </w:tcPr>
          <w:p>
            <w:pPr>
              <w:ind w:left="340"/>
              <w:spacing w:after="0"/>
              <w:rPr>
                <w:sz w:val="20"/>
                <w:szCs w:val="20"/>
                <w:color w:val="auto"/>
              </w:rPr>
            </w:pPr>
            <w:r>
              <w:rPr>
                <w:rFonts w:ascii="Arial" w:cs="Arial" w:eastAsia="Arial" w:hAnsi="Arial"/>
                <w:sz w:val="14"/>
                <w:szCs w:val="14"/>
                <w:color w:val="auto"/>
              </w:rPr>
              <w:t>Dividends received from equity method investees</w:t>
            </w:r>
          </w:p>
        </w:tc>
        <w:tc>
          <w:tcPr>
            <w:tcW w:w="62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2.7</w:t>
            </w:r>
          </w:p>
        </w:tc>
        <w:tc>
          <w:tcPr>
            <w:tcW w:w="10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5"/>
        </w:trPr>
        <w:tc>
          <w:tcPr>
            <w:tcW w:w="7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8"/>
        </w:trPr>
        <w:tc>
          <w:tcPr>
            <w:tcW w:w="762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4"/>
                <w:szCs w:val="14"/>
                <w:color w:val="auto"/>
              </w:rPr>
              <w:t>Deferred income taxes</w:t>
            </w:r>
          </w:p>
        </w:tc>
        <w:tc>
          <w:tcPr>
            <w:tcW w:w="62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(1.2)</w:t>
            </w:r>
          </w:p>
        </w:tc>
        <w:tc>
          <w:tcPr>
            <w:tcW w:w="102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(0.7)</w:t>
            </w:r>
          </w:p>
        </w:tc>
      </w:tr>
      <w:tr>
        <w:trPr>
          <w:trHeight w:val="203"/>
        </w:trPr>
        <w:tc>
          <w:tcPr>
            <w:tcW w:w="7620" w:type="dxa"/>
            <w:vAlign w:val="bottom"/>
          </w:tcPr>
          <w:p>
            <w:pPr>
              <w:ind w:left="340"/>
              <w:spacing w:after="0"/>
              <w:rPr>
                <w:sz w:val="20"/>
                <w:szCs w:val="20"/>
                <w:color w:val="auto"/>
              </w:rPr>
            </w:pPr>
            <w:r>
              <w:rPr>
                <w:rFonts w:ascii="Arial" w:cs="Arial" w:eastAsia="Arial" w:hAnsi="Arial"/>
                <w:sz w:val="14"/>
                <w:szCs w:val="14"/>
                <w:color w:val="auto"/>
              </w:rPr>
              <w:t>Unrealized losses on foreign currency transactions</w:t>
            </w:r>
          </w:p>
        </w:tc>
        <w:tc>
          <w:tcPr>
            <w:tcW w:w="62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2.9</w:t>
            </w:r>
          </w:p>
        </w:tc>
        <w:tc>
          <w:tcPr>
            <w:tcW w:w="10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8"/>
        </w:trPr>
        <w:tc>
          <w:tcPr>
            <w:tcW w:w="762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4"/>
                <w:szCs w:val="14"/>
                <w:color w:val="auto"/>
              </w:rPr>
              <w:t>Remeasurement gain on business combination with Moruga</w:t>
            </w:r>
          </w:p>
        </w:tc>
        <w:tc>
          <w:tcPr>
            <w:tcW w:w="62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7620" w:type="dxa"/>
            <w:vAlign w:val="bottom"/>
          </w:tcPr>
          <w:p>
            <w:pPr>
              <w:ind w:left="340"/>
              <w:spacing w:after="0"/>
              <w:rPr>
                <w:sz w:val="20"/>
                <w:szCs w:val="20"/>
                <w:color w:val="auto"/>
              </w:rPr>
            </w:pPr>
            <w:r>
              <w:rPr>
                <w:rFonts w:ascii="Arial" w:cs="Arial" w:eastAsia="Arial" w:hAnsi="Arial"/>
                <w:sz w:val="14"/>
                <w:szCs w:val="14"/>
                <w:color w:val="auto"/>
              </w:rPr>
              <w:t>Other</w:t>
            </w:r>
          </w:p>
        </w:tc>
        <w:tc>
          <w:tcPr>
            <w:tcW w:w="62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10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5"/>
        </w:trPr>
        <w:tc>
          <w:tcPr>
            <w:tcW w:w="7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3"/>
        </w:trPr>
        <w:tc>
          <w:tcPr>
            <w:tcW w:w="7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Changes in working capital</w:t>
            </w:r>
          </w:p>
        </w:tc>
        <w:tc>
          <w:tcPr>
            <w:tcW w:w="62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(31.2)</w:t>
            </w:r>
          </w:p>
        </w:tc>
        <w:tc>
          <w:tcPr>
            <w:tcW w:w="1020" w:type="dxa"/>
            <w:vAlign w:val="bottom"/>
            <w:tcBorders>
              <w:bottom w:val="single" w:sz="8" w:color="DBDBDB"/>
            </w:tcBorders>
            <w:shd w:val="clear" w:color="auto" w:fill="DBDBDB"/>
          </w:tcPr>
          <w:p>
            <w:pPr>
              <w:spacing w:after="0"/>
              <w:rPr>
                <w:sz w:val="19"/>
                <w:szCs w:val="19"/>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(27.1)</w:t>
            </w:r>
          </w:p>
        </w:tc>
      </w:tr>
      <w:tr>
        <w:trPr>
          <w:trHeight w:val="197"/>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62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(7.3)</w:t>
            </w:r>
          </w:p>
        </w:tc>
        <w:tc>
          <w:tcPr>
            <w:tcW w:w="1020" w:type="dxa"/>
            <w:vAlign w:val="bottom"/>
            <w:tcBorders>
              <w:top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5"/>
        </w:trPr>
        <w:tc>
          <w:tcPr>
            <w:tcW w:w="7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99" w:lineRule="exact"/>
        <w:rPr>
          <w:sz w:val="20"/>
          <w:szCs w:val="20"/>
          <w:color w:val="auto"/>
        </w:rPr>
      </w:pPr>
    </w:p>
    <w:p>
      <w:pPr>
        <w:ind w:right="160" w:firstLine="645"/>
        <w:spacing w:after="0" w:line="255" w:lineRule="auto"/>
        <w:rPr>
          <w:sz w:val="20"/>
          <w:szCs w:val="20"/>
          <w:color w:val="auto"/>
        </w:rPr>
      </w:pPr>
      <w:r>
        <w:rPr>
          <w:rFonts w:ascii="Arial" w:cs="Arial" w:eastAsia="Arial" w:hAnsi="Arial"/>
          <w:sz w:val="16"/>
          <w:szCs w:val="16"/>
          <w:color w:val="auto"/>
        </w:rPr>
        <w:t>Net cash used in operating activities was $7.3 million for the nine months ended July 31, 2023, a decrease of $4.3 million compared to the same period last year. The change was primarily driven by weaker operating performance within our International Farming segment. Within working capital, unfavorable changes in grower payables and accounts receivable were largely offset by favorable changes in inventory. Changes in grower payables were driven by higher outstanding payable balances to California growers in the prior year due to harvest timing and higher pricing. Unfavorable changes in trade accounts receivable were impacted by sales prices peaking towards the end of the quarter in the current period, including balances outstanding at our new U.K. entity which commenced operations this fiscal year. Changes in inventory were favorably impacted by lower field pricing for third-party fruit purchases and less Company-owned fruit on-hand relative to the prior period end.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activities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5"/>
                <w:szCs w:val="15"/>
                <w:color w:val="auto"/>
              </w:rPr>
            </w:pPr>
          </w:p>
        </w:tc>
      </w:tr>
      <w:tr>
        <w:trPr>
          <w:trHeight w:val="208"/>
        </w:trPr>
        <w:tc>
          <w:tcPr>
            <w:tcW w:w="76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July 31,</w:t>
            </w:r>
          </w:p>
        </w:tc>
        <w:tc>
          <w:tcPr>
            <w:tcW w:w="800" w:type="dxa"/>
            <w:vAlign w:val="bottom"/>
            <w:tcBorders>
              <w:bottom w:val="single" w:sz="8" w:color="auto"/>
            </w:tcBorders>
          </w:tcPr>
          <w:p>
            <w:pPr>
              <w:spacing w:after="0"/>
              <w:rPr>
                <w:sz w:val="18"/>
                <w:szCs w:val="18"/>
                <w:color w:val="auto"/>
              </w:rPr>
            </w:pP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r>
      <w:tr>
        <w:trPr>
          <w:trHeight w:val="208"/>
        </w:trPr>
        <w:tc>
          <w:tcPr>
            <w:tcW w:w="7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620" w:type="dxa"/>
            <w:vAlign w:val="bottom"/>
            <w:tcBorders>
              <w:bottom w:val="single" w:sz="8" w:color="DBDBDB"/>
            </w:tcBorders>
            <w:shd w:val="clear" w:color="auto" w:fill="DBDBDB"/>
          </w:tcPr>
          <w:p>
            <w:pPr>
              <w:jc w:val="right"/>
              <w:ind w:right="4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(47.0)</w:t>
            </w:r>
          </w:p>
        </w:tc>
        <w:tc>
          <w:tcPr>
            <w:tcW w:w="1020" w:type="dxa"/>
            <w:vAlign w:val="bottom"/>
            <w:tcBorders>
              <w:bottom w:val="single" w:sz="8" w:color="DBDBDB"/>
            </w:tcBorders>
            <w:shd w:val="clear" w:color="auto" w:fill="DBDBDB"/>
          </w:tcPr>
          <w:p>
            <w:pPr>
              <w:jc w:val="right"/>
              <w:ind w:right="7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(42.0)</w:t>
            </w:r>
          </w:p>
        </w:tc>
      </w:tr>
      <w:tr>
        <w:trPr>
          <w:trHeight w:val="203"/>
        </w:trPr>
        <w:tc>
          <w:tcPr>
            <w:tcW w:w="7620" w:type="dxa"/>
            <w:vAlign w:val="bottom"/>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62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10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5"/>
        </w:trPr>
        <w:tc>
          <w:tcPr>
            <w:tcW w:w="7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8"/>
        </w:trPr>
        <w:tc>
          <w:tcPr>
            <w:tcW w:w="7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Investment in equity method investees</w:t>
            </w:r>
          </w:p>
        </w:tc>
        <w:tc>
          <w:tcPr>
            <w:tcW w:w="62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(1.4)</w:t>
            </w:r>
          </w:p>
        </w:tc>
        <w:tc>
          <w:tcPr>
            <w:tcW w:w="102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(0.4)</w:t>
            </w:r>
          </w:p>
        </w:tc>
      </w:tr>
      <w:tr>
        <w:trPr>
          <w:trHeight w:val="203"/>
        </w:trPr>
        <w:tc>
          <w:tcPr>
            <w:tcW w:w="7620" w:type="dxa"/>
            <w:vAlign w:val="bottom"/>
          </w:tcPr>
          <w:p>
            <w:pPr>
              <w:ind w:left="20"/>
              <w:spacing w:after="0"/>
              <w:rPr>
                <w:sz w:val="20"/>
                <w:szCs w:val="20"/>
                <w:color w:val="auto"/>
              </w:rPr>
            </w:pPr>
            <w:r>
              <w:rPr>
                <w:rFonts w:ascii="Arial" w:cs="Arial" w:eastAsia="Arial" w:hAnsi="Arial"/>
                <w:sz w:val="14"/>
                <w:szCs w:val="14"/>
                <w:color w:val="auto"/>
              </w:rPr>
              <w:t>Purchase of other investment</w:t>
            </w:r>
          </w:p>
        </w:tc>
        <w:tc>
          <w:tcPr>
            <w:tcW w:w="62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10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8"/>
        </w:trPr>
        <w:tc>
          <w:tcPr>
            <w:tcW w:w="7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acquired in consolidation of Moruga</w:t>
            </w:r>
          </w:p>
        </w:tc>
        <w:tc>
          <w:tcPr>
            <w:tcW w:w="62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4.3</w:t>
            </w:r>
          </w:p>
        </w:tc>
      </w:tr>
      <w:tr>
        <w:trPr>
          <w:trHeight w:val="203"/>
        </w:trPr>
        <w:tc>
          <w:tcPr>
            <w:tcW w:w="7620" w:type="dxa"/>
            <w:vAlign w:val="bottom"/>
          </w:tcPr>
          <w:p>
            <w:pPr>
              <w:ind w:left="20"/>
              <w:spacing w:after="0"/>
              <w:rPr>
                <w:sz w:val="20"/>
                <w:szCs w:val="20"/>
                <w:color w:val="auto"/>
              </w:rPr>
            </w:pPr>
            <w:r>
              <w:rPr>
                <w:rFonts w:ascii="Arial" w:cs="Arial" w:eastAsia="Arial" w:hAnsi="Arial"/>
                <w:sz w:val="14"/>
                <w:szCs w:val="14"/>
                <w:color w:val="auto"/>
              </w:rPr>
              <w:t>Loan repayments from equity method investees</w:t>
            </w:r>
          </w:p>
        </w:tc>
        <w:tc>
          <w:tcPr>
            <w:tcW w:w="62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5"/>
        </w:trPr>
        <w:tc>
          <w:tcPr>
            <w:tcW w:w="7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3"/>
        </w:trPr>
        <w:tc>
          <w:tcPr>
            <w:tcW w:w="7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62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(0.1)</w:t>
            </w:r>
          </w:p>
        </w:tc>
        <w:tc>
          <w:tcPr>
            <w:tcW w:w="1020" w:type="dxa"/>
            <w:vAlign w:val="bottom"/>
            <w:tcBorders>
              <w:bottom w:val="single" w:sz="8" w:color="DBDBDB"/>
            </w:tcBorders>
            <w:shd w:val="clear" w:color="auto" w:fill="DBDBDB"/>
          </w:tcPr>
          <w:p>
            <w:pPr>
              <w:spacing w:after="0"/>
              <w:rPr>
                <w:sz w:val="19"/>
                <w:szCs w:val="19"/>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62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(50.7)</w:t>
            </w:r>
          </w:p>
        </w:tc>
        <w:tc>
          <w:tcPr>
            <w:tcW w:w="1020" w:type="dxa"/>
            <w:vAlign w:val="bottom"/>
            <w:tcBorders>
              <w:top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(34.2)</w:t>
            </w:r>
          </w:p>
        </w:tc>
      </w:tr>
      <w:tr>
        <w:trPr>
          <w:trHeight w:val="25"/>
        </w:trPr>
        <w:tc>
          <w:tcPr>
            <w:tcW w:w="7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p>
    <w:p>
      <w:pPr>
        <w:spacing w:after="0" w:line="223" w:lineRule="exact"/>
        <w:rPr>
          <w:sz w:val="20"/>
          <w:szCs w:val="20"/>
          <w:color w:val="auto"/>
        </w:rPr>
      </w:pPr>
    </w:p>
    <w:p>
      <w:pPr>
        <w:jc w:val="both"/>
        <w:ind w:right="60" w:firstLine="645"/>
        <w:spacing w:after="0" w:line="268" w:lineRule="auto"/>
        <w:rPr>
          <w:sz w:val="20"/>
          <w:szCs w:val="20"/>
          <w:color w:val="auto"/>
        </w:rPr>
      </w:pPr>
      <w:r>
        <w:rPr>
          <w:rFonts w:ascii="Arial" w:cs="Arial" w:eastAsia="Arial" w:hAnsi="Arial"/>
          <w:sz w:val="16"/>
          <w:szCs w:val="16"/>
          <w:color w:val="auto"/>
        </w:rPr>
        <w:t>In the nine months ended July 31, 2023, capital expenditures were concentrated in pre-production avocado orchard maintenance in Guatemala and Peru and construction costs on our new UK distribution facility. Capital expenditures also included spend related to irrigation installation and early-stage plant cultivation for the Blueberries operation of $11.1 million in the current year, compared to $3.7 million in the prior year.</w:t>
      </w:r>
    </w:p>
    <w:p>
      <w:pPr>
        <w:spacing w:after="0" w:line="190" w:lineRule="exact"/>
        <w:rPr>
          <w:sz w:val="20"/>
          <w:szCs w:val="20"/>
          <w:color w:val="auto"/>
        </w:rPr>
      </w:pPr>
    </w:p>
    <w:p>
      <w:pPr>
        <w:ind w:right="60" w:firstLine="645"/>
        <w:spacing w:after="0" w:line="259" w:lineRule="auto"/>
        <w:rPr>
          <w:sz w:val="20"/>
          <w:szCs w:val="20"/>
          <w:color w:val="auto"/>
        </w:rPr>
      </w:pPr>
      <w:r>
        <w:rPr>
          <w:rFonts w:ascii="Arial" w:cs="Arial" w:eastAsia="Arial" w:hAnsi="Arial"/>
          <w:sz w:val="16"/>
          <w:szCs w:val="16"/>
          <w:color w:val="auto"/>
        </w:rPr>
        <w:t>In the nine months ended July 31, 2022, capital expenditures were concentrated in avocado orchard development, pre-production orchard maintenance, and land improvements in Peru and Guatemala. Capital expenditures in the Blueberries operation were $3.7 million related to early-stage plant cultivation.</w:t>
      </w:r>
    </w:p>
    <w:p>
      <w:pPr>
        <w:spacing w:after="0" w:line="197" w:lineRule="exact"/>
        <w:rPr>
          <w:sz w:val="20"/>
          <w:szCs w:val="20"/>
          <w:color w:val="auto"/>
        </w:rPr>
      </w:pPr>
    </w:p>
    <w:p>
      <w:pPr>
        <w:ind w:right="140" w:firstLine="645"/>
        <w:spacing w:after="0" w:line="273" w:lineRule="auto"/>
        <w:rPr>
          <w:sz w:val="20"/>
          <w:szCs w:val="20"/>
          <w:color w:val="auto"/>
        </w:rPr>
      </w:pPr>
      <w:r>
        <w:rPr>
          <w:rFonts w:ascii="Arial" w:cs="Arial" w:eastAsia="Arial" w:hAnsi="Arial"/>
          <w:sz w:val="16"/>
          <w:szCs w:val="16"/>
          <w:color w:val="auto"/>
        </w:rPr>
        <w:t>Proceeds from the sale of property, plant and equipment in the nine months ended July 31, 2022 were for land that had been originally intended for use as our corporate headquarters.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method investees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From time to time, we may make capital contributions or loans to equity method investees to support capital expansion or working capital needs.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investment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nine months ended July 31, 2023, we acquired a 5.1% equity interest in shares of common stock of a private entity in South Africa.</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5"/>
                <w:szCs w:val="15"/>
                <w:color w:val="auto"/>
              </w:rPr>
            </w:pPr>
          </w:p>
        </w:tc>
      </w:tr>
      <w:tr>
        <w:trPr>
          <w:trHeight w:val="208"/>
        </w:trPr>
        <w:tc>
          <w:tcPr>
            <w:tcW w:w="75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2"/>
          </w:tcPr>
          <w:p>
            <w:pPr>
              <w:jc w:val="right"/>
              <w:ind w:right="708"/>
              <w:spacing w:after="0"/>
              <w:rPr>
                <w:sz w:val="20"/>
                <w:szCs w:val="20"/>
                <w:color w:val="auto"/>
              </w:rPr>
            </w:pPr>
            <w:r>
              <w:rPr>
                <w:rFonts w:ascii="Arial" w:cs="Arial" w:eastAsia="Arial" w:hAnsi="Arial"/>
                <w:sz w:val="14"/>
                <w:szCs w:val="14"/>
                <w:b w:val="1"/>
                <w:bCs w:val="1"/>
                <w:color w:val="auto"/>
              </w:rPr>
              <w:t>July 31,</w:t>
            </w:r>
          </w:p>
        </w:tc>
        <w:tc>
          <w:tcPr>
            <w:tcW w:w="820" w:type="dxa"/>
            <w:vAlign w:val="bottom"/>
            <w:tcBorders>
              <w:bottom w:val="single" w:sz="8" w:color="auto"/>
            </w:tcBorders>
          </w:tcPr>
          <w:p>
            <w:pPr>
              <w:spacing w:after="0"/>
              <w:rPr>
                <w:sz w:val="18"/>
                <w:szCs w:val="18"/>
                <w:color w:val="auto"/>
              </w:rPr>
            </w:pPr>
          </w:p>
        </w:tc>
      </w:tr>
      <w:tr>
        <w:trPr>
          <w:trHeight w:val="223"/>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10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r>
      <w:tr>
        <w:trPr>
          <w:trHeight w:val="208"/>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Borrowings on revolving credit facility</w:t>
            </w:r>
          </w:p>
        </w:tc>
        <w:tc>
          <w:tcPr>
            <w:tcW w:w="640" w:type="dxa"/>
            <w:vAlign w:val="bottom"/>
            <w:tcBorders>
              <w:bottom w:val="single" w:sz="8" w:color="DBDBDB"/>
            </w:tcBorders>
            <w:shd w:val="clear" w:color="auto" w:fill="DBDBDB"/>
          </w:tcPr>
          <w:p>
            <w:pPr>
              <w:jc w:val="right"/>
              <w:ind w:right="4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145.0</w:t>
            </w:r>
          </w:p>
        </w:tc>
        <w:tc>
          <w:tcPr>
            <w:tcW w:w="1040" w:type="dxa"/>
            <w:vAlign w:val="bottom"/>
            <w:tcBorders>
              <w:bottom w:val="single" w:sz="8" w:color="DBDBDB"/>
            </w:tcBorders>
            <w:shd w:val="clear" w:color="auto" w:fill="DBDBDB"/>
          </w:tcPr>
          <w:p>
            <w:pPr>
              <w:jc w:val="right"/>
              <w:ind w:right="6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40.0</w:t>
            </w:r>
          </w:p>
        </w:tc>
      </w:tr>
      <w:tr>
        <w:trPr>
          <w:trHeight w:val="203"/>
        </w:trPr>
        <w:tc>
          <w:tcPr>
            <w:tcW w:w="7540" w:type="dxa"/>
            <w:vAlign w:val="bottom"/>
          </w:tcPr>
          <w:p>
            <w:pPr>
              <w:ind w:left="20"/>
              <w:spacing w:after="0"/>
              <w:rPr>
                <w:sz w:val="20"/>
                <w:szCs w:val="20"/>
                <w:color w:val="auto"/>
              </w:rPr>
            </w:pPr>
            <w:r>
              <w:rPr>
                <w:rFonts w:ascii="Arial" w:cs="Arial" w:eastAsia="Arial" w:hAnsi="Arial"/>
                <w:sz w:val="14"/>
                <w:szCs w:val="14"/>
                <w:color w:val="auto"/>
              </w:rPr>
              <w:t>Payments on revolving credit facility</w:t>
            </w:r>
          </w:p>
        </w:tc>
        <w:tc>
          <w:tcPr>
            <w:tcW w:w="64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(115.0)</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5"/>
        </w:trPr>
        <w:tc>
          <w:tcPr>
            <w:tcW w:w="7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Proceeds from short-term borrowings</w:t>
            </w:r>
          </w:p>
        </w:tc>
        <w:tc>
          <w:tcPr>
            <w:tcW w:w="64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2.8</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40" w:type="dxa"/>
            <w:vAlign w:val="bottom"/>
          </w:tcPr>
          <w:p>
            <w:pPr>
              <w:ind w:left="20"/>
              <w:spacing w:after="0"/>
              <w:rPr>
                <w:sz w:val="20"/>
                <w:szCs w:val="20"/>
                <w:color w:val="auto"/>
              </w:rPr>
            </w:pPr>
            <w:r>
              <w:rPr>
                <w:rFonts w:ascii="Arial" w:cs="Arial" w:eastAsia="Arial" w:hAnsi="Arial"/>
                <w:sz w:val="14"/>
                <w:szCs w:val="14"/>
                <w:color w:val="auto"/>
              </w:rPr>
              <w:t>Repayment of short-term borrowings</w:t>
            </w:r>
          </w:p>
        </w:tc>
        <w:tc>
          <w:tcPr>
            <w:tcW w:w="64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Principal payments on long-term debt obligations</w:t>
            </w:r>
          </w:p>
        </w:tc>
        <w:tc>
          <w:tcPr>
            <w:tcW w:w="64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(2.7)</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(6.6)</w:t>
            </w:r>
          </w:p>
        </w:tc>
      </w:tr>
      <w:tr>
        <w:trPr>
          <w:trHeight w:val="203"/>
        </w:trPr>
        <w:tc>
          <w:tcPr>
            <w:tcW w:w="7540" w:type="dxa"/>
            <w:vAlign w:val="bottom"/>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64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5"/>
        </w:trPr>
        <w:tc>
          <w:tcPr>
            <w:tcW w:w="7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Proceeds from loan from noncontrolling interest holder</w:t>
            </w:r>
          </w:p>
        </w:tc>
        <w:tc>
          <w:tcPr>
            <w:tcW w:w="64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2.0</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40" w:type="dxa"/>
            <w:vAlign w:val="bottom"/>
          </w:tcPr>
          <w:p>
            <w:pPr>
              <w:ind w:left="20"/>
              <w:spacing w:after="0"/>
              <w:rPr>
                <w:sz w:val="20"/>
                <w:szCs w:val="20"/>
                <w:color w:val="auto"/>
              </w:rPr>
            </w:pPr>
            <w:r>
              <w:rPr>
                <w:rFonts w:ascii="Arial" w:cs="Arial" w:eastAsia="Arial" w:hAnsi="Arial"/>
                <w:sz w:val="14"/>
                <w:szCs w:val="14"/>
                <w:color w:val="auto"/>
              </w:rPr>
              <w:t>Taxes paid related to shares withheld from the settlement of equity awards</w:t>
            </w:r>
          </w:p>
        </w:tc>
        <w:tc>
          <w:tcPr>
            <w:tcW w:w="64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(0.4)</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Exercise of stock options</w:t>
            </w:r>
          </w:p>
        </w:tc>
        <w:tc>
          <w:tcPr>
            <w:tcW w:w="64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0.1</w:t>
            </w:r>
          </w:p>
        </w:tc>
        <w:tc>
          <w:tcPr>
            <w:tcW w:w="10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40" w:type="dxa"/>
            <w:vAlign w:val="bottom"/>
          </w:tcPr>
          <w:p>
            <w:pPr>
              <w:ind w:left="20"/>
              <w:spacing w:after="0"/>
              <w:rPr>
                <w:sz w:val="20"/>
                <w:szCs w:val="20"/>
                <w:color w:val="auto"/>
              </w:rPr>
            </w:pPr>
            <w:r>
              <w:rPr>
                <w:rFonts w:ascii="Arial" w:cs="Arial" w:eastAsia="Arial" w:hAnsi="Arial"/>
                <w:sz w:val="14"/>
                <w:szCs w:val="14"/>
                <w:color w:val="auto"/>
              </w:rPr>
              <w:t>Equity contributions from noncontrolling interest holders</w:t>
            </w:r>
          </w:p>
        </w:tc>
        <w:tc>
          <w:tcPr>
            <w:tcW w:w="640" w:type="dxa"/>
            <w:vAlign w:val="bottom"/>
          </w:tcPr>
          <w:p>
            <w:pPr>
              <w:spacing w:after="0"/>
              <w:rPr>
                <w:sz w:val="17"/>
                <w:szCs w:val="17"/>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2.2</w:t>
            </w:r>
          </w:p>
        </w:tc>
        <w:tc>
          <w:tcPr>
            <w:tcW w:w="1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2"/>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640" w:type="dxa"/>
            <w:vAlign w:val="bottom"/>
            <w:tcBorders>
              <w:bottom w:val="single" w:sz="8" w:color="DBDBDB"/>
            </w:tcBorders>
            <w:shd w:val="clear" w:color="auto" w:fill="DBDBDB"/>
          </w:tcPr>
          <w:p>
            <w:pPr>
              <w:jc w:val="right"/>
              <w:ind w:right="4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29.1</w:t>
            </w:r>
          </w:p>
        </w:tc>
        <w:tc>
          <w:tcPr>
            <w:tcW w:w="1040" w:type="dxa"/>
            <w:vAlign w:val="bottom"/>
            <w:tcBorders>
              <w:bottom w:val="single" w:sz="8" w:color="DBDBDB"/>
            </w:tcBorders>
            <w:shd w:val="clear" w:color="auto" w:fill="DBDBDB"/>
          </w:tcPr>
          <w:p>
            <w:pPr>
              <w:jc w:val="right"/>
              <w:ind w:right="6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(7.6)</w:t>
            </w:r>
          </w:p>
        </w:tc>
      </w:tr>
      <w:tr>
        <w:trPr>
          <w:trHeight w:val="20"/>
        </w:trPr>
        <w:tc>
          <w:tcPr>
            <w:tcW w:w="7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Borrowings and repayments of debt</w:t>
      </w:r>
    </w:p>
    <w:p>
      <w:pPr>
        <w:spacing w:after="0" w:line="237" w:lineRule="exact"/>
        <w:rPr>
          <w:sz w:val="20"/>
          <w:szCs w:val="20"/>
          <w:color w:val="auto"/>
        </w:rPr>
      </w:pPr>
    </w:p>
    <w:p>
      <w:pPr>
        <w:ind w:right="60" w:firstLine="645"/>
        <w:spacing w:after="0" w:line="259" w:lineRule="auto"/>
        <w:rPr>
          <w:sz w:val="20"/>
          <w:szCs w:val="20"/>
          <w:color w:val="auto"/>
        </w:rPr>
      </w:pPr>
      <w:r>
        <w:rPr>
          <w:rFonts w:ascii="Arial" w:cs="Arial" w:eastAsia="Arial" w:hAnsi="Arial"/>
          <w:sz w:val="16"/>
          <w:szCs w:val="16"/>
          <w:color w:val="auto"/>
        </w:rPr>
        <w:t>We utilize a revolving line of credit for short-term working capital purposes. Principal payments on our term loans and other notes payable are made in accordance with debt maturity schedules. The financing cash flow for fiscal 2022 reflects the modification of principal amounts on our term-loans and increased borrowing capacity on our revolver.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Blueberries</w:t>
      </w:r>
    </w:p>
    <w:p>
      <w:pPr>
        <w:spacing w:after="0" w:line="223" w:lineRule="exact"/>
        <w:rPr>
          <w:sz w:val="20"/>
          <w:szCs w:val="20"/>
          <w:color w:val="auto"/>
        </w:rPr>
      </w:pPr>
    </w:p>
    <w:p>
      <w:pPr>
        <w:ind w:right="120" w:firstLine="645"/>
        <w:spacing w:after="0" w:line="268" w:lineRule="auto"/>
        <w:rPr>
          <w:sz w:val="20"/>
          <w:szCs w:val="20"/>
          <w:color w:val="auto"/>
        </w:rPr>
      </w:pPr>
      <w:r>
        <w:rPr>
          <w:rFonts w:ascii="Arial" w:cs="Arial" w:eastAsia="Arial" w:hAnsi="Arial"/>
          <w:sz w:val="16"/>
          <w:szCs w:val="16"/>
          <w:color w:val="auto"/>
        </w:rPr>
        <w:t>Our Blueberries segment is funded by shareholder loans and contributions and short-term bank borrowings. Principal payments on finance lease obligations increased during 2023 primarily due to a long-term land lease by our Blueberries segment, which for accounting purposes has been classified as a finance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July 31, 2023</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2022</w:t>
            </w:r>
          </w:p>
        </w:tc>
      </w:tr>
      <w:tr>
        <w:trPr>
          <w:trHeight w:val="208"/>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and cash equivalents</w:t>
            </w:r>
          </w:p>
        </w:tc>
        <w:tc>
          <w:tcPr>
            <w:tcW w:w="336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23.0</w:t>
            </w:r>
          </w:p>
        </w:tc>
        <w:tc>
          <w:tcPr>
            <w:tcW w:w="4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52.8</w:t>
            </w:r>
          </w:p>
        </w:tc>
      </w:tr>
      <w:tr>
        <w:trPr>
          <w:trHeight w:val="203"/>
        </w:trPr>
        <w:tc>
          <w:tcPr>
            <w:tcW w:w="4700" w:type="dxa"/>
            <w:vAlign w:val="bottom"/>
          </w:tcPr>
          <w:p>
            <w:pPr>
              <w:ind w:left="20"/>
              <w:spacing w:after="0"/>
              <w:rPr>
                <w:sz w:val="20"/>
                <w:szCs w:val="20"/>
                <w:color w:val="auto"/>
              </w:rPr>
            </w:pPr>
            <w:r>
              <w:rPr>
                <w:rFonts w:ascii="Arial" w:cs="Arial" w:eastAsia="Arial" w:hAnsi="Arial"/>
                <w:sz w:val="14"/>
                <w:szCs w:val="14"/>
                <w:color w:val="auto"/>
              </w:rPr>
              <w:t>Working capital</w:t>
            </w:r>
            <w:r>
              <w:rPr>
                <w:rFonts w:ascii="Arial" w:cs="Arial" w:eastAsia="Arial" w:hAnsi="Arial"/>
                <w:sz w:val="9"/>
                <w:szCs w:val="9"/>
                <w:color w:val="auto"/>
              </w:rPr>
              <w:t>(1)</w:t>
            </w:r>
          </w:p>
        </w:tc>
        <w:tc>
          <w:tcPr>
            <w:tcW w:w="3360" w:type="dxa"/>
            <w:vAlign w:val="bottom"/>
          </w:tcPr>
          <w:p>
            <w:pPr>
              <w:spacing w:after="0"/>
              <w:rPr>
                <w:sz w:val="17"/>
                <w:szCs w:val="17"/>
                <w:color w:val="auto"/>
              </w:rPr>
            </w:pP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129.1</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126.4</w:t>
            </w:r>
          </w:p>
        </w:tc>
      </w:tr>
      <w:tr>
        <w:trPr>
          <w:trHeight w:val="25"/>
        </w:trPr>
        <w:tc>
          <w:tcPr>
            <w:tcW w:w="47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ind w:left="180" w:hanging="173"/>
        <w:spacing w:after="0"/>
        <w:tabs>
          <w:tab w:leader="none" w:pos="180" w:val="left"/>
        </w:tabs>
        <w:numPr>
          <w:ilvl w:val="0"/>
          <w:numId w:val="21"/>
        </w:numPr>
        <w:rPr>
          <w:rFonts w:ascii="Arial" w:cs="Arial" w:eastAsia="Arial" w:hAnsi="Arial"/>
          <w:sz w:val="16"/>
          <w:szCs w:val="16"/>
          <w:color w:val="auto"/>
          <w:vertAlign w:val="superscript"/>
        </w:rPr>
      </w:pPr>
      <w:r>
        <w:rPr>
          <w:rFonts w:ascii="Arial" w:cs="Arial" w:eastAsia="Arial" w:hAnsi="Arial"/>
          <w:sz w:val="13"/>
          <w:szCs w:val="13"/>
          <w:color w:val="auto"/>
        </w:rPr>
        <w:t>Includes cash and cash equivalents</w:t>
      </w:r>
    </w:p>
    <w:p>
      <w:pPr>
        <w:spacing w:after="0" w:line="209" w:lineRule="exact"/>
        <w:rPr>
          <w:sz w:val="20"/>
          <w:szCs w:val="20"/>
          <w:color w:val="auto"/>
        </w:rPr>
      </w:pPr>
    </w:p>
    <w:p>
      <w:pPr>
        <w:ind w:right="280" w:firstLine="645"/>
        <w:spacing w:after="0" w:line="291" w:lineRule="auto"/>
        <w:rPr>
          <w:sz w:val="20"/>
          <w:szCs w:val="20"/>
          <w:color w:val="auto"/>
        </w:rPr>
      </w:pPr>
      <w:r>
        <w:rPr>
          <w:rFonts w:ascii="Arial" w:cs="Arial" w:eastAsia="Arial" w:hAnsi="Arial"/>
          <w:sz w:val="16"/>
          <w:szCs w:val="16"/>
          <w:color w:val="auto"/>
        </w:rPr>
        <w:t>Capital resources include cash flows from operations, cash and cash equivalents, and debt financing. Our Blueberries segment may also receive capital contributions or loans from shareholders from time to time.</w:t>
      </w:r>
    </w:p>
    <w:p>
      <w:pPr>
        <w:spacing w:after="0" w:line="158" w:lineRule="exact"/>
        <w:rPr>
          <w:sz w:val="20"/>
          <w:szCs w:val="20"/>
          <w:color w:val="auto"/>
        </w:rPr>
      </w:pPr>
    </w:p>
    <w:p>
      <w:pPr>
        <w:ind w:right="80" w:firstLine="645"/>
        <w:spacing w:after="0" w:line="260" w:lineRule="auto"/>
        <w:rPr>
          <w:sz w:val="20"/>
          <w:szCs w:val="20"/>
          <w:color w:val="auto"/>
        </w:rPr>
      </w:pPr>
      <w:r>
        <w:rPr>
          <w:rFonts w:ascii="Arial" w:cs="Arial" w:eastAsia="Arial" w:hAnsi="Arial"/>
          <w:sz w:val="16"/>
          <w:szCs w:val="16"/>
          <w:color w:val="auto"/>
        </w:rPr>
        <w:t>Our syndicated credit facility with Bank of America has a total borrowing capacity of $250 million. The credit facility is comprised of two senior term loans totaling $100 million and a revolving credit agreement of $150 million. The loans are secured by assets of the Company, including certain real property, personal property and capital stock of the Company’s subsidiaries. Borrowings under the credit facility bear interest at a spread over SOFR ranging from 1.5% to 2.5% depending on the Company’s consolidated total net leverage ratio. We pay fees on unused commitments on the credit facility.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July 31, 2023, we were required to comply with the following financial covenants: (a) a quarterly consolidated leverage ratio of not more than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3.5 to 1.00 and (b) a quarterly consolidated fixed charge coverage ratio of not less than 1.25 to 1.00. As of July 31, 2023, our consolidated leverage ratio was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2.97 to 1.00 and our consolidated fixed charge coverage ratio was 1.68 to 1.00 and we were in compliance with all such covenants of the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p>
    <w:p>
      <w:pPr>
        <w:spacing w:after="0" w:line="237" w:lineRule="exact"/>
        <w:rPr>
          <w:sz w:val="20"/>
          <w:szCs w:val="20"/>
          <w:color w:val="auto"/>
        </w:rPr>
      </w:pPr>
    </w:p>
    <w:p>
      <w:pPr>
        <w:ind w:right="260" w:firstLine="645"/>
        <w:spacing w:after="0" w:line="259" w:lineRule="auto"/>
        <w:rPr>
          <w:sz w:val="20"/>
          <w:szCs w:val="20"/>
          <w:color w:val="auto"/>
        </w:rPr>
      </w:pPr>
      <w:r>
        <w:rPr>
          <w:rFonts w:ascii="Arial" w:cs="Arial" w:eastAsia="Arial" w:hAnsi="Arial"/>
          <w:sz w:val="16"/>
          <w:szCs w:val="16"/>
          <w:color w:val="auto"/>
        </w:rPr>
        <w:t>We have various capital projects in progress for farming expansion and facility improvements which we intend to fund through our operating cash flow as well as cash and cash equivalents on hand. For fiscal 2023, we expect capital expenditures excluding the Moruga Blueberry Project (described below) to be lower than fiscal 2022. Cash paid for capital expenditures for the year ended October 31, 2022 was $61.2 million.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Moruga Blueberry Project</w:t>
      </w:r>
    </w:p>
    <w:p>
      <w:pPr>
        <w:spacing w:after="0" w:line="223" w:lineRule="exact"/>
        <w:rPr>
          <w:sz w:val="20"/>
          <w:szCs w:val="20"/>
          <w:color w:val="auto"/>
        </w:rPr>
      </w:pPr>
    </w:p>
    <w:p>
      <w:pPr>
        <w:ind w:right="60" w:firstLine="645"/>
        <w:spacing w:after="0" w:line="261" w:lineRule="auto"/>
        <w:rPr>
          <w:sz w:val="20"/>
          <w:szCs w:val="20"/>
          <w:color w:val="auto"/>
        </w:rPr>
      </w:pPr>
      <w:r>
        <w:rPr>
          <w:rFonts w:ascii="Arial" w:cs="Arial" w:eastAsia="Arial" w:hAnsi="Arial"/>
          <w:sz w:val="16"/>
          <w:szCs w:val="16"/>
          <w:color w:val="auto"/>
        </w:rPr>
        <w:t>On May 1, 2022, the shareholders of Moruga approved a new capital project to farm approximately 1,500 additional acres of blueberries in the Olmos region of Peru. The project is anticipated to require a total investment of approximately $50 million, which will be funded by cash flow generated by Moruga and supplemented by pro-rata shareholder contributions based on each shareholders’ respective ownership interest. The project began in fiscal year 2023 and is expected to be carried out in phases. For fiscal 2023, capital expenditures related to the project are expected to be approximately $13.0 million, depending on timing and other factors.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w:t>
      </w:r>
    </w:p>
    <w:p>
      <w:pPr>
        <w:spacing w:after="0" w:line="223" w:lineRule="exact"/>
        <w:rPr>
          <w:sz w:val="20"/>
          <w:szCs w:val="20"/>
          <w:color w:val="auto"/>
        </w:rPr>
      </w:pPr>
    </w:p>
    <w:p>
      <w:pPr>
        <w:ind w:right="80" w:firstLine="645"/>
        <w:spacing w:after="0" w:line="291" w:lineRule="auto"/>
        <w:rPr>
          <w:sz w:val="20"/>
          <w:szCs w:val="20"/>
          <w:color w:val="auto"/>
        </w:rPr>
      </w:pPr>
      <w:r>
        <w:rPr>
          <w:rFonts w:ascii="Arial" w:cs="Arial" w:eastAsia="Arial" w:hAnsi="Arial"/>
          <w:sz w:val="16"/>
          <w:szCs w:val="16"/>
          <w:color w:val="auto"/>
        </w:rPr>
        <w:t>We are party to various leases for facilities, land, and equipment, for which our undiscounted cash liabilities were approximately $182.5 million as of July 31, 2023. Of that amount, approximately $60.0 million was related to a long-term land lease agreement in our Blueberries segment.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Debt</w:t>
      </w:r>
    </w:p>
    <w:p>
      <w:pPr>
        <w:spacing w:after="0" w:line="237" w:lineRule="exact"/>
        <w:rPr>
          <w:sz w:val="20"/>
          <w:szCs w:val="20"/>
          <w:color w:val="auto"/>
        </w:rPr>
      </w:pPr>
    </w:p>
    <w:p>
      <w:pPr>
        <w:ind w:right="200" w:firstLine="645"/>
        <w:spacing w:after="0" w:line="273" w:lineRule="auto"/>
        <w:rPr>
          <w:sz w:val="20"/>
          <w:szCs w:val="20"/>
          <w:color w:val="auto"/>
        </w:rPr>
      </w:pPr>
      <w:r>
        <w:rPr>
          <w:rFonts w:ascii="Arial" w:cs="Arial" w:eastAsia="Arial" w:hAnsi="Arial"/>
          <w:sz w:val="16"/>
          <w:szCs w:val="16"/>
          <w:color w:val="auto"/>
        </w:rPr>
        <w:t>As of July 31, 2023, remaining maturities on our term loans and notes were $168.3 million. See Note 5 to the consolidated financial statements for more information.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241" w:lineRule="exact"/>
        <w:rPr>
          <w:sz w:val="20"/>
          <w:szCs w:val="20"/>
          <w:color w:val="auto"/>
        </w:rPr>
      </w:pPr>
    </w:p>
    <w:p>
      <w:pPr>
        <w:ind w:right="640" w:firstLine="645"/>
        <w:spacing w:after="0" w:line="273" w:lineRule="auto"/>
        <w:rPr>
          <w:sz w:val="20"/>
          <w:szCs w:val="20"/>
          <w:color w:val="auto"/>
        </w:rPr>
      </w:pPr>
      <w:r>
        <w:rPr>
          <w:rFonts w:ascii="Arial" w:cs="Arial" w:eastAsia="Arial" w:hAnsi="Arial"/>
          <w:sz w:val="16"/>
          <w:szCs w:val="16"/>
          <w:color w:val="auto"/>
        </w:rPr>
        <w:t>For a discussion of our critical accounting estimates, see “Part II, Item 7. Management’s Discussion and Analysis of Financial Condition and Operations” in our Annual Report on Form 10-K for the year ended October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73025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5"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2022, filed with the SEC on December 22, 2022. There have been no material changes to the critical accounting estimates disclosed in such Annual Report on Form 10-K.</w:t>
      </w:r>
    </w:p>
    <w:p>
      <w:pPr>
        <w:spacing w:after="0" w:line="312"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auto"/>
        </w:rPr>
        <w:t>Item 3.</w:t>
      </w:r>
      <w:r>
        <w:rPr>
          <w:sz w:val="20"/>
          <w:szCs w:val="20"/>
          <w:color w:val="auto"/>
        </w:rPr>
        <w:tab/>
      </w:r>
      <w:r>
        <w:rPr>
          <w:rFonts w:ascii="Arial" w:cs="Arial" w:eastAsia="Arial" w:hAnsi="Arial"/>
          <w:sz w:val="21"/>
          <w:szCs w:val="21"/>
          <w:b w:val="1"/>
          <w:bCs w:val="1"/>
          <w:color w:val="auto"/>
        </w:rPr>
        <w:t>Quantitative and Qualitative Disclosures About Market Risk</w:t>
      </w:r>
    </w:p>
    <w:p>
      <w:pPr>
        <w:spacing w:after="0" w:line="238" w:lineRule="exact"/>
        <w:rPr>
          <w:sz w:val="20"/>
          <w:szCs w:val="20"/>
          <w:color w:val="auto"/>
        </w:rPr>
      </w:pPr>
    </w:p>
    <w:p>
      <w:pPr>
        <w:ind w:right="380" w:firstLine="645"/>
        <w:spacing w:after="0" w:line="273" w:lineRule="auto"/>
        <w:rPr>
          <w:sz w:val="20"/>
          <w:szCs w:val="20"/>
          <w:color w:val="auto"/>
        </w:rPr>
      </w:pPr>
      <w:r>
        <w:rPr>
          <w:rFonts w:ascii="Arial" w:cs="Arial" w:eastAsia="Arial" w:hAnsi="Arial"/>
          <w:sz w:val="16"/>
          <w:szCs w:val="16"/>
          <w:color w:val="auto"/>
        </w:rPr>
        <w:t>There have been no material changes to “Part II, Item 7A. Quantitative and Qualitative Disclosures About Market Risk” in our Annual Report on Form 10-K for the year ended October 31, 2022.</w:t>
      </w:r>
    </w:p>
    <w:p>
      <w:pPr>
        <w:spacing w:after="0" w:line="312"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auto"/>
        </w:rPr>
        <w:t>Item 4.</w:t>
      </w:r>
      <w:r>
        <w:rPr>
          <w:sz w:val="20"/>
          <w:szCs w:val="20"/>
          <w:color w:val="auto"/>
        </w:rPr>
        <w:tab/>
      </w:r>
      <w:r>
        <w:rPr>
          <w:rFonts w:ascii="Arial" w:cs="Arial" w:eastAsia="Arial" w:hAnsi="Arial"/>
          <w:sz w:val="21"/>
          <w:szCs w:val="21"/>
          <w:b w:val="1"/>
          <w:bCs w:val="1"/>
          <w:color w:val="auto"/>
        </w:rPr>
        <w:t>Controls and Procedures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27" w:lineRule="exact"/>
        <w:rPr>
          <w:sz w:val="20"/>
          <w:szCs w:val="20"/>
          <w:color w:val="auto"/>
        </w:rPr>
      </w:pPr>
    </w:p>
    <w:p>
      <w:pPr>
        <w:ind w:right="200" w:firstLine="645"/>
        <w:spacing w:after="0" w:line="256" w:lineRule="auto"/>
        <w:rPr>
          <w:sz w:val="20"/>
          <w:szCs w:val="20"/>
          <w:color w:val="auto"/>
        </w:rPr>
      </w:pPr>
      <w:r>
        <w:rPr>
          <w:rFonts w:ascii="Arial" w:cs="Arial" w:eastAsia="Arial" w:hAnsi="Arial"/>
          <w:sz w:val="16"/>
          <w:szCs w:val="16"/>
          <w:color w:val="auto"/>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41" w:lineRule="exact"/>
        <w:rPr>
          <w:sz w:val="20"/>
          <w:szCs w:val="20"/>
          <w:color w:val="auto"/>
        </w:rPr>
      </w:pPr>
    </w:p>
    <w:p>
      <w:pPr>
        <w:jc w:val="both"/>
        <w:ind w:right="120" w:firstLine="645"/>
        <w:spacing w:after="0" w:line="273" w:lineRule="auto"/>
        <w:rPr>
          <w:sz w:val="20"/>
          <w:szCs w:val="20"/>
          <w:color w:val="auto"/>
        </w:rPr>
      </w:pPr>
      <w:r>
        <w:rPr>
          <w:rFonts w:ascii="Arial" w:cs="Arial" w:eastAsia="Arial" w:hAnsi="Arial"/>
          <w:sz w:val="16"/>
          <w:szCs w:val="16"/>
          <w:color w:val="auto"/>
        </w:rPr>
        <w:t>There were no other changes in our internal control over financial reporting during the quarter ended July 31, 2023 that have materially affected, or are reasonably likely to materially affect, our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Effectiveness of Controls and Procedures</w:t>
      </w:r>
    </w:p>
    <w:p>
      <w:pPr>
        <w:spacing w:after="0" w:line="227" w:lineRule="exact"/>
        <w:rPr>
          <w:sz w:val="20"/>
          <w:szCs w:val="20"/>
          <w:color w:val="auto"/>
        </w:rPr>
      </w:pPr>
    </w:p>
    <w:p>
      <w:pPr>
        <w:jc w:val="both"/>
        <w:ind w:right="120" w:firstLine="645"/>
        <w:spacing w:after="0" w:line="261" w:lineRule="auto"/>
        <w:rPr>
          <w:sz w:val="20"/>
          <w:szCs w:val="20"/>
          <w:color w:val="auto"/>
        </w:rPr>
      </w:pPr>
      <w:r>
        <w:rPr>
          <w:rFonts w:ascii="Arial" w:cs="Arial" w:eastAsia="Arial" w:hAnsi="Arial"/>
          <w:sz w:val="16"/>
          <w:szCs w:val="16"/>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PART II- OTHER INFORMATION</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auto"/>
        </w:rPr>
        <w:t>Item 1.</w:t>
      </w:r>
      <w:r>
        <w:rPr>
          <w:sz w:val="20"/>
          <w:szCs w:val="20"/>
          <w:color w:val="auto"/>
        </w:rPr>
        <w:tab/>
      </w:r>
      <w:r>
        <w:rPr>
          <w:rFonts w:ascii="Arial" w:cs="Arial" w:eastAsia="Arial" w:hAnsi="Arial"/>
          <w:sz w:val="21"/>
          <w:szCs w:val="21"/>
          <w:b w:val="1"/>
          <w:bCs w:val="1"/>
          <w:color w:val="auto"/>
        </w:rPr>
        <w:t>Legal Proceedings</w:t>
      </w:r>
    </w:p>
    <w:p>
      <w:pPr>
        <w:spacing w:after="0" w:line="238" w:lineRule="exact"/>
        <w:rPr>
          <w:sz w:val="20"/>
          <w:szCs w:val="20"/>
          <w:color w:val="auto"/>
        </w:rPr>
      </w:pPr>
    </w:p>
    <w:p>
      <w:pPr>
        <w:ind w:right="460" w:firstLine="645"/>
        <w:spacing w:after="0" w:line="273" w:lineRule="auto"/>
        <w:rPr>
          <w:sz w:val="20"/>
          <w:szCs w:val="20"/>
          <w:color w:val="auto"/>
        </w:rPr>
      </w:pPr>
      <w:r>
        <w:rPr>
          <w:rFonts w:ascii="Arial" w:cs="Arial" w:eastAsia="Arial" w:hAnsi="Arial"/>
          <w:sz w:val="16"/>
          <w:szCs w:val="16"/>
          <w:color w:val="auto"/>
        </w:rPr>
        <w:t>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updates the matter discussed in “Part I, Item 3. Legal Proceedings” in our Annual Report on Form 10-K for the year ended October 31,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2022:</w:t>
      </w:r>
    </w:p>
    <w:p>
      <w:pPr>
        <w:spacing w:after="0" w:line="221" w:lineRule="exact"/>
        <w:rPr>
          <w:sz w:val="20"/>
          <w:szCs w:val="20"/>
          <w:color w:val="auto"/>
        </w:rPr>
      </w:pPr>
    </w:p>
    <w:p>
      <w:pPr>
        <w:ind w:firstLine="645"/>
        <w:spacing w:after="0" w:line="256" w:lineRule="auto"/>
        <w:rPr>
          <w:sz w:val="20"/>
          <w:szCs w:val="20"/>
          <w:color w:val="auto"/>
        </w:rPr>
      </w:pPr>
      <w:r>
        <w:rPr>
          <w:rFonts w:ascii="Arial" w:cs="Arial" w:eastAsia="Arial" w:hAnsi="Arial"/>
          <w:sz w:val="16"/>
          <w:szCs w:val="16"/>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73025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consolidated statements of income during the three months ended April 30, 2021. The parties executed a stipulation of settlement agreement on such terms in November 2021. This preliminary settlement was approved by the applicable courts in October 2022. In the course of preparing to send out notices to the settlement class, issues arose regarding the nature and scope of the settlement, specifically with respect to the universe of participants in the settlement class, which the parties were unable to resolve. Plaintiffs filed a motion to enforce compliance with the settlement agreement and the Company filed a cross motion to reform the stipulation of settlement, or in the alternative, to vacate the order of preliminary approval. A hearing before the court was held on this matter in July 2023. The court granted Plaintiff’s motion and directed the parties to proceed with the notice procedures to a class that includes a number of participants that the Company does not feel are appropriate to include. The court did not rule on the fairness of the settlement agreement between the parties and stated that this determination would be made at final approval and that the issues raised in the Company’s motion would be considered at that time. The Company requested an appeal of the ruling and a delay of the mailing of notice to settlement class members, but such request was denied. A final approval hearing date has been set for January 30, 2024.</w:t>
      </w:r>
    </w:p>
    <w:p>
      <w:pPr>
        <w:spacing w:after="0" w:line="186" w:lineRule="exact"/>
        <w:rPr>
          <w:sz w:val="20"/>
          <w:szCs w:val="20"/>
          <w:color w:val="auto"/>
        </w:rPr>
      </w:pPr>
    </w:p>
    <w:p>
      <w:pPr>
        <w:ind w:right="80" w:firstLine="645"/>
        <w:spacing w:after="0" w:line="268" w:lineRule="auto"/>
        <w:rPr>
          <w:sz w:val="20"/>
          <w:szCs w:val="20"/>
          <w:color w:val="auto"/>
        </w:rPr>
      </w:pPr>
      <w:r>
        <w:rPr>
          <w:rFonts w:ascii="Arial" w:cs="Arial" w:eastAsia="Arial" w:hAnsi="Arial"/>
          <w:sz w:val="16"/>
          <w:szCs w:val="16"/>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302"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Item 1A.</w:t>
      </w:r>
      <w:r>
        <w:rPr>
          <w:sz w:val="20"/>
          <w:szCs w:val="20"/>
          <w:color w:val="auto"/>
        </w:rPr>
        <w:tab/>
      </w:r>
      <w:r>
        <w:rPr>
          <w:rFonts w:ascii="Arial" w:cs="Arial" w:eastAsia="Arial" w:hAnsi="Arial"/>
          <w:sz w:val="21"/>
          <w:szCs w:val="21"/>
          <w:b w:val="1"/>
          <w:bCs w:val="1"/>
          <w:color w:val="auto"/>
        </w:rPr>
        <w:t>Risk Factors</w:t>
      </w:r>
    </w:p>
    <w:p>
      <w:pPr>
        <w:spacing w:after="0" w:line="238" w:lineRule="exact"/>
        <w:rPr>
          <w:sz w:val="20"/>
          <w:szCs w:val="20"/>
          <w:color w:val="auto"/>
        </w:rPr>
      </w:pPr>
    </w:p>
    <w:p>
      <w:pPr>
        <w:ind w:firstLine="645"/>
        <w:spacing w:after="0" w:line="258" w:lineRule="auto"/>
        <w:rPr>
          <w:sz w:val="20"/>
          <w:szCs w:val="20"/>
          <w:color w:val="auto"/>
        </w:rPr>
      </w:pPr>
      <w:r>
        <w:rPr>
          <w:rFonts w:ascii="Arial" w:cs="Arial" w:eastAsia="Arial" w:hAnsi="Arial"/>
          <w:sz w:val="16"/>
          <w:szCs w:val="16"/>
          <w:color w:val="auto"/>
        </w:rPr>
        <w:t>For a discussion of our risk factors, see “Part I, Item 1A. Risk Factors” in our Annual Report on Form 10-K for the year ended October 31, 2022, filed with the SEC on December 22, 2022. There have been no material changes from the risk factors previously disclosed in such Annual Report on Form 10-K, except as set forth below. The risks and uncertainties that we face are not limited to those set forth in the 2022 Form 10-K and in this quarterly report. You should carefully consider the risk factors in the 2022 Form 10-K, together with the other information contained in this quarterly report on Form 10-Q, including our financial statements and the related notes and “Management’s Discussion and Analysis of Financial Condition and Results of Operations,” before making a decision to purchase or sell shares of our common stock. Additional risks and uncertainties not presently known to us or that we currently believe to be immaterial may also adversely affect our business and the trading price of our common stock.</w:t>
      </w:r>
    </w:p>
    <w:p>
      <w:pPr>
        <w:spacing w:after="0" w:line="313"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auto"/>
        </w:rPr>
        <w:t>Item 2.</w:t>
      </w:r>
      <w:r>
        <w:rPr>
          <w:sz w:val="20"/>
          <w:szCs w:val="20"/>
          <w:color w:val="auto"/>
        </w:rPr>
        <w:tab/>
      </w:r>
      <w:r>
        <w:rPr>
          <w:rFonts w:ascii="Arial" w:cs="Arial" w:eastAsia="Arial" w:hAnsi="Arial"/>
          <w:sz w:val="21"/>
          <w:szCs w:val="21"/>
          <w:b w:val="1"/>
          <w:bCs w:val="1"/>
          <w:color w:val="auto"/>
        </w:rPr>
        <w:t>Unregistered Sales of Equity Securities and Use of Proceeds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358"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auto"/>
        </w:rPr>
        <w:t>Item 3.</w:t>
      </w:r>
      <w:r>
        <w:rPr>
          <w:sz w:val="20"/>
          <w:szCs w:val="20"/>
          <w:color w:val="auto"/>
        </w:rPr>
        <w:tab/>
      </w:r>
      <w:r>
        <w:rPr>
          <w:rFonts w:ascii="Arial" w:cs="Arial" w:eastAsia="Arial" w:hAnsi="Arial"/>
          <w:sz w:val="21"/>
          <w:szCs w:val="21"/>
          <w:b w:val="1"/>
          <w:bCs w:val="1"/>
          <w:color w:val="auto"/>
        </w:rPr>
        <w:t>Defaults Upon Senior Securities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345"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auto"/>
        </w:rPr>
        <w:t>Item 4.</w:t>
      </w:r>
      <w:r>
        <w:rPr>
          <w:sz w:val="20"/>
          <w:szCs w:val="20"/>
          <w:color w:val="auto"/>
        </w:rPr>
        <w:tab/>
      </w:r>
      <w:r>
        <w:rPr>
          <w:rFonts w:ascii="Arial" w:cs="Arial" w:eastAsia="Arial" w:hAnsi="Arial"/>
          <w:sz w:val="21"/>
          <w:szCs w:val="21"/>
          <w:b w:val="1"/>
          <w:bCs w:val="1"/>
          <w:color w:val="auto"/>
        </w:rPr>
        <w:t>Mine Safety Disclosures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345"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auto"/>
        </w:rPr>
        <w:t>Item 5.</w:t>
      </w:r>
      <w:r>
        <w:rPr>
          <w:sz w:val="20"/>
          <w:szCs w:val="20"/>
          <w:color w:val="auto"/>
        </w:rPr>
        <w:tab/>
      </w:r>
      <w:r>
        <w:rPr>
          <w:rFonts w:ascii="Arial" w:cs="Arial" w:eastAsia="Arial" w:hAnsi="Arial"/>
          <w:sz w:val="21"/>
          <w:szCs w:val="21"/>
          <w:b w:val="1"/>
          <w:bCs w:val="1"/>
          <w:color w:val="auto"/>
        </w:rPr>
        <w:t>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10b-5(1) Trading Plan</w:t>
      </w:r>
    </w:p>
    <w:p>
      <w:pPr>
        <w:spacing w:after="0" w:line="227" w:lineRule="exact"/>
        <w:rPr>
          <w:sz w:val="20"/>
          <w:szCs w:val="20"/>
          <w:color w:val="auto"/>
        </w:rPr>
      </w:pPr>
    </w:p>
    <w:p>
      <w:pPr>
        <w:ind w:right="40" w:firstLine="645"/>
        <w:spacing w:after="0" w:line="291" w:lineRule="auto"/>
        <w:rPr>
          <w:sz w:val="20"/>
          <w:szCs w:val="20"/>
          <w:color w:val="auto"/>
        </w:rPr>
      </w:pPr>
      <w:r>
        <w:rPr>
          <w:rFonts w:ascii="Arial" w:cs="Arial" w:eastAsia="Arial" w:hAnsi="Arial"/>
          <w:sz w:val="16"/>
          <w:szCs w:val="16"/>
          <w:color w:val="auto"/>
        </w:rPr>
        <w:t>Luis A. Gonzales, one of the Company’s directors, and his spouse, Rosario Del Pilar Vallejos Hinojosa, have adopted a trading plan that is intended to satisfy the affirmative defense of Rule 10b5-1(c) (the “Sales Plan”) to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19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an aggregate of 1,651,500 shares they hold indirectly through Beldar Enterprises S.A., and through Corp SA1, Corp SA2, Corp SA3, and Corp SA4, which are abbreviations for four affiliate corporations that are organized under the laws of Panama. The Sales Plan was adopted on July 14, 2023, with sales commencing under the Sales Plan on October 16, 2023. The Sales Plan terminates on the earliest to occur of (a) the close of business on October 16, 2024 ;</w:t>
      </w:r>
    </w:p>
    <w:p>
      <w:pPr>
        <w:spacing w:after="0" w:line="1" w:lineRule="exact"/>
        <w:rPr>
          <w:sz w:val="20"/>
          <w:szCs w:val="20"/>
          <w:color w:val="auto"/>
        </w:rPr>
      </w:pPr>
    </w:p>
    <w:p>
      <w:pPr>
        <w:ind w:right="500" w:firstLine="7"/>
        <w:spacing w:after="0" w:line="275" w:lineRule="auto"/>
        <w:tabs>
          <w:tab w:leader="none" w:pos="24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on which the total shares subject to the Sales Plan have been sold; and (c) the date the Sales Plan is terminated in connection with certain extraordinary transactions as specified by the terms of the Sales Plan.</w:t>
      </w:r>
    </w:p>
    <w:p>
      <w:pPr>
        <w:spacing w:after="0" w:line="200" w:lineRule="exact"/>
        <w:rPr>
          <w:sz w:val="20"/>
          <w:szCs w:val="20"/>
          <w:color w:val="auto"/>
        </w:rPr>
      </w:pPr>
    </w:p>
    <w:p>
      <w:pPr>
        <w:spacing w:after="0" w:line="311"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b w:val="1"/>
          <w:bCs w:val="1"/>
          <w:color w:val="auto"/>
        </w:rPr>
        <w:t>Item 6.</w:t>
      </w:r>
      <w:r>
        <w:rPr>
          <w:sz w:val="20"/>
          <w:szCs w:val="20"/>
          <w:color w:val="auto"/>
        </w:rPr>
        <w:tab/>
      </w:r>
      <w:r>
        <w:rPr>
          <w:rFonts w:ascii="Arial" w:cs="Arial" w:eastAsia="Arial" w:hAnsi="Arial"/>
          <w:sz w:val="21"/>
          <w:szCs w:val="21"/>
          <w:b w:val="1"/>
          <w:bCs w:val="1"/>
          <w:color w:val="auto"/>
        </w:rPr>
        <w:t>Exhibits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documents set forth are filed herewith or incorporated herein by reference.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Pr>
          <w:p>
            <w:pPr>
              <w:spacing w:after="0"/>
              <w:rPr>
                <w:sz w:val="18"/>
                <w:szCs w:val="18"/>
                <w:color w:val="auto"/>
              </w:rPr>
            </w:pPr>
          </w:p>
        </w:tc>
      </w:tr>
      <w:tr>
        <w:trPr>
          <w:trHeight w:val="175"/>
        </w:trPr>
        <w:tc>
          <w:tcPr>
            <w:tcW w:w="1020" w:type="dxa"/>
            <w:vAlign w:val="bottom"/>
          </w:tcPr>
          <w:p>
            <w:pPr>
              <w:ind w:left="80"/>
              <w:spacing w:after="0"/>
              <w:rPr>
                <w:sz w:val="20"/>
                <w:szCs w:val="20"/>
                <w:color w:val="auto"/>
              </w:rPr>
            </w:pPr>
            <w:r>
              <w:rPr>
                <w:rFonts w:ascii="Arial" w:cs="Arial" w:eastAsia="Arial" w:hAnsi="Arial"/>
                <w:sz w:val="14"/>
                <w:szCs w:val="14"/>
                <w:b w:val="1"/>
                <w:bCs w:val="1"/>
                <w:color w:val="auto"/>
              </w:rPr>
              <w:t>Exhibit No.</w:t>
            </w: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jc w:val="center"/>
              <w:ind w:left="68"/>
              <w:spacing w:after="0"/>
              <w:rPr>
                <w:sz w:val="20"/>
                <w:szCs w:val="20"/>
                <w:color w:val="auto"/>
              </w:rPr>
            </w:pPr>
            <w:r>
              <w:rPr>
                <w:rFonts w:ascii="Arial" w:cs="Arial" w:eastAsia="Arial" w:hAnsi="Arial"/>
                <w:sz w:val="14"/>
                <w:szCs w:val="14"/>
                <w:b w:val="1"/>
                <w:bCs w:val="1"/>
                <w:color w:val="auto"/>
              </w:rPr>
              <w:t>Filed</w:t>
            </w:r>
          </w:p>
        </w:tc>
      </w:tr>
      <w:tr>
        <w:trPr>
          <w:trHeight w:val="208"/>
        </w:trPr>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Exhibit Description</w:t>
            </w:r>
          </w:p>
        </w:tc>
        <w:tc>
          <w:tcPr>
            <w:tcW w:w="6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Form</w:t>
            </w:r>
          </w:p>
        </w:tc>
        <w:tc>
          <w:tcPr>
            <w:tcW w:w="15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8"/>
              </w:rPr>
              <w:t>Date</w:t>
            </w:r>
          </w:p>
        </w:tc>
        <w:tc>
          <w:tcPr>
            <w:tcW w:w="10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Number</w:t>
            </w:r>
          </w:p>
        </w:tc>
        <w:tc>
          <w:tcPr>
            <w:tcW w:w="11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Herewith</w:t>
            </w:r>
          </w:p>
        </w:tc>
      </w:tr>
      <w:tr>
        <w:trPr>
          <w:trHeight w:val="208"/>
        </w:trPr>
        <w:tc>
          <w:tcPr>
            <w:tcW w:w="102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3.1#</w:t>
            </w:r>
          </w:p>
        </w:tc>
        <w:tc>
          <w:tcPr>
            <w:tcW w:w="5920" w:type="dxa"/>
            <w:vAlign w:val="bottom"/>
            <w:gridSpan w:val="11"/>
            <w:shd w:val="clear" w:color="auto" w:fill="DBDBDB"/>
          </w:tcPr>
          <w:p>
            <w:pPr>
              <w:spacing w:after="0"/>
              <w:rPr>
                <w:rFonts w:ascii="Arial" w:cs="Arial" w:eastAsia="Arial" w:hAnsi="Arial"/>
                <w:sz w:val="14"/>
                <w:szCs w:val="14"/>
                <w:color w:val="auto"/>
              </w:rPr>
            </w:pPr>
            <w:hyperlink r:id="rId45">
              <w:r>
                <w:rPr>
                  <w:rFonts w:ascii="Arial" w:cs="Arial" w:eastAsia="Arial" w:hAnsi="Arial"/>
                  <w:sz w:val="14"/>
                  <w:szCs w:val="14"/>
                  <w:color w:val="auto"/>
                </w:rPr>
                <w:t>Amended and Restated Certificate of Incorporation</w:t>
              </w:r>
            </w:hyperlink>
          </w:p>
        </w:tc>
        <w:tc>
          <w:tcPr>
            <w:tcW w:w="60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rPr>
              <w:t>8-K</w:t>
            </w:r>
          </w:p>
        </w:tc>
        <w:tc>
          <w:tcPr>
            <w:tcW w:w="1520" w:type="dxa"/>
            <w:vAlign w:val="bottom"/>
            <w:shd w:val="clear" w:color="auto" w:fill="DBDBDB"/>
          </w:tcPr>
          <w:p>
            <w:pPr>
              <w:jc w:val="center"/>
              <w:ind w:left="168"/>
              <w:spacing w:after="0"/>
              <w:rPr>
                <w:sz w:val="20"/>
                <w:szCs w:val="20"/>
                <w:color w:val="auto"/>
              </w:rPr>
            </w:pPr>
            <w:r>
              <w:rPr>
                <w:rFonts w:ascii="Arial" w:cs="Arial" w:eastAsia="Arial" w:hAnsi="Arial"/>
                <w:sz w:val="14"/>
                <w:szCs w:val="14"/>
                <w:color w:val="auto"/>
              </w:rPr>
              <w:t>10/7/2020</w:t>
            </w:r>
          </w:p>
        </w:tc>
        <w:tc>
          <w:tcPr>
            <w:tcW w:w="106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rPr>
              <w:t>3.1</w:t>
            </w:r>
          </w:p>
        </w:tc>
        <w:tc>
          <w:tcPr>
            <w:tcW w:w="1120" w:type="dxa"/>
            <w:vAlign w:val="bottom"/>
            <w:shd w:val="clear" w:color="auto" w:fill="DBDBDB"/>
          </w:tcPr>
          <w:p>
            <w:pPr>
              <w:spacing w:after="0"/>
              <w:rPr>
                <w:sz w:val="18"/>
                <w:szCs w:val="18"/>
                <w:color w:val="auto"/>
              </w:rPr>
            </w:pPr>
          </w:p>
        </w:tc>
      </w:tr>
      <w:tr>
        <w:trPr>
          <w:trHeight w:val="175"/>
        </w:trPr>
        <w:tc>
          <w:tcPr>
            <w:tcW w:w="1020" w:type="dxa"/>
            <w:vAlign w:val="bottom"/>
            <w:tcBorders>
              <w:top w:val="single" w:sz="8" w:color="DBDBDB"/>
            </w:tcBorders>
          </w:tcPr>
          <w:p>
            <w:pPr>
              <w:jc w:val="center"/>
              <w:ind w:right="28"/>
              <w:spacing w:after="0"/>
              <w:rPr>
                <w:sz w:val="20"/>
                <w:szCs w:val="20"/>
                <w:color w:val="auto"/>
              </w:rPr>
            </w:pPr>
            <w:r>
              <w:rPr>
                <w:rFonts w:ascii="Arial" w:cs="Arial" w:eastAsia="Arial" w:hAnsi="Arial"/>
                <w:sz w:val="14"/>
                <w:szCs w:val="14"/>
                <w:color w:val="auto"/>
              </w:rPr>
              <w:t>3.2#</w:t>
            </w:r>
          </w:p>
        </w:tc>
        <w:tc>
          <w:tcPr>
            <w:tcW w:w="3220" w:type="dxa"/>
            <w:vAlign w:val="bottom"/>
            <w:tcBorders>
              <w:top w:val="single" w:sz="8" w:color="auto"/>
            </w:tcBorders>
            <w:gridSpan w:val="4"/>
          </w:tcPr>
          <w:p>
            <w:pPr>
              <w:spacing w:after="0"/>
              <w:rPr>
                <w:rFonts w:ascii="Arial" w:cs="Arial" w:eastAsia="Arial" w:hAnsi="Arial"/>
                <w:sz w:val="14"/>
                <w:szCs w:val="14"/>
                <w:color w:val="auto"/>
              </w:rPr>
            </w:pPr>
            <w:hyperlink r:id="rId46">
              <w:r>
                <w:rPr>
                  <w:rFonts w:ascii="Arial" w:cs="Arial" w:eastAsia="Arial" w:hAnsi="Arial"/>
                  <w:sz w:val="14"/>
                  <w:szCs w:val="14"/>
                  <w:color w:val="auto"/>
                </w:rPr>
                <w:t>Amended and Restated Bylaws</w:t>
              </w:r>
            </w:hyperlink>
          </w:p>
        </w:tc>
        <w:tc>
          <w:tcPr>
            <w:tcW w:w="2700" w:type="dxa"/>
            <w:vAlign w:val="bottom"/>
            <w:tcBorders>
              <w:top w:val="single" w:sz="8" w:color="DBDBDB"/>
            </w:tcBorders>
            <w:gridSpan w:val="7"/>
          </w:tcPr>
          <w:p>
            <w:pPr>
              <w:spacing w:after="0"/>
              <w:rPr>
                <w:sz w:val="15"/>
                <w:szCs w:val="15"/>
                <w:color w:val="auto"/>
              </w:rPr>
            </w:pPr>
          </w:p>
        </w:tc>
        <w:tc>
          <w:tcPr>
            <w:tcW w:w="600" w:type="dxa"/>
            <w:vAlign w:val="bottom"/>
            <w:tcBorders>
              <w:top w:val="single" w:sz="8" w:color="DBDBDB"/>
            </w:tcBorders>
          </w:tcPr>
          <w:p>
            <w:pPr>
              <w:jc w:val="center"/>
              <w:ind w:left="28"/>
              <w:spacing w:after="0"/>
              <w:rPr>
                <w:sz w:val="20"/>
                <w:szCs w:val="20"/>
                <w:color w:val="auto"/>
              </w:rPr>
            </w:pPr>
            <w:r>
              <w:rPr>
                <w:rFonts w:ascii="Arial" w:cs="Arial" w:eastAsia="Arial" w:hAnsi="Arial"/>
                <w:sz w:val="14"/>
                <w:szCs w:val="14"/>
                <w:color w:val="auto"/>
              </w:rPr>
              <w:t>8-K</w:t>
            </w:r>
          </w:p>
        </w:tc>
        <w:tc>
          <w:tcPr>
            <w:tcW w:w="1520" w:type="dxa"/>
            <w:vAlign w:val="bottom"/>
            <w:tcBorders>
              <w:top w:val="single" w:sz="8" w:color="DBDBDB"/>
            </w:tcBorders>
          </w:tcPr>
          <w:p>
            <w:pPr>
              <w:jc w:val="center"/>
              <w:ind w:left="168"/>
              <w:spacing w:after="0"/>
              <w:rPr>
                <w:sz w:val="20"/>
                <w:szCs w:val="20"/>
                <w:color w:val="auto"/>
              </w:rPr>
            </w:pPr>
            <w:r>
              <w:rPr>
                <w:rFonts w:ascii="Arial" w:cs="Arial" w:eastAsia="Arial" w:hAnsi="Arial"/>
                <w:sz w:val="14"/>
                <w:szCs w:val="14"/>
                <w:color w:val="auto"/>
              </w:rPr>
              <w:t>10/7/2020</w:t>
            </w:r>
          </w:p>
        </w:tc>
        <w:tc>
          <w:tcPr>
            <w:tcW w:w="1060" w:type="dxa"/>
            <w:vAlign w:val="bottom"/>
            <w:tcBorders>
              <w:top w:val="single" w:sz="8" w:color="DBDBDB"/>
            </w:tcBorders>
          </w:tcPr>
          <w:p>
            <w:pPr>
              <w:jc w:val="center"/>
              <w:ind w:left="28"/>
              <w:spacing w:after="0"/>
              <w:rPr>
                <w:sz w:val="20"/>
                <w:szCs w:val="20"/>
                <w:color w:val="auto"/>
              </w:rPr>
            </w:pPr>
            <w:r>
              <w:rPr>
                <w:rFonts w:ascii="Arial" w:cs="Arial" w:eastAsia="Arial" w:hAnsi="Arial"/>
                <w:sz w:val="14"/>
                <w:szCs w:val="14"/>
                <w:color w:val="auto"/>
              </w:rPr>
              <w:t>3.2</w:t>
            </w:r>
          </w:p>
        </w:tc>
        <w:tc>
          <w:tcPr>
            <w:tcW w:w="1120" w:type="dxa"/>
            <w:vAlign w:val="bottom"/>
            <w:tcBorders>
              <w:top w:val="single" w:sz="8" w:color="DBDBDB"/>
            </w:tcBorders>
          </w:tcPr>
          <w:p>
            <w:pPr>
              <w:spacing w:after="0"/>
              <w:rPr>
                <w:sz w:val="15"/>
                <w:szCs w:val="15"/>
                <w:color w:val="auto"/>
              </w:rPr>
            </w:pPr>
          </w:p>
        </w:tc>
      </w:tr>
      <w:tr>
        <w:trPr>
          <w:trHeight w:val="34"/>
        </w:trPr>
        <w:tc>
          <w:tcPr>
            <w:tcW w:w="10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5"/>
        </w:trPr>
        <w:tc>
          <w:tcPr>
            <w:tcW w:w="102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w w:val="97"/>
              </w:rPr>
              <w:t>31.1*</w:t>
            </w:r>
          </w:p>
        </w:tc>
        <w:tc>
          <w:tcPr>
            <w:tcW w:w="5920" w:type="dxa"/>
            <w:vAlign w:val="bottom"/>
            <w:gridSpan w:val="11"/>
            <w:shd w:val="clear" w:color="auto" w:fill="DBDBDB"/>
          </w:tcPr>
          <w:p>
            <w:pPr>
              <w:spacing w:after="0"/>
              <w:rPr>
                <w:sz w:val="20"/>
                <w:szCs w:val="20"/>
                <w:color w:val="auto"/>
              </w:rPr>
            </w:pPr>
            <w:r>
              <w:rPr>
                <w:rFonts w:ascii="Arial" w:cs="Arial" w:eastAsia="Arial" w:hAnsi="Arial"/>
                <w:sz w:val="14"/>
                <w:szCs w:val="14"/>
                <w:color w:val="auto"/>
              </w:rPr>
              <w:t>Certification of Principal Executive Officer Pursuant to Rules 13a-14(a) and 15d-14(a)</w:t>
            </w:r>
          </w:p>
        </w:tc>
        <w:tc>
          <w:tcPr>
            <w:tcW w:w="600" w:type="dxa"/>
            <w:vAlign w:val="bottom"/>
            <w:shd w:val="clear" w:color="auto" w:fill="DBDBDB"/>
          </w:tcPr>
          <w:p>
            <w:pPr>
              <w:spacing w:after="0"/>
              <w:rPr>
                <w:sz w:val="15"/>
                <w:szCs w:val="15"/>
                <w:color w:val="auto"/>
              </w:rPr>
            </w:pPr>
          </w:p>
        </w:tc>
        <w:tc>
          <w:tcPr>
            <w:tcW w:w="152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12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rPr>
              <w:t>X</w:t>
            </w:r>
          </w:p>
        </w:tc>
      </w:tr>
      <w:tr>
        <w:trPr>
          <w:trHeight w:val="20"/>
        </w:trPr>
        <w:tc>
          <w:tcPr>
            <w:tcW w:w="1020" w:type="dxa"/>
            <w:vAlign w:val="bottom"/>
            <w:shd w:val="clear" w:color="auto" w:fill="DBDBDB"/>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8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6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160" w:type="dxa"/>
            <w:vAlign w:val="bottom"/>
            <w:shd w:val="clear" w:color="auto" w:fill="DBDBDB"/>
          </w:tcPr>
          <w:p>
            <w:pPr>
              <w:spacing w:after="0" w:line="20" w:lineRule="exact"/>
              <w:rPr>
                <w:sz w:val="1"/>
                <w:szCs w:val="1"/>
                <w:color w:val="auto"/>
              </w:rPr>
            </w:pPr>
          </w:p>
        </w:tc>
        <w:tc>
          <w:tcPr>
            <w:tcW w:w="600" w:type="dxa"/>
            <w:vAlign w:val="bottom"/>
            <w:shd w:val="clear" w:color="auto" w:fill="DBDBDB"/>
          </w:tcPr>
          <w:p>
            <w:pPr>
              <w:spacing w:after="0" w:line="20" w:lineRule="exact"/>
              <w:rPr>
                <w:sz w:val="1"/>
                <w:szCs w:val="1"/>
                <w:color w:val="auto"/>
              </w:rPr>
            </w:pPr>
          </w:p>
        </w:tc>
        <w:tc>
          <w:tcPr>
            <w:tcW w:w="1520" w:type="dxa"/>
            <w:vAlign w:val="bottom"/>
            <w:shd w:val="clear" w:color="auto" w:fill="DBDBDB"/>
          </w:tcPr>
          <w:p>
            <w:pPr>
              <w:spacing w:after="0" w:line="20" w:lineRule="exact"/>
              <w:rPr>
                <w:sz w:val="1"/>
                <w:szCs w:val="1"/>
                <w:color w:val="auto"/>
              </w:rPr>
            </w:pPr>
          </w:p>
        </w:tc>
        <w:tc>
          <w:tcPr>
            <w:tcW w:w="1060" w:type="dxa"/>
            <w:vAlign w:val="bottom"/>
            <w:shd w:val="clear" w:color="auto" w:fill="DBDBDB"/>
          </w:tcPr>
          <w:p>
            <w:pPr>
              <w:spacing w:after="0" w:line="20" w:lineRule="exact"/>
              <w:rPr>
                <w:sz w:val="1"/>
                <w:szCs w:val="1"/>
                <w:color w:val="auto"/>
              </w:rPr>
            </w:pPr>
          </w:p>
        </w:tc>
        <w:tc>
          <w:tcPr>
            <w:tcW w:w="1120" w:type="dxa"/>
            <w:vAlign w:val="bottom"/>
            <w:shd w:val="clear" w:color="auto" w:fill="DBDBDB"/>
          </w:tcPr>
          <w:p>
            <w:pPr>
              <w:spacing w:after="0" w:line="20" w:lineRule="exact"/>
              <w:rPr>
                <w:sz w:val="1"/>
                <w:szCs w:val="1"/>
                <w:color w:val="auto"/>
              </w:rPr>
            </w:pPr>
          </w:p>
        </w:tc>
      </w:tr>
      <w:tr>
        <w:trPr>
          <w:trHeight w:val="155"/>
        </w:trPr>
        <w:tc>
          <w:tcPr>
            <w:tcW w:w="1020" w:type="dxa"/>
            <w:vAlign w:val="bottom"/>
            <w:shd w:val="clear" w:color="auto" w:fill="DBDBDB"/>
          </w:tcPr>
          <w:p>
            <w:pPr>
              <w:spacing w:after="0"/>
              <w:rPr>
                <w:sz w:val="13"/>
                <w:szCs w:val="13"/>
                <w:color w:val="auto"/>
              </w:rPr>
            </w:pPr>
          </w:p>
        </w:tc>
        <w:tc>
          <w:tcPr>
            <w:tcW w:w="5920" w:type="dxa"/>
            <w:vAlign w:val="bottom"/>
            <w:gridSpan w:val="11"/>
            <w:shd w:val="clear" w:color="auto" w:fill="DBDBDB"/>
          </w:tcPr>
          <w:p>
            <w:pPr>
              <w:spacing w:after="0" w:line="155" w:lineRule="exact"/>
              <w:rPr>
                <w:sz w:val="20"/>
                <w:szCs w:val="20"/>
                <w:color w:val="auto"/>
              </w:rPr>
            </w:pPr>
            <w:r>
              <w:rPr>
                <w:rFonts w:ascii="Arial" w:cs="Arial" w:eastAsia="Arial" w:hAnsi="Arial"/>
                <w:sz w:val="14"/>
                <w:szCs w:val="14"/>
                <w:color w:val="auto"/>
              </w:rPr>
              <w:t>under the Securities Exchange Act of 1934, as Adopted Pursuant to Section 302 of the</w:t>
            </w:r>
          </w:p>
        </w:tc>
        <w:tc>
          <w:tcPr>
            <w:tcW w:w="600" w:type="dxa"/>
            <w:vAlign w:val="bottom"/>
            <w:shd w:val="clear" w:color="auto" w:fill="DBDBDB"/>
          </w:tcPr>
          <w:p>
            <w:pPr>
              <w:spacing w:after="0"/>
              <w:rPr>
                <w:sz w:val="13"/>
                <w:szCs w:val="13"/>
                <w:color w:val="auto"/>
              </w:rPr>
            </w:pPr>
          </w:p>
        </w:tc>
        <w:tc>
          <w:tcPr>
            <w:tcW w:w="152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r>
      <w:tr>
        <w:trPr>
          <w:trHeight w:val="175"/>
        </w:trPr>
        <w:tc>
          <w:tcPr>
            <w:tcW w:w="1020" w:type="dxa"/>
            <w:vAlign w:val="bottom"/>
            <w:tcBorders>
              <w:top w:val="single" w:sz="8" w:color="DBDBDB"/>
              <w:bottom w:val="single" w:sz="8" w:color="DBDBDB"/>
            </w:tcBorders>
            <w:shd w:val="clear" w:color="auto" w:fill="DBDBDB"/>
          </w:tcPr>
          <w:p>
            <w:pPr>
              <w:spacing w:after="0"/>
              <w:rPr>
                <w:sz w:val="15"/>
                <w:szCs w:val="15"/>
                <w:color w:val="auto"/>
              </w:rPr>
            </w:pPr>
          </w:p>
        </w:tc>
        <w:tc>
          <w:tcPr>
            <w:tcW w:w="1800" w:type="dxa"/>
            <w:vAlign w:val="bottom"/>
            <w:tcBorders>
              <w:top w:val="single" w:sz="8" w:color="auto"/>
              <w:bottom w:val="single" w:sz="8" w:color="auto"/>
            </w:tcBorders>
            <w:gridSpan w:val="2"/>
            <w:shd w:val="clear" w:color="auto" w:fill="DBDBDB"/>
          </w:tcPr>
          <w:p>
            <w:pPr>
              <w:spacing w:after="0" w:line="141" w:lineRule="exact"/>
              <w:rPr>
                <w:sz w:val="20"/>
                <w:szCs w:val="20"/>
                <w:color w:val="auto"/>
              </w:rPr>
            </w:pPr>
            <w:r>
              <w:rPr>
                <w:rFonts w:ascii="Arial" w:cs="Arial" w:eastAsia="Arial" w:hAnsi="Arial"/>
                <w:sz w:val="14"/>
                <w:szCs w:val="14"/>
                <w:color w:val="auto"/>
              </w:rPr>
              <w:t>Sarbanes-Oxley Act of 2002</w:t>
            </w:r>
          </w:p>
        </w:tc>
        <w:tc>
          <w:tcPr>
            <w:tcW w:w="3680" w:type="dxa"/>
            <w:vAlign w:val="bottom"/>
            <w:tcBorders>
              <w:top w:val="single" w:sz="8" w:color="auto"/>
              <w:bottom w:val="single" w:sz="8" w:color="DBDBDB"/>
            </w:tcBorders>
            <w:gridSpan w:val="5"/>
            <w:shd w:val="clear" w:color="auto" w:fill="DBDBDB"/>
          </w:tcPr>
          <w:p>
            <w:pPr>
              <w:spacing w:after="0"/>
              <w:rPr>
                <w:sz w:val="15"/>
                <w:szCs w:val="15"/>
                <w:color w:val="auto"/>
              </w:rPr>
            </w:pPr>
          </w:p>
        </w:tc>
        <w:tc>
          <w:tcPr>
            <w:tcW w:w="140" w:type="dxa"/>
            <w:vAlign w:val="bottom"/>
            <w:tcBorders>
              <w:top w:val="single" w:sz="8" w:color="DBDBDB"/>
              <w:bottom w:val="single" w:sz="8" w:color="DBDBDB"/>
            </w:tcBorders>
            <w:shd w:val="clear" w:color="auto" w:fill="DBDBDB"/>
          </w:tcPr>
          <w:p>
            <w:pPr>
              <w:spacing w:after="0"/>
              <w:rPr>
                <w:sz w:val="15"/>
                <w:szCs w:val="15"/>
                <w:color w:val="auto"/>
              </w:rPr>
            </w:pPr>
          </w:p>
        </w:tc>
        <w:tc>
          <w:tcPr>
            <w:tcW w:w="60" w:type="dxa"/>
            <w:vAlign w:val="bottom"/>
            <w:tcBorders>
              <w:top w:val="single" w:sz="8" w:color="DBDBDB"/>
              <w:bottom w:val="single" w:sz="8" w:color="DBDBDB"/>
            </w:tcBorders>
            <w:shd w:val="clear" w:color="auto" w:fill="DBDBDB"/>
          </w:tcPr>
          <w:p>
            <w:pPr>
              <w:spacing w:after="0"/>
              <w:rPr>
                <w:sz w:val="15"/>
                <w:szCs w:val="15"/>
                <w:color w:val="auto"/>
              </w:rPr>
            </w:pPr>
          </w:p>
        </w:tc>
        <w:tc>
          <w:tcPr>
            <w:tcW w:w="80" w:type="dxa"/>
            <w:vAlign w:val="bottom"/>
            <w:tcBorders>
              <w:top w:val="single" w:sz="8" w:color="DBDBDB"/>
              <w:bottom w:val="single" w:sz="8" w:color="DBDBDB"/>
            </w:tcBorders>
            <w:shd w:val="clear" w:color="auto" w:fill="DBDBDB"/>
          </w:tcPr>
          <w:p>
            <w:pPr>
              <w:spacing w:after="0"/>
              <w:rPr>
                <w:sz w:val="15"/>
                <w:szCs w:val="15"/>
                <w:color w:val="auto"/>
              </w:rPr>
            </w:pPr>
          </w:p>
        </w:tc>
        <w:tc>
          <w:tcPr>
            <w:tcW w:w="160" w:type="dxa"/>
            <w:vAlign w:val="bottom"/>
            <w:tcBorders>
              <w:top w:val="single" w:sz="8" w:color="DBDBDB"/>
              <w:bottom w:val="single" w:sz="8" w:color="DBDBDB"/>
            </w:tcBorders>
            <w:shd w:val="clear" w:color="auto" w:fill="DBDBDB"/>
          </w:tcPr>
          <w:p>
            <w:pPr>
              <w:spacing w:after="0"/>
              <w:rPr>
                <w:sz w:val="15"/>
                <w:szCs w:val="15"/>
                <w:color w:val="auto"/>
              </w:rPr>
            </w:pPr>
          </w:p>
        </w:tc>
        <w:tc>
          <w:tcPr>
            <w:tcW w:w="600" w:type="dxa"/>
            <w:vAlign w:val="bottom"/>
            <w:tcBorders>
              <w:top w:val="single" w:sz="8" w:color="DBDBDB"/>
              <w:bottom w:val="single" w:sz="8" w:color="DBDBDB"/>
            </w:tcBorders>
            <w:shd w:val="clear" w:color="auto" w:fill="DBDBDB"/>
          </w:tcPr>
          <w:p>
            <w:pPr>
              <w:spacing w:after="0"/>
              <w:rPr>
                <w:sz w:val="15"/>
                <w:szCs w:val="15"/>
                <w:color w:val="auto"/>
              </w:rPr>
            </w:pPr>
          </w:p>
        </w:tc>
        <w:tc>
          <w:tcPr>
            <w:tcW w:w="1520" w:type="dxa"/>
            <w:vAlign w:val="bottom"/>
            <w:tcBorders>
              <w:top w:val="single" w:sz="8" w:color="DBDBDB"/>
              <w:bottom w:val="single" w:sz="8" w:color="DBDBDB"/>
            </w:tcBorders>
            <w:shd w:val="clear" w:color="auto" w:fill="DBDBDB"/>
          </w:tcPr>
          <w:p>
            <w:pPr>
              <w:spacing w:after="0"/>
              <w:rPr>
                <w:sz w:val="15"/>
                <w:szCs w:val="15"/>
                <w:color w:val="auto"/>
              </w:rPr>
            </w:pPr>
          </w:p>
        </w:tc>
        <w:tc>
          <w:tcPr>
            <w:tcW w:w="1060" w:type="dxa"/>
            <w:vAlign w:val="bottom"/>
            <w:tcBorders>
              <w:top w:val="single" w:sz="8" w:color="DBDBDB"/>
              <w:bottom w:val="single" w:sz="8" w:color="DBDBDB"/>
            </w:tcBorders>
            <w:shd w:val="clear" w:color="auto" w:fill="DBDBDB"/>
          </w:tcPr>
          <w:p>
            <w:pPr>
              <w:spacing w:after="0"/>
              <w:rPr>
                <w:sz w:val="15"/>
                <w:szCs w:val="15"/>
                <w:color w:val="auto"/>
              </w:rPr>
            </w:pPr>
          </w:p>
        </w:tc>
        <w:tc>
          <w:tcPr>
            <w:tcW w:w="1120" w:type="dxa"/>
            <w:vAlign w:val="bottom"/>
            <w:tcBorders>
              <w:top w:val="single" w:sz="8" w:color="DBDBDB"/>
              <w:bottom w:val="single" w:sz="8" w:color="DBDBDB"/>
            </w:tcBorders>
            <w:shd w:val="clear" w:color="auto" w:fill="DBDBDB"/>
          </w:tcPr>
          <w:p>
            <w:pPr>
              <w:spacing w:after="0"/>
              <w:rPr>
                <w:sz w:val="15"/>
                <w:szCs w:val="15"/>
                <w:color w:val="auto"/>
              </w:rPr>
            </w:pPr>
          </w:p>
        </w:tc>
      </w:tr>
      <w:tr>
        <w:trPr>
          <w:trHeight w:val="175"/>
        </w:trPr>
        <w:tc>
          <w:tcPr>
            <w:tcW w:w="1020" w:type="dxa"/>
            <w:vAlign w:val="bottom"/>
          </w:tcPr>
          <w:p>
            <w:pPr>
              <w:jc w:val="center"/>
              <w:ind w:right="28"/>
              <w:spacing w:after="0"/>
              <w:rPr>
                <w:sz w:val="20"/>
                <w:szCs w:val="20"/>
                <w:color w:val="auto"/>
              </w:rPr>
            </w:pPr>
            <w:r>
              <w:rPr>
                <w:rFonts w:ascii="Arial" w:cs="Arial" w:eastAsia="Arial" w:hAnsi="Arial"/>
                <w:sz w:val="14"/>
                <w:szCs w:val="14"/>
                <w:color w:val="auto"/>
                <w:w w:val="97"/>
              </w:rPr>
              <w:t>31.2*</w:t>
            </w:r>
          </w:p>
        </w:tc>
        <w:tc>
          <w:tcPr>
            <w:tcW w:w="5760" w:type="dxa"/>
            <w:vAlign w:val="bottom"/>
            <w:tcBorders>
              <w:bottom w:val="single" w:sz="8" w:color="auto"/>
            </w:tcBorders>
            <w:gridSpan w:val="10"/>
          </w:tcPr>
          <w:p>
            <w:pPr>
              <w:spacing w:after="0"/>
              <w:rPr>
                <w:sz w:val="20"/>
                <w:szCs w:val="20"/>
                <w:color w:val="auto"/>
              </w:rPr>
            </w:pPr>
            <w:r>
              <w:rPr>
                <w:rFonts w:ascii="Arial" w:cs="Arial" w:eastAsia="Arial" w:hAnsi="Arial"/>
                <w:sz w:val="14"/>
                <w:szCs w:val="14"/>
                <w:color w:val="auto"/>
              </w:rPr>
              <w:t>Certification of Principal Financial Officer Pursuant to Rules 13a-14(a) and 15d-14(a) under</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jc w:val="center"/>
              <w:ind w:left="68"/>
              <w:spacing w:after="0"/>
              <w:rPr>
                <w:sz w:val="20"/>
                <w:szCs w:val="20"/>
                <w:color w:val="auto"/>
              </w:rPr>
            </w:pPr>
            <w:r>
              <w:rPr>
                <w:rFonts w:ascii="Arial" w:cs="Arial" w:eastAsia="Arial" w:hAnsi="Arial"/>
                <w:sz w:val="14"/>
                <w:szCs w:val="14"/>
                <w:color w:val="auto"/>
              </w:rPr>
              <w:t>X</w:t>
            </w:r>
          </w:p>
        </w:tc>
      </w:tr>
      <w:tr>
        <w:trPr>
          <w:trHeight w:val="155"/>
        </w:trPr>
        <w:tc>
          <w:tcPr>
            <w:tcW w:w="1020" w:type="dxa"/>
            <w:vAlign w:val="bottom"/>
          </w:tcPr>
          <w:p>
            <w:pPr>
              <w:spacing w:after="0"/>
              <w:rPr>
                <w:sz w:val="13"/>
                <w:szCs w:val="13"/>
                <w:color w:val="auto"/>
              </w:rPr>
            </w:pPr>
          </w:p>
        </w:tc>
        <w:tc>
          <w:tcPr>
            <w:tcW w:w="5920" w:type="dxa"/>
            <w:vAlign w:val="bottom"/>
            <w:gridSpan w:val="11"/>
          </w:tcPr>
          <w:p>
            <w:pPr>
              <w:spacing w:after="0" w:line="155"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41"/>
        </w:trPr>
        <w:tc>
          <w:tcPr>
            <w:tcW w:w="1020" w:type="dxa"/>
            <w:vAlign w:val="bottom"/>
          </w:tcPr>
          <w:p>
            <w:pPr>
              <w:spacing w:after="0"/>
              <w:rPr>
                <w:sz w:val="12"/>
                <w:szCs w:val="12"/>
                <w:color w:val="auto"/>
              </w:rPr>
            </w:pPr>
          </w:p>
        </w:tc>
        <w:tc>
          <w:tcPr>
            <w:tcW w:w="5080" w:type="dxa"/>
            <w:vAlign w:val="bottom"/>
            <w:tcBorders>
              <w:top w:val="single" w:sz="8" w:color="auto"/>
            </w:tcBorders>
            <w:gridSpan w:val="5"/>
          </w:tcPr>
          <w:p>
            <w:pPr>
              <w:spacing w:after="0" w:line="141" w:lineRule="exact"/>
              <w:rPr>
                <w:sz w:val="20"/>
                <w:szCs w:val="20"/>
                <w:color w:val="auto"/>
              </w:rPr>
            </w:pPr>
            <w:r>
              <w:rPr>
                <w:rFonts w:ascii="Arial" w:cs="Arial" w:eastAsia="Arial" w:hAnsi="Arial"/>
                <w:sz w:val="14"/>
                <w:szCs w:val="14"/>
                <w:color w:val="auto"/>
              </w:rPr>
              <w:t>Sarbanes-Oxley Act of 2002</w:t>
            </w:r>
          </w:p>
        </w:tc>
        <w:tc>
          <w:tcPr>
            <w:tcW w:w="54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4"/>
        </w:trPr>
        <w:tc>
          <w:tcPr>
            <w:tcW w:w="10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5"/>
        </w:trPr>
        <w:tc>
          <w:tcPr>
            <w:tcW w:w="1020" w:type="dxa"/>
            <w:vAlign w:val="bottom"/>
            <w:tcBorders>
              <w:bottom w:val="single" w:sz="8" w:color="DBDBDB"/>
            </w:tcBorders>
            <w:shd w:val="clear" w:color="auto" w:fill="DBDBDB"/>
          </w:tcPr>
          <w:p>
            <w:pPr>
              <w:jc w:val="center"/>
              <w:ind w:right="28"/>
              <w:spacing w:after="0"/>
              <w:rPr>
                <w:sz w:val="20"/>
                <w:szCs w:val="20"/>
                <w:color w:val="auto"/>
              </w:rPr>
            </w:pPr>
            <w:r>
              <w:rPr>
                <w:rFonts w:ascii="Arial" w:cs="Arial" w:eastAsia="Arial" w:hAnsi="Arial"/>
                <w:sz w:val="14"/>
                <w:szCs w:val="14"/>
                <w:color w:val="auto"/>
                <w:w w:val="97"/>
              </w:rPr>
              <w:t>32.1*</w:t>
            </w:r>
          </w:p>
        </w:tc>
        <w:tc>
          <w:tcPr>
            <w:tcW w:w="5680" w:type="dxa"/>
            <w:vAlign w:val="bottom"/>
            <w:tcBorders>
              <w:bottom w:val="single" w:sz="8" w:color="auto"/>
            </w:tcBorders>
            <w:gridSpan w:val="9"/>
            <w:shd w:val="clear" w:color="auto" w:fill="DBDBDB"/>
          </w:tcPr>
          <w:p>
            <w:pPr>
              <w:spacing w:after="0"/>
              <w:rPr>
                <w:sz w:val="20"/>
                <w:szCs w:val="20"/>
                <w:color w:val="auto"/>
              </w:rPr>
            </w:pPr>
            <w:r>
              <w:rPr>
                <w:rFonts w:ascii="Arial" w:cs="Arial" w:eastAsia="Arial" w:hAnsi="Arial"/>
                <w:sz w:val="14"/>
                <w:szCs w:val="14"/>
                <w:color w:val="auto"/>
              </w:rPr>
              <w:t>Certification of Chief Executive Officer pursuant to Section 906 of the Sarbanes-Oxley Act</w:t>
            </w:r>
          </w:p>
        </w:tc>
        <w:tc>
          <w:tcPr>
            <w:tcW w:w="240" w:type="dxa"/>
            <w:vAlign w:val="bottom"/>
            <w:tcBorders>
              <w:bottom w:val="single" w:sz="8" w:color="DBDBDB"/>
            </w:tcBorders>
            <w:gridSpan w:val="2"/>
            <w:shd w:val="clear" w:color="auto" w:fill="DBDBDB"/>
          </w:tcPr>
          <w:p>
            <w:pPr>
              <w:spacing w:after="0"/>
              <w:rPr>
                <w:sz w:val="15"/>
                <w:szCs w:val="15"/>
                <w:color w:val="auto"/>
              </w:rPr>
            </w:pPr>
          </w:p>
        </w:tc>
        <w:tc>
          <w:tcPr>
            <w:tcW w:w="600" w:type="dxa"/>
            <w:vAlign w:val="bottom"/>
            <w:tcBorders>
              <w:bottom w:val="single" w:sz="8" w:color="DBDBDB"/>
            </w:tcBorders>
            <w:shd w:val="clear" w:color="auto" w:fill="DBDBDB"/>
          </w:tcPr>
          <w:p>
            <w:pPr>
              <w:spacing w:after="0"/>
              <w:rPr>
                <w:sz w:val="15"/>
                <w:szCs w:val="15"/>
                <w:color w:val="auto"/>
              </w:rPr>
            </w:pPr>
          </w:p>
        </w:tc>
        <w:tc>
          <w:tcPr>
            <w:tcW w:w="152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center"/>
              <w:ind w:left="68"/>
              <w:spacing w:after="0"/>
              <w:rPr>
                <w:sz w:val="20"/>
                <w:szCs w:val="20"/>
                <w:color w:val="auto"/>
              </w:rPr>
            </w:pPr>
            <w:r>
              <w:rPr>
                <w:rFonts w:ascii="Arial" w:cs="Arial" w:eastAsia="Arial" w:hAnsi="Arial"/>
                <w:sz w:val="14"/>
                <w:szCs w:val="14"/>
                <w:color w:val="auto"/>
              </w:rPr>
              <w:t>X</w:t>
            </w:r>
          </w:p>
        </w:tc>
      </w:tr>
      <w:tr>
        <w:trPr>
          <w:trHeight w:val="188"/>
        </w:trPr>
        <w:tc>
          <w:tcPr>
            <w:tcW w:w="1020" w:type="dxa"/>
            <w:vAlign w:val="bottom"/>
            <w:tcBorders>
              <w:bottom w:val="single" w:sz="8" w:color="DBDBDB"/>
            </w:tcBorders>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line="155" w:lineRule="exact"/>
              <w:rPr>
                <w:sz w:val="20"/>
                <w:szCs w:val="20"/>
                <w:color w:val="auto"/>
              </w:rPr>
            </w:pPr>
            <w:r>
              <w:rPr>
                <w:rFonts w:ascii="Arial" w:cs="Arial" w:eastAsia="Arial" w:hAnsi="Arial"/>
                <w:sz w:val="14"/>
                <w:szCs w:val="14"/>
                <w:color w:val="auto"/>
                <w:w w:val="98"/>
              </w:rPr>
              <w:t>of 2002</w:t>
            </w:r>
          </w:p>
        </w:tc>
        <w:tc>
          <w:tcPr>
            <w:tcW w:w="5440" w:type="dxa"/>
            <w:vAlign w:val="bottom"/>
            <w:tcBorders>
              <w:bottom w:val="single" w:sz="8" w:color="DBDBDB"/>
            </w:tcBorders>
            <w:gridSpan w:val="10"/>
            <w:shd w:val="clear" w:color="auto" w:fill="DBDBDB"/>
          </w:tcPr>
          <w:p>
            <w:pPr>
              <w:spacing w:after="0"/>
              <w:rPr>
                <w:sz w:val="16"/>
                <w:szCs w:val="16"/>
                <w:color w:val="auto"/>
              </w:rPr>
            </w:pPr>
          </w:p>
        </w:tc>
        <w:tc>
          <w:tcPr>
            <w:tcW w:w="600" w:type="dxa"/>
            <w:vAlign w:val="bottom"/>
            <w:tcBorders>
              <w:bottom w:val="single" w:sz="8" w:color="DBDBDB"/>
            </w:tcBorders>
            <w:shd w:val="clear" w:color="auto" w:fill="DBDBDB"/>
          </w:tcPr>
          <w:p>
            <w:pPr>
              <w:spacing w:after="0"/>
              <w:rPr>
                <w:sz w:val="16"/>
                <w:szCs w:val="16"/>
                <w:color w:val="auto"/>
              </w:rPr>
            </w:pPr>
          </w:p>
        </w:tc>
        <w:tc>
          <w:tcPr>
            <w:tcW w:w="152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r>
      <w:tr>
        <w:trPr>
          <w:trHeight w:val="175"/>
        </w:trPr>
        <w:tc>
          <w:tcPr>
            <w:tcW w:w="1020" w:type="dxa"/>
            <w:vAlign w:val="bottom"/>
          </w:tcPr>
          <w:p>
            <w:pPr>
              <w:jc w:val="center"/>
              <w:ind w:right="28"/>
              <w:spacing w:after="0"/>
              <w:rPr>
                <w:sz w:val="20"/>
                <w:szCs w:val="20"/>
                <w:color w:val="auto"/>
              </w:rPr>
            </w:pPr>
            <w:r>
              <w:rPr>
                <w:rFonts w:ascii="Arial" w:cs="Arial" w:eastAsia="Arial" w:hAnsi="Arial"/>
                <w:sz w:val="14"/>
                <w:szCs w:val="14"/>
                <w:color w:val="auto"/>
                <w:w w:val="97"/>
              </w:rPr>
              <w:t>32.2*</w:t>
            </w:r>
          </w:p>
        </w:tc>
        <w:tc>
          <w:tcPr>
            <w:tcW w:w="5920" w:type="dxa"/>
            <w:vAlign w:val="bottom"/>
            <w:gridSpan w:val="11"/>
          </w:tcPr>
          <w:p>
            <w:pPr>
              <w:spacing w:after="0"/>
              <w:rPr>
                <w:sz w:val="20"/>
                <w:szCs w:val="20"/>
                <w:color w:val="auto"/>
              </w:rPr>
            </w:pPr>
            <w:r>
              <w:rPr>
                <w:rFonts w:ascii="Arial" w:cs="Arial" w:eastAsia="Arial" w:hAnsi="Arial"/>
                <w:sz w:val="14"/>
                <w:szCs w:val="14"/>
                <w:color w:val="auto"/>
              </w:rPr>
              <w:t>Certification of Chief Financial Officer pursuant to Section 906 of the Sarbanes-Oxley Act</w:t>
            </w:r>
          </w:p>
        </w:tc>
        <w:tc>
          <w:tcPr>
            <w:tcW w:w="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jc w:val="center"/>
              <w:ind w:left="68"/>
              <w:spacing w:after="0"/>
              <w:rPr>
                <w:sz w:val="20"/>
                <w:szCs w:val="20"/>
                <w:color w:val="auto"/>
              </w:rPr>
            </w:pPr>
            <w:r>
              <w:rPr>
                <w:rFonts w:ascii="Arial" w:cs="Arial" w:eastAsia="Arial" w:hAnsi="Arial"/>
                <w:sz w:val="14"/>
                <w:szCs w:val="14"/>
                <w:color w:val="auto"/>
              </w:rPr>
              <w:t>X</w:t>
            </w:r>
          </w:p>
        </w:tc>
      </w:tr>
      <w:tr>
        <w:trPr>
          <w:trHeight w:val="155"/>
        </w:trPr>
        <w:tc>
          <w:tcPr>
            <w:tcW w:w="1020" w:type="dxa"/>
            <w:vAlign w:val="bottom"/>
          </w:tcPr>
          <w:p>
            <w:pPr>
              <w:spacing w:after="0"/>
              <w:rPr>
                <w:sz w:val="13"/>
                <w:szCs w:val="13"/>
                <w:color w:val="auto"/>
              </w:rPr>
            </w:pPr>
          </w:p>
        </w:tc>
        <w:tc>
          <w:tcPr>
            <w:tcW w:w="5620" w:type="dxa"/>
            <w:vAlign w:val="bottom"/>
            <w:tcBorders>
              <w:top w:val="single" w:sz="8" w:color="auto"/>
            </w:tcBorders>
            <w:gridSpan w:val="8"/>
          </w:tcPr>
          <w:p>
            <w:pPr>
              <w:spacing w:after="0" w:line="155" w:lineRule="exact"/>
              <w:rPr>
                <w:sz w:val="20"/>
                <w:szCs w:val="20"/>
                <w:color w:val="auto"/>
              </w:rPr>
            </w:pPr>
            <w:r>
              <w:rPr>
                <w:rFonts w:ascii="Arial" w:cs="Arial" w:eastAsia="Arial" w:hAnsi="Arial"/>
                <w:sz w:val="14"/>
                <w:szCs w:val="14"/>
                <w:color w:val="auto"/>
              </w:rPr>
              <w:t>of 2002</w:t>
            </w:r>
          </w:p>
        </w:tc>
        <w:tc>
          <w:tcPr>
            <w:tcW w:w="300" w:type="dxa"/>
            <w:vAlign w:val="bottom"/>
            <w:gridSpan w:val="3"/>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34"/>
        </w:trPr>
        <w:tc>
          <w:tcPr>
            <w:tcW w:w="10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102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101</w:t>
            </w:r>
          </w:p>
        </w:tc>
        <w:tc>
          <w:tcPr>
            <w:tcW w:w="5920" w:type="dxa"/>
            <w:vAlign w:val="bottom"/>
            <w:gridSpan w:val="11"/>
            <w:shd w:val="clear" w:color="auto" w:fill="DBDBDB"/>
          </w:tcPr>
          <w:p>
            <w:pPr>
              <w:spacing w:after="0"/>
              <w:rPr>
                <w:sz w:val="20"/>
                <w:szCs w:val="20"/>
                <w:color w:val="auto"/>
              </w:rPr>
            </w:pPr>
            <w:r>
              <w:rPr>
                <w:rFonts w:ascii="Arial" w:cs="Arial" w:eastAsia="Arial" w:hAnsi="Arial"/>
                <w:sz w:val="14"/>
                <w:szCs w:val="14"/>
                <w:color w:val="auto"/>
              </w:rPr>
              <w:t>The following financial statements from the Company's Quarterly Report on Form 10-Q for</w:t>
            </w:r>
          </w:p>
        </w:tc>
        <w:tc>
          <w:tcPr>
            <w:tcW w:w="600" w:type="dxa"/>
            <w:vAlign w:val="bottom"/>
            <w:shd w:val="clear" w:color="auto" w:fill="DBDBDB"/>
          </w:tcPr>
          <w:p>
            <w:pPr>
              <w:spacing w:after="0"/>
              <w:rPr>
                <w:sz w:val="17"/>
                <w:szCs w:val="17"/>
                <w:color w:val="auto"/>
              </w:rPr>
            </w:pPr>
          </w:p>
        </w:tc>
        <w:tc>
          <w:tcPr>
            <w:tcW w:w="152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12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rPr>
              <w:t>X</w:t>
            </w:r>
          </w:p>
        </w:tc>
      </w:tr>
      <w:tr>
        <w:trPr>
          <w:trHeight w:val="161"/>
        </w:trPr>
        <w:tc>
          <w:tcPr>
            <w:tcW w:w="1020" w:type="dxa"/>
            <w:vAlign w:val="bottom"/>
            <w:shd w:val="clear" w:color="auto" w:fill="DBDBDB"/>
          </w:tcPr>
          <w:p>
            <w:pPr>
              <w:spacing w:after="0"/>
              <w:rPr>
                <w:sz w:val="14"/>
                <w:szCs w:val="14"/>
                <w:color w:val="auto"/>
              </w:rPr>
            </w:pPr>
          </w:p>
        </w:tc>
        <w:tc>
          <w:tcPr>
            <w:tcW w:w="5920" w:type="dxa"/>
            <w:vAlign w:val="bottom"/>
            <w:gridSpan w:val="11"/>
            <w:shd w:val="clear" w:color="auto" w:fill="DBDBDB"/>
          </w:tcPr>
          <w:p>
            <w:pPr>
              <w:spacing w:after="0"/>
              <w:rPr>
                <w:sz w:val="20"/>
                <w:szCs w:val="20"/>
                <w:color w:val="auto"/>
              </w:rPr>
            </w:pPr>
            <w:r>
              <w:rPr>
                <w:rFonts w:ascii="Arial" w:cs="Arial" w:eastAsia="Arial" w:hAnsi="Arial"/>
                <w:sz w:val="14"/>
                <w:szCs w:val="14"/>
                <w:color w:val="auto"/>
              </w:rPr>
              <w:t>the quarter ended July 31, 2023 formatted in Inline XBRL: (i) Condensed Consolidated</w:t>
            </w:r>
          </w:p>
        </w:tc>
        <w:tc>
          <w:tcPr>
            <w:tcW w:w="600" w:type="dxa"/>
            <w:vAlign w:val="bottom"/>
            <w:shd w:val="clear" w:color="auto" w:fill="DBDBDB"/>
          </w:tcPr>
          <w:p>
            <w:pPr>
              <w:spacing w:after="0"/>
              <w:rPr>
                <w:sz w:val="14"/>
                <w:szCs w:val="14"/>
                <w:color w:val="auto"/>
              </w:rPr>
            </w:pPr>
          </w:p>
        </w:tc>
        <w:tc>
          <w:tcPr>
            <w:tcW w:w="152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r>
      <w:tr>
        <w:trPr>
          <w:trHeight w:val="175"/>
        </w:trPr>
        <w:tc>
          <w:tcPr>
            <w:tcW w:w="1020" w:type="dxa"/>
            <w:vAlign w:val="bottom"/>
            <w:shd w:val="clear" w:color="auto" w:fill="DBDBDB"/>
          </w:tcPr>
          <w:p>
            <w:pPr>
              <w:spacing w:after="0"/>
              <w:rPr>
                <w:sz w:val="15"/>
                <w:szCs w:val="15"/>
                <w:color w:val="auto"/>
              </w:rPr>
            </w:pPr>
          </w:p>
        </w:tc>
        <w:tc>
          <w:tcPr>
            <w:tcW w:w="5920" w:type="dxa"/>
            <w:vAlign w:val="bottom"/>
            <w:gridSpan w:val="11"/>
            <w:shd w:val="clear" w:color="auto" w:fill="DBDBDB"/>
          </w:tcPr>
          <w:p>
            <w:pPr>
              <w:spacing w:after="0"/>
              <w:rPr>
                <w:sz w:val="20"/>
                <w:szCs w:val="20"/>
                <w:color w:val="auto"/>
              </w:rPr>
            </w:pPr>
            <w:r>
              <w:rPr>
                <w:rFonts w:ascii="Arial" w:cs="Arial" w:eastAsia="Arial" w:hAnsi="Arial"/>
                <w:sz w:val="14"/>
                <w:szCs w:val="14"/>
                <w:color w:val="auto"/>
              </w:rPr>
              <w:t>Balance Sheets, (ii) Condensed Consolidated Statements of Income (Loss), (iii)</w:t>
            </w:r>
          </w:p>
        </w:tc>
        <w:tc>
          <w:tcPr>
            <w:tcW w:w="600" w:type="dxa"/>
            <w:vAlign w:val="bottom"/>
            <w:shd w:val="clear" w:color="auto" w:fill="DBDBDB"/>
          </w:tcPr>
          <w:p>
            <w:pPr>
              <w:spacing w:after="0"/>
              <w:rPr>
                <w:sz w:val="15"/>
                <w:szCs w:val="15"/>
                <w:color w:val="auto"/>
              </w:rPr>
            </w:pPr>
          </w:p>
        </w:tc>
        <w:tc>
          <w:tcPr>
            <w:tcW w:w="152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r>
      <w:tr>
        <w:trPr>
          <w:trHeight w:val="175"/>
        </w:trPr>
        <w:tc>
          <w:tcPr>
            <w:tcW w:w="1020" w:type="dxa"/>
            <w:vAlign w:val="bottom"/>
            <w:shd w:val="clear" w:color="auto" w:fill="DBDBDB"/>
          </w:tcPr>
          <w:p>
            <w:pPr>
              <w:spacing w:after="0"/>
              <w:rPr>
                <w:sz w:val="15"/>
                <w:szCs w:val="15"/>
                <w:color w:val="auto"/>
              </w:rPr>
            </w:pPr>
          </w:p>
        </w:tc>
        <w:tc>
          <w:tcPr>
            <w:tcW w:w="5920" w:type="dxa"/>
            <w:vAlign w:val="bottom"/>
            <w:gridSpan w:val="11"/>
            <w:shd w:val="clear" w:color="auto" w:fill="DBDBDB"/>
          </w:tcPr>
          <w:p>
            <w:pPr>
              <w:spacing w:after="0"/>
              <w:rPr>
                <w:sz w:val="20"/>
                <w:szCs w:val="20"/>
                <w:color w:val="auto"/>
              </w:rPr>
            </w:pPr>
            <w:r>
              <w:rPr>
                <w:rFonts w:ascii="Arial" w:cs="Arial" w:eastAsia="Arial" w:hAnsi="Arial"/>
                <w:sz w:val="14"/>
                <w:szCs w:val="14"/>
                <w:color w:val="auto"/>
              </w:rPr>
              <w:t>Condensed Consolidated Statements of Income (Loss) (iv) Condensed Consolidated</w:t>
            </w:r>
          </w:p>
        </w:tc>
        <w:tc>
          <w:tcPr>
            <w:tcW w:w="600" w:type="dxa"/>
            <w:vAlign w:val="bottom"/>
            <w:shd w:val="clear" w:color="auto" w:fill="DBDBDB"/>
          </w:tcPr>
          <w:p>
            <w:pPr>
              <w:spacing w:after="0"/>
              <w:rPr>
                <w:sz w:val="15"/>
                <w:szCs w:val="15"/>
                <w:color w:val="auto"/>
              </w:rPr>
            </w:pPr>
          </w:p>
        </w:tc>
        <w:tc>
          <w:tcPr>
            <w:tcW w:w="152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r>
      <w:tr>
        <w:trPr>
          <w:trHeight w:val="175"/>
        </w:trPr>
        <w:tc>
          <w:tcPr>
            <w:tcW w:w="1020" w:type="dxa"/>
            <w:vAlign w:val="bottom"/>
            <w:shd w:val="clear" w:color="auto" w:fill="DBDBDB"/>
          </w:tcPr>
          <w:p>
            <w:pPr>
              <w:spacing w:after="0"/>
              <w:rPr>
                <w:sz w:val="15"/>
                <w:szCs w:val="15"/>
                <w:color w:val="auto"/>
              </w:rPr>
            </w:pPr>
          </w:p>
        </w:tc>
        <w:tc>
          <w:tcPr>
            <w:tcW w:w="5920" w:type="dxa"/>
            <w:vAlign w:val="bottom"/>
            <w:gridSpan w:val="11"/>
            <w:shd w:val="clear" w:color="auto" w:fill="DBDBDB"/>
          </w:tcPr>
          <w:p>
            <w:pPr>
              <w:spacing w:after="0"/>
              <w:rPr>
                <w:sz w:val="20"/>
                <w:szCs w:val="20"/>
                <w:color w:val="auto"/>
              </w:rPr>
            </w:pPr>
            <w:r>
              <w:rPr>
                <w:rFonts w:ascii="Arial" w:cs="Arial" w:eastAsia="Arial" w:hAnsi="Arial"/>
                <w:sz w:val="14"/>
                <w:szCs w:val="14"/>
                <w:color w:val="auto"/>
              </w:rPr>
              <w:t>Statements of Changes in Equity, (v) Condensed Consolidated Statements of Cash Flows,</w:t>
            </w:r>
          </w:p>
        </w:tc>
        <w:tc>
          <w:tcPr>
            <w:tcW w:w="600" w:type="dxa"/>
            <w:vAlign w:val="bottom"/>
            <w:shd w:val="clear" w:color="auto" w:fill="DBDBDB"/>
          </w:tcPr>
          <w:p>
            <w:pPr>
              <w:spacing w:after="0"/>
              <w:rPr>
                <w:sz w:val="15"/>
                <w:szCs w:val="15"/>
                <w:color w:val="auto"/>
              </w:rPr>
            </w:pPr>
          </w:p>
        </w:tc>
        <w:tc>
          <w:tcPr>
            <w:tcW w:w="152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r>
      <w:tr>
        <w:trPr>
          <w:trHeight w:val="175"/>
        </w:trPr>
        <w:tc>
          <w:tcPr>
            <w:tcW w:w="1020" w:type="dxa"/>
            <w:vAlign w:val="bottom"/>
            <w:shd w:val="clear" w:color="auto" w:fill="DBDBDB"/>
          </w:tcPr>
          <w:p>
            <w:pPr>
              <w:spacing w:after="0"/>
              <w:rPr>
                <w:sz w:val="15"/>
                <w:szCs w:val="15"/>
                <w:color w:val="auto"/>
              </w:rPr>
            </w:pPr>
          </w:p>
        </w:tc>
        <w:tc>
          <w:tcPr>
            <w:tcW w:w="5920" w:type="dxa"/>
            <w:vAlign w:val="bottom"/>
            <w:gridSpan w:val="11"/>
            <w:shd w:val="clear" w:color="auto" w:fill="DBDBDB"/>
          </w:tcPr>
          <w:p>
            <w:pPr>
              <w:spacing w:after="0"/>
              <w:rPr>
                <w:sz w:val="20"/>
                <w:szCs w:val="20"/>
                <w:color w:val="auto"/>
              </w:rPr>
            </w:pPr>
            <w:r>
              <w:rPr>
                <w:rFonts w:ascii="Arial" w:cs="Arial" w:eastAsia="Arial" w:hAnsi="Arial"/>
                <w:sz w:val="14"/>
                <w:szCs w:val="14"/>
                <w:color w:val="auto"/>
              </w:rPr>
              <w:t>and (vi) Notes to Consolidated Financial Statements, tagged as blocks of text and</w:t>
            </w:r>
          </w:p>
        </w:tc>
        <w:tc>
          <w:tcPr>
            <w:tcW w:w="600" w:type="dxa"/>
            <w:vAlign w:val="bottom"/>
            <w:shd w:val="clear" w:color="auto" w:fill="DBDBDB"/>
          </w:tcPr>
          <w:p>
            <w:pPr>
              <w:spacing w:after="0"/>
              <w:rPr>
                <w:sz w:val="15"/>
                <w:szCs w:val="15"/>
                <w:color w:val="auto"/>
              </w:rPr>
            </w:pPr>
          </w:p>
        </w:tc>
        <w:tc>
          <w:tcPr>
            <w:tcW w:w="152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r>
      <w:tr>
        <w:trPr>
          <w:trHeight w:val="187"/>
        </w:trPr>
        <w:tc>
          <w:tcPr>
            <w:tcW w:w="1020" w:type="dxa"/>
            <w:vAlign w:val="bottom"/>
            <w:tcBorders>
              <w:bottom w:val="single" w:sz="8" w:color="DBDBDB"/>
            </w:tcBorders>
            <w:shd w:val="clear" w:color="auto" w:fill="DBDBDB"/>
          </w:tcPr>
          <w:p>
            <w:pPr>
              <w:spacing w:after="0"/>
              <w:rPr>
                <w:sz w:val="16"/>
                <w:szCs w:val="16"/>
                <w:color w:val="auto"/>
              </w:rPr>
            </w:pPr>
          </w:p>
        </w:tc>
        <w:tc>
          <w:tcPr>
            <w:tcW w:w="5920" w:type="dxa"/>
            <w:vAlign w:val="bottom"/>
            <w:tcBorders>
              <w:bottom w:val="single" w:sz="8" w:color="DBDBDB"/>
            </w:tcBorders>
            <w:gridSpan w:val="11"/>
            <w:shd w:val="clear" w:color="auto" w:fill="DBDBDB"/>
          </w:tcPr>
          <w:p>
            <w:pPr>
              <w:spacing w:after="0"/>
              <w:rPr>
                <w:sz w:val="20"/>
                <w:szCs w:val="20"/>
                <w:color w:val="auto"/>
              </w:rPr>
            </w:pPr>
            <w:r>
              <w:rPr>
                <w:rFonts w:ascii="Arial" w:cs="Arial" w:eastAsia="Arial" w:hAnsi="Arial"/>
                <w:sz w:val="14"/>
                <w:szCs w:val="14"/>
                <w:color w:val="auto"/>
              </w:rPr>
              <w:t>including detailed tags.</w:t>
            </w:r>
          </w:p>
        </w:tc>
        <w:tc>
          <w:tcPr>
            <w:tcW w:w="600" w:type="dxa"/>
            <w:vAlign w:val="bottom"/>
            <w:tcBorders>
              <w:bottom w:val="single" w:sz="8" w:color="DBDBDB"/>
            </w:tcBorders>
            <w:shd w:val="clear" w:color="auto" w:fill="DBDBDB"/>
          </w:tcPr>
          <w:p>
            <w:pPr>
              <w:spacing w:after="0"/>
              <w:rPr>
                <w:sz w:val="16"/>
                <w:szCs w:val="16"/>
                <w:color w:val="auto"/>
              </w:rPr>
            </w:pPr>
          </w:p>
        </w:tc>
        <w:tc>
          <w:tcPr>
            <w:tcW w:w="152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r>
      <w:tr>
        <w:trPr>
          <w:trHeight w:val="203"/>
        </w:trPr>
        <w:tc>
          <w:tcPr>
            <w:tcW w:w="1020" w:type="dxa"/>
            <w:vAlign w:val="bottom"/>
          </w:tcPr>
          <w:p>
            <w:pPr>
              <w:jc w:val="center"/>
              <w:ind w:right="28"/>
              <w:spacing w:after="0"/>
              <w:rPr>
                <w:sz w:val="20"/>
                <w:szCs w:val="20"/>
                <w:color w:val="auto"/>
              </w:rPr>
            </w:pPr>
            <w:r>
              <w:rPr>
                <w:rFonts w:ascii="Arial" w:cs="Arial" w:eastAsia="Arial" w:hAnsi="Arial"/>
                <w:sz w:val="14"/>
                <w:szCs w:val="14"/>
                <w:color w:val="auto"/>
              </w:rPr>
              <w:t>104</w:t>
            </w:r>
          </w:p>
        </w:tc>
        <w:tc>
          <w:tcPr>
            <w:tcW w:w="5920" w:type="dxa"/>
            <w:vAlign w:val="bottom"/>
            <w:gridSpan w:val="11"/>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c>
          <w:tcPr>
            <w:tcW w:w="6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jc w:val="center"/>
              <w:ind w:left="68"/>
              <w:spacing w:after="0"/>
              <w:rPr>
                <w:sz w:val="20"/>
                <w:szCs w:val="20"/>
                <w:color w:val="auto"/>
              </w:rPr>
            </w:pPr>
            <w:r>
              <w:rPr>
                <w:rFonts w:ascii="Arial" w:cs="Arial" w:eastAsia="Arial" w:hAnsi="Arial"/>
                <w:sz w:val="14"/>
                <w:szCs w:val="14"/>
                <w:color w:val="auto"/>
              </w:rPr>
              <w:t>X</w:t>
            </w:r>
          </w:p>
        </w:tc>
      </w:tr>
      <w:tr>
        <w:trPr>
          <w:trHeight w:val="25"/>
        </w:trPr>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20" w:lineRule="exact"/>
        <w:rPr>
          <w:sz w:val="20"/>
          <w:szCs w:val="20"/>
          <w:color w:val="auto"/>
        </w:rPr>
      </w:pPr>
    </w:p>
    <w:p>
      <w:pPr>
        <w:ind w:left="500" w:hanging="475"/>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52" w:lineRule="exact"/>
        <w:rPr>
          <w:sz w:val="20"/>
          <w:szCs w:val="20"/>
          <w:color w:val="auto"/>
        </w:rPr>
      </w:pPr>
    </w:p>
    <w:p>
      <w:pPr>
        <w:jc w:val="both"/>
        <w:ind w:left="500" w:right="520" w:hanging="475"/>
        <w:spacing w:after="0" w:line="254" w:lineRule="auto"/>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SIGNATURES</w:t>
      </w:r>
    </w:p>
    <w:p>
      <w:pPr>
        <w:spacing w:after="0" w:line="238" w:lineRule="exact"/>
        <w:rPr>
          <w:sz w:val="20"/>
          <w:szCs w:val="20"/>
          <w:color w:val="auto"/>
        </w:rPr>
      </w:pPr>
    </w:p>
    <w:p>
      <w:pPr>
        <w:ind w:firstLine="645"/>
        <w:spacing w:after="0" w:line="291"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quarterly report to be signed on its behalf by the undersigned, thereunto duly authorized, on September 11, 2023.</w:t>
      </w:r>
    </w:p>
    <w:p>
      <w:pPr>
        <w:spacing w:after="0" w:line="231"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MISSION PRODUCE, INC.</w:t>
      </w:r>
    </w:p>
    <w:p>
      <w:pPr>
        <w:spacing w:after="0" w:line="326" w:lineRule="exact"/>
        <w:rPr>
          <w:sz w:val="20"/>
          <w:szCs w:val="20"/>
          <w:color w:val="auto"/>
        </w:rPr>
      </w:pPr>
    </w:p>
    <w:p>
      <w:pPr>
        <w:ind w:left="828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20320</wp:posOffset>
            </wp:positionV>
            <wp:extent cx="28498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849880" cy="8255"/>
                    </a:xfrm>
                    <a:prstGeom prst="rect">
                      <a:avLst/>
                    </a:prstGeom>
                    <a:noFill/>
                  </pic:spPr>
                </pic:pic>
              </a:graphicData>
            </a:graphic>
          </wp:anchor>
        </w:drawing>
      </w:r>
    </w:p>
    <w:p>
      <w:pPr>
        <w:spacing w:after="0" w:line="47"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Stephen J. Barnard</w:t>
      </w:r>
    </w:p>
    <w:p>
      <w:pPr>
        <w:spacing w:after="0" w:line="50" w:lineRule="exact"/>
        <w:rPr>
          <w:sz w:val="20"/>
          <w:szCs w:val="20"/>
          <w:color w:val="auto"/>
        </w:rPr>
      </w:pPr>
    </w:p>
    <w:p>
      <w:pPr>
        <w:ind w:left="8260"/>
        <w:spacing w:after="0"/>
        <w:rPr>
          <w:sz w:val="20"/>
          <w:szCs w:val="20"/>
          <w:color w:val="auto"/>
        </w:rPr>
      </w:pPr>
      <w:r>
        <w:rPr>
          <w:rFonts w:ascii="Arial" w:cs="Arial" w:eastAsia="Arial" w:hAnsi="Arial"/>
          <w:sz w:val="14"/>
          <w:szCs w:val="14"/>
          <w:i w:val="1"/>
          <w:iCs w:val="1"/>
          <w:color w:val="auto"/>
        </w:rPr>
        <w:t>Chief Executive Officer</w:t>
      </w:r>
    </w:p>
    <w:p>
      <w:pPr>
        <w:spacing w:after="0" w:line="327"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29210</wp:posOffset>
            </wp:positionV>
            <wp:extent cx="28498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849880" cy="8255"/>
                    </a:xfrm>
                    <a:prstGeom prst="rect">
                      <a:avLst/>
                    </a:prstGeom>
                    <a:noFill/>
                  </pic:spPr>
                </pic:pic>
              </a:graphicData>
            </a:graphic>
          </wp:anchor>
        </w:drawing>
      </w:r>
    </w:p>
    <w:p>
      <w:pPr>
        <w:spacing w:after="0" w:line="276" w:lineRule="exact"/>
        <w:rPr>
          <w:sz w:val="20"/>
          <w:szCs w:val="20"/>
          <w:color w:val="auto"/>
        </w:rPr>
      </w:pPr>
    </w:p>
    <w:p>
      <w:pPr>
        <w:jc w:val="center"/>
        <w:ind w:left="6720"/>
        <w:spacing w:after="0"/>
        <w:rPr>
          <w:sz w:val="20"/>
          <w:szCs w:val="20"/>
          <w:color w:val="auto"/>
        </w:rPr>
      </w:pPr>
      <w:r>
        <w:rPr>
          <w:rFonts w:ascii="Arial" w:cs="Arial" w:eastAsia="Arial" w:hAnsi="Arial"/>
          <w:sz w:val="14"/>
          <w:szCs w:val="14"/>
          <w:color w:val="auto"/>
        </w:rPr>
        <w:t>Bryan E. Giles</w:t>
      </w:r>
    </w:p>
    <w:p>
      <w:pPr>
        <w:spacing w:after="0" w:line="50" w:lineRule="exact"/>
        <w:rPr>
          <w:sz w:val="20"/>
          <w:szCs w:val="20"/>
          <w:color w:val="auto"/>
        </w:rPr>
      </w:pPr>
    </w:p>
    <w:p>
      <w:pPr>
        <w:jc w:val="center"/>
        <w:ind w:left="6720"/>
        <w:spacing w:after="0"/>
        <w:rPr>
          <w:sz w:val="20"/>
          <w:szCs w:val="20"/>
          <w:color w:val="auto"/>
        </w:rPr>
      </w:pPr>
      <w:r>
        <w:rPr>
          <w:rFonts w:ascii="Arial" w:cs="Arial" w:eastAsia="Arial" w:hAnsi="Arial"/>
          <w:sz w:val="14"/>
          <w:szCs w:val="14"/>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20"/>
          </w:cols>
          <w:pgMar w:left="320" w:top="1440"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EXECUTIVE OFFICER</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Stephen J. Barnard, certify that:</w:t>
      </w:r>
    </w:p>
    <w:p>
      <w:pPr>
        <w:spacing w:after="0" w:line="233" w:lineRule="exact"/>
        <w:rPr>
          <w:sz w:val="20"/>
          <w:szCs w:val="20"/>
          <w:color w:val="auto"/>
        </w:rPr>
      </w:pPr>
    </w:p>
    <w:p>
      <w:pPr>
        <w:ind w:left="680" w:hanging="350"/>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Mission Produce, Inc.;</w:t>
      </w:r>
    </w:p>
    <w:p>
      <w:pPr>
        <w:spacing w:after="0" w:line="219" w:lineRule="exact"/>
        <w:rPr>
          <w:rFonts w:ascii="Arial" w:cs="Arial" w:eastAsia="Arial" w:hAnsi="Arial"/>
          <w:sz w:val="16"/>
          <w:szCs w:val="16"/>
          <w:color w:val="auto"/>
        </w:rPr>
      </w:pPr>
    </w:p>
    <w:p>
      <w:pPr>
        <w:jc w:val="both"/>
        <w:ind w:left="660" w:right="160" w:hanging="330"/>
        <w:spacing w:after="0" w:line="268" w:lineRule="auto"/>
        <w:tabs>
          <w:tab w:leader="none" w:pos="673"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6"/>
          <w:szCs w:val="16"/>
          <w:color w:val="auto"/>
        </w:rPr>
      </w:pPr>
    </w:p>
    <w:p>
      <w:pPr>
        <w:ind w:left="660" w:right="300" w:hanging="330"/>
        <w:spacing w:after="0" w:line="29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6"/>
          <w:szCs w:val="16"/>
          <w:color w:val="auto"/>
        </w:rPr>
      </w:pPr>
    </w:p>
    <w:p>
      <w:pPr>
        <w:jc w:val="both"/>
        <w:ind w:left="660" w:right="280" w:hanging="330"/>
        <w:spacing w:after="0" w:line="268"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6"/>
          <w:szCs w:val="16"/>
          <w:color w:val="auto"/>
        </w:rPr>
      </w:pPr>
    </w:p>
    <w:p>
      <w:pPr>
        <w:ind w:left="1300" w:right="300" w:hanging="325"/>
        <w:spacing w:after="0" w:line="268" w:lineRule="auto"/>
        <w:tabs>
          <w:tab w:leader="none" w:pos="1295"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6"/>
          <w:szCs w:val="16"/>
          <w:color w:val="auto"/>
        </w:rPr>
      </w:pPr>
    </w:p>
    <w:p>
      <w:pPr>
        <w:ind w:left="1300" w:right="200" w:hanging="325"/>
        <w:spacing w:after="0" w:line="268" w:lineRule="auto"/>
        <w:tabs>
          <w:tab w:leader="none" w:pos="1295"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6"/>
          <w:szCs w:val="16"/>
          <w:color w:val="auto"/>
        </w:rPr>
      </w:pPr>
    </w:p>
    <w:p>
      <w:pPr>
        <w:jc w:val="both"/>
        <w:ind w:left="1300" w:right="220" w:hanging="325"/>
        <w:spacing w:after="0" w:line="291" w:lineRule="auto"/>
        <w:tabs>
          <w:tab w:leader="none" w:pos="1286"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6"/>
          <w:szCs w:val="16"/>
          <w:color w:val="auto"/>
        </w:rPr>
      </w:pPr>
    </w:p>
    <w:p>
      <w:pPr>
        <w:ind w:left="1300" w:right="80" w:hanging="325"/>
        <w:spacing w:after="0" w:line="268" w:lineRule="auto"/>
        <w:tabs>
          <w:tab w:leader="none" w:pos="1295"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6"/>
          <w:szCs w:val="16"/>
          <w:color w:val="auto"/>
        </w:rPr>
      </w:pPr>
    </w:p>
    <w:p>
      <w:pPr>
        <w:ind w:left="660" w:right="40" w:hanging="330"/>
        <w:spacing w:after="0" w:line="29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6"/>
          <w:szCs w:val="16"/>
          <w:color w:val="auto"/>
        </w:rPr>
      </w:pPr>
    </w:p>
    <w:p>
      <w:pPr>
        <w:ind w:left="1300" w:right="700" w:hanging="325"/>
        <w:spacing w:after="0" w:line="291" w:lineRule="auto"/>
        <w:tabs>
          <w:tab w:leader="none" w:pos="1295"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6"/>
          <w:szCs w:val="16"/>
          <w:color w:val="auto"/>
        </w:rPr>
      </w:pPr>
    </w:p>
    <w:p>
      <w:pPr>
        <w:ind w:left="1300" w:right="340" w:hanging="325"/>
        <w:spacing w:after="0" w:line="273" w:lineRule="auto"/>
        <w:tabs>
          <w:tab w:leader="none" w:pos="1295"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7" w:lineRule="exact"/>
        <w:rPr>
          <w:sz w:val="20"/>
          <w:szCs w:val="20"/>
          <w:color w:val="auto"/>
        </w:rPr>
      </w:pPr>
    </w:p>
    <w:p>
      <w:pPr>
        <w:ind w:left="812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29210</wp:posOffset>
            </wp:positionV>
            <wp:extent cx="30460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line="61" w:lineRule="exact"/>
        <w:rPr>
          <w:sz w:val="20"/>
          <w:szCs w:val="20"/>
          <w:color w:val="auto"/>
        </w:rPr>
      </w:pPr>
    </w:p>
    <w:p>
      <w:pPr>
        <w:ind w:left="8220"/>
        <w:spacing w:after="0"/>
        <w:rPr>
          <w:sz w:val="20"/>
          <w:szCs w:val="20"/>
          <w:color w:val="auto"/>
        </w:rPr>
      </w:pPr>
      <w:r>
        <w:rPr>
          <w:rFonts w:ascii="Arial" w:cs="Arial" w:eastAsia="Arial" w:hAnsi="Arial"/>
          <w:sz w:val="14"/>
          <w:szCs w:val="14"/>
          <w:color w:val="auto"/>
        </w:rPr>
        <w:t>Stephen J. Barnard</w:t>
      </w:r>
    </w:p>
    <w:p>
      <w:pPr>
        <w:spacing w:after="0" w:line="67" w:lineRule="exact"/>
        <w:rPr>
          <w:sz w:val="20"/>
          <w:szCs w:val="20"/>
          <w:color w:val="auto"/>
        </w:rPr>
      </w:pPr>
    </w:p>
    <w:p>
      <w:pPr>
        <w:ind w:left="7700"/>
        <w:spacing w:after="0"/>
        <w:rPr>
          <w:sz w:val="20"/>
          <w:szCs w:val="20"/>
          <w:color w:val="auto"/>
        </w:rPr>
      </w:pPr>
      <w:r>
        <w:rPr>
          <w:rFonts w:ascii="Arial" w:cs="Arial" w:eastAsia="Arial" w:hAnsi="Arial"/>
          <w:sz w:val="14"/>
          <w:szCs w:val="14"/>
          <w:color w:val="auto"/>
        </w:rPr>
        <w:t>Chief Executive Officer and Director</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11, 2023</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FINANCIAL OFFICER</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Bryan E. Giles, certify that:</w:t>
      </w:r>
    </w:p>
    <w:p>
      <w:pPr>
        <w:spacing w:after="0" w:line="233" w:lineRule="exact"/>
        <w:rPr>
          <w:sz w:val="20"/>
          <w:szCs w:val="20"/>
          <w:color w:val="auto"/>
        </w:rPr>
      </w:pPr>
    </w:p>
    <w:p>
      <w:pPr>
        <w:ind w:left="680" w:hanging="350"/>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Mission Produce, Inc.;</w:t>
      </w:r>
    </w:p>
    <w:p>
      <w:pPr>
        <w:spacing w:after="0" w:line="219" w:lineRule="exact"/>
        <w:rPr>
          <w:rFonts w:ascii="Arial" w:cs="Arial" w:eastAsia="Arial" w:hAnsi="Arial"/>
          <w:sz w:val="16"/>
          <w:szCs w:val="16"/>
          <w:color w:val="auto"/>
        </w:rPr>
      </w:pPr>
    </w:p>
    <w:p>
      <w:pPr>
        <w:jc w:val="both"/>
        <w:ind w:left="660" w:right="160" w:hanging="330"/>
        <w:spacing w:after="0" w:line="268" w:lineRule="auto"/>
        <w:tabs>
          <w:tab w:leader="none" w:pos="673"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6"/>
          <w:szCs w:val="16"/>
          <w:color w:val="auto"/>
        </w:rPr>
      </w:pPr>
    </w:p>
    <w:p>
      <w:pPr>
        <w:ind w:left="660" w:right="300" w:hanging="330"/>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6"/>
          <w:szCs w:val="16"/>
          <w:color w:val="auto"/>
        </w:rPr>
      </w:pPr>
    </w:p>
    <w:p>
      <w:pPr>
        <w:jc w:val="both"/>
        <w:ind w:left="660" w:right="280" w:hanging="330"/>
        <w:spacing w:after="0" w:line="268"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6"/>
          <w:szCs w:val="16"/>
          <w:color w:val="auto"/>
        </w:rPr>
      </w:pPr>
    </w:p>
    <w:p>
      <w:pPr>
        <w:ind w:left="1300" w:right="300" w:hanging="325"/>
        <w:spacing w:after="0" w:line="268" w:lineRule="auto"/>
        <w:tabs>
          <w:tab w:leader="none" w:pos="12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6"/>
          <w:szCs w:val="16"/>
          <w:color w:val="auto"/>
        </w:rPr>
      </w:pPr>
    </w:p>
    <w:p>
      <w:pPr>
        <w:ind w:left="1300" w:right="200" w:hanging="325"/>
        <w:spacing w:after="0" w:line="268" w:lineRule="auto"/>
        <w:tabs>
          <w:tab w:leader="none" w:pos="12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6"/>
          <w:szCs w:val="16"/>
          <w:color w:val="auto"/>
        </w:rPr>
      </w:pPr>
    </w:p>
    <w:p>
      <w:pPr>
        <w:jc w:val="both"/>
        <w:ind w:left="1300" w:right="220" w:hanging="325"/>
        <w:spacing w:after="0" w:line="291" w:lineRule="auto"/>
        <w:tabs>
          <w:tab w:leader="none" w:pos="1286"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6"/>
          <w:szCs w:val="16"/>
          <w:color w:val="auto"/>
        </w:rPr>
      </w:pPr>
    </w:p>
    <w:p>
      <w:pPr>
        <w:ind w:left="1300" w:right="80" w:hanging="325"/>
        <w:spacing w:after="0" w:line="268" w:lineRule="auto"/>
        <w:tabs>
          <w:tab w:leader="none" w:pos="12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6"/>
          <w:szCs w:val="16"/>
          <w:color w:val="auto"/>
        </w:rPr>
      </w:pPr>
    </w:p>
    <w:p>
      <w:pPr>
        <w:ind w:left="660" w:right="40" w:hanging="330"/>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6"/>
          <w:szCs w:val="16"/>
          <w:color w:val="auto"/>
        </w:rPr>
      </w:pPr>
    </w:p>
    <w:p>
      <w:pPr>
        <w:ind w:left="1300" w:right="700" w:hanging="325"/>
        <w:spacing w:after="0" w:line="291" w:lineRule="auto"/>
        <w:tabs>
          <w:tab w:leader="none" w:pos="12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6"/>
          <w:szCs w:val="16"/>
          <w:color w:val="auto"/>
        </w:rPr>
      </w:pPr>
    </w:p>
    <w:p>
      <w:pPr>
        <w:ind w:left="1300" w:right="340" w:hanging="325"/>
        <w:spacing w:after="0" w:line="273" w:lineRule="auto"/>
        <w:tabs>
          <w:tab w:leader="none" w:pos="12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7" w:lineRule="exact"/>
        <w:rPr>
          <w:sz w:val="20"/>
          <w:szCs w:val="20"/>
          <w:color w:val="auto"/>
        </w:rPr>
      </w:pPr>
    </w:p>
    <w:p>
      <w:pPr>
        <w:ind w:left="828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29210</wp:posOffset>
            </wp:positionV>
            <wp:extent cx="30460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line="61"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Bryan E. Giles</w:t>
      </w:r>
    </w:p>
    <w:p>
      <w:pPr>
        <w:spacing w:after="0" w:line="67" w:lineRule="exact"/>
        <w:rPr>
          <w:sz w:val="20"/>
          <w:szCs w:val="20"/>
          <w:color w:val="auto"/>
        </w:rPr>
      </w:pPr>
    </w:p>
    <w:p>
      <w:pPr>
        <w:ind w:left="8140"/>
        <w:spacing w:after="0"/>
        <w:rPr>
          <w:sz w:val="20"/>
          <w:szCs w:val="20"/>
          <w:color w:val="auto"/>
        </w:rPr>
      </w:pPr>
      <w:r>
        <w:rPr>
          <w:rFonts w:ascii="Arial" w:cs="Arial" w:eastAsia="Arial" w:hAnsi="Arial"/>
          <w:sz w:val="14"/>
          <w:szCs w:val="14"/>
          <w:color w:val="auto"/>
        </w:rPr>
        <w:t>Chief Financial Officer</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11, 2023</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EXECUTIVE OFFICER</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Mission Produce,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“Company”) hereby certifies, to the best of his knowledge, that:</w:t>
      </w:r>
    </w:p>
    <w:p>
      <w:pPr>
        <w:spacing w:after="0" w:line="215" w:lineRule="exact"/>
        <w:rPr>
          <w:sz w:val="20"/>
          <w:szCs w:val="20"/>
          <w:color w:val="auto"/>
        </w:rPr>
      </w:pPr>
    </w:p>
    <w:p>
      <w:pPr>
        <w:ind w:left="660" w:right="560" w:hanging="330"/>
        <w:spacing w:after="0" w:line="273"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July 31, 2023 (the “Report”) fully complies with the requirements of Section 13(a) or Section 15(d), as applicable, of the Securities Exchange Act of 1934, as amended; and</w:t>
      </w:r>
    </w:p>
    <w:p>
      <w:pPr>
        <w:spacing w:after="0" w:line="186" w:lineRule="exact"/>
        <w:rPr>
          <w:rFonts w:ascii="Arial" w:cs="Arial" w:eastAsia="Arial" w:hAnsi="Arial"/>
          <w:sz w:val="16"/>
          <w:szCs w:val="16"/>
          <w:color w:val="auto"/>
        </w:rPr>
      </w:pPr>
    </w:p>
    <w:p>
      <w:pPr>
        <w:ind w:left="640" w:hanging="310"/>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12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29210</wp:posOffset>
            </wp:positionV>
            <wp:extent cx="30460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line="61" w:lineRule="exact"/>
        <w:rPr>
          <w:sz w:val="20"/>
          <w:szCs w:val="20"/>
          <w:color w:val="auto"/>
        </w:rPr>
      </w:pPr>
    </w:p>
    <w:p>
      <w:pPr>
        <w:ind w:left="8220"/>
        <w:spacing w:after="0"/>
        <w:rPr>
          <w:sz w:val="20"/>
          <w:szCs w:val="20"/>
          <w:color w:val="auto"/>
        </w:rPr>
      </w:pPr>
      <w:r>
        <w:rPr>
          <w:rFonts w:ascii="Arial" w:cs="Arial" w:eastAsia="Arial" w:hAnsi="Arial"/>
          <w:sz w:val="14"/>
          <w:szCs w:val="14"/>
          <w:color w:val="auto"/>
        </w:rPr>
        <w:t>Stephen J. Barnard</w:t>
      </w:r>
    </w:p>
    <w:p>
      <w:pPr>
        <w:spacing w:after="0" w:line="67" w:lineRule="exact"/>
        <w:rPr>
          <w:sz w:val="20"/>
          <w:szCs w:val="20"/>
          <w:color w:val="auto"/>
        </w:rPr>
      </w:pPr>
    </w:p>
    <w:p>
      <w:pPr>
        <w:ind w:left="7700"/>
        <w:spacing w:after="0"/>
        <w:rPr>
          <w:sz w:val="20"/>
          <w:szCs w:val="20"/>
          <w:color w:val="auto"/>
        </w:rPr>
      </w:pPr>
      <w:r>
        <w:rPr>
          <w:rFonts w:ascii="Arial" w:cs="Arial" w:eastAsia="Arial" w:hAnsi="Arial"/>
          <w:sz w:val="14"/>
          <w:szCs w:val="14"/>
          <w:color w:val="auto"/>
        </w:rPr>
        <w:t>Chief Executive Officer and Director</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11, 2023</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FINANCIAL OFFICER</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Mission Produce,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“Company”) hereby certifies, to the best of his knowledge, that:</w:t>
      </w:r>
    </w:p>
    <w:p>
      <w:pPr>
        <w:spacing w:after="0" w:line="215" w:lineRule="exact"/>
        <w:rPr>
          <w:sz w:val="20"/>
          <w:szCs w:val="20"/>
          <w:color w:val="auto"/>
        </w:rPr>
      </w:pPr>
    </w:p>
    <w:p>
      <w:pPr>
        <w:ind w:left="660" w:right="560" w:hanging="330"/>
        <w:spacing w:after="0" w:line="273"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July 31, 2023 (the “Report”) fully complies with the requirements of Section 13(a) or Section 15(d), as applicable, of the Securities Exchange Act of 1934, as amended; and</w:t>
      </w:r>
    </w:p>
    <w:p>
      <w:pPr>
        <w:spacing w:after="0" w:line="186" w:lineRule="exact"/>
        <w:rPr>
          <w:rFonts w:ascii="Arial" w:cs="Arial" w:eastAsia="Arial" w:hAnsi="Arial"/>
          <w:sz w:val="16"/>
          <w:szCs w:val="16"/>
          <w:color w:val="auto"/>
        </w:rPr>
      </w:pPr>
    </w:p>
    <w:p>
      <w:pPr>
        <w:ind w:left="640" w:hanging="310"/>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28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29210</wp:posOffset>
            </wp:positionV>
            <wp:extent cx="30460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line="61"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Bryan E. Giles</w:t>
      </w:r>
    </w:p>
    <w:p>
      <w:pPr>
        <w:spacing w:after="0" w:line="67" w:lineRule="exact"/>
        <w:rPr>
          <w:sz w:val="20"/>
          <w:szCs w:val="20"/>
          <w:color w:val="auto"/>
        </w:rPr>
      </w:pPr>
    </w:p>
    <w:p>
      <w:pPr>
        <w:ind w:left="8140"/>
        <w:spacing w:after="0"/>
        <w:rPr>
          <w:sz w:val="20"/>
          <w:szCs w:val="20"/>
          <w:color w:val="auto"/>
        </w:rPr>
      </w:pPr>
      <w:r>
        <w:rPr>
          <w:rFonts w:ascii="Arial" w:cs="Arial" w:eastAsia="Arial" w:hAnsi="Arial"/>
          <w:sz w:val="14"/>
          <w:szCs w:val="14"/>
          <w:color w:val="auto"/>
        </w:rPr>
        <w:t>Chief Financial Officer</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11,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1."/>
      <w:numFmt w:val="decimal"/>
      <w:start w:val="10"/>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2"/>
    </w:lvl>
  </w:abstractNum>
  <w:abstractNum w:abstractNumId="13">
    <w:nsid w:val="628C895D"/>
    <w:multiLevelType w:val="hybridMultilevel"/>
    <w:lvl w:ilvl="0">
      <w:lvlJc w:val="left"/>
      <w:lvlText w:val="%1."/>
      <w:numFmt w:val="decimal"/>
      <w:start w:val="1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2"/>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2"/>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Letter"/>
      <w:start w:val="2"/>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45" Type="http://schemas.openxmlformats.org/officeDocument/2006/relationships/hyperlink" Target="https://www.sec.gov/Archives/edgar/data/1802974/000119312520265099/d32849dex31.htm" TargetMode="External"/><Relationship Id="rId46" Type="http://schemas.openxmlformats.org/officeDocument/2006/relationships/hyperlink" Target="https://www.sec.gov/Archives/edgar/data/1802974/000119312520265099/d3284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2023-09-11T15:53:28Z</dcterms:created>
  <dcterms:modified xsi:type="dcterms:W3CDTF">2023-09-11T15:53:28Z</dcterms:modified>
</cp:coreProperties>
</file>