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Mission Produce,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Jose Bouzas</w:t>
              <w:br/>
              <w:t xml:space="preserve">BICSA Financial Center, Piso 39, </w:t>
              <w:br/>
              <w:t>Panama City, R1, 0801</w:t>
              <w:br/>
              <w:t>507 380 7074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Globalharvest Holdings Venture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12,370,439.00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12,370,439.00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12,370,439.00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14.01 %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Item 1.</w:t>
            </w:r>
          </w:p>
        </w:tc>
        <w:tc>
          <w:tcPr>
            <w:tcW w:w="9048" w:type="dxa"/>
            <w:tcBorders/>
            <w:vAlign w:val="center"/>
          </w:tcPr>
          <w:p>
            <w:pPr>
              <w:pStyle w:val="TableContents"/>
              <w:bidi w:val="0"/>
              <w:spacing w:before="0" w:after="283"/>
              <w:jc w:val="left"/>
              <w:rPr/>
            </w:pPr>
            <w:r>
              <w:rPr/>
              <w:t>Security and Issuer</w:t>
            </w:r>
          </w:p>
        </w:tc>
      </w:tr>
      <w:tr>
        <w:trPr/>
        <w:tc>
          <w:tcPr>
            <w:tcW w:w="1157" w:type="dxa"/>
            <w:tcBorders/>
            <w:vAlign w:val="center"/>
          </w:tcPr>
          <w:p>
            <w:pPr>
              <w:pStyle w:val="TableContents"/>
              <w:bidi w:val="0"/>
              <w:spacing w:before="0" w:after="283"/>
              <w:jc w:val="left"/>
              <w:rPr/>
            </w:pPr>
            <w:r>
              <w:rPr/>
              <w:t>(a)</w:t>
            </w:r>
          </w:p>
        </w:tc>
        <w:tc>
          <w:tcPr>
            <w:tcW w:w="90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r>
      <w:tr>
        <w:trPr/>
        <w:tc>
          <w:tcPr>
            <w:tcW w:w="1157" w:type="dxa"/>
            <w:tcBorders/>
            <w:vAlign w:val="center"/>
          </w:tcPr>
          <w:p>
            <w:pPr>
              <w:pStyle w:val="TableContents"/>
              <w:bidi w:val="0"/>
              <w:spacing w:before="0" w:after="283"/>
              <w:jc w:val="left"/>
              <w:rPr/>
            </w:pPr>
            <w:r>
              <w:rPr/>
              <w:t>(b)</w:t>
            </w:r>
          </w:p>
        </w:tc>
        <w:tc>
          <w:tcPr>
            <w:tcW w:w="9048" w:type="dxa"/>
            <w:tcBorders/>
            <w:vAlign w:val="center"/>
          </w:tcPr>
          <w:p>
            <w:pPr>
              <w:pStyle w:val="TableContents"/>
              <w:bidi w:val="0"/>
              <w:jc w:val="left"/>
              <w:rPr/>
            </w:pPr>
            <w:r>
              <w:rPr/>
              <w:t xml:space="preserve">Name of Issuer: </w:t>
            </w:r>
          </w:p>
          <w:p>
            <w:pPr>
              <w:pStyle w:val="TableContents"/>
              <w:bidi w:val="0"/>
              <w:spacing w:before="0" w:after="0"/>
              <w:jc w:val="left"/>
              <w:rPr/>
            </w:pPr>
            <w:r>
              <w:rPr/>
              <w:t>Mission Produce, Inc.</w:t>
            </w:r>
          </w:p>
        </w:tc>
      </w:tr>
      <w:tr>
        <w:trPr/>
        <w:tc>
          <w:tcPr>
            <w:tcW w:w="1157" w:type="dxa"/>
            <w:tcBorders/>
            <w:vAlign w:val="center"/>
          </w:tcPr>
          <w:p>
            <w:pPr>
              <w:pStyle w:val="TableContents"/>
              <w:bidi w:val="0"/>
              <w:spacing w:before="0" w:after="283"/>
              <w:jc w:val="left"/>
              <w:rPr/>
            </w:pPr>
            <w:r>
              <w:rPr/>
              <w:t>(c)</w:t>
            </w:r>
          </w:p>
        </w:tc>
        <w:tc>
          <w:tcPr>
            <w:tcW w:w="90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2710 Camino Del Sol, Oxnard, CALIFORNIA , 93030.</w:t>
            </w:r>
          </w:p>
        </w:tc>
      </w:tr>
      <w:tr>
        <w:trPr/>
        <w:tc>
          <w:tcPr>
            <w:tcW w:w="1157" w:type="dxa"/>
            <w:tcBorders/>
            <w:vAlign w:val="center"/>
          </w:tcPr>
          <w:p>
            <w:pPr>
              <w:pStyle w:val="TableContents"/>
              <w:bidi w:val="0"/>
              <w:spacing w:before="0" w:after="283"/>
              <w:jc w:val="left"/>
              <w:rPr/>
            </w:pPr>
            <w:r>
              <w:rPr/>
              <w:t>Item 2.</w:t>
            </w:r>
          </w:p>
        </w:tc>
        <w:tc>
          <w:tcPr>
            <w:tcW w:w="9048" w:type="dxa"/>
            <w:tcBorders/>
            <w:vAlign w:val="center"/>
          </w:tcPr>
          <w:p>
            <w:pPr>
              <w:pStyle w:val="TableContents"/>
              <w:bidi w:val="0"/>
              <w:spacing w:before="0" w:after="283"/>
              <w:jc w:val="left"/>
              <w:rPr/>
            </w:pPr>
            <w:r>
              <w:rPr/>
              <w:t>Identity and Background</w:t>
            </w:r>
          </w:p>
        </w:tc>
      </w:tr>
      <w:tr>
        <w:trPr/>
        <w:tc>
          <w:tcPr>
            <w:tcW w:w="1157" w:type="dxa"/>
            <w:tcBorders/>
            <w:vAlign w:val="center"/>
          </w:tcPr>
          <w:p>
            <w:pPr>
              <w:pStyle w:val="TableContents"/>
              <w:bidi w:val="0"/>
              <w:spacing w:before="0" w:after="283"/>
              <w:jc w:val="left"/>
              <w:rPr/>
            </w:pPr>
            <w:r>
              <w:rPr/>
              <w:t>(a)</w:t>
            </w:r>
          </w:p>
        </w:tc>
        <w:tc>
          <w:tcPr>
            <w:tcW w:w="9048" w:type="dxa"/>
            <w:tcBorders/>
            <w:vAlign w:val="center"/>
          </w:tcPr>
          <w:p>
            <w:pPr>
              <w:pStyle w:val="TableContents"/>
              <w:bidi w:val="0"/>
              <w:spacing w:before="0" w:after="0"/>
              <w:jc w:val="left"/>
              <w:rPr/>
            </w:pPr>
            <w:r>
              <w:rPr/>
              <w:t>Jose Bouzas</w:t>
            </w:r>
          </w:p>
        </w:tc>
      </w:tr>
      <w:tr>
        <w:trPr/>
        <w:tc>
          <w:tcPr>
            <w:tcW w:w="1157" w:type="dxa"/>
            <w:tcBorders/>
            <w:vAlign w:val="center"/>
          </w:tcPr>
          <w:p>
            <w:pPr>
              <w:pStyle w:val="TableContents"/>
              <w:bidi w:val="0"/>
              <w:spacing w:before="0" w:after="283"/>
              <w:jc w:val="left"/>
              <w:rPr/>
            </w:pPr>
            <w:r>
              <w:rPr/>
              <w:t>(b)</w:t>
            </w:r>
          </w:p>
        </w:tc>
        <w:tc>
          <w:tcPr>
            <w:tcW w:w="9048" w:type="dxa"/>
            <w:tcBorders/>
            <w:vAlign w:val="center"/>
          </w:tcPr>
          <w:p>
            <w:pPr>
              <w:pStyle w:val="TableContents"/>
              <w:bidi w:val="0"/>
              <w:spacing w:before="0" w:after="0"/>
              <w:jc w:val="left"/>
              <w:rPr/>
            </w:pPr>
            <w:r>
              <w:rPr/>
              <w:t>BICSA Financial Center, Piso 39, Panama City, Panama 0801</w:t>
            </w:r>
          </w:p>
        </w:tc>
      </w:tr>
      <w:tr>
        <w:trPr/>
        <w:tc>
          <w:tcPr>
            <w:tcW w:w="1157" w:type="dxa"/>
            <w:tcBorders/>
            <w:vAlign w:val="center"/>
          </w:tcPr>
          <w:p>
            <w:pPr>
              <w:pStyle w:val="TableContents"/>
              <w:bidi w:val="0"/>
              <w:spacing w:before="0" w:after="283"/>
              <w:jc w:val="left"/>
              <w:rPr/>
            </w:pPr>
            <w:r>
              <w:rPr/>
              <w:t>Item 3.</w:t>
            </w:r>
          </w:p>
        </w:tc>
        <w:tc>
          <w:tcPr>
            <w:tcW w:w="9048" w:type="dxa"/>
            <w:tcBorders/>
            <w:vAlign w:val="center"/>
          </w:tcPr>
          <w:p>
            <w:pPr>
              <w:pStyle w:val="TableContents"/>
              <w:bidi w:val="0"/>
              <w:spacing w:before="0" w:after="283"/>
              <w:jc w:val="left"/>
              <w:rPr/>
            </w:pPr>
            <w:r>
              <w:rPr/>
              <w:t>Source and Amount of Funds or Other Consideration</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0"/>
              <w:jc w:val="left"/>
              <w:rPr/>
            </w:pPr>
            <w:r>
              <w:rPr/>
              <w:t>Item 3 is hereby amended and restated as follows: The Reporting Person originally acquired 4,458,750 shares of Common Stock for an aggregate price of $50,234,059.90. The Reporting Person subsequently acquired an additional (i) 842,220 shares of Common Stock for an aggregate price of $10,515,375.32, (ii) 1,021,178 shares of Common Stock for an aggregate price of $12,481,982.74, (iii) 842,095 shares of Common Stock for an aggregate price of $10,057,851.35, (iv) 1,673,043 shares of Common Stock for an aggregate price of $19,619,597.35, (v) 933,322 shares of Common Stock for an aggregate price of $11,817,870.67 using working capital from affiliates of the Reporting Person, (vi) 220,969 shares of Common Stock for an aggregate price of $2,628,524.51, (vii) 549,360 shares of Common Stock received in exchange for 561,145 shares of Calavo Growers, Inc. ("Calavo") common stock in connection with the consummation of the previously announced transaction between the Issuer and Calavo (the "Transaction") (the Reporting Person originally acquired such shares of Calavo common stock for an aggregate purchase price of $14,931,161.09); and (viii) 1,829,502 of Common Stock for an aggregate price of $24,096,808.38.</w:t>
            </w:r>
          </w:p>
        </w:tc>
      </w:tr>
      <w:tr>
        <w:trPr/>
        <w:tc>
          <w:tcPr>
            <w:tcW w:w="1157" w:type="dxa"/>
            <w:tcBorders/>
            <w:vAlign w:val="center"/>
          </w:tcPr>
          <w:p>
            <w:pPr>
              <w:pStyle w:val="TableContents"/>
              <w:bidi w:val="0"/>
              <w:spacing w:before="0" w:after="283"/>
              <w:jc w:val="left"/>
              <w:rPr/>
            </w:pPr>
            <w:r>
              <w:rPr/>
              <w:t>Item 4.</w:t>
            </w:r>
          </w:p>
        </w:tc>
        <w:tc>
          <w:tcPr>
            <w:tcW w:w="9048" w:type="dxa"/>
            <w:tcBorders/>
            <w:vAlign w:val="center"/>
          </w:tcPr>
          <w:p>
            <w:pPr>
              <w:pStyle w:val="TableContents"/>
              <w:bidi w:val="0"/>
              <w:spacing w:before="0" w:after="283"/>
              <w:jc w:val="left"/>
              <w:rPr/>
            </w:pPr>
            <w:r>
              <w:rPr/>
              <w:t>Purpose of Transaction</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0"/>
              <w:jc w:val="left"/>
              <w:rPr/>
            </w:pPr>
            <w:r>
              <w:rPr/>
              <w:t>(a)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r>
      <w:tr>
        <w:trPr/>
        <w:tc>
          <w:tcPr>
            <w:tcW w:w="1157" w:type="dxa"/>
            <w:tcBorders/>
            <w:vAlign w:val="center"/>
          </w:tcPr>
          <w:p>
            <w:pPr>
              <w:pStyle w:val="TableContents"/>
              <w:bidi w:val="0"/>
              <w:spacing w:before="0" w:after="283"/>
              <w:jc w:val="left"/>
              <w:rPr/>
            </w:pPr>
            <w:r>
              <w:rPr/>
              <w:t>Item 5.</w:t>
            </w:r>
          </w:p>
        </w:tc>
        <w:tc>
          <w:tcPr>
            <w:tcW w:w="9048" w:type="dxa"/>
            <w:tcBorders/>
            <w:vAlign w:val="center"/>
          </w:tcPr>
          <w:p>
            <w:pPr>
              <w:pStyle w:val="TableContents"/>
              <w:bidi w:val="0"/>
              <w:spacing w:before="0" w:after="283"/>
              <w:jc w:val="left"/>
              <w:rPr/>
            </w:pPr>
            <w:r>
              <w:rPr/>
              <w:t>Interest in Securities of the Issuer</w:t>
            </w:r>
          </w:p>
        </w:tc>
      </w:tr>
      <w:tr>
        <w:trPr/>
        <w:tc>
          <w:tcPr>
            <w:tcW w:w="1157" w:type="dxa"/>
            <w:tcBorders/>
            <w:vAlign w:val="center"/>
          </w:tcPr>
          <w:p>
            <w:pPr>
              <w:pStyle w:val="TableContents"/>
              <w:bidi w:val="0"/>
              <w:spacing w:before="0" w:after="283"/>
              <w:jc w:val="left"/>
              <w:rPr/>
            </w:pPr>
            <w:r>
              <w:rPr/>
              <w:t>(a)</w:t>
            </w:r>
          </w:p>
        </w:tc>
        <w:tc>
          <w:tcPr>
            <w:tcW w:w="9048" w:type="dxa"/>
            <w:tcBorders/>
            <w:vAlign w:val="center"/>
          </w:tcPr>
          <w:p>
            <w:pPr>
              <w:pStyle w:val="TableContents"/>
              <w:bidi w:val="0"/>
              <w:spacing w:before="0" w:after="0"/>
              <w:jc w:val="left"/>
              <w:rPr/>
            </w:pPr>
            <w:r>
              <w:rPr/>
              <w:t>Total shares beneficially owned: 12,370,439 Total shares outstanding as of June 3, 2026: 88,319,807, as reported in the Company's Quarterly Report on Form 10-Q filed with the SEC on June 8, 2026. To the Reporting Persons' knowledge, none of the Covered Persons directly owns any Common Shares. Each of the Covered Persons hereby disclaims beneficial ownership of any Common Shares and the filing of this Schedule 13D shall not be construed as an admission that any such Covered Person is the beneficial owner of any securities covered by this Schedule 13D or that any such Covered Person is a member of a "group" for Section 13(d) purposes.</w:t>
            </w:r>
          </w:p>
        </w:tc>
      </w:tr>
      <w:tr>
        <w:trPr/>
        <w:tc>
          <w:tcPr>
            <w:tcW w:w="1157" w:type="dxa"/>
            <w:tcBorders/>
            <w:vAlign w:val="center"/>
          </w:tcPr>
          <w:p>
            <w:pPr>
              <w:pStyle w:val="TableContents"/>
              <w:bidi w:val="0"/>
              <w:spacing w:before="0" w:after="283"/>
              <w:jc w:val="left"/>
              <w:rPr/>
            </w:pPr>
            <w:r>
              <w:rPr/>
              <w:t>(b)</w:t>
            </w:r>
          </w:p>
        </w:tc>
        <w:tc>
          <w:tcPr>
            <w:tcW w:w="9048" w:type="dxa"/>
            <w:tcBorders/>
            <w:vAlign w:val="center"/>
          </w:tcPr>
          <w:p>
            <w:pPr>
              <w:pStyle w:val="TableContents"/>
              <w:bidi w:val="0"/>
              <w:spacing w:before="0" w:after="0"/>
              <w:jc w:val="left"/>
              <w:rPr/>
            </w:pPr>
            <w:r>
              <w:rPr/>
              <w:t>See responses to Items 7, 8, 9 and 10 on the cover pages of this filing, which are incorporated herein by reference.</w:t>
            </w:r>
          </w:p>
        </w:tc>
      </w:tr>
      <w:tr>
        <w:trPr/>
        <w:tc>
          <w:tcPr>
            <w:tcW w:w="1157" w:type="dxa"/>
            <w:tcBorders/>
            <w:vAlign w:val="center"/>
          </w:tcPr>
          <w:p>
            <w:pPr>
              <w:pStyle w:val="TableContents"/>
              <w:bidi w:val="0"/>
              <w:spacing w:before="0" w:after="283"/>
              <w:jc w:val="left"/>
              <w:rPr/>
            </w:pPr>
            <w:r>
              <w:rPr/>
              <w:t>(c)</w:t>
            </w:r>
          </w:p>
        </w:tc>
        <w:tc>
          <w:tcPr>
            <w:tcW w:w="9048" w:type="dxa"/>
            <w:tcBorders/>
            <w:vAlign w:val="center"/>
          </w:tcPr>
          <w:p>
            <w:pPr>
              <w:pStyle w:val="TableContents"/>
              <w:bidi w:val="0"/>
              <w:spacing w:before="0" w:after="0"/>
              <w:jc w:val="left"/>
              <w:rPr/>
            </w:pPr>
            <w:r>
              <w:rPr/>
              <w:t>The transactions in the Common Stock by the Reporting Person, and any Covered Person, if applicable, since the most recent filing of Schedule 13D are set forth on Schedule A and are incorporated herein by reference.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Globalharvest Holdings Venture Ltd</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Jose Bouzas, Director</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Jose Bouzas, Director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bookmarkStart w:id="14" w:name="g99_1.htm"/>
      <w:bookmarkStart w:id="15" w:name="ksg99_1"/>
      <w:bookmarkEnd w:id="14"/>
      <w:bookmarkEnd w:id="15"/>
      <w:r>
        <w:rPr/>
        <w:t xml:space="preserve">  </w:t>
      </w:r>
      <w:r>
        <w:br w:type="page"/>
      </w:r>
    </w:p>
    <w:p>
      <w:pPr>
        <w:pStyle w:val="TextBody"/>
        <w:bidi w:val="0"/>
        <w:spacing w:before="0" w:after="0"/>
        <w:jc w:val="center"/>
        <w:rPr/>
      </w:pPr>
      <w:r>
        <w:rPr>
          <w:b/>
          <w:sz w:val="20"/>
        </w:rPr>
        <w:t>SCHEDULE A</w:t>
      </w:r>
      <w:r>
        <w:rPr/>
        <w:t xml:space="preserve"> </w:t>
      </w:r>
    </w:p>
    <w:p>
      <w:pPr>
        <w:pStyle w:val="TextBody"/>
        <w:bidi w:val="0"/>
        <w:spacing w:before="0" w:after="0"/>
        <w:jc w:val="center"/>
        <w:rPr/>
      </w:pPr>
      <w:r>
        <w:rPr>
          <w:b/>
          <w:sz w:val="20"/>
        </w:rPr>
        <w:t>TRANSACTIONS IN THE COMMON STOCK EFFECTING DURING THE PAST 60 DAYS BY THE REPORTING PERSON</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color w:val="000000"/>
          <w:sz w:val="20"/>
        </w:rPr>
        <w:t>The following table sets forth all transactions in the Common Stock effected in the past 60 days by the Reporting Persons. Except as noted below, all such transactions were effected by the Reporting Person in the open market through brokers, and the price per share does not include brokerage commissions and transaction costs.</w:t>
      </w:r>
      <w:r>
        <w:rPr/>
        <w:t xml:space="preserve"> </w:t>
      </w:r>
    </w:p>
    <w:tbl>
      <w:tblPr>
        <w:tblW w:w="8419" w:type="dxa"/>
        <w:jc w:val="left"/>
        <w:tblInd w:w="0" w:type="dxa"/>
        <w:tblLayout w:type="fixed"/>
        <w:tblCellMar>
          <w:top w:w="0" w:type="dxa"/>
          <w:left w:w="0" w:type="dxa"/>
          <w:bottom w:w="28" w:type="dxa"/>
          <w:right w:w="0" w:type="dxa"/>
        </w:tblCellMar>
      </w:tblPr>
      <w:tblGrid>
        <w:gridCol w:w="3181"/>
        <w:gridCol w:w="1846"/>
        <w:gridCol w:w="1591"/>
        <w:gridCol w:w="1801"/>
      </w:tblGrid>
      <w:tr>
        <w:trPr/>
        <w:tc>
          <w:tcPr>
            <w:tcW w:w="3181" w:type="dxa"/>
            <w:tcBorders>
              <w:bottom w:val="single" w:sz="12" w:space="0" w:color="000000"/>
            </w:tcBorders>
            <w:vAlign w:val="center"/>
          </w:tcPr>
          <w:p>
            <w:pPr>
              <w:pStyle w:val="TableContents"/>
              <w:bidi w:val="0"/>
              <w:spacing w:before="0" w:after="0"/>
              <w:jc w:val="center"/>
              <w:rPr/>
            </w:pPr>
            <w:r>
              <w:rPr>
                <w:b/>
                <w:color w:val="000000"/>
                <w:sz w:val="20"/>
              </w:rPr>
              <w:t>Name of Reporting Person</w:t>
            </w:r>
            <w:r>
              <w:rPr/>
              <w:t xml:space="preserve"> </w:t>
            </w:r>
          </w:p>
        </w:tc>
        <w:tc>
          <w:tcPr>
            <w:tcW w:w="1846" w:type="dxa"/>
            <w:tcBorders>
              <w:bottom w:val="single" w:sz="12" w:space="0" w:color="000000"/>
            </w:tcBorders>
            <w:vAlign w:val="center"/>
          </w:tcPr>
          <w:p>
            <w:pPr>
              <w:pStyle w:val="TableContents"/>
              <w:bidi w:val="0"/>
              <w:spacing w:before="0" w:after="0"/>
              <w:jc w:val="center"/>
              <w:rPr/>
            </w:pPr>
            <w:r>
              <w:rPr>
                <w:b/>
                <w:color w:val="000000"/>
                <w:sz w:val="20"/>
              </w:rPr>
              <w:t>Date of Transaction</w:t>
            </w:r>
            <w:r>
              <w:rPr/>
              <w:t xml:space="preserve"> </w:t>
            </w:r>
          </w:p>
        </w:tc>
        <w:tc>
          <w:tcPr>
            <w:tcW w:w="1591" w:type="dxa"/>
            <w:tcBorders>
              <w:bottom w:val="single" w:sz="12" w:space="0" w:color="000000"/>
            </w:tcBorders>
            <w:vAlign w:val="center"/>
          </w:tcPr>
          <w:p>
            <w:pPr>
              <w:pStyle w:val="TableContents"/>
              <w:bidi w:val="0"/>
              <w:spacing w:before="0" w:after="0"/>
              <w:jc w:val="center"/>
              <w:rPr/>
            </w:pPr>
            <w:r>
              <w:rPr>
                <w:b/>
                <w:color w:val="000000"/>
                <w:sz w:val="20"/>
              </w:rPr>
              <w:t>Shares</w:t>
              <w:br/>
              <w:t>Purchased (Sold)</w:t>
            </w:r>
            <w:r>
              <w:rPr/>
              <w:t xml:space="preserve"> </w:t>
            </w:r>
          </w:p>
        </w:tc>
        <w:tc>
          <w:tcPr>
            <w:tcW w:w="1801" w:type="dxa"/>
            <w:tcBorders>
              <w:bottom w:val="single" w:sz="12" w:space="0" w:color="000000"/>
            </w:tcBorders>
            <w:vAlign w:val="center"/>
          </w:tcPr>
          <w:p>
            <w:pPr>
              <w:pStyle w:val="TableContents"/>
              <w:bidi w:val="0"/>
              <w:spacing w:before="0" w:after="0"/>
              <w:jc w:val="center"/>
              <w:rPr>
                <w:b/>
                <w:color w:val="000000"/>
                <w:sz w:val="20"/>
              </w:rPr>
            </w:pPr>
            <w:r>
              <w:rPr>
                <w:b/>
                <w:color w:val="000000"/>
                <w:sz w:val="20"/>
              </w:rPr>
              <w:t xml:space="preserve">Price Per Share ($) </w:t>
            </w:r>
          </w:p>
        </w:tc>
      </w:tr>
      <w:tr>
        <w:trPr/>
        <w:tc>
          <w:tcPr>
            <w:tcW w:w="3181" w:type="dxa"/>
            <w:tcBorders>
              <w:top w:val="single" w:sz="12" w:space="0" w:color="000000"/>
            </w:tcBorders>
            <w:tcMar>
              <w:top w:w="28" w:type="dxa"/>
              <w:bottom w:w="0" w:type="dxa"/>
            </w:tcMar>
            <w:vAlign w:val="center"/>
          </w:tcPr>
          <w:p>
            <w:pPr>
              <w:pStyle w:val="TableContents"/>
              <w:bidi w:val="0"/>
              <w:spacing w:before="0" w:after="0"/>
              <w:jc w:val="left"/>
              <w:rPr/>
            </w:pPr>
            <w:r>
              <w:rPr>
                <w:color w:val="000000"/>
                <w:sz w:val="20"/>
              </w:rPr>
              <w:t>Globalharvest Holdings Venture Ltd.</w:t>
            </w:r>
            <w:r>
              <w:rPr/>
              <w:t xml:space="preserve"> </w:t>
            </w:r>
          </w:p>
        </w:tc>
        <w:tc>
          <w:tcPr>
            <w:tcW w:w="1846" w:type="dxa"/>
            <w:tcBorders>
              <w:top w:val="single" w:sz="12" w:space="0" w:color="000000"/>
            </w:tcBorders>
            <w:tcMar>
              <w:top w:w="28" w:type="dxa"/>
              <w:bottom w:w="0" w:type="dxa"/>
            </w:tcMar>
            <w:vAlign w:val="center"/>
          </w:tcPr>
          <w:p>
            <w:pPr>
              <w:pStyle w:val="TableContents"/>
              <w:bidi w:val="0"/>
              <w:spacing w:before="0" w:after="0"/>
              <w:jc w:val="right"/>
              <w:rPr/>
            </w:pPr>
            <w:r>
              <w:rPr>
                <w:color w:val="000000"/>
                <w:sz w:val="20"/>
              </w:rPr>
              <w:t>07/06/2026</w:t>
            </w:r>
            <w:r>
              <w:rPr/>
              <w:t xml:space="preserve"> </w:t>
            </w:r>
          </w:p>
        </w:tc>
        <w:tc>
          <w:tcPr>
            <w:tcW w:w="1591" w:type="dxa"/>
            <w:tcBorders>
              <w:top w:val="single" w:sz="12" w:space="0" w:color="000000"/>
            </w:tcBorders>
            <w:tcMar>
              <w:top w:w="28" w:type="dxa"/>
              <w:bottom w:w="0" w:type="dxa"/>
            </w:tcMar>
            <w:vAlign w:val="center"/>
          </w:tcPr>
          <w:p>
            <w:pPr>
              <w:pStyle w:val="TableContents"/>
              <w:bidi w:val="0"/>
              <w:spacing w:before="0" w:after="0"/>
              <w:jc w:val="right"/>
              <w:rPr/>
            </w:pPr>
            <w:r>
              <w:rPr>
                <w:sz w:val="20"/>
              </w:rPr>
              <w:t>650,415</w:t>
            </w:r>
            <w:r>
              <w:rPr/>
              <w:t xml:space="preserve"> </w:t>
            </w:r>
          </w:p>
        </w:tc>
        <w:tc>
          <w:tcPr>
            <w:tcW w:w="1801" w:type="dxa"/>
            <w:tcBorders>
              <w:top w:val="single" w:sz="12" w:space="0" w:color="000000"/>
            </w:tcBorders>
            <w:tcMar>
              <w:top w:w="28" w:type="dxa"/>
              <w:bottom w:w="0" w:type="dxa"/>
            </w:tcMar>
            <w:vAlign w:val="center"/>
          </w:tcPr>
          <w:p>
            <w:pPr>
              <w:pStyle w:val="TableContents"/>
              <w:bidi w:val="0"/>
              <w:spacing w:lineRule="auto" w:line="422" w:before="0" w:after="0"/>
              <w:jc w:val="right"/>
              <w:rPr/>
            </w:pPr>
            <w:r>
              <w:rPr>
                <w:color w:val="000000"/>
                <w:sz w:val="20"/>
              </w:rPr>
              <w:t>12.73</w:t>
            </w:r>
            <w:r>
              <w:rPr/>
              <w:t xml:space="preserve"> </w:t>
            </w:r>
          </w:p>
        </w:tc>
      </w:tr>
      <w:tr>
        <w:trPr/>
        <w:tc>
          <w:tcPr>
            <w:tcW w:w="3181" w:type="dxa"/>
            <w:tcBorders/>
            <w:tcMar>
              <w:bottom w:w="0" w:type="dxa"/>
            </w:tcMar>
            <w:vAlign w:val="center"/>
          </w:tcPr>
          <w:p>
            <w:pPr>
              <w:pStyle w:val="TableContents"/>
              <w:bidi w:val="0"/>
              <w:spacing w:before="0" w:after="0"/>
              <w:jc w:val="left"/>
              <w:rPr/>
            </w:pPr>
            <w:r>
              <w:rPr>
                <w:color w:val="000000"/>
                <w:sz w:val="20"/>
              </w:rPr>
              <w:t>Globalharvest Holdings Venture Ltd.</w:t>
            </w:r>
            <w:r>
              <w:rPr/>
              <w:t xml:space="preserve"> </w:t>
            </w:r>
          </w:p>
        </w:tc>
        <w:tc>
          <w:tcPr>
            <w:tcW w:w="1846" w:type="dxa"/>
            <w:tcBorders/>
            <w:tcMar>
              <w:bottom w:w="0" w:type="dxa"/>
            </w:tcMar>
            <w:vAlign w:val="center"/>
          </w:tcPr>
          <w:p>
            <w:pPr>
              <w:pStyle w:val="TableContents"/>
              <w:bidi w:val="0"/>
              <w:spacing w:before="0" w:after="0"/>
              <w:jc w:val="right"/>
              <w:rPr/>
            </w:pPr>
            <w:r>
              <w:rPr>
                <w:color w:val="000000"/>
                <w:sz w:val="20"/>
              </w:rPr>
              <w:t>07/07/2026</w:t>
            </w:r>
            <w:r>
              <w:rPr/>
              <w:t xml:space="preserve"> </w:t>
            </w:r>
          </w:p>
        </w:tc>
        <w:tc>
          <w:tcPr>
            <w:tcW w:w="1591" w:type="dxa"/>
            <w:tcBorders/>
            <w:tcMar>
              <w:bottom w:w="0" w:type="dxa"/>
            </w:tcMar>
            <w:vAlign w:val="center"/>
          </w:tcPr>
          <w:p>
            <w:pPr>
              <w:pStyle w:val="TableContents"/>
              <w:bidi w:val="0"/>
              <w:spacing w:before="0" w:after="0"/>
              <w:jc w:val="right"/>
              <w:rPr/>
            </w:pPr>
            <w:r>
              <w:rPr>
                <w:sz w:val="20"/>
              </w:rPr>
              <w:t>491,865</w:t>
            </w:r>
            <w:r>
              <w:rPr/>
              <w:t xml:space="preserve"> </w:t>
            </w:r>
          </w:p>
        </w:tc>
        <w:tc>
          <w:tcPr>
            <w:tcW w:w="1801" w:type="dxa"/>
            <w:tcBorders/>
            <w:tcMar>
              <w:bottom w:w="0" w:type="dxa"/>
            </w:tcMar>
            <w:vAlign w:val="center"/>
          </w:tcPr>
          <w:p>
            <w:pPr>
              <w:pStyle w:val="TableContents"/>
              <w:bidi w:val="0"/>
              <w:spacing w:lineRule="auto" w:line="422" w:before="0" w:after="0"/>
              <w:jc w:val="right"/>
              <w:rPr/>
            </w:pPr>
            <w:r>
              <w:rPr>
                <w:color w:val="000000"/>
                <w:sz w:val="20"/>
              </w:rPr>
              <w:t>13.40</w:t>
            </w:r>
            <w:r>
              <w:rPr/>
              <w:t xml:space="preserve"> </w:t>
            </w:r>
          </w:p>
        </w:tc>
      </w:tr>
      <w:tr>
        <w:trPr/>
        <w:tc>
          <w:tcPr>
            <w:tcW w:w="3181" w:type="dxa"/>
            <w:tcBorders/>
            <w:tcMar>
              <w:bottom w:w="0" w:type="dxa"/>
            </w:tcMar>
            <w:vAlign w:val="center"/>
          </w:tcPr>
          <w:p>
            <w:pPr>
              <w:pStyle w:val="TableContents"/>
              <w:bidi w:val="0"/>
              <w:spacing w:before="0" w:after="0"/>
              <w:jc w:val="left"/>
              <w:rPr/>
            </w:pPr>
            <w:r>
              <w:rPr>
                <w:color w:val="000000"/>
                <w:sz w:val="20"/>
              </w:rPr>
              <w:t>Globalharvest Holdings Venture Ltd.</w:t>
            </w:r>
            <w:r>
              <w:rPr/>
              <w:t xml:space="preserve"> </w:t>
            </w:r>
          </w:p>
        </w:tc>
        <w:tc>
          <w:tcPr>
            <w:tcW w:w="1846" w:type="dxa"/>
            <w:tcBorders/>
            <w:tcMar>
              <w:bottom w:w="0" w:type="dxa"/>
            </w:tcMar>
            <w:vAlign w:val="center"/>
          </w:tcPr>
          <w:p>
            <w:pPr>
              <w:pStyle w:val="TableContents"/>
              <w:bidi w:val="0"/>
              <w:spacing w:before="0" w:after="0"/>
              <w:jc w:val="right"/>
              <w:rPr/>
            </w:pPr>
            <w:r>
              <w:rPr>
                <w:color w:val="000000"/>
                <w:sz w:val="20"/>
              </w:rPr>
              <w:t>07/08/2026</w:t>
            </w:r>
            <w:r>
              <w:rPr/>
              <w:t xml:space="preserve"> </w:t>
            </w:r>
          </w:p>
        </w:tc>
        <w:tc>
          <w:tcPr>
            <w:tcW w:w="1591" w:type="dxa"/>
            <w:tcBorders/>
            <w:tcMar>
              <w:bottom w:w="0" w:type="dxa"/>
            </w:tcMar>
            <w:vAlign w:val="center"/>
          </w:tcPr>
          <w:p>
            <w:pPr>
              <w:pStyle w:val="TableContents"/>
              <w:bidi w:val="0"/>
              <w:spacing w:before="0" w:after="0"/>
              <w:jc w:val="right"/>
              <w:rPr/>
            </w:pPr>
            <w:r>
              <w:rPr>
                <w:sz w:val="20"/>
              </w:rPr>
              <w:t>687,222</w:t>
            </w:r>
            <w:r>
              <w:rPr/>
              <w:t xml:space="preserve"> </w:t>
            </w:r>
          </w:p>
        </w:tc>
        <w:tc>
          <w:tcPr>
            <w:tcW w:w="1801" w:type="dxa"/>
            <w:tcBorders/>
            <w:tcMar>
              <w:bottom w:w="0" w:type="dxa"/>
            </w:tcMar>
            <w:vAlign w:val="center"/>
          </w:tcPr>
          <w:p>
            <w:pPr>
              <w:pStyle w:val="TableContents"/>
              <w:bidi w:val="0"/>
              <w:spacing w:lineRule="auto" w:line="422" w:before="0" w:after="0"/>
              <w:jc w:val="right"/>
              <w:rPr/>
            </w:pPr>
            <w:r>
              <w:rPr>
                <w:color w:val="000000"/>
                <w:sz w:val="20"/>
              </w:rPr>
              <w:t>13.42</w:t>
            </w:r>
            <w:r>
              <w:rPr/>
              <w:t xml:space="preserve"> </w:t>
            </w:r>
          </w:p>
        </w:tc>
      </w:tr>
    </w:tbl>
    <w:p>
      <w:pPr>
        <w:pStyle w:val="TextBody"/>
        <w:bidi w:val="0"/>
        <w:spacing w:before="0" w:after="24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1138</Words>
  <Characters>5987</Characters>
  <CharactersWithSpaces>7082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