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Calibri" w:cs="Calibri" w:eastAsia="Calibri" w:hAnsi="Calibri"/>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530225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556260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jc w:val="center"/>
        <w:ind w:right="-199"/>
        <w:spacing w:after="0" w:line="210" w:lineRule="auto"/>
        <w:rPr>
          <w:sz w:val="20"/>
          <w:szCs w:val="20"/>
          <w:color w:val="auto"/>
        </w:rPr>
      </w:pPr>
      <w:r>
        <w:rPr>
          <w:rFonts w:ascii="Calibri" w:cs="Calibri" w:eastAsia="Calibri" w:hAnsi="Calibri"/>
          <w:sz w:val="25"/>
          <w:szCs w:val="25"/>
          <w:b w:val="1"/>
          <w:bCs w:val="1"/>
          <w:color w:val="auto"/>
        </w:rPr>
        <w:t>SECURITIES AND EXCHANGE COMMISSION</w:t>
      </w:r>
    </w:p>
    <w:p>
      <w:pPr>
        <w:jc w:val="center"/>
        <w:ind w:right="-199"/>
        <w:spacing w:after="0" w:line="220" w:lineRule="auto"/>
        <w:rPr>
          <w:sz w:val="20"/>
          <w:szCs w:val="20"/>
          <w:color w:val="auto"/>
        </w:rPr>
      </w:pPr>
      <w:r>
        <w:rPr>
          <w:rFonts w:ascii="Calibri" w:cs="Calibri" w:eastAsia="Calibri" w:hAnsi="Calibri"/>
          <w:sz w:val="16"/>
          <w:szCs w:val="16"/>
          <w:b w:val="1"/>
          <w:bCs w:val="1"/>
          <w:color w:val="auto"/>
        </w:rPr>
        <w:t>WASHINGTON, D.C. 20549</w:t>
      </w:r>
    </w:p>
    <w:p>
      <w:pPr>
        <w:ind w:left="5280"/>
        <w:spacing w:after="0" w:line="214" w:lineRule="auto"/>
        <w:rPr>
          <w:sz w:val="20"/>
          <w:szCs w:val="20"/>
          <w:color w:val="auto"/>
        </w:rPr>
      </w:pPr>
      <w:r>
        <w:rPr>
          <w:rFonts w:ascii="Calibri" w:cs="Calibri" w:eastAsia="Calibri" w:hAnsi="Calibri"/>
          <w:sz w:val="11"/>
          <w:szCs w:val="11"/>
          <w:u w:val="single" w:color="auto"/>
          <w:color w:val="auto"/>
        </w:rPr>
        <w:t>_____________</w:t>
      </w:r>
    </w:p>
    <w:p>
      <w:pPr>
        <w:spacing w:after="0" w:line="65" w:lineRule="exact"/>
        <w:rPr>
          <w:sz w:val="24"/>
          <w:szCs w:val="24"/>
          <w:color w:val="auto"/>
        </w:rPr>
      </w:pPr>
    </w:p>
    <w:p>
      <w:pPr>
        <w:jc w:val="center"/>
        <w:ind w:right="-199"/>
        <w:spacing w:after="0"/>
        <w:rPr>
          <w:sz w:val="20"/>
          <w:szCs w:val="20"/>
          <w:color w:val="auto"/>
        </w:rPr>
      </w:pPr>
      <w:r>
        <w:rPr>
          <w:rFonts w:ascii="Calibri" w:cs="Calibri" w:eastAsia="Calibri" w:hAnsi="Calibri"/>
          <w:sz w:val="25"/>
          <w:szCs w:val="25"/>
          <w:b w:val="1"/>
          <w:bCs w:val="1"/>
          <w:color w:val="auto"/>
        </w:rPr>
        <w:t>FORM 10-Q</w:t>
      </w:r>
    </w:p>
    <w:p>
      <w:pPr>
        <w:ind w:left="5280"/>
        <w:spacing w:after="0" w:line="222" w:lineRule="auto"/>
        <w:rPr>
          <w:sz w:val="20"/>
          <w:szCs w:val="20"/>
          <w:color w:val="auto"/>
        </w:rPr>
      </w:pPr>
      <w:r>
        <w:rPr>
          <w:rFonts w:ascii="Calibri" w:cs="Calibri" w:eastAsia="Calibri" w:hAnsi="Calibri"/>
          <w:sz w:val="11"/>
          <w:szCs w:val="11"/>
          <w:u w:val="single" w:color="auto"/>
          <w:color w:val="auto"/>
        </w:rPr>
        <w:t>_____________</w:t>
      </w:r>
    </w:p>
    <w:p>
      <w:pPr>
        <w:spacing w:after="0" w:line="239" w:lineRule="exact"/>
        <w:rPr>
          <w:sz w:val="24"/>
          <w:szCs w:val="24"/>
          <w:color w:val="auto"/>
        </w:rPr>
      </w:pPr>
    </w:p>
    <w:p>
      <w:pPr>
        <w:spacing w:after="0"/>
        <w:rPr>
          <w:sz w:val="20"/>
          <w:szCs w:val="20"/>
          <w:color w:val="auto"/>
        </w:rPr>
      </w:pPr>
      <w:r>
        <w:rPr>
          <w:rFonts w:ascii="Calibri" w:cs="Calibri" w:eastAsia="Calibri" w:hAnsi="Calibri"/>
          <w:sz w:val="14"/>
          <w:szCs w:val="14"/>
          <w:color w:val="auto"/>
        </w:rPr>
        <w:t>(Mark One)</w:t>
      </w:r>
    </w:p>
    <w:p>
      <w:pPr>
        <w:spacing w:after="0" w:line="32" w:lineRule="exact"/>
        <w:rPr>
          <w:sz w:val="24"/>
          <w:szCs w:val="24"/>
          <w:color w:val="auto"/>
        </w:rPr>
      </w:pPr>
    </w:p>
    <w:p>
      <w:pPr>
        <w:ind w:left="1040" w:hanging="373"/>
        <w:spacing w:after="0"/>
        <w:tabs>
          <w:tab w:leader="none" w:pos="10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94" w:lineRule="exact"/>
        <w:rPr>
          <w:sz w:val="24"/>
          <w:szCs w:val="24"/>
          <w:color w:val="auto"/>
        </w:rPr>
      </w:pPr>
    </w:p>
    <w:p>
      <w:pPr>
        <w:jc w:val="center"/>
        <w:ind w:left="640"/>
        <w:spacing w:after="0"/>
        <w:rPr>
          <w:sz w:val="20"/>
          <w:szCs w:val="20"/>
          <w:color w:val="auto"/>
        </w:rPr>
      </w:pPr>
      <w:r>
        <w:rPr>
          <w:rFonts w:ascii="Calibri" w:cs="Calibri" w:eastAsia="Calibri" w:hAnsi="Calibri"/>
          <w:sz w:val="14"/>
          <w:szCs w:val="14"/>
          <w:b w:val="1"/>
          <w:bCs w:val="1"/>
          <w:color w:val="auto"/>
        </w:rPr>
        <w:t>For the quarterly period ended April 30, 2022</w:t>
      </w:r>
    </w:p>
    <w:p>
      <w:pPr>
        <w:spacing w:after="0" w:line="30" w:lineRule="exact"/>
        <w:rPr>
          <w:sz w:val="24"/>
          <w:szCs w:val="24"/>
          <w:color w:val="auto"/>
        </w:rPr>
      </w:pPr>
    </w:p>
    <w:p>
      <w:pPr>
        <w:jc w:val="center"/>
        <w:ind w:left="640"/>
        <w:spacing w:after="0"/>
        <w:rPr>
          <w:sz w:val="20"/>
          <w:szCs w:val="20"/>
          <w:color w:val="auto"/>
        </w:rPr>
      </w:pPr>
      <w:r>
        <w:rPr>
          <w:rFonts w:ascii="Calibri" w:cs="Calibri" w:eastAsia="Calibri" w:hAnsi="Calibri"/>
          <w:sz w:val="14"/>
          <w:szCs w:val="14"/>
          <w:b w:val="1"/>
          <w:bCs w:val="1"/>
          <w:color w:val="auto"/>
        </w:rPr>
        <w:t>OR</w:t>
      </w:r>
    </w:p>
    <w:p>
      <w:pPr>
        <w:spacing w:after="0" w:line="286" w:lineRule="exact"/>
        <w:rPr>
          <w:sz w:val="24"/>
          <w:szCs w:val="24"/>
          <w:color w:val="auto"/>
        </w:rPr>
      </w:pPr>
    </w:p>
    <w:p>
      <w:pPr>
        <w:ind w:left="1040" w:hanging="373"/>
        <w:spacing w:after="0"/>
        <w:tabs>
          <w:tab w:leader="none" w:pos="10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p>
      <w:pPr>
        <w:ind w:left="4300"/>
        <w:spacing w:after="0"/>
        <w:tabs>
          <w:tab w:leader="none" w:pos="6760" w:val="left"/>
        </w:tabs>
        <w:rPr>
          <w:sz w:val="20"/>
          <w:szCs w:val="20"/>
          <w:color w:val="auto"/>
        </w:rPr>
      </w:pPr>
      <w:r>
        <w:rPr>
          <w:rFonts w:ascii="Calibri" w:cs="Calibri" w:eastAsia="Calibri" w:hAnsi="Calibri"/>
          <w:sz w:val="14"/>
          <w:szCs w:val="14"/>
          <w:b w:val="1"/>
          <w:bCs w:val="1"/>
          <w:color w:val="auto"/>
        </w:rPr>
        <w:t>For the transiton period from</w:t>
      </w:r>
      <w:r>
        <w:rPr>
          <w:sz w:val="20"/>
          <w:szCs w:val="20"/>
          <w:color w:val="auto"/>
        </w:rPr>
        <w:tab/>
      </w:r>
      <w:r>
        <w:rPr>
          <w:rFonts w:ascii="Calibri" w:cs="Calibri" w:eastAsia="Calibri" w:hAnsi="Calibri"/>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3876040</wp:posOffset>
            </wp:positionH>
            <wp:positionV relativeFrom="paragraph">
              <wp:posOffset>-12700</wp:posOffset>
            </wp:positionV>
            <wp:extent cx="937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23" w:lineRule="exact"/>
        <w:rPr>
          <w:sz w:val="24"/>
          <w:szCs w:val="24"/>
          <w:color w:val="auto"/>
        </w:rPr>
      </w:pPr>
    </w:p>
    <w:p>
      <w:pPr>
        <w:jc w:val="center"/>
        <w:ind w:left="640"/>
        <w:spacing w:after="0"/>
        <w:rPr>
          <w:sz w:val="20"/>
          <w:szCs w:val="20"/>
          <w:color w:val="auto"/>
        </w:rPr>
      </w:pPr>
      <w:r>
        <w:rPr>
          <w:rFonts w:ascii="Calibri" w:cs="Calibri" w:eastAsia="Calibri" w:hAnsi="Calibri"/>
          <w:sz w:val="14"/>
          <w:szCs w:val="14"/>
          <w:b w:val="1"/>
          <w:bCs w:val="1"/>
          <w:color w:val="auto"/>
        </w:rPr>
        <w:t>Commission fle number: 001-39561</w:t>
      </w:r>
    </w:p>
    <w:p>
      <w:pPr>
        <w:ind w:left="5600"/>
        <w:spacing w:after="0" w:line="200" w:lineRule="auto"/>
        <w:rPr>
          <w:sz w:val="20"/>
          <w:szCs w:val="20"/>
          <w:color w:val="auto"/>
        </w:rPr>
      </w:pPr>
      <w:r>
        <w:rPr>
          <w:rFonts w:ascii="Calibri" w:cs="Calibri" w:eastAsia="Calibri" w:hAnsi="Calibri"/>
          <w:sz w:val="11"/>
          <w:szCs w:val="11"/>
          <w:u w:val="single" w:color="auto"/>
          <w:color w:val="auto"/>
        </w:rPr>
        <w:t>_____________</w:t>
      </w:r>
    </w:p>
    <w:p>
      <w:pPr>
        <w:spacing w:after="0" w:line="333" w:lineRule="exact"/>
        <w:rPr>
          <w:sz w:val="24"/>
          <w:szCs w:val="24"/>
          <w:color w:val="auto"/>
        </w:rPr>
      </w:pPr>
    </w:p>
    <w:p>
      <w:pPr>
        <w:jc w:val="center"/>
        <w:ind w:right="-199"/>
        <w:spacing w:after="0"/>
        <w:rPr>
          <w:sz w:val="20"/>
          <w:szCs w:val="20"/>
          <w:color w:val="auto"/>
        </w:rPr>
      </w:pPr>
      <w:r>
        <w:rPr>
          <w:rFonts w:ascii="Calibri" w:cs="Calibri" w:eastAsia="Calibri" w:hAnsi="Calibri"/>
          <w:sz w:val="32"/>
          <w:szCs w:val="32"/>
          <w:b w:val="1"/>
          <w:bCs w:val="1"/>
          <w:color w:val="auto"/>
        </w:rPr>
        <w:t>MISSION PRODUCE, INC.</w:t>
      </w:r>
    </w:p>
    <w:p>
      <w:pPr>
        <w:spacing w:after="0" w:line="10" w:lineRule="exact"/>
        <w:rPr>
          <w:sz w:val="24"/>
          <w:szCs w:val="24"/>
          <w:color w:val="auto"/>
        </w:rPr>
      </w:pPr>
    </w:p>
    <w:p>
      <w:pPr>
        <w:ind w:left="4420"/>
        <w:spacing w:after="0"/>
        <w:rPr>
          <w:sz w:val="20"/>
          <w:szCs w:val="20"/>
          <w:color w:val="auto"/>
        </w:rPr>
      </w:pPr>
      <w:r>
        <w:rPr>
          <w:rFonts w:ascii="Calibri" w:cs="Calibri" w:eastAsia="Calibri" w:hAnsi="Calibri"/>
          <w:sz w:val="14"/>
          <w:szCs w:val="14"/>
          <w:b w:val="1"/>
          <w:bCs w:val="1"/>
          <w:color w:val="auto"/>
        </w:rPr>
        <w:t>(Exact name of Registrant as specifed in its charter)</w:t>
      </w:r>
    </w:p>
    <w:p>
      <w:pPr>
        <w:sectPr>
          <w:pgSz w:w="11900" w:h="16838" w:orient="portrait"/>
          <w:cols w:equalWidth="0" w:num="1">
            <w:col w:w="11060"/>
          </w:cols>
          <w:pgMar w:left="320" w:top="993" w:right="519" w:bottom="1440" w:gutter="0" w:footer="0" w:header="0"/>
        </w:sectPr>
      </w:pPr>
    </w:p>
    <w:p>
      <w:pPr>
        <w:ind w:left="5600"/>
        <w:spacing w:after="0" w:line="200" w:lineRule="auto"/>
        <w:rPr>
          <w:sz w:val="20"/>
          <w:szCs w:val="20"/>
          <w:color w:val="auto"/>
        </w:rPr>
      </w:pPr>
      <w:r>
        <w:rPr>
          <w:rFonts w:ascii="Calibri" w:cs="Calibri" w:eastAsia="Calibri" w:hAnsi="Calibri"/>
          <w:sz w:val="11"/>
          <w:szCs w:val="11"/>
          <w:u w:val="single" w:color="auto"/>
          <w:color w:val="auto"/>
        </w:rPr>
        <w:t>_____________</w:t>
      </w:r>
    </w:p>
    <w:p>
      <w:pPr>
        <w:spacing w:after="0" w:line="239" w:lineRule="exact"/>
        <w:rPr>
          <w:sz w:val="24"/>
          <w:szCs w:val="24"/>
          <w:color w:val="auto"/>
        </w:rPr>
      </w:pPr>
    </w:p>
    <w:p>
      <w:pPr>
        <w:jc w:val="center"/>
        <w:ind w:right="2080"/>
        <w:spacing w:after="0"/>
        <w:rPr>
          <w:sz w:val="20"/>
          <w:szCs w:val="20"/>
          <w:color w:val="auto"/>
        </w:rPr>
      </w:pPr>
      <w:r>
        <w:rPr>
          <w:rFonts w:ascii="Calibri" w:cs="Calibri" w:eastAsia="Calibri" w:hAnsi="Calibri"/>
          <w:sz w:val="14"/>
          <w:szCs w:val="14"/>
          <w:b w:val="1"/>
          <w:bCs w:val="1"/>
          <w:color w:val="auto"/>
        </w:rPr>
        <w:t>Delaware</w:t>
      </w:r>
    </w:p>
    <w:p>
      <w:pPr>
        <w:ind w:left="2140"/>
        <w:spacing w:after="0" w:line="219" w:lineRule="auto"/>
        <w:rPr>
          <w:sz w:val="20"/>
          <w:szCs w:val="20"/>
          <w:color w:val="auto"/>
        </w:rPr>
      </w:pPr>
      <w:r>
        <w:rPr>
          <w:rFonts w:ascii="Calibri" w:cs="Calibri" w:eastAsia="Calibri" w:hAnsi="Calibri"/>
          <w:sz w:val="13"/>
          <w:szCs w:val="13"/>
          <w:b w:val="1"/>
          <w:bCs w:val="1"/>
          <w:color w:val="auto"/>
        </w:rPr>
        <w:t>(State or Other Jurisdicton of</w:t>
      </w:r>
    </w:p>
    <w:p>
      <w:pPr>
        <w:spacing w:after="0" w:line="2" w:lineRule="exact"/>
        <w:rPr>
          <w:sz w:val="24"/>
          <w:szCs w:val="24"/>
          <w:color w:val="auto"/>
        </w:rPr>
      </w:pPr>
    </w:p>
    <w:p>
      <w:pPr>
        <w:ind w:left="2100"/>
        <w:spacing w:after="0"/>
        <w:rPr>
          <w:sz w:val="20"/>
          <w:szCs w:val="20"/>
          <w:color w:val="auto"/>
        </w:rPr>
      </w:pPr>
      <w:r>
        <w:rPr>
          <w:rFonts w:ascii="Calibri" w:cs="Calibri" w:eastAsia="Calibri" w:hAnsi="Calibri"/>
          <w:sz w:val="13"/>
          <w:szCs w:val="13"/>
          <w:b w:val="1"/>
          <w:bCs w:val="1"/>
          <w:color w:val="auto"/>
        </w:rPr>
        <w:t>Incorporaton or Organizaton)</w:t>
      </w:r>
    </w:p>
    <w:p>
      <w:pPr>
        <w:spacing w:after="0" w:line="152" w:lineRule="exact"/>
        <w:rPr>
          <w:sz w:val="24"/>
          <w:szCs w:val="24"/>
          <w:color w:val="auto"/>
        </w:rPr>
      </w:pPr>
    </w:p>
    <w:p>
      <w:pPr>
        <w:jc w:val="center"/>
        <w:ind w:right="2080"/>
        <w:spacing w:after="0"/>
        <w:rPr>
          <w:sz w:val="20"/>
          <w:szCs w:val="20"/>
          <w:color w:val="auto"/>
        </w:rPr>
      </w:pPr>
      <w:r>
        <w:rPr>
          <w:rFonts w:ascii="Calibri" w:cs="Calibri" w:eastAsia="Calibri" w:hAnsi="Calibri"/>
          <w:sz w:val="14"/>
          <w:szCs w:val="14"/>
          <w:b w:val="1"/>
          <w:bCs w:val="1"/>
          <w:color w:val="auto"/>
        </w:rPr>
        <w:t>2710 Camino Del Sol</w:t>
      </w:r>
    </w:p>
    <w:p>
      <w:pPr>
        <w:spacing w:after="0" w:line="3" w:lineRule="exact"/>
        <w:rPr>
          <w:sz w:val="24"/>
          <w:szCs w:val="24"/>
          <w:color w:val="auto"/>
        </w:rPr>
      </w:pPr>
    </w:p>
    <w:p>
      <w:pPr>
        <w:jc w:val="center"/>
        <w:ind w:right="2080"/>
        <w:spacing w:after="0"/>
        <w:rPr>
          <w:sz w:val="20"/>
          <w:szCs w:val="20"/>
          <w:color w:val="auto"/>
        </w:rPr>
      </w:pPr>
      <w:r>
        <w:rPr>
          <w:rFonts w:ascii="Calibri" w:cs="Calibri" w:eastAsia="Calibri" w:hAnsi="Calibri"/>
          <w:sz w:val="14"/>
          <w:szCs w:val="14"/>
          <w:b w:val="1"/>
          <w:bCs w:val="1"/>
          <w:color w:val="auto"/>
        </w:rPr>
        <w:t>Oxnard, California</w:t>
      </w:r>
    </w:p>
    <w:p>
      <w:pPr>
        <w:spacing w:after="0" w:line="13" w:lineRule="exact"/>
        <w:rPr>
          <w:sz w:val="24"/>
          <w:szCs w:val="24"/>
          <w:color w:val="auto"/>
        </w:rPr>
      </w:pPr>
    </w:p>
    <w:p>
      <w:pPr>
        <w:ind w:left="1880"/>
        <w:spacing w:after="0"/>
        <w:rPr>
          <w:sz w:val="20"/>
          <w:szCs w:val="20"/>
          <w:color w:val="auto"/>
        </w:rPr>
      </w:pPr>
      <w:r>
        <w:rPr>
          <w:rFonts w:ascii="Calibri" w:cs="Calibri" w:eastAsia="Calibri" w:hAnsi="Calibri"/>
          <w:sz w:val="13"/>
          <w:szCs w:val="13"/>
          <w:b w:val="1"/>
          <w:bCs w:val="1"/>
          <w:color w:val="auto"/>
        </w:rPr>
        <w:t>(Address of Principal Executve Ofces)</w:t>
      </w:r>
    </w:p>
    <w:p>
      <w:pPr>
        <w:spacing w:after="0" w:line="232" w:lineRule="exact"/>
        <w:rPr>
          <w:sz w:val="24"/>
          <w:szCs w:val="24"/>
          <w:color w:val="auto"/>
        </w:rPr>
      </w:pPr>
    </w:p>
    <w:p>
      <w:pPr>
        <w:jc w:val="right"/>
        <w:spacing w:after="0"/>
        <w:rPr>
          <w:sz w:val="20"/>
          <w:szCs w:val="20"/>
          <w:color w:val="auto"/>
        </w:rPr>
      </w:pPr>
      <w:r>
        <w:rPr>
          <w:rFonts w:ascii="Calibri" w:cs="Calibri" w:eastAsia="Calibri" w:hAnsi="Calibri"/>
          <w:sz w:val="14"/>
          <w:szCs w:val="14"/>
          <w:b w:val="1"/>
          <w:bCs w:val="1"/>
          <w:color w:val="auto"/>
        </w:rPr>
        <w:t>Registrant’s Telephone Number, Including Area Code: (805) 981-3650</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jc w:val="center"/>
        <w:ind w:right="1720"/>
        <w:spacing w:after="0"/>
        <w:rPr>
          <w:sz w:val="20"/>
          <w:szCs w:val="20"/>
          <w:color w:val="auto"/>
        </w:rPr>
      </w:pPr>
      <w:r>
        <w:rPr>
          <w:rFonts w:ascii="Calibri" w:cs="Calibri" w:eastAsia="Calibri" w:hAnsi="Calibri"/>
          <w:sz w:val="14"/>
          <w:szCs w:val="14"/>
          <w:b w:val="1"/>
          <w:bCs w:val="1"/>
          <w:color w:val="auto"/>
        </w:rPr>
        <w:t>95-3847744</w:t>
      </w:r>
    </w:p>
    <w:p>
      <w:pPr>
        <w:jc w:val="center"/>
        <w:ind w:right="1720"/>
        <w:spacing w:after="0"/>
        <w:rPr>
          <w:sz w:val="20"/>
          <w:szCs w:val="20"/>
          <w:color w:val="auto"/>
        </w:rPr>
      </w:pPr>
      <w:r>
        <w:rPr>
          <w:rFonts w:ascii="Calibri" w:cs="Calibri" w:eastAsia="Calibri" w:hAnsi="Calibri"/>
          <w:sz w:val="13"/>
          <w:szCs w:val="13"/>
          <w:b w:val="1"/>
          <w:bCs w:val="1"/>
          <w:color w:val="auto"/>
        </w:rPr>
        <w:t>(I.R.S. Employer</w:t>
      </w:r>
    </w:p>
    <w:p>
      <w:pPr>
        <w:spacing w:after="0" w:line="2" w:lineRule="exact"/>
        <w:rPr>
          <w:sz w:val="24"/>
          <w:szCs w:val="24"/>
          <w:color w:val="auto"/>
        </w:rPr>
      </w:pPr>
    </w:p>
    <w:p>
      <w:pPr>
        <w:jc w:val="center"/>
        <w:ind w:right="1720"/>
        <w:spacing w:after="0"/>
        <w:rPr>
          <w:sz w:val="20"/>
          <w:szCs w:val="20"/>
          <w:color w:val="auto"/>
        </w:rPr>
      </w:pPr>
      <w:r>
        <w:rPr>
          <w:rFonts w:ascii="Calibri" w:cs="Calibri" w:eastAsia="Calibri" w:hAnsi="Calibri"/>
          <w:sz w:val="13"/>
          <w:szCs w:val="13"/>
          <w:b w:val="1"/>
          <w:bCs w:val="1"/>
          <w:color w:val="auto"/>
        </w:rPr>
        <w:t>Identfcaton No.)</w:t>
      </w:r>
    </w:p>
    <w:p>
      <w:pPr>
        <w:spacing w:after="0" w:line="152" w:lineRule="exact"/>
        <w:rPr>
          <w:sz w:val="24"/>
          <w:szCs w:val="24"/>
          <w:color w:val="auto"/>
        </w:rPr>
      </w:pPr>
    </w:p>
    <w:p>
      <w:pPr>
        <w:jc w:val="center"/>
        <w:ind w:right="1720"/>
        <w:spacing w:after="0"/>
        <w:rPr>
          <w:sz w:val="20"/>
          <w:szCs w:val="20"/>
          <w:color w:val="auto"/>
        </w:rPr>
      </w:pPr>
      <w:r>
        <w:rPr>
          <w:rFonts w:ascii="Calibri" w:cs="Calibri" w:eastAsia="Calibri" w:hAnsi="Calibri"/>
          <w:sz w:val="14"/>
          <w:szCs w:val="14"/>
          <w:b w:val="1"/>
          <w:bCs w:val="1"/>
          <w:color w:val="auto"/>
        </w:rPr>
        <w:t>93030</w:t>
      </w:r>
    </w:p>
    <w:p>
      <w:pPr>
        <w:spacing w:after="0" w:line="13" w:lineRule="exact"/>
        <w:rPr>
          <w:sz w:val="24"/>
          <w:szCs w:val="24"/>
          <w:color w:val="auto"/>
        </w:rPr>
      </w:pPr>
    </w:p>
    <w:p>
      <w:pPr>
        <w:ind w:left="220"/>
        <w:spacing w:after="0"/>
        <w:rPr>
          <w:sz w:val="20"/>
          <w:szCs w:val="20"/>
          <w:color w:val="auto"/>
        </w:rPr>
      </w:pPr>
      <w:r>
        <w:rPr>
          <w:rFonts w:ascii="Calibri" w:cs="Calibri" w:eastAsia="Calibri" w:hAnsi="Calibri"/>
          <w:sz w:val="13"/>
          <w:szCs w:val="13"/>
          <w:b w:val="1"/>
          <w:bCs w:val="1"/>
          <w:color w:val="auto"/>
        </w:rPr>
        <w:t>(Zip Code)</w:t>
      </w:r>
    </w:p>
    <w:p>
      <w:pPr>
        <w:spacing w:after="0" w:line="564" w:lineRule="exact"/>
        <w:rPr>
          <w:sz w:val="24"/>
          <w:szCs w:val="24"/>
          <w:color w:val="auto"/>
        </w:rPr>
      </w:pPr>
    </w:p>
    <w:p>
      <w:pPr>
        <w:sectPr>
          <w:pgSz w:w="11900" w:h="16838" w:orient="portrait"/>
          <w:cols w:equalWidth="0" w:num="2">
            <w:col w:w="7980" w:space="340"/>
            <w:col w:w="2740"/>
          </w:cols>
          <w:pgMar w:left="320" w:top="993" w:right="519" w:bottom="1440" w:gutter="0" w:footer="0" w:header="0"/>
          <w:type w:val="continuous"/>
        </w:sectPr>
      </w:pPr>
    </w:p>
    <w:p>
      <w:pPr>
        <w:ind w:left="5600"/>
        <w:spacing w:after="0" w:line="200" w:lineRule="auto"/>
        <w:rPr>
          <w:sz w:val="20"/>
          <w:szCs w:val="20"/>
          <w:color w:val="auto"/>
        </w:rPr>
      </w:pPr>
      <w:r>
        <w:rPr>
          <w:rFonts w:ascii="Calibri" w:cs="Calibri" w:eastAsia="Calibri" w:hAnsi="Calibri"/>
          <w:sz w:val="11"/>
          <w:szCs w:val="11"/>
          <w:u w:val="single" w:color="auto"/>
          <w:color w:val="auto"/>
        </w:rPr>
        <w:t>_____________</w:t>
      </w:r>
    </w:p>
    <w:p>
      <w:pPr>
        <w:spacing w:after="0" w:line="105" w:lineRule="exact"/>
        <w:rPr>
          <w:sz w:val="24"/>
          <w:szCs w:val="24"/>
          <w:color w:val="auto"/>
        </w:rPr>
      </w:pPr>
    </w:p>
    <w:p>
      <w:pPr>
        <w:ind w:left="4260"/>
        <w:spacing w:after="0"/>
        <w:rPr>
          <w:sz w:val="20"/>
          <w:szCs w:val="20"/>
          <w:color w:val="auto"/>
        </w:rPr>
      </w:pPr>
      <w:r>
        <w:rPr>
          <w:rFonts w:ascii="Calibri" w:cs="Calibri" w:eastAsia="Calibri" w:hAnsi="Calibri"/>
          <w:sz w:val="14"/>
          <w:szCs w:val="14"/>
          <w:b w:val="1"/>
          <w:bCs w:val="1"/>
          <w:color w:val="auto"/>
        </w:rPr>
        <w:t>Securites registered pursuant to Secton 12(b) of the Act:</w:t>
      </w:r>
    </w:p>
    <w:p>
      <w:pPr>
        <w:spacing w:after="0" w:line="311" w:lineRule="exact"/>
        <w:rPr>
          <w:sz w:val="24"/>
          <w:szCs w:val="24"/>
          <w:color w:val="auto"/>
        </w:rPr>
      </w:pPr>
    </w:p>
    <w:tbl>
      <w:tblPr>
        <w:tblLayout w:type="fixed"/>
        <w:tblInd w:w="1180" w:type="dxa"/>
        <w:tblCellMar>
          <w:top w:w="0" w:type="dxa"/>
          <w:left w:w="0" w:type="dxa"/>
          <w:bottom w:w="0" w:type="dxa"/>
          <w:right w:w="0" w:type="dxa"/>
        </w:tblCellMar>
      </w:tblPr>
      <w:tr>
        <w:trPr>
          <w:trHeight w:val="171"/>
        </w:trPr>
        <w:tc>
          <w:tcPr>
            <w:tcW w:w="380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Title of each class</w:t>
            </w:r>
          </w:p>
        </w:tc>
        <w:tc>
          <w:tcPr>
            <w:tcW w:w="2020" w:type="dxa"/>
            <w:vAlign w:val="bottom"/>
            <w:gridSpan w:val="2"/>
          </w:tcPr>
          <w:p>
            <w:pPr>
              <w:jc w:val="center"/>
              <w:ind w:right="120"/>
              <w:spacing w:after="0"/>
              <w:rPr>
                <w:sz w:val="20"/>
                <w:szCs w:val="20"/>
                <w:color w:val="auto"/>
              </w:rPr>
            </w:pPr>
            <w:r>
              <w:rPr>
                <w:rFonts w:ascii="Calibri" w:cs="Calibri" w:eastAsia="Calibri" w:hAnsi="Calibri"/>
                <w:sz w:val="14"/>
                <w:szCs w:val="14"/>
                <w:b w:val="1"/>
                <w:bCs w:val="1"/>
                <w:color w:val="auto"/>
              </w:rPr>
              <w:t>Trading Symbol(s)</w:t>
            </w:r>
          </w:p>
        </w:tc>
        <w:tc>
          <w:tcPr>
            <w:tcW w:w="372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46"/>
        </w:trPr>
        <w:tc>
          <w:tcPr>
            <w:tcW w:w="36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680" w:type="dxa"/>
            <w:vAlign w:val="bottom"/>
          </w:tcPr>
          <w:p>
            <w:pPr>
              <w:jc w:val="center"/>
              <w:spacing w:after="0" w:line="162" w:lineRule="exact"/>
              <w:rPr>
                <w:sz w:val="20"/>
                <w:szCs w:val="20"/>
                <w:color w:val="auto"/>
              </w:rPr>
            </w:pPr>
            <w:r>
              <w:rPr>
                <w:rFonts w:ascii="Calibri" w:cs="Calibri" w:eastAsia="Calibri" w:hAnsi="Calibri"/>
                <w:sz w:val="14"/>
                <w:szCs w:val="14"/>
                <w:b w:val="1"/>
                <w:bCs w:val="1"/>
                <w:color w:val="auto"/>
              </w:rPr>
              <w:t>Common Stock, par value $0.001 per share</w:t>
            </w:r>
          </w:p>
        </w:tc>
        <w:tc>
          <w:tcPr>
            <w:tcW w:w="120" w:type="dxa"/>
            <w:vAlign w:val="bottom"/>
            <w:vMerge w:val="continue"/>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Calibri" w:cs="Calibri" w:eastAsia="Calibri" w:hAnsi="Calibri"/>
                <w:sz w:val="14"/>
                <w:szCs w:val="14"/>
                <w:b w:val="1"/>
                <w:bCs w:val="1"/>
                <w:color w:val="auto"/>
                <w:w w:val="98"/>
              </w:rPr>
              <w:t>AVO</w:t>
            </w:r>
          </w:p>
        </w:tc>
        <w:tc>
          <w:tcPr>
            <w:tcW w:w="120" w:type="dxa"/>
            <w:vAlign w:val="bottom"/>
            <w:vMerge w:val="continue"/>
          </w:tcPr>
          <w:p>
            <w:pPr>
              <w:spacing w:after="0"/>
              <w:rPr>
                <w:sz w:val="14"/>
                <w:szCs w:val="14"/>
                <w:color w:val="auto"/>
              </w:rPr>
            </w:pPr>
          </w:p>
        </w:tc>
        <w:tc>
          <w:tcPr>
            <w:tcW w:w="3720" w:type="dxa"/>
            <w:vAlign w:val="bottom"/>
          </w:tcPr>
          <w:p>
            <w:pPr>
              <w:jc w:val="center"/>
              <w:spacing w:after="0" w:line="162" w:lineRule="exact"/>
              <w:rPr>
                <w:sz w:val="20"/>
                <w:szCs w:val="20"/>
                <w:color w:val="auto"/>
              </w:rPr>
            </w:pPr>
            <w:r>
              <w:rPr>
                <w:rFonts w:ascii="Calibri" w:cs="Calibri" w:eastAsia="Calibri" w:hAnsi="Calibri"/>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9" w:lineRule="exact"/>
        <w:rPr>
          <w:sz w:val="24"/>
          <w:szCs w:val="24"/>
          <w:color w:val="auto"/>
        </w:rPr>
      </w:pPr>
    </w:p>
    <w:p>
      <w:pPr>
        <w:ind w:firstLine="437"/>
        <w:spacing w:after="0" w:line="151" w:lineRule="exact"/>
        <w:rPr>
          <w:sz w:val="20"/>
          <w:szCs w:val="20"/>
          <w:color w:val="auto"/>
        </w:rPr>
      </w:pPr>
      <w:r>
        <w:rPr>
          <w:rFonts w:ascii="Calibri" w:cs="Calibri" w:eastAsia="Calibri" w:hAnsi="Calibri"/>
          <w:sz w:val="12"/>
          <w:szCs w:val="12"/>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2"/>
          <w:szCs w:val="12"/>
          <w:color w:val="auto"/>
        </w:rPr>
        <w:t>☒</w:t>
      </w:r>
      <w:r>
        <w:rPr>
          <w:rFonts w:ascii="Calibri" w:cs="Calibri" w:eastAsia="Calibri" w:hAnsi="Calibri"/>
          <w:sz w:val="12"/>
          <w:szCs w:val="12"/>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ind w:right="340" w:firstLine="437"/>
        <w:spacing w:after="0" w:line="151" w:lineRule="exact"/>
        <w:rPr>
          <w:sz w:val="20"/>
          <w:szCs w:val="20"/>
          <w:color w:val="auto"/>
        </w:rPr>
      </w:pPr>
      <w:r>
        <w:rPr>
          <w:rFonts w:ascii="Calibri" w:cs="Calibri" w:eastAsia="Calibri" w:hAnsi="Calibri"/>
          <w:sz w:val="12"/>
          <w:szCs w:val="12"/>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2"/>
          <w:szCs w:val="12"/>
          <w:color w:val="auto"/>
        </w:rPr>
        <w:t>☒</w:t>
      </w:r>
      <w:r>
        <w:rPr>
          <w:rFonts w:ascii="Calibri" w:cs="Calibri" w:eastAsia="Calibri" w:hAnsi="Calibri"/>
          <w:sz w:val="12"/>
          <w:szCs w:val="12"/>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ind w:right="120" w:firstLine="437"/>
        <w:spacing w:after="0" w:line="230" w:lineRule="auto"/>
        <w:rPr>
          <w:sz w:val="20"/>
          <w:szCs w:val="20"/>
          <w:color w:val="auto"/>
        </w:rPr>
      </w:pPr>
      <w:r>
        <w:rPr>
          <w:rFonts w:ascii="Calibri" w:cs="Calibri" w:eastAsia="Calibri" w:hAnsi="Calibri"/>
          <w:sz w:val="12"/>
          <w:szCs w:val="12"/>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255" w:lineRule="exact"/>
        <w:rPr>
          <w:sz w:val="24"/>
          <w:szCs w:val="24"/>
          <w:color w:val="auto"/>
        </w:rPr>
      </w:pPr>
    </w:p>
    <w:tbl>
      <w:tblPr>
        <w:tblLayout w:type="fixed"/>
        <w:tblInd w:w="660" w:type="dxa"/>
        <w:tblCellMar>
          <w:top w:w="0" w:type="dxa"/>
          <w:left w:w="0" w:type="dxa"/>
          <w:bottom w:w="0" w:type="dxa"/>
          <w:right w:w="0" w:type="dxa"/>
        </w:tblCellMar>
      </w:tblPr>
      <w:tr>
        <w:trPr>
          <w:trHeight w:val="174"/>
        </w:trPr>
        <w:tc>
          <w:tcPr>
            <w:tcW w:w="1740" w:type="dxa"/>
            <w:vAlign w:val="bottom"/>
          </w:tcPr>
          <w:p>
            <w:pPr>
              <w:spacing w:after="0"/>
              <w:rPr>
                <w:sz w:val="20"/>
                <w:szCs w:val="20"/>
                <w:color w:val="auto"/>
              </w:rPr>
            </w:pPr>
            <w:r>
              <w:rPr>
                <w:rFonts w:ascii="Calibri" w:cs="Calibri" w:eastAsia="Calibri" w:hAnsi="Calibri"/>
                <w:sz w:val="12"/>
                <w:szCs w:val="12"/>
                <w:color w:val="auto"/>
              </w:rPr>
              <w:t>Large accelerated fler</w:t>
            </w:r>
          </w:p>
        </w:tc>
        <w:tc>
          <w:tcPr>
            <w:tcW w:w="2960" w:type="dxa"/>
            <w:vAlign w:val="bottom"/>
          </w:tcPr>
          <w:p>
            <w:pPr>
              <w:ind w:left="38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480"/>
              <w:spacing w:after="0"/>
              <w:rPr>
                <w:sz w:val="20"/>
                <w:szCs w:val="20"/>
                <w:color w:val="auto"/>
              </w:rPr>
            </w:pPr>
            <w:r>
              <w:rPr>
                <w:rFonts w:ascii="Calibri" w:cs="Calibri" w:eastAsia="Calibri" w:hAnsi="Calibri"/>
                <w:sz w:val="12"/>
                <w:szCs w:val="12"/>
                <w:color w:val="auto"/>
              </w:rPr>
              <w:t>Accelerated fler</w:t>
            </w:r>
          </w:p>
        </w:tc>
        <w:tc>
          <w:tcPr>
            <w:tcW w:w="480" w:type="dxa"/>
            <w:vAlign w:val="bottom"/>
          </w:tcPr>
          <w:p>
            <w:pPr>
              <w:ind w:left="3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4"/>
        </w:trPr>
        <w:tc>
          <w:tcPr>
            <w:tcW w:w="1740" w:type="dxa"/>
            <w:vAlign w:val="bottom"/>
          </w:tcPr>
          <w:p>
            <w:pPr>
              <w:spacing w:after="0"/>
              <w:rPr>
                <w:sz w:val="20"/>
                <w:szCs w:val="20"/>
                <w:color w:val="auto"/>
              </w:rPr>
            </w:pPr>
            <w:r>
              <w:rPr>
                <w:rFonts w:ascii="Calibri" w:cs="Calibri" w:eastAsia="Calibri" w:hAnsi="Calibri"/>
                <w:sz w:val="12"/>
                <w:szCs w:val="12"/>
                <w:color w:val="auto"/>
              </w:rPr>
              <w:t>Non-accelerated fler</w:t>
            </w:r>
          </w:p>
        </w:tc>
        <w:tc>
          <w:tcPr>
            <w:tcW w:w="2960" w:type="dxa"/>
            <w:vAlign w:val="bottom"/>
          </w:tcPr>
          <w:p>
            <w:pPr>
              <w:ind w:left="38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480"/>
              <w:spacing w:after="0"/>
              <w:rPr>
                <w:sz w:val="20"/>
                <w:szCs w:val="20"/>
                <w:color w:val="auto"/>
              </w:rPr>
            </w:pPr>
            <w:r>
              <w:rPr>
                <w:rFonts w:ascii="Calibri" w:cs="Calibri" w:eastAsia="Calibri" w:hAnsi="Calibri"/>
                <w:sz w:val="12"/>
                <w:szCs w:val="12"/>
                <w:color w:val="auto"/>
              </w:rPr>
              <w:t>Smaller reportng company</w:t>
            </w:r>
          </w:p>
        </w:tc>
        <w:tc>
          <w:tcPr>
            <w:tcW w:w="480" w:type="dxa"/>
            <w:vAlign w:val="bottom"/>
          </w:tcPr>
          <w:p>
            <w:pPr>
              <w:ind w:left="3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4"/>
        </w:trPr>
        <w:tc>
          <w:tcPr>
            <w:tcW w:w="1740" w:type="dxa"/>
            <w:vAlign w:val="bottom"/>
          </w:tcPr>
          <w:p>
            <w:pPr>
              <w:spacing w:after="0"/>
              <w:rPr>
                <w:sz w:val="20"/>
                <w:szCs w:val="20"/>
                <w:color w:val="auto"/>
              </w:rPr>
            </w:pPr>
            <w:r>
              <w:rPr>
                <w:rFonts w:ascii="Calibri" w:cs="Calibri" w:eastAsia="Calibri" w:hAnsi="Calibri"/>
                <w:sz w:val="12"/>
                <w:szCs w:val="12"/>
                <w:color w:val="auto"/>
              </w:rPr>
              <w:t>Emerging growth company</w:t>
            </w:r>
          </w:p>
        </w:tc>
        <w:tc>
          <w:tcPr>
            <w:tcW w:w="2960" w:type="dxa"/>
            <w:vAlign w:val="bottom"/>
          </w:tcPr>
          <w:p>
            <w:pPr>
              <w:ind w:left="38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314" w:lineRule="exact"/>
        <w:rPr>
          <w:sz w:val="24"/>
          <w:szCs w:val="24"/>
          <w:color w:val="auto"/>
        </w:rPr>
      </w:pPr>
    </w:p>
    <w:p>
      <w:pPr>
        <w:ind w:right="280" w:firstLine="437"/>
        <w:spacing w:after="0" w:line="151" w:lineRule="exact"/>
        <w:rPr>
          <w:sz w:val="20"/>
          <w:szCs w:val="20"/>
          <w:color w:val="auto"/>
        </w:rPr>
      </w:pPr>
      <w:r>
        <w:rPr>
          <w:rFonts w:ascii="Calibri" w:cs="Calibri" w:eastAsia="Calibri" w:hAnsi="Calibri"/>
          <w:sz w:val="12"/>
          <w:szCs w:val="12"/>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440" w:right="4680"/>
        <w:spacing w:after="0" w:line="171" w:lineRule="exact"/>
        <w:rPr>
          <w:sz w:val="20"/>
          <w:szCs w:val="20"/>
          <w:color w:val="auto"/>
        </w:rPr>
      </w:pPr>
      <w:r>
        <w:rPr>
          <w:rFonts w:ascii="Calibri" w:cs="Calibri" w:eastAsia="Calibri" w:hAnsi="Calibri"/>
          <w:sz w:val="12"/>
          <w:szCs w:val="12"/>
          <w:color w:val="auto"/>
        </w:rPr>
        <w:t xml:space="preserve">Indicate by check mark whether the registrant is a shell company (as defned in Rule 12b-2 of the Act). Yes </w:t>
      </w:r>
      <w:r>
        <w:rPr>
          <w:rFonts w:ascii="MS PGothic" w:cs="MS PGothic" w:eastAsia="MS PGothic" w:hAnsi="MS PGothic"/>
          <w:sz w:val="12"/>
          <w:szCs w:val="12"/>
          <w:color w:val="auto"/>
        </w:rPr>
        <w:t>☐</w:t>
      </w:r>
      <w:r>
        <w:rPr>
          <w:rFonts w:ascii="Calibri" w:cs="Calibri" w:eastAsia="Calibri" w:hAnsi="Calibri"/>
          <w:sz w:val="12"/>
          <w:szCs w:val="12"/>
          <w:color w:val="auto"/>
        </w:rPr>
        <w:t xml:space="preserve"> No </w:t>
      </w:r>
      <w:r>
        <w:rPr>
          <w:rFonts w:ascii="MS PGothic" w:cs="MS PGothic" w:eastAsia="MS PGothic" w:hAnsi="MS PGothic"/>
          <w:sz w:val="12"/>
          <w:szCs w:val="12"/>
          <w:color w:val="auto"/>
        </w:rPr>
        <w:t>☒</w:t>
      </w:r>
      <w:r>
        <w:rPr>
          <w:rFonts w:ascii="Calibri" w:cs="Calibri" w:eastAsia="Calibri" w:hAnsi="Calibri"/>
          <w:sz w:val="12"/>
          <w:szCs w:val="12"/>
          <w:color w:val="auto"/>
        </w:rPr>
        <w:t xml:space="preserve"> As of May 31, 2022, the registrant had 70,655,841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767080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414655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060"/>
          </w:cols>
          <w:pgMar w:left="320" w:top="993" w:right="519" w:bottom="1440" w:gutter="0" w:footer="0" w:header="0"/>
          <w:type w:val="continuous"/>
        </w:sectPr>
      </w:pPr>
    </w:p>
    <w:bookmarkStart w:id="1" w:name="page2"/>
    <w:bookmarkEnd w:id="1"/>
    <w:p>
      <w:pPr>
        <w:jc w:val="center"/>
        <w:spacing w:after="0"/>
        <w:rPr>
          <w:sz w:val="20"/>
          <w:szCs w:val="20"/>
          <w:color w:val="auto"/>
        </w:rPr>
      </w:pPr>
      <w:r>
        <w:rPr>
          <w:rFonts w:ascii="Calibri" w:cs="Calibri" w:eastAsia="Calibri" w:hAnsi="Calibri"/>
          <w:sz w:val="25"/>
          <w:szCs w:val="25"/>
          <w:b w:val="1"/>
          <w:bCs w:val="1"/>
          <w:color w:val="auto"/>
        </w:rPr>
        <w:t>MISSION PRODUCE, INC.</w:t>
      </w:r>
    </w:p>
    <w:p>
      <w:pPr>
        <w:spacing w:after="0" w:line="69"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FORM 10-Q</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FISCAL SECOND QUARTER 2022</w:t>
      </w:r>
    </w:p>
    <w:p>
      <w:pPr>
        <w:jc w:val="center"/>
        <w:spacing w:after="0" w:line="231" w:lineRule="auto"/>
        <w:rPr>
          <w:sz w:val="20"/>
          <w:szCs w:val="20"/>
          <w:color w:val="auto"/>
        </w:rPr>
      </w:pPr>
      <w:r>
        <w:rPr>
          <w:rFonts w:ascii="Calibri" w:cs="Calibri" w:eastAsia="Calibri" w:hAnsi="Calibri"/>
          <w:sz w:val="25"/>
          <w:szCs w:val="25"/>
          <w:b w:val="1"/>
          <w:bCs w:val="1"/>
          <w:color w:val="auto"/>
        </w:rPr>
        <w:t>INDEX</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9980" w:type="dxa"/>
            <w:vAlign w:val="bottom"/>
            <w:gridSpan w:val="22"/>
          </w:tcPr>
          <w:p>
            <w:pPr>
              <w:spacing w:after="0"/>
              <w:rPr>
                <w:sz w:val="20"/>
                <w:szCs w:val="20"/>
                <w:color w:val="auto"/>
              </w:rPr>
            </w:pPr>
            <w:r>
              <w:rPr>
                <w:rFonts w:ascii="Calibri" w:cs="Calibri" w:eastAsia="Calibri" w:hAnsi="Calibri"/>
                <w:sz w:val="14"/>
                <w:szCs w:val="14"/>
                <w:color w:val="0000FF"/>
              </w:rPr>
              <w:t>PART I- FINANCIAL INFORMATION</w:t>
            </w:r>
          </w:p>
        </w:tc>
        <w:tc>
          <w:tcPr>
            <w:tcW w:w="140" w:type="dxa"/>
            <w:vAlign w:val="bottom"/>
            <w:gridSpan w:val="2"/>
          </w:tcPr>
          <w:p>
            <w:pPr>
              <w:spacing w:after="0"/>
              <w:rPr>
                <w:sz w:val="20"/>
                <w:szCs w:val="20"/>
                <w:color w:val="auto"/>
              </w:rPr>
            </w:pPr>
            <w:r>
              <w:rPr>
                <w:rFonts w:ascii="Calibri" w:cs="Calibri" w:eastAsia="Calibri" w:hAnsi="Calibri"/>
                <w:sz w:val="14"/>
                <w:szCs w:val="14"/>
                <w:color w:val="0000FF"/>
              </w:rPr>
              <w:t>5</w:t>
            </w: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54"/>
        </w:trPr>
        <w:tc>
          <w:tcPr>
            <w:tcW w:w="66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1.</w:t>
            </w:r>
          </w:p>
        </w:tc>
        <w:tc>
          <w:tcPr>
            <w:tcW w:w="580" w:type="dxa"/>
            <w:vAlign w:val="bottom"/>
            <w:gridSpan w:val="2"/>
          </w:tcPr>
          <w:p>
            <w:pPr>
              <w:spacing w:after="0"/>
              <w:rPr>
                <w:sz w:val="24"/>
                <w:szCs w:val="24"/>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Financial Statements</w:t>
            </w:r>
          </w:p>
        </w:tc>
        <w:tc>
          <w:tcPr>
            <w:tcW w:w="140" w:type="dxa"/>
            <w:vAlign w:val="bottom"/>
            <w:gridSpan w:val="2"/>
          </w:tcPr>
          <w:p>
            <w:pPr>
              <w:spacing w:after="0"/>
              <w:rPr>
                <w:sz w:val="20"/>
                <w:szCs w:val="20"/>
                <w:color w:val="auto"/>
              </w:rPr>
            </w:pPr>
            <w:r>
              <w:rPr>
                <w:rFonts w:ascii="Calibri" w:cs="Calibri" w:eastAsia="Calibri" w:hAnsi="Calibri"/>
                <w:sz w:val="14"/>
                <w:szCs w:val="14"/>
                <w:color w:val="0000FF"/>
              </w:rPr>
              <w:t>5</w:t>
            </w:r>
          </w:p>
        </w:tc>
        <w:tc>
          <w:tcPr>
            <w:tcW w:w="4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80" w:type="dxa"/>
            <w:vAlign w:val="bottom"/>
            <w:tcBorders>
              <w:bottom w:val="single" w:sz="8" w:color="0000FF"/>
            </w:tcBorders>
            <w:gridSpan w:val="11"/>
          </w:tcPr>
          <w:p>
            <w:pPr>
              <w:spacing w:after="0"/>
              <w:rPr>
                <w:sz w:val="20"/>
                <w:szCs w:val="20"/>
                <w:color w:val="auto"/>
              </w:rPr>
            </w:pPr>
            <w:r>
              <w:rPr>
                <w:rFonts w:ascii="Calibri" w:cs="Calibri" w:eastAsia="Calibri" w:hAnsi="Calibri"/>
                <w:sz w:val="14"/>
                <w:szCs w:val="14"/>
                <w:color w:val="0000FF"/>
              </w:rPr>
              <w:t>Condensed Consolidated Balance Sheets (Unaudited)</w:t>
            </w:r>
          </w:p>
        </w:tc>
        <w:tc>
          <w:tcPr>
            <w:tcW w:w="5900" w:type="dxa"/>
            <w:vAlign w:val="bottom"/>
            <w:gridSpan w:val="8"/>
          </w:tcPr>
          <w:p>
            <w:pPr>
              <w:spacing w:after="0"/>
              <w:rPr>
                <w:sz w:val="18"/>
                <w:szCs w:val="18"/>
                <w:color w:val="auto"/>
              </w:rPr>
            </w:pPr>
          </w:p>
        </w:tc>
        <w:tc>
          <w:tcPr>
            <w:tcW w:w="80" w:type="dxa"/>
            <w:vAlign w:val="bottom"/>
            <w:tcBorders>
              <w:bottom w:val="single" w:sz="8" w:color="0000FF"/>
            </w:tcBorders>
          </w:tcPr>
          <w:p>
            <w:pPr>
              <w:spacing w:after="0"/>
              <w:rPr>
                <w:sz w:val="20"/>
                <w:szCs w:val="20"/>
                <w:color w:val="auto"/>
              </w:rPr>
            </w:pPr>
            <w:r>
              <w:rPr>
                <w:rFonts w:ascii="Calibri" w:cs="Calibri" w:eastAsia="Calibri" w:hAnsi="Calibri"/>
                <w:sz w:val="14"/>
                <w:szCs w:val="14"/>
                <w:color w:val="0000FF"/>
                <w:w w:val="83"/>
              </w:rPr>
              <w:t>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 xml:space="preserve">Condensed Consolidated Statements of </w:t>
            </w:r>
            <w:r>
              <w:rPr>
                <w:rFonts w:ascii="Calibri" w:cs="Calibri" w:eastAsia="Calibri" w:hAnsi="Calibri"/>
                <w:sz w:val="14"/>
                <w:szCs w:val="14"/>
                <w:color w:val="3051F2"/>
              </w:rPr>
              <w:t>Comprehensive Income (Loss) (Unaudited)</w:t>
            </w:r>
          </w:p>
        </w:tc>
        <w:tc>
          <w:tcPr>
            <w:tcW w:w="140" w:type="dxa"/>
            <w:vAlign w:val="bottom"/>
            <w:gridSpan w:val="2"/>
          </w:tcPr>
          <w:p>
            <w:pPr>
              <w:spacing w:after="0"/>
              <w:rPr>
                <w:sz w:val="20"/>
                <w:szCs w:val="20"/>
                <w:color w:val="auto"/>
              </w:rPr>
            </w:pPr>
            <w:r>
              <w:rPr>
                <w:rFonts w:ascii="Calibri" w:cs="Calibri" w:eastAsia="Calibri" w:hAnsi="Calibri"/>
                <w:sz w:val="14"/>
                <w:szCs w:val="14"/>
                <w:color w:val="0000FF"/>
              </w:rPr>
              <w:t>6</w:t>
            </w:r>
          </w:p>
        </w:tc>
        <w:tc>
          <w:tcPr>
            <w:tcW w:w="4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40" w:type="dxa"/>
            <w:vAlign w:val="bottom"/>
            <w:tcBorders>
              <w:bottom w:val="single" w:sz="8" w:color="0000FF"/>
            </w:tcBorders>
            <w:gridSpan w:val="16"/>
          </w:tcPr>
          <w:p>
            <w:pPr>
              <w:spacing w:after="0"/>
              <w:rPr>
                <w:sz w:val="20"/>
                <w:szCs w:val="20"/>
                <w:color w:val="auto"/>
              </w:rPr>
            </w:pPr>
            <w:r>
              <w:rPr>
                <w:rFonts w:ascii="Calibri" w:cs="Calibri" w:eastAsia="Calibri" w:hAnsi="Calibri"/>
                <w:sz w:val="14"/>
                <w:szCs w:val="14"/>
                <w:color w:val="0000FF"/>
              </w:rPr>
              <w:t>Condensed Consolidated Statements of Shareholders’ Equity (Unaudited)</w:t>
            </w:r>
          </w:p>
        </w:tc>
        <w:tc>
          <w:tcPr>
            <w:tcW w:w="4740" w:type="dxa"/>
            <w:vAlign w:val="bottom"/>
            <w:gridSpan w:val="3"/>
          </w:tcPr>
          <w:p>
            <w:pPr>
              <w:spacing w:after="0"/>
              <w:rPr>
                <w:sz w:val="18"/>
                <w:szCs w:val="18"/>
                <w:color w:val="auto"/>
              </w:rPr>
            </w:pPr>
          </w:p>
        </w:tc>
        <w:tc>
          <w:tcPr>
            <w:tcW w:w="80" w:type="dxa"/>
            <w:vAlign w:val="bottom"/>
            <w:tcBorders>
              <w:bottom w:val="single" w:sz="8" w:color="0000FF"/>
            </w:tcBorders>
          </w:tcPr>
          <w:p>
            <w:pPr>
              <w:spacing w:after="0"/>
              <w:rPr>
                <w:sz w:val="20"/>
                <w:szCs w:val="20"/>
                <w:color w:val="auto"/>
              </w:rPr>
            </w:pPr>
            <w:r>
              <w:rPr>
                <w:rFonts w:ascii="Calibri" w:cs="Calibri" w:eastAsia="Calibri" w:hAnsi="Calibri"/>
                <w:sz w:val="14"/>
                <w:szCs w:val="14"/>
                <w:color w:val="0000FF"/>
                <w:w w:val="83"/>
              </w:rPr>
              <w:t>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Condensed Consolidated Statements of Cash Flows (Unaudited)</w:t>
            </w:r>
          </w:p>
        </w:tc>
        <w:tc>
          <w:tcPr>
            <w:tcW w:w="140" w:type="dxa"/>
            <w:vAlign w:val="bottom"/>
            <w:gridSpan w:val="2"/>
          </w:tcPr>
          <w:p>
            <w:pPr>
              <w:spacing w:after="0"/>
              <w:rPr>
                <w:sz w:val="20"/>
                <w:szCs w:val="20"/>
                <w:color w:val="auto"/>
              </w:rPr>
            </w:pPr>
            <w:r>
              <w:rPr>
                <w:rFonts w:ascii="Calibri" w:cs="Calibri" w:eastAsia="Calibri" w:hAnsi="Calibri"/>
                <w:sz w:val="14"/>
                <w:szCs w:val="14"/>
                <w:color w:val="0000FF"/>
              </w:rPr>
              <w:t>8</w:t>
            </w:r>
          </w:p>
        </w:tc>
        <w:tc>
          <w:tcPr>
            <w:tcW w:w="4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Notes to Unaudited Condensed Consolidated Financial Statements</w:t>
            </w:r>
          </w:p>
        </w:tc>
        <w:tc>
          <w:tcPr>
            <w:tcW w:w="140" w:type="dxa"/>
            <w:vAlign w:val="bottom"/>
            <w:gridSpan w:val="2"/>
          </w:tcPr>
          <w:p>
            <w:pPr>
              <w:spacing w:after="0"/>
              <w:rPr>
                <w:sz w:val="20"/>
                <w:szCs w:val="20"/>
                <w:color w:val="auto"/>
              </w:rPr>
            </w:pPr>
            <w:r>
              <w:rPr>
                <w:rFonts w:ascii="Calibri" w:cs="Calibri" w:eastAsia="Calibri" w:hAnsi="Calibri"/>
                <w:sz w:val="14"/>
                <w:szCs w:val="14"/>
                <w:color w:val="0000FF"/>
              </w:rPr>
              <w:t>9</w:t>
            </w:r>
          </w:p>
        </w:tc>
        <w:tc>
          <w:tcPr>
            <w:tcW w:w="4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2.</w:t>
            </w:r>
          </w:p>
        </w:tc>
        <w:tc>
          <w:tcPr>
            <w:tcW w:w="580" w:type="dxa"/>
            <w:vAlign w:val="bottom"/>
            <w:gridSpan w:val="2"/>
          </w:tcPr>
          <w:p>
            <w:pPr>
              <w:spacing w:after="0"/>
              <w:rPr>
                <w:sz w:val="18"/>
                <w:szCs w:val="18"/>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Management's Discussion and Analysis of Financial Conditon and Results of Operatons</w:t>
            </w: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16</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3.</w:t>
            </w:r>
          </w:p>
        </w:tc>
        <w:tc>
          <w:tcPr>
            <w:tcW w:w="580" w:type="dxa"/>
            <w:vAlign w:val="bottom"/>
            <w:gridSpan w:val="2"/>
          </w:tcPr>
          <w:p>
            <w:pPr>
              <w:spacing w:after="0"/>
              <w:rPr>
                <w:sz w:val="18"/>
                <w:szCs w:val="18"/>
                <w:color w:val="auto"/>
              </w:rPr>
            </w:pPr>
          </w:p>
        </w:tc>
        <w:tc>
          <w:tcPr>
            <w:tcW w:w="5060" w:type="dxa"/>
            <w:vAlign w:val="bottom"/>
            <w:gridSpan w:val="18"/>
          </w:tcPr>
          <w:p>
            <w:pPr>
              <w:spacing w:after="0"/>
              <w:rPr>
                <w:sz w:val="20"/>
                <w:szCs w:val="20"/>
                <w:color w:val="auto"/>
              </w:rPr>
            </w:pPr>
            <w:r>
              <w:rPr>
                <w:rFonts w:ascii="Calibri" w:cs="Calibri" w:eastAsia="Calibri" w:hAnsi="Calibri"/>
                <w:sz w:val="14"/>
                <w:szCs w:val="14"/>
                <w:color w:val="0000FF"/>
              </w:rPr>
              <w:t>Quanttatve and Qualitatve Disclosures About Market Risk</w:t>
            </w:r>
          </w:p>
        </w:tc>
        <w:tc>
          <w:tcPr>
            <w:tcW w:w="39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23</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4.</w:t>
            </w:r>
          </w:p>
        </w:tc>
        <w:tc>
          <w:tcPr>
            <w:tcW w:w="580" w:type="dxa"/>
            <w:vAlign w:val="bottom"/>
            <w:gridSpan w:val="2"/>
          </w:tcPr>
          <w:p>
            <w:pPr>
              <w:spacing w:after="0"/>
              <w:rPr>
                <w:sz w:val="18"/>
                <w:szCs w:val="18"/>
                <w:color w:val="auto"/>
              </w:rPr>
            </w:pPr>
          </w:p>
        </w:tc>
        <w:tc>
          <w:tcPr>
            <w:tcW w:w="3420" w:type="dxa"/>
            <w:vAlign w:val="bottom"/>
            <w:gridSpan w:val="12"/>
          </w:tcPr>
          <w:p>
            <w:pPr>
              <w:spacing w:after="0"/>
              <w:rPr>
                <w:sz w:val="20"/>
                <w:szCs w:val="20"/>
                <w:color w:val="auto"/>
              </w:rPr>
            </w:pPr>
            <w:r>
              <w:rPr>
                <w:rFonts w:ascii="Calibri" w:cs="Calibri" w:eastAsia="Calibri" w:hAnsi="Calibri"/>
                <w:sz w:val="14"/>
                <w:szCs w:val="14"/>
                <w:color w:val="0000FF"/>
              </w:rPr>
              <w:t>Controls and Procedures</w:t>
            </w:r>
          </w:p>
        </w:tc>
        <w:tc>
          <w:tcPr>
            <w:tcW w:w="5560" w:type="dxa"/>
            <w:vAlign w:val="bottom"/>
            <w:gridSpan w:val="7"/>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23</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75"/>
        </w:trPr>
        <w:tc>
          <w:tcPr>
            <w:tcW w:w="660" w:type="dxa"/>
            <w:vAlign w:val="bottom"/>
          </w:tcPr>
          <w:p>
            <w:pPr>
              <w:spacing w:after="0"/>
              <w:rPr>
                <w:sz w:val="24"/>
                <w:szCs w:val="24"/>
                <w:color w:val="auto"/>
              </w:rPr>
            </w:pPr>
          </w:p>
        </w:tc>
        <w:tc>
          <w:tcPr>
            <w:tcW w:w="1760" w:type="dxa"/>
            <w:vAlign w:val="bottom"/>
            <w:gridSpan w:val="6"/>
          </w:tcPr>
          <w:p>
            <w:pPr>
              <w:spacing w:after="0"/>
              <w:rPr>
                <w:sz w:val="20"/>
                <w:szCs w:val="20"/>
                <w:color w:val="auto"/>
              </w:rPr>
            </w:pPr>
            <w:r>
              <w:rPr>
                <w:rFonts w:ascii="Calibri" w:cs="Calibri" w:eastAsia="Calibri" w:hAnsi="Calibri"/>
                <w:sz w:val="14"/>
                <w:szCs w:val="14"/>
                <w:color w:val="0000FF"/>
                <w:w w:val="99"/>
              </w:rPr>
              <w:t>PART II- OTHER INFORMATION</w:t>
            </w:r>
          </w:p>
        </w:tc>
        <w:tc>
          <w:tcPr>
            <w:tcW w:w="8220" w:type="dxa"/>
            <w:vAlign w:val="bottom"/>
            <w:gridSpan w:val="16"/>
          </w:tcPr>
          <w:p>
            <w:pPr>
              <w:spacing w:after="0"/>
              <w:rPr>
                <w:sz w:val="24"/>
                <w:szCs w:val="24"/>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25</w:t>
            </w:r>
          </w:p>
        </w:tc>
      </w:tr>
      <w:tr>
        <w:trPr>
          <w:trHeight w:val="20"/>
        </w:trPr>
        <w:tc>
          <w:tcPr>
            <w:tcW w:w="6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54"/>
        </w:trPr>
        <w:tc>
          <w:tcPr>
            <w:tcW w:w="66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1.</w:t>
            </w:r>
          </w:p>
        </w:tc>
        <w:tc>
          <w:tcPr>
            <w:tcW w:w="580" w:type="dxa"/>
            <w:vAlign w:val="bottom"/>
            <w:gridSpan w:val="2"/>
          </w:tcPr>
          <w:p>
            <w:pPr>
              <w:spacing w:after="0"/>
              <w:rPr>
                <w:sz w:val="24"/>
                <w:szCs w:val="24"/>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Legal Proceedings</w:t>
            </w: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25</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Calibri" w:cs="Calibri" w:eastAsia="Calibri" w:hAnsi="Calibri"/>
                <w:sz w:val="14"/>
                <w:szCs w:val="14"/>
                <w:color w:val="0000FF"/>
                <w:w w:val="99"/>
              </w:rPr>
              <w:t>Item 1A.</w:t>
            </w:r>
          </w:p>
        </w:tc>
        <w:tc>
          <w:tcPr>
            <w:tcW w:w="500" w:type="dxa"/>
            <w:vAlign w:val="bottom"/>
          </w:tcPr>
          <w:p>
            <w:pPr>
              <w:spacing w:after="0"/>
              <w:rPr>
                <w:sz w:val="18"/>
                <w:szCs w:val="18"/>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Risk Factors</w:t>
            </w: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25</w:t>
            </w:r>
          </w:p>
        </w:tc>
      </w:tr>
      <w:tr>
        <w:trPr>
          <w:trHeight w:val="20"/>
        </w:trPr>
        <w:tc>
          <w:tcPr>
            <w:tcW w:w="6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40" w:type="dxa"/>
            <w:vAlign w:val="bottom"/>
            <w:gridSpan w:val="13"/>
          </w:tcPr>
          <w:p>
            <w:pPr>
              <w:spacing w:after="0"/>
              <w:rPr>
                <w:sz w:val="20"/>
                <w:szCs w:val="20"/>
                <w:color w:val="auto"/>
              </w:rPr>
            </w:pPr>
            <w:r>
              <w:rPr>
                <w:rFonts w:ascii="Calibri" w:cs="Calibri" w:eastAsia="Calibri" w:hAnsi="Calibri"/>
                <w:sz w:val="14"/>
                <w:szCs w:val="14"/>
                <w:color w:val="0000FF"/>
              </w:rPr>
              <w:t>Unregistered Sales of Equity Securites and Use of Proceeds</w:t>
            </w:r>
          </w:p>
        </w:tc>
        <w:tc>
          <w:tcPr>
            <w:tcW w:w="5540" w:type="dxa"/>
            <w:vAlign w:val="bottom"/>
            <w:gridSpan w:val="6"/>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26</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3.</w:t>
            </w:r>
          </w:p>
        </w:tc>
        <w:tc>
          <w:tcPr>
            <w:tcW w:w="580" w:type="dxa"/>
            <w:vAlign w:val="bottom"/>
            <w:gridSpan w:val="2"/>
          </w:tcPr>
          <w:p>
            <w:pPr>
              <w:spacing w:after="0"/>
              <w:rPr>
                <w:sz w:val="18"/>
                <w:szCs w:val="18"/>
                <w:color w:val="auto"/>
              </w:rPr>
            </w:pPr>
          </w:p>
        </w:tc>
        <w:tc>
          <w:tcPr>
            <w:tcW w:w="3440" w:type="dxa"/>
            <w:vAlign w:val="bottom"/>
            <w:gridSpan w:val="13"/>
          </w:tcPr>
          <w:p>
            <w:pPr>
              <w:spacing w:after="0"/>
              <w:rPr>
                <w:sz w:val="20"/>
                <w:szCs w:val="20"/>
                <w:color w:val="auto"/>
              </w:rPr>
            </w:pPr>
            <w:r>
              <w:rPr>
                <w:rFonts w:ascii="Calibri" w:cs="Calibri" w:eastAsia="Calibri" w:hAnsi="Calibri"/>
                <w:sz w:val="14"/>
                <w:szCs w:val="14"/>
                <w:color w:val="0000FF"/>
              </w:rPr>
              <w:t>Defaults Upon Senior Securites</w:t>
            </w:r>
          </w:p>
        </w:tc>
        <w:tc>
          <w:tcPr>
            <w:tcW w:w="5540" w:type="dxa"/>
            <w:vAlign w:val="bottom"/>
            <w:gridSpan w:val="6"/>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26</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4.</w:t>
            </w:r>
          </w:p>
        </w:tc>
        <w:tc>
          <w:tcPr>
            <w:tcW w:w="580" w:type="dxa"/>
            <w:vAlign w:val="bottom"/>
            <w:gridSpan w:val="2"/>
          </w:tcPr>
          <w:p>
            <w:pPr>
              <w:spacing w:after="0"/>
              <w:rPr>
                <w:sz w:val="18"/>
                <w:szCs w:val="18"/>
                <w:color w:val="auto"/>
              </w:rPr>
            </w:pPr>
          </w:p>
        </w:tc>
        <w:tc>
          <w:tcPr>
            <w:tcW w:w="1380" w:type="dxa"/>
            <w:vAlign w:val="bottom"/>
            <w:gridSpan w:val="8"/>
          </w:tcPr>
          <w:p>
            <w:pPr>
              <w:spacing w:after="0"/>
              <w:rPr>
                <w:sz w:val="20"/>
                <w:szCs w:val="20"/>
                <w:color w:val="auto"/>
              </w:rPr>
            </w:pPr>
            <w:r>
              <w:rPr>
                <w:rFonts w:ascii="Calibri" w:cs="Calibri" w:eastAsia="Calibri" w:hAnsi="Calibri"/>
                <w:sz w:val="14"/>
                <w:szCs w:val="14"/>
                <w:color w:val="0000FF"/>
                <w:w w:val="99"/>
              </w:rPr>
              <w:t>Mine Safety Disclosures</w:t>
            </w:r>
          </w:p>
        </w:tc>
        <w:tc>
          <w:tcPr>
            <w:tcW w:w="440" w:type="dxa"/>
            <w:vAlign w:val="bottom"/>
          </w:tcPr>
          <w:p>
            <w:pPr>
              <w:spacing w:after="0"/>
              <w:rPr>
                <w:sz w:val="18"/>
                <w:szCs w:val="18"/>
                <w:color w:val="auto"/>
              </w:rPr>
            </w:pPr>
          </w:p>
        </w:tc>
        <w:tc>
          <w:tcPr>
            <w:tcW w:w="7160" w:type="dxa"/>
            <w:vAlign w:val="bottom"/>
            <w:gridSpan w:val="10"/>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26</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0" w:type="dxa"/>
            <w:vAlign w:val="bottom"/>
            <w:gridSpan w:val="11"/>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5.</w:t>
            </w:r>
          </w:p>
        </w:tc>
        <w:tc>
          <w:tcPr>
            <w:tcW w:w="580" w:type="dxa"/>
            <w:vAlign w:val="bottom"/>
            <w:gridSpan w:val="2"/>
          </w:tcPr>
          <w:p>
            <w:pPr>
              <w:spacing w:after="0"/>
              <w:rPr>
                <w:sz w:val="18"/>
                <w:szCs w:val="18"/>
                <w:color w:val="auto"/>
              </w:rPr>
            </w:pPr>
          </w:p>
        </w:tc>
        <w:tc>
          <w:tcPr>
            <w:tcW w:w="1380" w:type="dxa"/>
            <w:vAlign w:val="bottom"/>
            <w:gridSpan w:val="8"/>
          </w:tcPr>
          <w:p>
            <w:pPr>
              <w:spacing w:after="0"/>
              <w:rPr>
                <w:sz w:val="20"/>
                <w:szCs w:val="20"/>
                <w:color w:val="auto"/>
              </w:rPr>
            </w:pPr>
            <w:r>
              <w:rPr>
                <w:rFonts w:ascii="Calibri" w:cs="Calibri" w:eastAsia="Calibri" w:hAnsi="Calibri"/>
                <w:sz w:val="14"/>
                <w:szCs w:val="14"/>
                <w:color w:val="0000FF"/>
              </w:rPr>
              <w:t>Other Informaton</w:t>
            </w:r>
          </w:p>
        </w:tc>
        <w:tc>
          <w:tcPr>
            <w:tcW w:w="7600" w:type="dxa"/>
            <w:vAlign w:val="bottom"/>
            <w:gridSpan w:val="11"/>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26</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7"/>
        </w:trPr>
        <w:tc>
          <w:tcPr>
            <w:tcW w:w="6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Calibri" w:cs="Calibri" w:eastAsia="Calibri" w:hAnsi="Calibri"/>
                <w:sz w:val="14"/>
                <w:szCs w:val="14"/>
                <w:color w:val="0000FF"/>
                <w:w w:val="99"/>
              </w:rPr>
              <w:t>Item 6.</w:t>
            </w:r>
          </w:p>
        </w:tc>
        <w:tc>
          <w:tcPr>
            <w:tcW w:w="58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Calibri" w:cs="Calibri" w:eastAsia="Calibri" w:hAnsi="Calibri"/>
                <w:sz w:val="14"/>
                <w:szCs w:val="14"/>
                <w:color w:val="0000FF"/>
                <w:w w:val="99"/>
              </w:rPr>
              <w:t>Exhibits</w:t>
            </w:r>
          </w:p>
        </w:tc>
        <w:tc>
          <w:tcPr>
            <w:tcW w:w="600" w:type="dxa"/>
            <w:vAlign w:val="bottom"/>
            <w:gridSpan w:val="5"/>
          </w:tcPr>
          <w:p>
            <w:pPr>
              <w:spacing w:after="0"/>
              <w:rPr>
                <w:sz w:val="18"/>
                <w:szCs w:val="18"/>
                <w:color w:val="auto"/>
              </w:rPr>
            </w:pPr>
          </w:p>
        </w:tc>
        <w:tc>
          <w:tcPr>
            <w:tcW w:w="7920" w:type="dxa"/>
            <w:vAlign w:val="bottom"/>
            <w:gridSpan w:val="13"/>
          </w:tcPr>
          <w:p>
            <w:pPr>
              <w:spacing w:after="0"/>
              <w:rPr>
                <w:sz w:val="18"/>
                <w:szCs w:val="18"/>
                <w:color w:val="auto"/>
              </w:rPr>
            </w:pP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26</w:t>
            </w:r>
          </w:p>
        </w:tc>
      </w:tr>
      <w:tr>
        <w:trPr>
          <w:trHeight w:val="20"/>
        </w:trPr>
        <w:tc>
          <w:tcPr>
            <w:tcW w:w="6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00" w:type="dxa"/>
            <w:vAlign w:val="bottom"/>
            <w:gridSpan w:val="17"/>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1"/>
        </w:trPr>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80" w:type="dxa"/>
            <w:vAlign w:val="bottom"/>
            <w:gridSpan w:val="19"/>
          </w:tcPr>
          <w:p>
            <w:pPr>
              <w:spacing w:after="0"/>
              <w:rPr>
                <w:sz w:val="20"/>
                <w:szCs w:val="20"/>
                <w:color w:val="auto"/>
              </w:rPr>
            </w:pPr>
            <w:r>
              <w:rPr>
                <w:rFonts w:ascii="Calibri" w:cs="Calibri" w:eastAsia="Calibri" w:hAnsi="Calibri"/>
                <w:sz w:val="14"/>
                <w:szCs w:val="14"/>
                <w:color w:val="0000FF"/>
              </w:rPr>
              <w:t>Signatures</w:t>
            </w:r>
          </w:p>
        </w:tc>
        <w:tc>
          <w:tcPr>
            <w:tcW w:w="600" w:type="dxa"/>
            <w:vAlign w:val="bottom"/>
            <w:gridSpan w:val="3"/>
          </w:tcPr>
          <w:p>
            <w:pPr>
              <w:spacing w:after="0"/>
              <w:rPr>
                <w:sz w:val="20"/>
                <w:szCs w:val="20"/>
                <w:color w:val="auto"/>
              </w:rPr>
            </w:pPr>
            <w:r>
              <w:rPr>
                <w:rFonts w:ascii="Calibri" w:cs="Calibri" w:eastAsia="Calibri" w:hAnsi="Calibri"/>
                <w:sz w:val="14"/>
                <w:szCs w:val="14"/>
                <w:color w:val="0000FF"/>
              </w:rPr>
              <w:t>27</w:t>
            </w:r>
          </w:p>
        </w:tc>
      </w:tr>
      <w:tr>
        <w:trPr>
          <w:trHeight w:val="896"/>
        </w:trPr>
        <w:tc>
          <w:tcPr>
            <w:tcW w:w="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20"/>
          <w:szCs w:val="20"/>
          <w:b w:val="1"/>
          <w:bCs w:val="1"/>
          <w:color w:val="auto"/>
        </w:rPr>
        <w:t>FORWARD LOOKING STATEMENTS</w:t>
      </w:r>
    </w:p>
    <w:p>
      <w:pPr>
        <w:spacing w:after="0" w:line="228" w:lineRule="exact"/>
        <w:rPr>
          <w:sz w:val="20"/>
          <w:szCs w:val="20"/>
          <w:color w:val="auto"/>
        </w:rPr>
      </w:pPr>
    </w:p>
    <w:p>
      <w:pPr>
        <w:ind w:right="60" w:firstLine="642"/>
        <w:spacing w:after="0" w:line="235" w:lineRule="auto"/>
        <w:rPr>
          <w:sz w:val="20"/>
          <w:szCs w:val="20"/>
          <w:color w:val="auto"/>
        </w:rPr>
      </w:pPr>
      <w:r>
        <w:rPr>
          <w:rFonts w:ascii="Calibri" w:cs="Calibri" w:eastAsia="Calibri" w:hAnsi="Calibri"/>
          <w:sz w:val="16"/>
          <w:szCs w:val="16"/>
          <w:color w:val="auto"/>
        </w:rPr>
        <w:t>This quarterly report on Form 10-Q contains forward-looking statements within the meaning of the federal securites laws, including the Private Securites Litgaton Reform Act of 1995, which statements involve substantal risks and uncertaintes. Forward-looking statements generally relate to future events or our future fnancial or operatng performance. In some cases, you can identfy forward-looking statements because they contain words such as “may”, “will”, “should”, “expects”, “plans”, “antcipates”, “could”, “intends”, “target”, “projects”, “contemplates”, “believes”, “estmates”, “predicts”, “potental” or “contnue” or the negatve of these words or other similar terms or expressions that concern our expectatons, strategy, plans or intentons. Forward-looking statements involve known and unknown risks, uncertaintes and other important factors that may cause our actual results, performance or achievements to be materially diferent from any future results, performance or achievements expressed or implied by the forward-looking statements. We believe that these factors include, but are not limited to, the following:</w:t>
      </w:r>
    </w:p>
    <w:p>
      <w:pPr>
        <w:spacing w:after="0" w:line="213" w:lineRule="exact"/>
        <w:rPr>
          <w:sz w:val="20"/>
          <w:szCs w:val="20"/>
          <w:color w:val="auto"/>
        </w:rPr>
      </w:pPr>
    </w:p>
    <w:p>
      <w:pPr>
        <w:ind w:left="1300" w:right="20" w:hanging="330"/>
        <w:spacing w:after="0" w:line="237" w:lineRule="auto"/>
        <w:tabs>
          <w:tab w:leader="none" w:pos="1300" w:val="left"/>
        </w:tabs>
        <w:numPr>
          <w:ilvl w:val="0"/>
          <w:numId w:val="3"/>
        </w:numPr>
        <w:rPr>
          <w:rFonts w:ascii="Calibri" w:cs="Calibri" w:eastAsia="Calibri" w:hAnsi="Calibri"/>
          <w:sz w:val="16"/>
          <w:szCs w:val="16"/>
          <w:color w:val="auto"/>
        </w:rPr>
      </w:pPr>
      <w:r>
        <w:rPr>
          <w:rFonts w:ascii="Calibri" w:cs="Calibri" w:eastAsia="Calibri" w:hAnsi="Calibri"/>
          <w:sz w:val="16"/>
          <w:szCs w:val="16"/>
          <w:color w:val="auto"/>
        </w:rPr>
        <w:t>Risks related to our business, including: limitatons regarding the supply of avocados, either through purchasing or growing; the loss of one or more of our largest customers or a reducton in the level of purchases by customers; doing business internatonally, including Mexican and Peruvian economic, politcal and/or societal conditons; fuctuatons in market prices of avocados; increasing competton; inherent farming risks; variatons in operatng results due to the seasonality of the business; general economic conditons; the efects of the COVID-19 pandemic, including resultng economic conditons; infatonary pressures and increases in costs of commodites or other products used in our business; food safety events and recalls of our products; changes to USDA and FDA regulatons, U.S. trade policy, and/or tarif and import/export regulatons; restrictons due to health and safety laws; signifcant costs associated with compliance with environmental laws and regulatons; acquisitons of other businesses; the ability of our infrastructure to handle our business needs; supply chain optmizaton failures or disruptons; disrupton to the supply of reliable and cost-efectve transportaton; failure to recruit and retain key personnel and an adequate labor supply and lack of good employee relatons; informaton system security risks, data protecton breaches and systems integraton issues; changes in privacy and/or informaton security laws, policies and/or contractual arrangements; material litgaton or adverse governmental actons; failure to maintain or protect our brand; changes in tax rates or internatonal tax legislaton; risks associated with our indebtedness; and risks associated with Russia/Ukraine confict.</w:t>
      </w:r>
    </w:p>
    <w:p>
      <w:pPr>
        <w:spacing w:after="0" w:line="213" w:lineRule="exact"/>
        <w:rPr>
          <w:rFonts w:ascii="Calibri" w:cs="Calibri" w:eastAsia="Calibri" w:hAnsi="Calibri"/>
          <w:sz w:val="16"/>
          <w:szCs w:val="16"/>
          <w:color w:val="auto"/>
        </w:rPr>
      </w:pPr>
    </w:p>
    <w:p>
      <w:pPr>
        <w:ind w:left="1300" w:right="80" w:hanging="330"/>
        <w:spacing w:after="0" w:line="236" w:lineRule="auto"/>
        <w:tabs>
          <w:tab w:leader="none" w:pos="1300" w:val="left"/>
        </w:tabs>
        <w:numPr>
          <w:ilvl w:val="0"/>
          <w:numId w:val="3"/>
        </w:numPr>
        <w:rPr>
          <w:rFonts w:ascii="Calibri" w:cs="Calibri" w:eastAsia="Calibri" w:hAnsi="Calibri"/>
          <w:sz w:val="16"/>
          <w:szCs w:val="16"/>
          <w:color w:val="auto"/>
        </w:rPr>
      </w:pPr>
      <w:r>
        <w:rPr>
          <w:rFonts w:ascii="Calibri" w:cs="Calibri" w:eastAsia="Calibri" w:hAnsi="Calibri"/>
          <w:sz w:val="16"/>
          <w:szCs w:val="16"/>
          <w:color w:val="auto"/>
        </w:rPr>
        <w:t>Risks related to our common stock, including: the viability of an actve, liquid, and orderly market for our common stock; volatlity in the trading price of our common stock; concentraton of control in our executve ofcers, directors and principal stockholders over maters submited to stockholders for approval; limited sources of capital appreciaton; signifcant costs associated with being a public company and the allocaton of signifcant management resources thereto; reliance on analyst reports; failure to maintain proper and efectve internal control over fnancial reportng; restrictons on takeover atempts in our charter documents and under Delaware law; and the selecton of Delaware as the exclusive forum for substantally all disputes between us and our stockholders.</w:t>
      </w:r>
    </w:p>
    <w:p>
      <w:pPr>
        <w:spacing w:after="0" w:line="211" w:lineRule="exact"/>
        <w:rPr>
          <w:rFonts w:ascii="Calibri" w:cs="Calibri" w:eastAsia="Calibri" w:hAnsi="Calibri"/>
          <w:sz w:val="16"/>
          <w:szCs w:val="16"/>
          <w:color w:val="auto"/>
        </w:rPr>
      </w:pPr>
    </w:p>
    <w:p>
      <w:pPr>
        <w:ind w:left="1300" w:right="300" w:hanging="330"/>
        <w:spacing w:after="0" w:line="242" w:lineRule="auto"/>
        <w:tabs>
          <w:tab w:leader="none" w:pos="1300" w:val="left"/>
        </w:tabs>
        <w:numPr>
          <w:ilvl w:val="0"/>
          <w:numId w:val="3"/>
        </w:numPr>
        <w:rPr>
          <w:rFonts w:ascii="Calibri" w:cs="Calibri" w:eastAsia="Calibri" w:hAnsi="Calibri"/>
          <w:sz w:val="16"/>
          <w:szCs w:val="16"/>
          <w:color w:val="auto"/>
        </w:rPr>
      </w:pPr>
      <w:r>
        <w:rPr>
          <w:rFonts w:ascii="Calibri" w:cs="Calibri" w:eastAsia="Calibri" w:hAnsi="Calibri"/>
          <w:sz w:val="16"/>
          <w:szCs w:val="16"/>
          <w:color w:val="auto"/>
        </w:rPr>
        <w:t>Other risks and factors listed under “Item 1A. Risk Factors” in our most recent Annual Report on Form 10-K for the year ended October 31, 2021 and elsewhere in this report.</w:t>
      </w:r>
    </w:p>
    <w:p>
      <w:pPr>
        <w:spacing w:after="0" w:line="208" w:lineRule="exact"/>
        <w:rPr>
          <w:sz w:val="20"/>
          <w:szCs w:val="20"/>
          <w:color w:val="auto"/>
        </w:rPr>
      </w:pPr>
    </w:p>
    <w:p>
      <w:pPr>
        <w:ind w:firstLine="642"/>
        <w:spacing w:after="0" w:line="237" w:lineRule="auto"/>
        <w:rPr>
          <w:sz w:val="20"/>
          <w:szCs w:val="20"/>
          <w:color w:val="auto"/>
        </w:rPr>
      </w:pPr>
      <w:r>
        <w:rPr>
          <w:rFonts w:ascii="Calibri" w:cs="Calibri" w:eastAsia="Calibri" w:hAnsi="Calibri"/>
          <w:sz w:val="16"/>
          <w:szCs w:val="16"/>
          <w:color w:val="auto"/>
        </w:rPr>
        <w:t>We have based the forward-looking statements contained in this report primarily on our current expectatons and projectons about future events and trends that we believe may afect our business, fnancial conditon, results of operatons, prospects, business strategy and fnancial needs. The outcome of the events described in these forward-looking statements is subject to risks, uncertaintes, assumptons and other factors described in “Item 1A. Risk Factors” in our most recent Annual Report on Form 10-K for the year ended October 31, 2021 and elsewhere in this report. These risks are not exhaustve. Other sectons of this report include additonal factors that could adversely impact our business and fnancial performance. Furthermore, new risks and uncertaintes emerge from tme to tme and it is not possible for us to predict all risks and uncertaintes that could have an impact on the forward-looking statements contained in this report. We cannot assure you that the results, events and circumstances refected in the forward-looking statements will be achieved or occur, and actual results, events or circumstances could difer materially from those described in the forward-looking statements.</w:t>
      </w:r>
    </w:p>
    <w:p>
      <w:pPr>
        <w:spacing w:after="0" w:line="209" w:lineRule="exact"/>
        <w:rPr>
          <w:sz w:val="20"/>
          <w:szCs w:val="20"/>
          <w:color w:val="auto"/>
        </w:rPr>
      </w:pPr>
    </w:p>
    <w:p>
      <w:pPr>
        <w:ind w:right="180" w:firstLine="642"/>
        <w:spacing w:after="0" w:line="235" w:lineRule="auto"/>
        <w:rPr>
          <w:sz w:val="20"/>
          <w:szCs w:val="20"/>
          <w:color w:val="auto"/>
        </w:rPr>
      </w:pPr>
      <w:r>
        <w:rPr>
          <w:rFonts w:ascii="Calibri" w:cs="Calibri" w:eastAsia="Calibri" w:hAnsi="Calibri"/>
          <w:sz w:val="16"/>
          <w:szCs w:val="16"/>
          <w:color w:val="auto"/>
        </w:rPr>
        <w:t>In additon, statements that “we believe” and similar statements refect our beliefs and opinions on the relevant subject. These statements are based upon informaton available to us as of the date of this report, and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These statements are inherently uncertain and investors are cautoned not to unduly rely upon these statements.</w:t>
      </w:r>
    </w:p>
    <w:p>
      <w:pPr>
        <w:spacing w:after="0" w:line="225" w:lineRule="exact"/>
        <w:rPr>
          <w:sz w:val="20"/>
          <w:szCs w:val="20"/>
          <w:color w:val="auto"/>
        </w:rPr>
      </w:pPr>
    </w:p>
    <w:p>
      <w:pPr>
        <w:ind w:right="180" w:firstLine="642"/>
        <w:spacing w:after="0" w:line="237" w:lineRule="auto"/>
        <w:rPr>
          <w:sz w:val="20"/>
          <w:szCs w:val="20"/>
          <w:color w:val="auto"/>
        </w:rPr>
      </w:pPr>
      <w:r>
        <w:rPr>
          <w:rFonts w:ascii="Calibri" w:cs="Calibri" w:eastAsia="Calibri" w:hAnsi="Calibri"/>
          <w:sz w:val="16"/>
          <w:szCs w:val="16"/>
          <w:color w:val="auto"/>
        </w:rPr>
        <w:t>You should read this report, including documents that we reference and exhibits that have been fled, in this report and have fled as exhibits to this report, with the understanding that our actual future results, levels of actvity, performance and achievements may be materially diferent from what we expect. We qualify all of our forward-looking statements by these cautonary statements.</w:t>
      </w:r>
    </w:p>
    <w:p>
      <w:pPr>
        <w:spacing w:after="0" w:line="210" w:lineRule="exact"/>
        <w:rPr>
          <w:sz w:val="20"/>
          <w:szCs w:val="20"/>
          <w:color w:val="auto"/>
        </w:rPr>
      </w:pPr>
    </w:p>
    <w:p>
      <w:pPr>
        <w:ind w:right="400" w:firstLine="642"/>
        <w:spacing w:after="0" w:line="233" w:lineRule="auto"/>
        <w:rPr>
          <w:sz w:val="20"/>
          <w:szCs w:val="20"/>
          <w:color w:val="auto"/>
        </w:rPr>
      </w:pPr>
      <w:r>
        <w:rPr>
          <w:rFonts w:ascii="Calibri" w:cs="Calibri" w:eastAsia="Calibri" w:hAnsi="Calibri"/>
          <w:sz w:val="16"/>
          <w:szCs w:val="16"/>
          <w:color w:val="auto"/>
        </w:rPr>
        <w:t>The forward-looking statements made in this report relate only to events as of the date on which such statements are made. We undertake no obligaton to update any forward-looking statements afer the date of this report or to conform such statements to actual results or revised expectatons, except as required by law.</w:t>
      </w:r>
    </w:p>
    <w:p>
      <w:pPr>
        <w:spacing w:after="0" w:line="223" w:lineRule="exact"/>
        <w:rPr>
          <w:sz w:val="20"/>
          <w:szCs w:val="20"/>
          <w:color w:val="auto"/>
        </w:rPr>
      </w:pPr>
    </w:p>
    <w:p>
      <w:pPr>
        <w:jc w:val="both"/>
        <w:ind w:right="40" w:firstLine="642"/>
        <w:spacing w:after="0" w:line="237" w:lineRule="auto"/>
        <w:rPr>
          <w:sz w:val="20"/>
          <w:szCs w:val="20"/>
          <w:color w:val="auto"/>
        </w:rPr>
      </w:pPr>
      <w:r>
        <w:rPr>
          <w:rFonts w:ascii="Calibri" w:cs="Calibri" w:eastAsia="Calibri" w:hAnsi="Calibri"/>
          <w:sz w:val="16"/>
          <w:szCs w:val="16"/>
          <w:color w:val="auto"/>
        </w:rPr>
        <w:t>This quarterly report may also include trademarks, tradenames and service marks that are the property of the Company and also certain trademarks, tradenames and service marks that are the property of other organizatons. Solely for convenience, trademarks and tradenames referred to in this quarterly report appear without the ® and ™ symbols, but those references are not intended to indicate, in any way, that we will</w:t>
      </w:r>
    </w:p>
    <w:p>
      <w:pPr>
        <w:spacing w:after="0" w:line="200" w:lineRule="exact"/>
        <w:rPr>
          <w:sz w:val="20"/>
          <w:szCs w:val="20"/>
          <w:color w:val="auto"/>
        </w:rPr>
      </w:pPr>
    </w:p>
    <w:p>
      <w:pPr>
        <w:spacing w:after="0" w:line="253"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60" w:right="359" w:bottom="1440" w:gutter="0" w:footer="0" w:header="0"/>
        </w:sectPr>
      </w:pPr>
    </w:p>
    <w:bookmarkStart w:id="3" w:name="page4"/>
    <w:bookmarkEnd w:id="3"/>
    <w:p>
      <w:pPr>
        <w:spacing w:after="0"/>
        <w:rPr>
          <w:sz w:val="20"/>
          <w:szCs w:val="20"/>
          <w:color w:val="auto"/>
        </w:rPr>
      </w:pPr>
      <w:r>
        <w:rPr>
          <w:rFonts w:ascii="Calibri" w:cs="Calibri" w:eastAsia="Calibri" w:hAnsi="Calibri"/>
          <w:sz w:val="16"/>
          <w:szCs w:val="16"/>
          <w:color w:val="auto"/>
        </w:rPr>
        <w:t>not assert, to the fullest extent under applicable law, our rights, or that the applicable owner will not assert its rights, to these trademarks and tradenames.</w:t>
      </w:r>
    </w:p>
    <w:p>
      <w:pPr>
        <w:spacing w:after="0" w:line="209" w:lineRule="exact"/>
        <w:rPr>
          <w:sz w:val="20"/>
          <w:szCs w:val="20"/>
          <w:color w:val="auto"/>
        </w:rPr>
      </w:pPr>
    </w:p>
    <w:p>
      <w:pPr>
        <w:jc w:val="both"/>
        <w:ind w:firstLine="642"/>
        <w:spacing w:after="0" w:line="237" w:lineRule="auto"/>
        <w:rPr>
          <w:sz w:val="20"/>
          <w:szCs w:val="20"/>
          <w:color w:val="auto"/>
        </w:rPr>
      </w:pPr>
      <w:r>
        <w:rPr>
          <w:rFonts w:ascii="Calibri" w:cs="Calibri" w:eastAsia="Calibri" w:hAnsi="Calibri"/>
          <w:sz w:val="16"/>
          <w:szCs w:val="16"/>
          <w:color w:val="auto"/>
        </w:rPr>
        <w:t>We maintain a website at www.missionproduce.com, to which we regularly post copies of our press releases as well as additonal informaton about us. Our flings with the Securites and Exchange Commission (“SEC”), are available free of charge through our website as soon as reasonably practcable afer being electronically fled with or furnished to the SEC. Informaton contained in our website does not consttute a part of this report or our other flings with the SEC.</w:t>
      </w:r>
    </w:p>
    <w:p>
      <w:pPr>
        <w:spacing w:after="0" w:line="200" w:lineRule="exact"/>
        <w:rPr>
          <w:sz w:val="20"/>
          <w:szCs w:val="20"/>
          <w:color w:val="auto"/>
        </w:rPr>
      </w:pPr>
    </w:p>
    <w:p>
      <w:pPr>
        <w:spacing w:after="0" w:line="267"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974"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05"/>
        </w:trPr>
        <w:tc>
          <w:tcPr>
            <w:tcW w:w="860" w:type="dxa"/>
            <w:vAlign w:val="bottom"/>
          </w:tcPr>
          <w:p>
            <w:pPr>
              <w:spacing w:after="0"/>
              <w:rPr>
                <w:sz w:val="24"/>
                <w:szCs w:val="24"/>
                <w:color w:val="auto"/>
              </w:rPr>
            </w:pPr>
          </w:p>
        </w:tc>
        <w:tc>
          <w:tcPr>
            <w:tcW w:w="7100" w:type="dxa"/>
            <w:vAlign w:val="bottom"/>
          </w:tcPr>
          <w:p>
            <w:pPr>
              <w:jc w:val="center"/>
              <w:ind w:left="2353"/>
              <w:spacing w:after="0"/>
              <w:rPr>
                <w:sz w:val="20"/>
                <w:szCs w:val="20"/>
                <w:color w:val="auto"/>
              </w:rPr>
            </w:pPr>
            <w:r>
              <w:rPr>
                <w:rFonts w:ascii="Calibri" w:cs="Calibri" w:eastAsia="Calibri" w:hAnsi="Calibri"/>
                <w:sz w:val="25"/>
                <w:szCs w:val="25"/>
                <w:b w:val="1"/>
                <w:bCs w:val="1"/>
                <w:color w:val="auto"/>
              </w:rPr>
              <w:t>PART I- FINANCIAL INFORMATION</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08"/>
        </w:trPr>
        <w:tc>
          <w:tcPr>
            <w:tcW w:w="860" w:type="dxa"/>
            <w:vAlign w:val="bottom"/>
          </w:tcPr>
          <w:p>
            <w:pPr>
              <w:spacing w:after="0"/>
              <w:rPr>
                <w:sz w:val="20"/>
                <w:szCs w:val="20"/>
                <w:color w:val="auto"/>
              </w:rPr>
            </w:pPr>
            <w:r>
              <w:rPr>
                <w:rFonts w:ascii="Calibri" w:cs="Calibri" w:eastAsia="Calibri" w:hAnsi="Calibri"/>
                <w:sz w:val="25"/>
                <w:szCs w:val="25"/>
                <w:b w:val="1"/>
                <w:bCs w:val="1"/>
                <w:color w:val="auto"/>
              </w:rPr>
              <w:t>Item 1.</w:t>
            </w:r>
          </w:p>
        </w:tc>
        <w:tc>
          <w:tcPr>
            <w:tcW w:w="7100" w:type="dxa"/>
            <w:vAlign w:val="bottom"/>
          </w:tcPr>
          <w:p>
            <w:pPr>
              <w:ind w:left="120"/>
              <w:spacing w:after="0"/>
              <w:rPr>
                <w:sz w:val="20"/>
                <w:szCs w:val="20"/>
                <w:color w:val="auto"/>
              </w:rPr>
            </w:pPr>
            <w:r>
              <w:rPr>
                <w:rFonts w:ascii="Calibri" w:cs="Calibri" w:eastAsia="Calibri" w:hAnsi="Calibri"/>
                <w:sz w:val="25"/>
                <w:szCs w:val="25"/>
                <w:b w:val="1"/>
                <w:bCs w:val="1"/>
                <w:color w:val="auto"/>
              </w:rPr>
              <w:t>Financial Statements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0"/>
        </w:trPr>
        <w:tc>
          <w:tcPr>
            <w:tcW w:w="860" w:type="dxa"/>
            <w:vAlign w:val="bottom"/>
          </w:tcPr>
          <w:p>
            <w:pPr>
              <w:spacing w:after="0"/>
              <w:rPr>
                <w:sz w:val="24"/>
                <w:szCs w:val="24"/>
                <w:color w:val="auto"/>
              </w:rPr>
            </w:pPr>
          </w:p>
        </w:tc>
        <w:tc>
          <w:tcPr>
            <w:tcW w:w="7100" w:type="dxa"/>
            <w:vAlign w:val="bottom"/>
          </w:tcPr>
          <w:p>
            <w:pPr>
              <w:jc w:val="center"/>
              <w:ind w:left="2333"/>
              <w:spacing w:after="0"/>
              <w:rPr>
                <w:sz w:val="20"/>
                <w:szCs w:val="20"/>
                <w:color w:val="auto"/>
              </w:rPr>
            </w:pPr>
            <w:r>
              <w:rPr>
                <w:rFonts w:ascii="Calibri" w:cs="Calibri" w:eastAsia="Calibri" w:hAnsi="Calibri"/>
                <w:sz w:val="20"/>
                <w:szCs w:val="20"/>
                <w:b w:val="1"/>
                <w:bCs w:val="1"/>
                <w:color w:val="auto"/>
              </w:rPr>
              <w:t>MISSION PRODUCE, INC.</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1"/>
        </w:trPr>
        <w:tc>
          <w:tcPr>
            <w:tcW w:w="860" w:type="dxa"/>
            <w:vAlign w:val="bottom"/>
          </w:tcPr>
          <w:p>
            <w:pPr>
              <w:spacing w:after="0"/>
              <w:rPr>
                <w:sz w:val="24"/>
                <w:szCs w:val="24"/>
                <w:color w:val="auto"/>
              </w:rPr>
            </w:pPr>
          </w:p>
        </w:tc>
        <w:tc>
          <w:tcPr>
            <w:tcW w:w="7580" w:type="dxa"/>
            <w:vAlign w:val="bottom"/>
            <w:gridSpan w:val="2"/>
          </w:tcPr>
          <w:p>
            <w:pPr>
              <w:jc w:val="center"/>
              <w:ind w:left="1853"/>
              <w:spacing w:after="0"/>
              <w:rPr>
                <w:sz w:val="20"/>
                <w:szCs w:val="20"/>
                <w:color w:val="auto"/>
              </w:rPr>
            </w:pPr>
            <w:r>
              <w:rPr>
                <w:rFonts w:ascii="Calibri" w:cs="Calibri" w:eastAsia="Calibri" w:hAnsi="Calibri"/>
                <w:sz w:val="20"/>
                <w:szCs w:val="20"/>
                <w:b w:val="1"/>
                <w:bCs w:val="1"/>
                <w:color w:val="auto"/>
                <w:w w:val="99"/>
              </w:rPr>
              <w:t>CONDENSED CONSOLIDATED BALANCE SHEETS (UNAUDITED)</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2"/>
        </w:trPr>
        <w:tc>
          <w:tcPr>
            <w:tcW w:w="79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07"/>
        </w:trPr>
        <w:tc>
          <w:tcPr>
            <w:tcW w:w="7960" w:type="dxa"/>
            <w:vAlign w:val="bottom"/>
            <w:tcBorders>
              <w:bottom w:val="single" w:sz="8" w:color="43C0B9"/>
            </w:tcBorders>
            <w:gridSpan w:val="2"/>
            <w:shd w:val="clear" w:color="auto" w:fill="43C0B9"/>
          </w:tcPr>
          <w:p>
            <w:pPr>
              <w:ind w:left="20"/>
              <w:spacing w:after="0" w:line="169" w:lineRule="exact"/>
              <w:rPr>
                <w:sz w:val="20"/>
                <w:szCs w:val="20"/>
                <w:color w:val="auto"/>
              </w:rPr>
            </w:pPr>
            <w:r>
              <w:rPr>
                <w:rFonts w:ascii="Calibri" w:cs="Calibri" w:eastAsia="Calibri" w:hAnsi="Calibri"/>
                <w:sz w:val="14"/>
                <w:szCs w:val="14"/>
                <w:b w:val="1"/>
                <w:bCs w:val="1"/>
                <w:color w:val="FFFFFF"/>
              </w:rPr>
              <w:t>(In millions, except for shares)</w:t>
            </w:r>
          </w:p>
        </w:tc>
        <w:tc>
          <w:tcPr>
            <w:tcW w:w="480" w:type="dxa"/>
            <w:vAlign w:val="bottom"/>
            <w:tcBorders>
              <w:bottom w:val="single" w:sz="8" w:color="43C0B9"/>
            </w:tcBorders>
            <w:shd w:val="clear" w:color="auto" w:fill="43C0B9"/>
          </w:tcPr>
          <w:p>
            <w:pPr>
              <w:spacing w:after="0"/>
              <w:rPr>
                <w:sz w:val="18"/>
                <w:szCs w:val="18"/>
                <w:color w:val="auto"/>
              </w:rPr>
            </w:pPr>
          </w:p>
        </w:tc>
        <w:tc>
          <w:tcPr>
            <w:tcW w:w="1180" w:type="dxa"/>
            <w:vAlign w:val="bottom"/>
            <w:tcBorders>
              <w:bottom w:val="single" w:sz="8" w:color="43C0B9"/>
            </w:tcBorders>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April 30, 2022</w:t>
            </w:r>
          </w:p>
        </w:tc>
        <w:tc>
          <w:tcPr>
            <w:tcW w:w="360" w:type="dxa"/>
            <w:vAlign w:val="bottom"/>
            <w:tcBorders>
              <w:bottom w:val="single" w:sz="8" w:color="43C0B9"/>
            </w:tcBorders>
            <w:shd w:val="clear" w:color="auto" w:fill="43C0B9"/>
          </w:tcPr>
          <w:p>
            <w:pPr>
              <w:spacing w:after="0"/>
              <w:rPr>
                <w:sz w:val="18"/>
                <w:szCs w:val="18"/>
                <w:color w:val="auto"/>
              </w:rPr>
            </w:pPr>
          </w:p>
        </w:tc>
        <w:tc>
          <w:tcPr>
            <w:tcW w:w="1260" w:type="dxa"/>
            <w:vAlign w:val="bottom"/>
            <w:tcBorders>
              <w:bottom w:val="single" w:sz="8" w:color="43C0B9"/>
            </w:tcBorders>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October 31, 2021</w:t>
            </w:r>
          </w:p>
        </w:tc>
      </w:tr>
      <w:tr>
        <w:trPr>
          <w:trHeight w:val="207"/>
        </w:trPr>
        <w:tc>
          <w:tcPr>
            <w:tcW w:w="8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b w:val="1"/>
                <w:bCs w:val="1"/>
                <w:color w:val="auto"/>
              </w:rPr>
              <w:t>Assets</w:t>
            </w:r>
          </w:p>
        </w:tc>
        <w:tc>
          <w:tcPr>
            <w:tcW w:w="7100" w:type="dxa"/>
            <w:vAlign w:val="bottom"/>
            <w:tcBorders>
              <w:bottom w:val="single" w:sz="8" w:color="DBDBDB"/>
            </w:tcBorders>
            <w:shd w:val="clear" w:color="auto" w:fill="DBDBDB"/>
          </w:tcPr>
          <w:p>
            <w:pPr>
              <w:spacing w:after="0"/>
              <w:rPr>
                <w:sz w:val="18"/>
                <w:szCs w:val="18"/>
                <w:color w:val="auto"/>
              </w:rPr>
            </w:pP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spacing w:after="0"/>
              <w:rPr>
                <w:sz w:val="18"/>
                <w:szCs w:val="18"/>
                <w:color w:val="auto"/>
              </w:rPr>
            </w:pP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Current Assets: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Cash and cash equivalents</w:t>
            </w:r>
          </w:p>
        </w:tc>
        <w:tc>
          <w:tcPr>
            <w:tcW w:w="480" w:type="dxa"/>
            <w:vAlign w:val="bottom"/>
            <w:tcBorders>
              <w:bottom w:val="single" w:sz="8" w:color="DBDBDB"/>
            </w:tcBorders>
            <w:shd w:val="clear" w:color="auto" w:fill="DBDBDB"/>
          </w:tcPr>
          <w:p>
            <w:pPr>
              <w:jc w:val="right"/>
              <w:ind w:right="26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21.4</w:t>
            </w:r>
          </w:p>
        </w:tc>
        <w:tc>
          <w:tcPr>
            <w:tcW w:w="360" w:type="dxa"/>
            <w:vAlign w:val="bottom"/>
            <w:tcBorders>
              <w:bottom w:val="single" w:sz="8" w:color="DBDBDB"/>
            </w:tcBorders>
            <w:shd w:val="clear" w:color="auto" w:fill="DBDBDB"/>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84.5</w:t>
            </w:r>
          </w:p>
        </w:tc>
      </w:tr>
      <w:tr>
        <w:trPr>
          <w:trHeight w:val="169"/>
        </w:trPr>
        <w:tc>
          <w:tcPr>
            <w:tcW w:w="7960" w:type="dxa"/>
            <w:vAlign w:val="bottom"/>
            <w:gridSpan w:val="2"/>
          </w:tcPr>
          <w:p>
            <w:pPr>
              <w:ind w:left="460"/>
              <w:spacing w:after="0" w:line="169" w:lineRule="exact"/>
              <w:rPr>
                <w:sz w:val="20"/>
                <w:szCs w:val="20"/>
                <w:color w:val="auto"/>
              </w:rPr>
            </w:pPr>
            <w:r>
              <w:rPr>
                <w:rFonts w:ascii="Calibri" w:cs="Calibri" w:eastAsia="Calibri" w:hAnsi="Calibri"/>
                <w:sz w:val="14"/>
                <w:szCs w:val="14"/>
                <w:color w:val="auto"/>
              </w:rPr>
              <w:t>Restricted cash</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2.6</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6.1</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Accounts receivable</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spacing w:after="0"/>
              <w:rPr>
                <w:sz w:val="18"/>
                <w:szCs w:val="18"/>
                <w:color w:val="auto"/>
              </w:rPr>
            </w:pPr>
          </w:p>
        </w:tc>
      </w:tr>
      <w:tr>
        <w:trPr>
          <w:trHeight w:val="169"/>
        </w:trPr>
        <w:tc>
          <w:tcPr>
            <w:tcW w:w="860" w:type="dxa"/>
            <w:vAlign w:val="bottom"/>
          </w:tcPr>
          <w:p>
            <w:pPr>
              <w:spacing w:after="0"/>
              <w:rPr>
                <w:sz w:val="14"/>
                <w:szCs w:val="14"/>
                <w:color w:val="auto"/>
              </w:rPr>
            </w:pPr>
          </w:p>
        </w:tc>
        <w:tc>
          <w:tcPr>
            <w:tcW w:w="7100" w:type="dxa"/>
            <w:vAlign w:val="bottom"/>
          </w:tcPr>
          <w:p>
            <w:pPr>
              <w:ind w:left="20"/>
              <w:spacing w:after="0" w:line="169" w:lineRule="exact"/>
              <w:rPr>
                <w:sz w:val="20"/>
                <w:szCs w:val="20"/>
                <w:color w:val="auto"/>
              </w:rPr>
            </w:pPr>
            <w:r>
              <w:rPr>
                <w:rFonts w:ascii="Calibri" w:cs="Calibri" w:eastAsia="Calibri" w:hAnsi="Calibri"/>
                <w:sz w:val="14"/>
                <w:szCs w:val="14"/>
                <w:color w:val="auto"/>
              </w:rPr>
              <w:t>Trade, net of allowances of $0.2 and $0.2, respectvely</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102.9</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73.8</w:t>
            </w:r>
          </w:p>
        </w:tc>
      </w:tr>
      <w:tr>
        <w:trPr>
          <w:trHeight w:val="58"/>
        </w:trPr>
        <w:tc>
          <w:tcPr>
            <w:tcW w:w="860" w:type="dxa"/>
            <w:vAlign w:val="bottom"/>
          </w:tcPr>
          <w:p>
            <w:pPr>
              <w:spacing w:after="0"/>
              <w:rPr>
                <w:sz w:val="5"/>
                <w:szCs w:val="5"/>
                <w:color w:val="auto"/>
              </w:rPr>
            </w:pPr>
          </w:p>
        </w:tc>
        <w:tc>
          <w:tcPr>
            <w:tcW w:w="7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860" w:type="dxa"/>
            <w:vAlign w:val="bottom"/>
            <w:tcBorders>
              <w:bottom w:val="single" w:sz="8" w:color="DBDBDB"/>
            </w:tcBorders>
            <w:shd w:val="clear" w:color="auto" w:fill="DBDBDB"/>
          </w:tcPr>
          <w:p>
            <w:pPr>
              <w:spacing w:after="0"/>
              <w:rPr>
                <w:sz w:val="18"/>
                <w:szCs w:val="18"/>
                <w:color w:val="auto"/>
              </w:rPr>
            </w:pPr>
          </w:p>
        </w:tc>
        <w:tc>
          <w:tcPr>
            <w:tcW w:w="71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Grower and fruit advances</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4.4</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0.6</w:t>
            </w:r>
          </w:p>
        </w:tc>
      </w:tr>
      <w:tr>
        <w:trPr>
          <w:trHeight w:val="169"/>
        </w:trPr>
        <w:tc>
          <w:tcPr>
            <w:tcW w:w="860" w:type="dxa"/>
            <w:vAlign w:val="bottom"/>
          </w:tcPr>
          <w:p>
            <w:pPr>
              <w:spacing w:after="0"/>
              <w:rPr>
                <w:sz w:val="14"/>
                <w:szCs w:val="14"/>
                <w:color w:val="auto"/>
              </w:rPr>
            </w:pPr>
          </w:p>
        </w:tc>
        <w:tc>
          <w:tcPr>
            <w:tcW w:w="7100" w:type="dxa"/>
            <w:vAlign w:val="bottom"/>
          </w:tcPr>
          <w:p>
            <w:pPr>
              <w:ind w:left="20"/>
              <w:spacing w:after="0" w:line="169" w:lineRule="exact"/>
              <w:rPr>
                <w:sz w:val="20"/>
                <w:szCs w:val="20"/>
                <w:color w:val="auto"/>
              </w:rPr>
            </w:pPr>
            <w:r>
              <w:rPr>
                <w:rFonts w:ascii="Calibri" w:cs="Calibri" w:eastAsia="Calibri" w:hAnsi="Calibri"/>
                <w:sz w:val="14"/>
                <w:szCs w:val="14"/>
                <w:color w:val="auto"/>
              </w:rPr>
              <w:t>Miscellaneous receivables</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10.7</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12.3</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Inventory</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90.6</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48.2</w:t>
            </w:r>
          </w:p>
        </w:tc>
      </w:tr>
      <w:tr>
        <w:trPr>
          <w:trHeight w:val="169"/>
        </w:trPr>
        <w:tc>
          <w:tcPr>
            <w:tcW w:w="7960" w:type="dxa"/>
            <w:vAlign w:val="bottom"/>
            <w:gridSpan w:val="2"/>
          </w:tcPr>
          <w:p>
            <w:pPr>
              <w:ind w:left="460"/>
              <w:spacing w:after="0" w:line="169" w:lineRule="exact"/>
              <w:rPr>
                <w:sz w:val="20"/>
                <w:szCs w:val="20"/>
                <w:color w:val="auto"/>
              </w:rPr>
            </w:pPr>
            <w:r>
              <w:rPr>
                <w:rFonts w:ascii="Calibri" w:cs="Calibri" w:eastAsia="Calibri" w:hAnsi="Calibri"/>
                <w:sz w:val="14"/>
                <w:szCs w:val="14"/>
                <w:color w:val="auto"/>
              </w:rPr>
              <w:t>Prepaid expenses and other current assets</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7.8</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11.6</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Loans to equity method investees</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2.1</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3.3</w:t>
            </w:r>
          </w:p>
        </w:tc>
      </w:tr>
      <w:tr>
        <w:trPr>
          <w:trHeight w:val="169"/>
        </w:trPr>
        <w:tc>
          <w:tcPr>
            <w:tcW w:w="7960" w:type="dxa"/>
            <w:vAlign w:val="bottom"/>
            <w:gridSpan w:val="2"/>
          </w:tcPr>
          <w:p>
            <w:pPr>
              <w:ind w:left="460"/>
              <w:spacing w:after="0" w:line="169" w:lineRule="exact"/>
              <w:rPr>
                <w:sz w:val="20"/>
                <w:szCs w:val="20"/>
                <w:color w:val="auto"/>
              </w:rPr>
            </w:pPr>
            <w:r>
              <w:rPr>
                <w:rFonts w:ascii="Calibri" w:cs="Calibri" w:eastAsia="Calibri" w:hAnsi="Calibri"/>
                <w:sz w:val="14"/>
                <w:szCs w:val="14"/>
                <w:color w:val="auto"/>
              </w:rPr>
              <w:t>Income taxes receivable</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12.6</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6.7</w:t>
            </w:r>
          </w:p>
        </w:tc>
      </w:tr>
      <w:tr>
        <w:trPr>
          <w:trHeight w:val="58"/>
        </w:trPr>
        <w:tc>
          <w:tcPr>
            <w:tcW w:w="860" w:type="dxa"/>
            <w:vAlign w:val="bottom"/>
            <w:tcBorders>
              <w:bottom w:val="single" w:sz="8" w:color="auto"/>
            </w:tcBorders>
          </w:tcPr>
          <w:p>
            <w:pPr>
              <w:spacing w:after="0"/>
              <w:rPr>
                <w:sz w:val="5"/>
                <w:szCs w:val="5"/>
                <w:color w:val="auto"/>
              </w:rPr>
            </w:pPr>
          </w:p>
        </w:tc>
        <w:tc>
          <w:tcPr>
            <w:tcW w:w="7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1"/>
        </w:trPr>
        <w:tc>
          <w:tcPr>
            <w:tcW w:w="860" w:type="dxa"/>
            <w:vAlign w:val="bottom"/>
            <w:tcBorders>
              <w:bottom w:val="single" w:sz="8" w:color="DBDBDB"/>
            </w:tcBorders>
            <w:shd w:val="clear" w:color="auto" w:fill="DBDBDB"/>
          </w:tcPr>
          <w:p>
            <w:pPr>
              <w:spacing w:after="0"/>
              <w:rPr>
                <w:sz w:val="17"/>
                <w:szCs w:val="17"/>
                <w:color w:val="auto"/>
              </w:rPr>
            </w:pPr>
          </w:p>
        </w:tc>
        <w:tc>
          <w:tcPr>
            <w:tcW w:w="7100" w:type="dxa"/>
            <w:vAlign w:val="bottom"/>
            <w:tcBorders>
              <w:bottom w:val="single" w:sz="8" w:color="DBDBDB"/>
            </w:tcBorders>
            <w:shd w:val="clear" w:color="auto" w:fill="DBDBDB"/>
          </w:tcPr>
          <w:p>
            <w:pPr>
              <w:ind w:left="440"/>
              <w:spacing w:after="0" w:line="162" w:lineRule="exact"/>
              <w:rPr>
                <w:sz w:val="20"/>
                <w:szCs w:val="20"/>
                <w:color w:val="auto"/>
              </w:rPr>
            </w:pPr>
            <w:r>
              <w:rPr>
                <w:rFonts w:ascii="Calibri" w:cs="Calibri" w:eastAsia="Calibri" w:hAnsi="Calibri"/>
                <w:sz w:val="14"/>
                <w:szCs w:val="14"/>
                <w:color w:val="auto"/>
              </w:rPr>
              <w:t>Total current assets</w:t>
            </w:r>
          </w:p>
        </w:tc>
        <w:tc>
          <w:tcPr>
            <w:tcW w:w="4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255.1</w:t>
            </w:r>
          </w:p>
        </w:tc>
        <w:tc>
          <w:tcPr>
            <w:tcW w:w="36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247.1</w:t>
            </w: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Property, plant and equipment, net</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438.2</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424.2</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Operatng lease right-of-use assets</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49.2</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43.9</w:t>
            </w: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Equity method investees</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52.8</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52.7</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Loans to equity method investees</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1.9</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1.8</w:t>
            </w: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Deferred income tax assets, net</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7.7</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7.6</w:t>
            </w:r>
          </w:p>
        </w:tc>
      </w:tr>
      <w:tr>
        <w:trPr>
          <w:trHeight w:val="58"/>
        </w:trPr>
        <w:tc>
          <w:tcPr>
            <w:tcW w:w="860" w:type="dxa"/>
            <w:vAlign w:val="bottom"/>
          </w:tcPr>
          <w:p>
            <w:pPr>
              <w:spacing w:after="0"/>
              <w:rPr>
                <w:sz w:val="5"/>
                <w:szCs w:val="5"/>
                <w:color w:val="auto"/>
              </w:rPr>
            </w:pPr>
          </w:p>
        </w:tc>
        <w:tc>
          <w:tcPr>
            <w:tcW w:w="7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8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Goodwill</w:t>
            </w:r>
          </w:p>
        </w:tc>
        <w:tc>
          <w:tcPr>
            <w:tcW w:w="7100" w:type="dxa"/>
            <w:vAlign w:val="bottom"/>
            <w:tcBorders>
              <w:bottom w:val="single" w:sz="8" w:color="DBDBDB"/>
            </w:tcBorders>
            <w:shd w:val="clear" w:color="auto" w:fill="DBDBDB"/>
          </w:tcPr>
          <w:p>
            <w:pPr>
              <w:spacing w:after="0"/>
              <w:rPr>
                <w:sz w:val="18"/>
                <w:szCs w:val="18"/>
                <w:color w:val="auto"/>
              </w:rPr>
            </w:pP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76.4</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76.4</w:t>
            </w:r>
          </w:p>
        </w:tc>
      </w:tr>
      <w:tr>
        <w:trPr>
          <w:trHeight w:val="169"/>
        </w:trPr>
        <w:tc>
          <w:tcPr>
            <w:tcW w:w="860" w:type="dxa"/>
            <w:vAlign w:val="bottom"/>
          </w:tcPr>
          <w:p>
            <w:pPr>
              <w:ind w:left="20"/>
              <w:spacing w:after="0" w:line="169" w:lineRule="exact"/>
              <w:rPr>
                <w:sz w:val="20"/>
                <w:szCs w:val="20"/>
                <w:color w:val="auto"/>
              </w:rPr>
            </w:pPr>
            <w:r>
              <w:rPr>
                <w:rFonts w:ascii="Calibri" w:cs="Calibri" w:eastAsia="Calibri" w:hAnsi="Calibri"/>
                <w:sz w:val="14"/>
                <w:szCs w:val="14"/>
                <w:color w:val="auto"/>
              </w:rPr>
              <w:t>Other assets</w:t>
            </w:r>
          </w:p>
        </w:tc>
        <w:tc>
          <w:tcPr>
            <w:tcW w:w="7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19.5</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19.8</w:t>
            </w:r>
          </w:p>
        </w:tc>
      </w:tr>
      <w:tr>
        <w:trPr>
          <w:trHeight w:val="58"/>
        </w:trPr>
        <w:tc>
          <w:tcPr>
            <w:tcW w:w="860" w:type="dxa"/>
            <w:vAlign w:val="bottom"/>
            <w:tcBorders>
              <w:bottom w:val="single" w:sz="8" w:color="auto"/>
            </w:tcBorders>
          </w:tcPr>
          <w:p>
            <w:pPr>
              <w:spacing w:after="0"/>
              <w:rPr>
                <w:sz w:val="5"/>
                <w:szCs w:val="5"/>
                <w:color w:val="auto"/>
              </w:rPr>
            </w:pPr>
          </w:p>
        </w:tc>
        <w:tc>
          <w:tcPr>
            <w:tcW w:w="7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26"/>
        </w:trPr>
        <w:tc>
          <w:tcPr>
            <w:tcW w:w="8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assets</w:t>
            </w:r>
          </w:p>
        </w:tc>
        <w:tc>
          <w:tcPr>
            <w:tcW w:w="7100" w:type="dxa"/>
            <w:vAlign w:val="bottom"/>
            <w:tcBorders>
              <w:bottom w:val="single" w:sz="8" w:color="DBDBDB"/>
            </w:tcBorders>
            <w:shd w:val="clear" w:color="auto" w:fill="DBDBDB"/>
          </w:tcPr>
          <w:p>
            <w:pPr>
              <w:spacing w:after="0"/>
              <w:rPr>
                <w:sz w:val="19"/>
                <w:szCs w:val="19"/>
                <w:color w:val="auto"/>
              </w:rPr>
            </w:pPr>
          </w:p>
        </w:tc>
        <w:tc>
          <w:tcPr>
            <w:tcW w:w="48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900.8</w:t>
            </w:r>
          </w:p>
        </w:tc>
        <w:tc>
          <w:tcPr>
            <w:tcW w:w="36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873.5</w:t>
            </w:r>
          </w:p>
        </w:tc>
      </w:tr>
      <w:tr>
        <w:trPr>
          <w:trHeight w:val="221"/>
        </w:trPr>
        <w:tc>
          <w:tcPr>
            <w:tcW w:w="860" w:type="dxa"/>
            <w:vAlign w:val="bottom"/>
            <w:tcBorders>
              <w:top w:val="single" w:sz="8" w:color="auto"/>
            </w:tcBorders>
          </w:tcPr>
          <w:p>
            <w:pPr>
              <w:spacing w:after="0"/>
              <w:rPr>
                <w:sz w:val="19"/>
                <w:szCs w:val="19"/>
                <w:color w:val="auto"/>
              </w:rPr>
            </w:pPr>
          </w:p>
        </w:tc>
        <w:tc>
          <w:tcPr>
            <w:tcW w:w="7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07"/>
        </w:trPr>
        <w:tc>
          <w:tcPr>
            <w:tcW w:w="7960" w:type="dxa"/>
            <w:vAlign w:val="bottom"/>
            <w:tcBorders>
              <w:bottom w:val="single" w:sz="8" w:color="DBDBDB"/>
            </w:tcBorders>
            <w:gridSpan w:val="2"/>
            <w:shd w:val="clear" w:color="auto" w:fill="DBDBDB"/>
          </w:tcPr>
          <w:p>
            <w:pPr>
              <w:ind w:left="20"/>
              <w:spacing w:after="0" w:line="169" w:lineRule="exact"/>
              <w:rPr>
                <w:sz w:val="20"/>
                <w:szCs w:val="20"/>
                <w:color w:val="auto"/>
              </w:rPr>
            </w:pPr>
            <w:r>
              <w:rPr>
                <w:rFonts w:ascii="Calibri" w:cs="Calibri" w:eastAsia="Calibri" w:hAnsi="Calibri"/>
                <w:sz w:val="14"/>
                <w:szCs w:val="14"/>
                <w:b w:val="1"/>
                <w:bCs w:val="1"/>
                <w:color w:val="auto"/>
              </w:rPr>
              <w:t>Liabilites and Shareholders' Equity</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spacing w:after="0"/>
              <w:rPr>
                <w:sz w:val="18"/>
                <w:szCs w:val="18"/>
                <w:color w:val="auto"/>
              </w:rPr>
            </w:pPr>
          </w:p>
        </w:tc>
      </w:tr>
      <w:tr>
        <w:trPr>
          <w:trHeight w:val="169"/>
        </w:trPr>
        <w:tc>
          <w:tcPr>
            <w:tcW w:w="860" w:type="dxa"/>
            <w:vAlign w:val="bottom"/>
          </w:tcPr>
          <w:p>
            <w:pPr>
              <w:ind w:left="20"/>
              <w:spacing w:after="0" w:line="169" w:lineRule="exact"/>
              <w:rPr>
                <w:sz w:val="20"/>
                <w:szCs w:val="20"/>
                <w:color w:val="auto"/>
              </w:rPr>
            </w:pPr>
            <w:r>
              <w:rPr>
                <w:rFonts w:ascii="Calibri" w:cs="Calibri" w:eastAsia="Calibri" w:hAnsi="Calibri"/>
                <w:sz w:val="14"/>
                <w:szCs w:val="14"/>
                <w:color w:val="auto"/>
              </w:rPr>
              <w:t>Liabilites</w:t>
            </w:r>
          </w:p>
        </w:tc>
        <w:tc>
          <w:tcPr>
            <w:tcW w:w="7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Accounts payable</w:t>
            </w:r>
          </w:p>
        </w:tc>
        <w:tc>
          <w:tcPr>
            <w:tcW w:w="480" w:type="dxa"/>
            <w:vAlign w:val="bottom"/>
            <w:tcBorders>
              <w:bottom w:val="single" w:sz="8" w:color="DBDBDB"/>
            </w:tcBorders>
            <w:shd w:val="clear" w:color="auto" w:fill="DBDBDB"/>
          </w:tcPr>
          <w:p>
            <w:pPr>
              <w:jc w:val="right"/>
              <w:ind w:right="26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26.3</w:t>
            </w:r>
          </w:p>
        </w:tc>
        <w:tc>
          <w:tcPr>
            <w:tcW w:w="360" w:type="dxa"/>
            <w:vAlign w:val="bottom"/>
            <w:tcBorders>
              <w:bottom w:val="single" w:sz="8" w:color="DBDBDB"/>
            </w:tcBorders>
            <w:shd w:val="clear" w:color="auto" w:fill="DBDBDB"/>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22.8</w:t>
            </w:r>
          </w:p>
        </w:tc>
      </w:tr>
      <w:tr>
        <w:trPr>
          <w:trHeight w:val="169"/>
        </w:trPr>
        <w:tc>
          <w:tcPr>
            <w:tcW w:w="7960" w:type="dxa"/>
            <w:vAlign w:val="bottom"/>
            <w:gridSpan w:val="2"/>
          </w:tcPr>
          <w:p>
            <w:pPr>
              <w:ind w:left="460"/>
              <w:spacing w:after="0" w:line="169" w:lineRule="exact"/>
              <w:rPr>
                <w:sz w:val="20"/>
                <w:szCs w:val="20"/>
                <w:color w:val="auto"/>
              </w:rPr>
            </w:pPr>
            <w:r>
              <w:rPr>
                <w:rFonts w:ascii="Calibri" w:cs="Calibri" w:eastAsia="Calibri" w:hAnsi="Calibri"/>
                <w:sz w:val="14"/>
                <w:szCs w:val="14"/>
                <w:color w:val="auto"/>
              </w:rPr>
              <w:t>Accrued expenses</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28.9</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28.8</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Income taxes payable</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1.8</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1.9</w:t>
            </w:r>
          </w:p>
        </w:tc>
      </w:tr>
      <w:tr>
        <w:trPr>
          <w:trHeight w:val="169"/>
        </w:trPr>
        <w:tc>
          <w:tcPr>
            <w:tcW w:w="7960" w:type="dxa"/>
            <w:vAlign w:val="bottom"/>
            <w:gridSpan w:val="2"/>
          </w:tcPr>
          <w:p>
            <w:pPr>
              <w:ind w:left="460"/>
              <w:spacing w:after="0" w:line="169" w:lineRule="exact"/>
              <w:rPr>
                <w:sz w:val="20"/>
                <w:szCs w:val="20"/>
                <w:color w:val="auto"/>
              </w:rPr>
            </w:pPr>
            <w:r>
              <w:rPr>
                <w:rFonts w:ascii="Calibri" w:cs="Calibri" w:eastAsia="Calibri" w:hAnsi="Calibri"/>
                <w:sz w:val="14"/>
                <w:szCs w:val="14"/>
                <w:color w:val="auto"/>
              </w:rPr>
              <w:t>Grower payables</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58.0</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22.2</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Long-term debt—current porton</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8.8</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8.8</w:t>
            </w:r>
          </w:p>
        </w:tc>
      </w:tr>
      <w:tr>
        <w:trPr>
          <w:trHeight w:val="169"/>
        </w:trPr>
        <w:tc>
          <w:tcPr>
            <w:tcW w:w="7960" w:type="dxa"/>
            <w:vAlign w:val="bottom"/>
            <w:gridSpan w:val="2"/>
          </w:tcPr>
          <w:p>
            <w:pPr>
              <w:ind w:left="460"/>
              <w:spacing w:after="0" w:line="169" w:lineRule="exact"/>
              <w:rPr>
                <w:sz w:val="20"/>
                <w:szCs w:val="20"/>
                <w:color w:val="auto"/>
              </w:rPr>
            </w:pPr>
            <w:r>
              <w:rPr>
                <w:rFonts w:ascii="Calibri" w:cs="Calibri" w:eastAsia="Calibri" w:hAnsi="Calibri"/>
                <w:sz w:val="14"/>
                <w:szCs w:val="14"/>
                <w:color w:val="auto"/>
              </w:rPr>
              <w:t>Operatng leases—current porton</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3.9</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3.6</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32"/>
        </w:trPr>
        <w:tc>
          <w:tcPr>
            <w:tcW w:w="7960" w:type="dxa"/>
            <w:vAlign w:val="bottom"/>
            <w:tcBorders>
              <w:bottom w:val="single" w:sz="8" w:color="DBDBDB"/>
            </w:tcBorders>
            <w:gridSpan w:val="2"/>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Finance leases—current porton</w:t>
            </w:r>
          </w:p>
        </w:tc>
        <w:tc>
          <w:tcPr>
            <w:tcW w:w="48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1.1</w:t>
            </w:r>
          </w:p>
        </w:tc>
        <w:tc>
          <w:tcPr>
            <w:tcW w:w="360" w:type="dxa"/>
            <w:vAlign w:val="bottom"/>
            <w:tcBorders>
              <w:bottom w:val="single" w:sz="8" w:color="DBDBDB"/>
            </w:tcBorders>
            <w:shd w:val="clear" w:color="auto" w:fill="DBDBDB"/>
          </w:tcPr>
          <w:p>
            <w:pPr>
              <w:spacing w:after="0"/>
              <w:rPr>
                <w:sz w:val="19"/>
                <w:szCs w:val="19"/>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1.1</w:t>
            </w:r>
          </w:p>
        </w:tc>
      </w:tr>
      <w:tr>
        <w:trPr>
          <w:trHeight w:val="162"/>
        </w:trPr>
        <w:tc>
          <w:tcPr>
            <w:tcW w:w="860" w:type="dxa"/>
            <w:vAlign w:val="bottom"/>
            <w:tcBorders>
              <w:top w:val="single" w:sz="8" w:color="auto"/>
            </w:tcBorders>
          </w:tcPr>
          <w:p>
            <w:pPr>
              <w:spacing w:after="0"/>
              <w:rPr>
                <w:sz w:val="14"/>
                <w:szCs w:val="14"/>
                <w:color w:val="auto"/>
              </w:rPr>
            </w:pPr>
          </w:p>
        </w:tc>
        <w:tc>
          <w:tcPr>
            <w:tcW w:w="7100" w:type="dxa"/>
            <w:vAlign w:val="bottom"/>
            <w:tcBorders>
              <w:top w:val="single" w:sz="8" w:color="auto"/>
            </w:tcBorders>
          </w:tcPr>
          <w:p>
            <w:pPr>
              <w:ind w:left="440"/>
              <w:spacing w:after="0" w:line="162" w:lineRule="exact"/>
              <w:rPr>
                <w:sz w:val="20"/>
                <w:szCs w:val="20"/>
                <w:color w:val="auto"/>
              </w:rPr>
            </w:pPr>
            <w:r>
              <w:rPr>
                <w:rFonts w:ascii="Calibri" w:cs="Calibri" w:eastAsia="Calibri" w:hAnsi="Calibri"/>
                <w:sz w:val="14"/>
                <w:szCs w:val="14"/>
                <w:color w:val="auto"/>
              </w:rPr>
              <w:t>Total current liabilites</w:t>
            </w:r>
          </w:p>
        </w:tc>
        <w:tc>
          <w:tcPr>
            <w:tcW w:w="4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128.8</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89.2</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Long-term debt, net of current porton</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150.7</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155.1</w:t>
            </w: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Operatng leases, net of current porton</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47.8</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42.5</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Finance leases, net of current porton</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1.7</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2.2</w:t>
            </w: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Income taxes payable</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3.1</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3.5</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Deferred income tax liabilites, net</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26.8</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26.8</w:t>
            </w: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Other long-term liabilites</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17.1</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20.0</w:t>
            </w:r>
          </w:p>
        </w:tc>
      </w:tr>
      <w:tr>
        <w:trPr>
          <w:trHeight w:val="58"/>
        </w:trPr>
        <w:tc>
          <w:tcPr>
            <w:tcW w:w="860" w:type="dxa"/>
            <w:vAlign w:val="bottom"/>
            <w:tcBorders>
              <w:bottom w:val="single" w:sz="8" w:color="auto"/>
            </w:tcBorders>
          </w:tcPr>
          <w:p>
            <w:pPr>
              <w:spacing w:after="0"/>
              <w:rPr>
                <w:sz w:val="5"/>
                <w:szCs w:val="5"/>
                <w:color w:val="auto"/>
              </w:rPr>
            </w:pPr>
          </w:p>
        </w:tc>
        <w:tc>
          <w:tcPr>
            <w:tcW w:w="7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1"/>
        </w:trPr>
        <w:tc>
          <w:tcPr>
            <w:tcW w:w="8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liabilites</w:t>
            </w:r>
          </w:p>
        </w:tc>
        <w:tc>
          <w:tcPr>
            <w:tcW w:w="7100" w:type="dxa"/>
            <w:vAlign w:val="bottom"/>
            <w:tcBorders>
              <w:bottom w:val="single" w:sz="8" w:color="DBDBDB"/>
            </w:tcBorders>
            <w:shd w:val="clear" w:color="auto" w:fill="DBDBDB"/>
          </w:tcPr>
          <w:p>
            <w:pPr>
              <w:spacing w:after="0"/>
              <w:rPr>
                <w:sz w:val="17"/>
                <w:szCs w:val="17"/>
                <w:color w:val="auto"/>
              </w:rPr>
            </w:pPr>
          </w:p>
        </w:tc>
        <w:tc>
          <w:tcPr>
            <w:tcW w:w="4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376.0</w:t>
            </w:r>
          </w:p>
        </w:tc>
        <w:tc>
          <w:tcPr>
            <w:tcW w:w="36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339.3</w:t>
            </w: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Commitments and contngencies (Note 5)</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Shareholders' Equity</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spacing w:after="0"/>
              <w:rPr>
                <w:sz w:val="18"/>
                <w:szCs w:val="18"/>
                <w:color w:val="auto"/>
              </w:rPr>
            </w:pPr>
          </w:p>
        </w:tc>
      </w:tr>
      <w:tr>
        <w:trPr>
          <w:trHeight w:val="169"/>
        </w:trPr>
        <w:tc>
          <w:tcPr>
            <w:tcW w:w="7960" w:type="dxa"/>
            <w:vAlign w:val="bottom"/>
            <w:gridSpan w:val="2"/>
          </w:tcPr>
          <w:p>
            <w:pPr>
              <w:ind w:left="460"/>
              <w:spacing w:after="0" w:line="169" w:lineRule="exact"/>
              <w:rPr>
                <w:sz w:val="20"/>
                <w:szCs w:val="20"/>
                <w:color w:val="auto"/>
              </w:rPr>
            </w:pPr>
            <w:r>
              <w:rPr>
                <w:rFonts w:ascii="Calibri" w:cs="Calibri" w:eastAsia="Calibri" w:hAnsi="Calibri"/>
                <w:sz w:val="14"/>
                <w:szCs w:val="14"/>
                <w:color w:val="auto"/>
              </w:rPr>
              <w:t>Common stock ($0.001 par value, 1,000,000,000 shares authorized; 70,654,041 and 70,631,525 shares issued and outstanding as</w:t>
            </w:r>
          </w:p>
        </w:tc>
        <w:tc>
          <w:tcPr>
            <w:tcW w:w="48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0.1</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0.1</w:t>
            </w:r>
          </w:p>
        </w:tc>
      </w:tr>
      <w:tr>
        <w:trPr>
          <w:trHeight w:val="173"/>
        </w:trPr>
        <w:tc>
          <w:tcPr>
            <w:tcW w:w="7960" w:type="dxa"/>
            <w:vAlign w:val="bottom"/>
            <w:gridSpan w:val="2"/>
          </w:tcPr>
          <w:p>
            <w:pPr>
              <w:ind w:left="460"/>
              <w:spacing w:after="0"/>
              <w:rPr>
                <w:sz w:val="20"/>
                <w:szCs w:val="20"/>
                <w:color w:val="auto"/>
              </w:rPr>
            </w:pPr>
            <w:r>
              <w:rPr>
                <w:rFonts w:ascii="Calibri" w:cs="Calibri" w:eastAsia="Calibri" w:hAnsi="Calibri"/>
                <w:sz w:val="14"/>
                <w:szCs w:val="14"/>
                <w:color w:val="auto"/>
              </w:rPr>
              <w:t>of April 30, 2022 and October 31, 2021, respectvely)</w:t>
            </w: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60"/>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7960" w:type="dxa"/>
            <w:vAlign w:val="bottom"/>
            <w:tcBorders>
              <w:bottom w:val="single" w:sz="8" w:color="DBDBDB"/>
            </w:tcBorders>
            <w:gridSpan w:val="2"/>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Additonal paid-in capital</w:t>
            </w:r>
          </w:p>
        </w:tc>
        <w:tc>
          <w:tcPr>
            <w:tcW w:w="4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227.3</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225.6</w:t>
            </w:r>
          </w:p>
        </w:tc>
      </w:tr>
      <w:tr>
        <w:trPr>
          <w:trHeight w:val="169"/>
        </w:trPr>
        <w:tc>
          <w:tcPr>
            <w:tcW w:w="7960" w:type="dxa"/>
            <w:vAlign w:val="bottom"/>
            <w:gridSpan w:val="2"/>
          </w:tcPr>
          <w:p>
            <w:pPr>
              <w:ind w:left="460"/>
              <w:spacing w:after="0" w:line="169" w:lineRule="exact"/>
              <w:rPr>
                <w:sz w:val="20"/>
                <w:szCs w:val="20"/>
                <w:color w:val="auto"/>
              </w:rPr>
            </w:pPr>
            <w:r>
              <w:rPr>
                <w:rFonts w:ascii="Calibri" w:cs="Calibri" w:eastAsia="Calibri" w:hAnsi="Calibri"/>
                <w:sz w:val="14"/>
                <w:szCs w:val="14"/>
                <w:color w:val="auto"/>
              </w:rPr>
              <w:t>Accumulated other comprehensive loss</w:t>
            </w:r>
          </w:p>
        </w:tc>
        <w:tc>
          <w:tcPr>
            <w:tcW w:w="48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Calibri" w:cs="Calibri" w:eastAsia="Calibri" w:hAnsi="Calibri"/>
                <w:sz w:val="14"/>
                <w:szCs w:val="14"/>
                <w:color w:val="auto"/>
              </w:rPr>
              <w:t>(0.6)</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(0.5)</w:t>
            </w:r>
          </w:p>
        </w:tc>
      </w:tr>
      <w:tr>
        <w:trPr>
          <w:trHeight w:val="58"/>
        </w:trPr>
        <w:tc>
          <w:tcPr>
            <w:tcW w:w="796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32"/>
        </w:trPr>
        <w:tc>
          <w:tcPr>
            <w:tcW w:w="7960" w:type="dxa"/>
            <w:vAlign w:val="bottom"/>
            <w:tcBorders>
              <w:bottom w:val="single" w:sz="8" w:color="DBDBDB"/>
            </w:tcBorders>
            <w:gridSpan w:val="2"/>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Retained earnings</w:t>
            </w:r>
          </w:p>
        </w:tc>
        <w:tc>
          <w:tcPr>
            <w:tcW w:w="48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298.0</w:t>
            </w:r>
          </w:p>
        </w:tc>
        <w:tc>
          <w:tcPr>
            <w:tcW w:w="360" w:type="dxa"/>
            <w:vAlign w:val="bottom"/>
            <w:tcBorders>
              <w:bottom w:val="single" w:sz="8" w:color="DBDBDB"/>
            </w:tcBorders>
            <w:shd w:val="clear" w:color="auto" w:fill="DBDBDB"/>
          </w:tcPr>
          <w:p>
            <w:pPr>
              <w:spacing w:after="0"/>
              <w:rPr>
                <w:sz w:val="19"/>
                <w:szCs w:val="19"/>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309.0</w:t>
            </w:r>
          </w:p>
        </w:tc>
      </w:tr>
      <w:tr>
        <w:trPr>
          <w:trHeight w:val="162"/>
        </w:trPr>
        <w:tc>
          <w:tcPr>
            <w:tcW w:w="860" w:type="dxa"/>
            <w:vAlign w:val="bottom"/>
            <w:tcBorders>
              <w:top w:val="single" w:sz="8" w:color="auto"/>
            </w:tcBorders>
          </w:tcPr>
          <w:p>
            <w:pPr>
              <w:spacing w:after="0"/>
              <w:rPr>
                <w:sz w:val="14"/>
                <w:szCs w:val="14"/>
                <w:color w:val="auto"/>
              </w:rPr>
            </w:pPr>
          </w:p>
        </w:tc>
        <w:tc>
          <w:tcPr>
            <w:tcW w:w="7100" w:type="dxa"/>
            <w:vAlign w:val="bottom"/>
            <w:tcBorders>
              <w:top w:val="single" w:sz="8" w:color="auto"/>
            </w:tcBorders>
          </w:tcPr>
          <w:p>
            <w:pPr>
              <w:ind w:left="440"/>
              <w:spacing w:after="0" w:line="162" w:lineRule="exact"/>
              <w:rPr>
                <w:sz w:val="20"/>
                <w:szCs w:val="20"/>
                <w:color w:val="auto"/>
              </w:rPr>
            </w:pPr>
            <w:r>
              <w:rPr>
                <w:rFonts w:ascii="Calibri" w:cs="Calibri" w:eastAsia="Calibri" w:hAnsi="Calibri"/>
                <w:sz w:val="14"/>
                <w:szCs w:val="14"/>
                <w:color w:val="auto"/>
              </w:rPr>
              <w:t>Total shareholders' equity</w:t>
            </w:r>
          </w:p>
        </w:tc>
        <w:tc>
          <w:tcPr>
            <w:tcW w:w="4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524.8</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534.2</w:t>
            </w:r>
          </w:p>
        </w:tc>
      </w:tr>
      <w:tr>
        <w:trPr>
          <w:trHeight w:val="58"/>
        </w:trPr>
        <w:tc>
          <w:tcPr>
            <w:tcW w:w="7960" w:type="dxa"/>
            <w:vAlign w:val="bottom"/>
            <w:tcBorders>
              <w:bottom w:val="single" w:sz="8" w:color="auto"/>
            </w:tcBorders>
            <w:gridSpan w:val="2"/>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1"/>
        </w:trPr>
        <w:tc>
          <w:tcPr>
            <w:tcW w:w="7960" w:type="dxa"/>
            <w:vAlign w:val="bottom"/>
            <w:tcBorders>
              <w:bottom w:val="single" w:sz="8" w:color="DBDBDB"/>
            </w:tcBorders>
            <w:gridSpan w:val="2"/>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liabilites and shareholders' equity</w:t>
            </w:r>
          </w:p>
        </w:tc>
        <w:tc>
          <w:tcPr>
            <w:tcW w:w="48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900.8</w:t>
            </w:r>
          </w:p>
        </w:tc>
        <w:tc>
          <w:tcPr>
            <w:tcW w:w="36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873.5</w:t>
            </w:r>
          </w:p>
        </w:tc>
      </w:tr>
      <w:tr>
        <w:trPr>
          <w:trHeight w:val="20"/>
        </w:trPr>
        <w:tc>
          <w:tcPr>
            <w:tcW w:w="860" w:type="dxa"/>
            <w:vAlign w:val="bottom"/>
            <w:shd w:val="clear" w:color="auto" w:fill="000000"/>
          </w:tcPr>
          <w:p>
            <w:pPr>
              <w:spacing w:after="0" w:line="20" w:lineRule="exact"/>
              <w:rPr>
                <w:sz w:val="1"/>
                <w:szCs w:val="1"/>
                <w:color w:val="auto"/>
              </w:rPr>
            </w:pPr>
          </w:p>
        </w:tc>
        <w:tc>
          <w:tcPr>
            <w:tcW w:w="7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See accompanying notes to unaudited condensed consolidated fnancial statements.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5" w:name="page6"/>
    <w:bookmarkEnd w:id="5"/>
    <w:p>
      <w:pPr>
        <w:jc w:val="center"/>
        <w:spacing w:after="0"/>
        <w:rPr>
          <w:sz w:val="20"/>
          <w:szCs w:val="20"/>
          <w:color w:val="auto"/>
        </w:rPr>
      </w:pPr>
      <w:r>
        <w:rPr>
          <w:rFonts w:ascii="Calibri" w:cs="Calibri" w:eastAsia="Calibri" w:hAnsi="Calibri"/>
          <w:sz w:val="20"/>
          <w:szCs w:val="20"/>
          <w:b w:val="1"/>
          <w:bCs w:val="1"/>
          <w:color w:val="auto"/>
        </w:rPr>
        <w:t>MISSION PRODUCE, INC.</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CONDENSED CONSOLIDATED STATEMENTS OF COMPREHENSIVE INCOME (LOSS)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shd w:val="clear" w:color="auto" w:fill="43C0B9"/>
          </w:tcPr>
          <w:p>
            <w:pPr>
              <w:spacing w:after="0"/>
              <w:rPr>
                <w:sz w:val="14"/>
                <w:szCs w:val="14"/>
                <w:color w:val="auto"/>
              </w:rPr>
            </w:pPr>
          </w:p>
        </w:tc>
        <w:tc>
          <w:tcPr>
            <w:tcW w:w="540" w:type="dxa"/>
            <w:vAlign w:val="bottom"/>
            <w:shd w:val="clear" w:color="auto" w:fill="43C0B9"/>
          </w:tcPr>
          <w:p>
            <w:pPr>
              <w:spacing w:after="0"/>
              <w:rPr>
                <w:sz w:val="14"/>
                <w:szCs w:val="14"/>
                <w:color w:val="auto"/>
              </w:rPr>
            </w:pPr>
          </w:p>
        </w:tc>
        <w:tc>
          <w:tcPr>
            <w:tcW w:w="1980" w:type="dxa"/>
            <w:vAlign w:val="bottom"/>
            <w:gridSpan w:val="2"/>
            <w:shd w:val="clear" w:color="auto" w:fill="43C0B9"/>
          </w:tcPr>
          <w:p>
            <w:pPr>
              <w:jc w:val="right"/>
              <w:ind w:right="229"/>
              <w:spacing w:after="0"/>
              <w:rPr>
                <w:sz w:val="20"/>
                <w:szCs w:val="20"/>
                <w:color w:val="auto"/>
              </w:rPr>
            </w:pPr>
            <w:r>
              <w:rPr>
                <w:rFonts w:ascii="Calibri" w:cs="Calibri" w:eastAsia="Calibri" w:hAnsi="Calibri"/>
                <w:sz w:val="14"/>
                <w:szCs w:val="14"/>
                <w:b w:val="1"/>
                <w:bCs w:val="1"/>
                <w:color w:val="FFFFFF"/>
              </w:rPr>
              <w:t>Three Months Ended</w:t>
            </w:r>
          </w:p>
        </w:tc>
        <w:tc>
          <w:tcPr>
            <w:tcW w:w="740" w:type="dxa"/>
            <w:vAlign w:val="bottom"/>
            <w:shd w:val="clear" w:color="auto" w:fill="43C0B9"/>
          </w:tcPr>
          <w:p>
            <w:pPr>
              <w:spacing w:after="0"/>
              <w:rPr>
                <w:sz w:val="14"/>
                <w:szCs w:val="14"/>
                <w:color w:val="auto"/>
              </w:rPr>
            </w:pPr>
          </w:p>
        </w:tc>
        <w:tc>
          <w:tcPr>
            <w:tcW w:w="640" w:type="dxa"/>
            <w:vAlign w:val="bottom"/>
            <w:shd w:val="clear" w:color="auto" w:fill="43C0B9"/>
          </w:tcPr>
          <w:p>
            <w:pPr>
              <w:spacing w:after="0"/>
              <w:rPr>
                <w:sz w:val="14"/>
                <w:szCs w:val="14"/>
                <w:color w:val="auto"/>
              </w:rPr>
            </w:pPr>
          </w:p>
        </w:tc>
        <w:tc>
          <w:tcPr>
            <w:tcW w:w="1900" w:type="dxa"/>
            <w:vAlign w:val="bottom"/>
            <w:gridSpan w:val="2"/>
            <w:shd w:val="clear" w:color="auto" w:fill="43C0B9"/>
          </w:tcPr>
          <w:p>
            <w:pPr>
              <w:jc w:val="right"/>
              <w:ind w:right="269"/>
              <w:spacing w:after="0"/>
              <w:rPr>
                <w:sz w:val="20"/>
                <w:szCs w:val="20"/>
                <w:color w:val="auto"/>
              </w:rPr>
            </w:pPr>
            <w:r>
              <w:rPr>
                <w:rFonts w:ascii="Calibri" w:cs="Calibri" w:eastAsia="Calibri" w:hAnsi="Calibri"/>
                <w:sz w:val="14"/>
                <w:szCs w:val="14"/>
                <w:b w:val="1"/>
                <w:bCs w:val="1"/>
                <w:color w:val="FFFFFF"/>
              </w:rPr>
              <w:t>Six Months Ended</w:t>
            </w:r>
          </w:p>
        </w:tc>
        <w:tc>
          <w:tcPr>
            <w:tcW w:w="740" w:type="dxa"/>
            <w:vAlign w:val="bottom"/>
            <w:shd w:val="clear" w:color="auto" w:fill="43C0B9"/>
          </w:tcPr>
          <w:p>
            <w:pPr>
              <w:spacing w:after="0"/>
              <w:rPr>
                <w:sz w:val="14"/>
                <w:szCs w:val="14"/>
                <w:color w:val="auto"/>
              </w:rPr>
            </w:pPr>
          </w:p>
        </w:tc>
      </w:tr>
      <w:tr>
        <w:trPr>
          <w:trHeight w:val="169"/>
        </w:trPr>
        <w:tc>
          <w:tcPr>
            <w:tcW w:w="4700" w:type="dxa"/>
            <w:vAlign w:val="bottom"/>
            <w:shd w:val="clear" w:color="auto" w:fill="43C0B9"/>
          </w:tcPr>
          <w:p>
            <w:pPr>
              <w:spacing w:after="0"/>
              <w:rPr>
                <w:sz w:val="14"/>
                <w:szCs w:val="14"/>
                <w:color w:val="auto"/>
              </w:rPr>
            </w:pPr>
          </w:p>
        </w:tc>
        <w:tc>
          <w:tcPr>
            <w:tcW w:w="540" w:type="dxa"/>
            <w:vAlign w:val="bottom"/>
            <w:shd w:val="clear" w:color="auto" w:fill="43C0B9"/>
          </w:tcPr>
          <w:p>
            <w:pPr>
              <w:spacing w:after="0"/>
              <w:rPr>
                <w:sz w:val="14"/>
                <w:szCs w:val="14"/>
                <w:color w:val="auto"/>
              </w:rPr>
            </w:pPr>
          </w:p>
        </w:tc>
        <w:tc>
          <w:tcPr>
            <w:tcW w:w="1980" w:type="dxa"/>
            <w:vAlign w:val="bottom"/>
            <w:gridSpan w:val="2"/>
            <w:shd w:val="clear" w:color="auto" w:fill="43C0B9"/>
          </w:tcPr>
          <w:p>
            <w:pPr>
              <w:jc w:val="right"/>
              <w:ind w:right="589"/>
              <w:spacing w:after="0" w:line="169" w:lineRule="exact"/>
              <w:rPr>
                <w:sz w:val="20"/>
                <w:szCs w:val="20"/>
                <w:color w:val="auto"/>
              </w:rPr>
            </w:pPr>
            <w:r>
              <w:rPr>
                <w:rFonts w:ascii="Calibri" w:cs="Calibri" w:eastAsia="Calibri" w:hAnsi="Calibri"/>
                <w:sz w:val="14"/>
                <w:szCs w:val="14"/>
                <w:b w:val="1"/>
                <w:bCs w:val="1"/>
                <w:color w:val="FFFFFF"/>
              </w:rPr>
              <w:t>April 30,</w:t>
            </w:r>
          </w:p>
        </w:tc>
        <w:tc>
          <w:tcPr>
            <w:tcW w:w="740" w:type="dxa"/>
            <w:vAlign w:val="bottom"/>
            <w:shd w:val="clear" w:color="auto" w:fill="43C0B9"/>
          </w:tcPr>
          <w:p>
            <w:pPr>
              <w:spacing w:after="0"/>
              <w:rPr>
                <w:sz w:val="14"/>
                <w:szCs w:val="14"/>
                <w:color w:val="auto"/>
              </w:rPr>
            </w:pPr>
          </w:p>
        </w:tc>
        <w:tc>
          <w:tcPr>
            <w:tcW w:w="640" w:type="dxa"/>
            <w:vAlign w:val="bottom"/>
            <w:shd w:val="clear" w:color="auto" w:fill="43C0B9"/>
          </w:tcPr>
          <w:p>
            <w:pPr>
              <w:spacing w:after="0"/>
              <w:rPr>
                <w:sz w:val="14"/>
                <w:szCs w:val="14"/>
                <w:color w:val="auto"/>
              </w:rPr>
            </w:pPr>
          </w:p>
        </w:tc>
        <w:tc>
          <w:tcPr>
            <w:tcW w:w="1900" w:type="dxa"/>
            <w:vAlign w:val="bottom"/>
            <w:gridSpan w:val="2"/>
            <w:shd w:val="clear" w:color="auto" w:fill="43C0B9"/>
          </w:tcPr>
          <w:p>
            <w:pPr>
              <w:jc w:val="right"/>
              <w:ind w:right="549"/>
              <w:spacing w:after="0" w:line="169" w:lineRule="exact"/>
              <w:rPr>
                <w:sz w:val="20"/>
                <w:szCs w:val="20"/>
                <w:color w:val="auto"/>
              </w:rPr>
            </w:pPr>
            <w:r>
              <w:rPr>
                <w:rFonts w:ascii="Calibri" w:cs="Calibri" w:eastAsia="Calibri" w:hAnsi="Calibri"/>
                <w:sz w:val="14"/>
                <w:szCs w:val="14"/>
                <w:b w:val="1"/>
                <w:bCs w:val="1"/>
                <w:color w:val="FFFFFF"/>
              </w:rPr>
              <w:t>April 30,</w:t>
            </w:r>
          </w:p>
        </w:tc>
        <w:tc>
          <w:tcPr>
            <w:tcW w:w="740" w:type="dxa"/>
            <w:vAlign w:val="bottom"/>
            <w:shd w:val="clear" w:color="auto" w:fill="43C0B9"/>
          </w:tcPr>
          <w:p>
            <w:pPr>
              <w:spacing w:after="0"/>
              <w:rPr>
                <w:sz w:val="14"/>
                <w:szCs w:val="14"/>
                <w:color w:val="auto"/>
              </w:rPr>
            </w:pPr>
          </w:p>
        </w:tc>
      </w:tr>
      <w:tr>
        <w:trPr>
          <w:trHeight w:val="294"/>
        </w:trPr>
        <w:tc>
          <w:tcPr>
            <w:tcW w:w="470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 except for per share amounts)</w:t>
            </w:r>
          </w:p>
        </w:tc>
        <w:tc>
          <w:tcPr>
            <w:tcW w:w="540" w:type="dxa"/>
            <w:vAlign w:val="bottom"/>
            <w:tcBorders>
              <w:bottom w:val="single" w:sz="8" w:color="43C0B9"/>
            </w:tcBorders>
            <w:shd w:val="clear" w:color="auto" w:fill="43C0B9"/>
          </w:tcPr>
          <w:p>
            <w:pPr>
              <w:spacing w:after="0"/>
              <w:rPr>
                <w:sz w:val="24"/>
                <w:szCs w:val="24"/>
                <w:color w:val="auto"/>
              </w:rPr>
            </w:pPr>
          </w:p>
        </w:tc>
        <w:tc>
          <w:tcPr>
            <w:tcW w:w="106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92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2021</w:t>
            </w:r>
          </w:p>
        </w:tc>
        <w:tc>
          <w:tcPr>
            <w:tcW w:w="640" w:type="dxa"/>
            <w:vAlign w:val="bottom"/>
            <w:tcBorders>
              <w:bottom w:val="single" w:sz="8" w:color="43C0B9"/>
            </w:tcBorders>
            <w:shd w:val="clear" w:color="auto" w:fill="43C0B9"/>
          </w:tcPr>
          <w:p>
            <w:pPr>
              <w:spacing w:after="0"/>
              <w:rPr>
                <w:sz w:val="24"/>
                <w:szCs w:val="24"/>
                <w:color w:val="auto"/>
              </w:rPr>
            </w:pPr>
          </w:p>
        </w:tc>
        <w:tc>
          <w:tcPr>
            <w:tcW w:w="102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88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7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Net sales</w:t>
            </w:r>
          </w:p>
        </w:tc>
        <w:tc>
          <w:tcPr>
            <w:tcW w:w="540" w:type="dxa"/>
            <w:vAlign w:val="bottom"/>
            <w:tcBorders>
              <w:bottom w:val="single" w:sz="8" w:color="DBDBDB"/>
            </w:tcBorders>
            <w:shd w:val="clear" w:color="auto" w:fill="DBDBDB"/>
          </w:tcPr>
          <w:p>
            <w:pPr>
              <w:jc w:val="right"/>
              <w:ind w:right="36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278.1</w:t>
            </w:r>
          </w:p>
        </w:tc>
        <w:tc>
          <w:tcPr>
            <w:tcW w:w="920" w:type="dxa"/>
            <w:vAlign w:val="bottom"/>
            <w:tcBorders>
              <w:bottom w:val="single" w:sz="8" w:color="DBDBDB"/>
            </w:tcBorders>
            <w:shd w:val="clear" w:color="auto" w:fill="DBDBDB"/>
          </w:tcPr>
          <w:p>
            <w:pPr>
              <w:jc w:val="right"/>
              <w:ind w:right="70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234.7</w:t>
            </w:r>
          </w:p>
        </w:tc>
        <w:tc>
          <w:tcPr>
            <w:tcW w:w="640" w:type="dxa"/>
            <w:vAlign w:val="bottom"/>
            <w:tcBorders>
              <w:bottom w:val="single" w:sz="8" w:color="DBDBDB"/>
            </w:tcBorders>
            <w:shd w:val="clear" w:color="auto" w:fill="DBDBDB"/>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494.7</w:t>
            </w:r>
          </w:p>
        </w:tc>
        <w:tc>
          <w:tcPr>
            <w:tcW w:w="880" w:type="dxa"/>
            <w:vAlign w:val="bottom"/>
            <w:tcBorders>
              <w:bottom w:val="single" w:sz="8" w:color="DBDBDB"/>
            </w:tcBorders>
            <w:shd w:val="clear" w:color="auto" w:fill="DBDBDB"/>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407.9</w:t>
            </w:r>
          </w:p>
        </w:tc>
      </w:tr>
      <w:tr>
        <w:trPr>
          <w:trHeight w:val="169"/>
        </w:trPr>
        <w:tc>
          <w:tcPr>
            <w:tcW w:w="4700" w:type="dxa"/>
            <w:vAlign w:val="bottom"/>
          </w:tcPr>
          <w:p>
            <w:pPr>
              <w:ind w:left="20"/>
              <w:spacing w:after="0" w:line="169" w:lineRule="exact"/>
              <w:rPr>
                <w:sz w:val="20"/>
                <w:szCs w:val="20"/>
                <w:color w:val="auto"/>
              </w:rPr>
            </w:pPr>
            <w:r>
              <w:rPr>
                <w:rFonts w:ascii="Calibri" w:cs="Calibri" w:eastAsia="Calibri" w:hAnsi="Calibri"/>
                <w:sz w:val="14"/>
                <w:szCs w:val="14"/>
                <w:color w:val="auto"/>
              </w:rPr>
              <w:t>Cost of sales</w:t>
            </w:r>
          </w:p>
        </w:tc>
        <w:tc>
          <w:tcPr>
            <w:tcW w:w="540" w:type="dxa"/>
            <w:vAlign w:val="bottom"/>
          </w:tcPr>
          <w:p>
            <w:pPr>
              <w:spacing w:after="0"/>
              <w:rPr>
                <w:sz w:val="14"/>
                <w:szCs w:val="14"/>
                <w:color w:val="auto"/>
              </w:rPr>
            </w:pPr>
          </w:p>
        </w:tc>
        <w:tc>
          <w:tcPr>
            <w:tcW w:w="10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258.3</w:t>
            </w:r>
          </w:p>
        </w:tc>
        <w:tc>
          <w:tcPr>
            <w:tcW w:w="920" w:type="dxa"/>
            <w:vAlign w:val="bottom"/>
          </w:tcPr>
          <w:p>
            <w:pPr>
              <w:spacing w:after="0"/>
              <w:rPr>
                <w:sz w:val="14"/>
                <w:szCs w:val="14"/>
                <w:color w:val="auto"/>
              </w:rPr>
            </w:pPr>
          </w:p>
        </w:tc>
        <w:tc>
          <w:tcPr>
            <w:tcW w:w="7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207.6</w:t>
            </w:r>
          </w:p>
        </w:tc>
        <w:tc>
          <w:tcPr>
            <w:tcW w:w="640" w:type="dxa"/>
            <w:vAlign w:val="bottom"/>
          </w:tcPr>
          <w:p>
            <w:pPr>
              <w:spacing w:after="0"/>
              <w:rPr>
                <w:sz w:val="14"/>
                <w:szCs w:val="14"/>
                <w:color w:val="auto"/>
              </w:rPr>
            </w:pPr>
          </w:p>
        </w:tc>
        <w:tc>
          <w:tcPr>
            <w:tcW w:w="10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474.4</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358.1</w:t>
            </w:r>
          </w:p>
        </w:tc>
      </w:tr>
      <w:tr>
        <w:trPr>
          <w:trHeight w:val="58"/>
        </w:trPr>
        <w:tc>
          <w:tcPr>
            <w:tcW w:w="47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01"/>
        </w:trPr>
        <w:tc>
          <w:tcPr>
            <w:tcW w:w="47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Gross proft</w:t>
            </w:r>
          </w:p>
        </w:tc>
        <w:tc>
          <w:tcPr>
            <w:tcW w:w="54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19.8</w:t>
            </w:r>
          </w:p>
        </w:tc>
        <w:tc>
          <w:tcPr>
            <w:tcW w:w="9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27.1</w:t>
            </w:r>
          </w:p>
        </w:tc>
        <w:tc>
          <w:tcPr>
            <w:tcW w:w="64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20.3</w:t>
            </w:r>
          </w:p>
        </w:tc>
        <w:tc>
          <w:tcPr>
            <w:tcW w:w="8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49.8</w:t>
            </w:r>
          </w:p>
        </w:tc>
      </w:tr>
      <w:tr>
        <w:trPr>
          <w:trHeight w:val="169"/>
        </w:trPr>
        <w:tc>
          <w:tcPr>
            <w:tcW w:w="4700" w:type="dxa"/>
            <w:vAlign w:val="bottom"/>
          </w:tcPr>
          <w:p>
            <w:pPr>
              <w:ind w:left="20"/>
              <w:spacing w:after="0" w:line="169" w:lineRule="exact"/>
              <w:rPr>
                <w:sz w:val="20"/>
                <w:szCs w:val="20"/>
                <w:color w:val="auto"/>
              </w:rPr>
            </w:pPr>
            <w:r>
              <w:rPr>
                <w:rFonts w:ascii="Calibri" w:cs="Calibri" w:eastAsia="Calibri" w:hAnsi="Calibri"/>
                <w:sz w:val="14"/>
                <w:szCs w:val="14"/>
                <w:color w:val="auto"/>
              </w:rPr>
              <w:t>Selling, general and administratve expenses</w:t>
            </w:r>
          </w:p>
        </w:tc>
        <w:tc>
          <w:tcPr>
            <w:tcW w:w="540" w:type="dxa"/>
            <w:vAlign w:val="bottom"/>
          </w:tcPr>
          <w:p>
            <w:pPr>
              <w:spacing w:after="0"/>
              <w:rPr>
                <w:sz w:val="14"/>
                <w:szCs w:val="14"/>
                <w:color w:val="auto"/>
              </w:rPr>
            </w:pPr>
          </w:p>
        </w:tc>
        <w:tc>
          <w:tcPr>
            <w:tcW w:w="10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18.7</w:t>
            </w:r>
          </w:p>
        </w:tc>
        <w:tc>
          <w:tcPr>
            <w:tcW w:w="920" w:type="dxa"/>
            <w:vAlign w:val="bottom"/>
          </w:tcPr>
          <w:p>
            <w:pPr>
              <w:spacing w:after="0"/>
              <w:rPr>
                <w:sz w:val="14"/>
                <w:szCs w:val="14"/>
                <w:color w:val="auto"/>
              </w:rPr>
            </w:pPr>
          </w:p>
        </w:tc>
        <w:tc>
          <w:tcPr>
            <w:tcW w:w="7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16.3</w:t>
            </w:r>
          </w:p>
        </w:tc>
        <w:tc>
          <w:tcPr>
            <w:tcW w:w="640" w:type="dxa"/>
            <w:vAlign w:val="bottom"/>
          </w:tcPr>
          <w:p>
            <w:pPr>
              <w:spacing w:after="0"/>
              <w:rPr>
                <w:sz w:val="14"/>
                <w:szCs w:val="14"/>
                <w:color w:val="auto"/>
              </w:rPr>
            </w:pPr>
          </w:p>
        </w:tc>
        <w:tc>
          <w:tcPr>
            <w:tcW w:w="10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37.4</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30.9</w:t>
            </w:r>
          </w:p>
        </w:tc>
      </w:tr>
      <w:tr>
        <w:trPr>
          <w:trHeight w:val="58"/>
        </w:trPr>
        <w:tc>
          <w:tcPr>
            <w:tcW w:w="47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01"/>
        </w:trPr>
        <w:tc>
          <w:tcPr>
            <w:tcW w:w="47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Operatng income (loss)</w:t>
            </w:r>
          </w:p>
        </w:tc>
        <w:tc>
          <w:tcPr>
            <w:tcW w:w="54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1.1</w:t>
            </w:r>
          </w:p>
        </w:tc>
        <w:tc>
          <w:tcPr>
            <w:tcW w:w="9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10.8</w:t>
            </w:r>
          </w:p>
        </w:tc>
        <w:tc>
          <w:tcPr>
            <w:tcW w:w="64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(17.1)</w:t>
            </w:r>
          </w:p>
        </w:tc>
        <w:tc>
          <w:tcPr>
            <w:tcW w:w="8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18.9</w:t>
            </w:r>
          </w:p>
        </w:tc>
      </w:tr>
      <w:tr>
        <w:trPr>
          <w:trHeight w:val="169"/>
        </w:trPr>
        <w:tc>
          <w:tcPr>
            <w:tcW w:w="4700" w:type="dxa"/>
            <w:vAlign w:val="bottom"/>
          </w:tcPr>
          <w:p>
            <w:pPr>
              <w:ind w:left="20"/>
              <w:spacing w:after="0" w:line="169" w:lineRule="exact"/>
              <w:rPr>
                <w:sz w:val="20"/>
                <w:szCs w:val="20"/>
                <w:color w:val="auto"/>
              </w:rPr>
            </w:pPr>
            <w:r>
              <w:rPr>
                <w:rFonts w:ascii="Calibri" w:cs="Calibri" w:eastAsia="Calibri" w:hAnsi="Calibri"/>
                <w:sz w:val="14"/>
                <w:szCs w:val="14"/>
                <w:color w:val="auto"/>
              </w:rPr>
              <w:t>Interest expense</w:t>
            </w:r>
          </w:p>
        </w:tc>
        <w:tc>
          <w:tcPr>
            <w:tcW w:w="54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(1.1)</w:t>
            </w:r>
          </w:p>
        </w:tc>
        <w:tc>
          <w:tcPr>
            <w:tcW w:w="92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(0.8)</w:t>
            </w:r>
          </w:p>
        </w:tc>
        <w:tc>
          <w:tcPr>
            <w:tcW w:w="6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(2.0)</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(1.7)</w:t>
            </w:r>
          </w:p>
        </w:tc>
      </w:tr>
      <w:tr>
        <w:trPr>
          <w:trHeight w:val="58"/>
        </w:trPr>
        <w:tc>
          <w:tcPr>
            <w:tcW w:w="4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7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Equity method income (loss)</w:t>
            </w:r>
          </w:p>
        </w:tc>
        <w:tc>
          <w:tcPr>
            <w:tcW w:w="5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9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w:t>
            </w:r>
          </w:p>
        </w:tc>
        <w:tc>
          <w:tcPr>
            <w:tcW w:w="6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1.9</w:t>
            </w: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2.1</w:t>
            </w:r>
          </w:p>
        </w:tc>
      </w:tr>
      <w:tr>
        <w:trPr>
          <w:trHeight w:val="169"/>
        </w:trPr>
        <w:tc>
          <w:tcPr>
            <w:tcW w:w="4700" w:type="dxa"/>
            <w:vAlign w:val="bottom"/>
          </w:tcPr>
          <w:p>
            <w:pPr>
              <w:ind w:left="20"/>
              <w:spacing w:after="0" w:line="169" w:lineRule="exact"/>
              <w:rPr>
                <w:sz w:val="20"/>
                <w:szCs w:val="20"/>
                <w:color w:val="auto"/>
              </w:rPr>
            </w:pPr>
            <w:r>
              <w:rPr>
                <w:rFonts w:ascii="Calibri" w:cs="Calibri" w:eastAsia="Calibri" w:hAnsi="Calibri"/>
                <w:sz w:val="14"/>
                <w:szCs w:val="14"/>
                <w:color w:val="auto"/>
              </w:rPr>
              <w:t>Other income (expense)</w:t>
            </w:r>
          </w:p>
        </w:tc>
        <w:tc>
          <w:tcPr>
            <w:tcW w:w="540" w:type="dxa"/>
            <w:vAlign w:val="bottom"/>
          </w:tcPr>
          <w:p>
            <w:pPr>
              <w:spacing w:after="0"/>
              <w:rPr>
                <w:sz w:val="14"/>
                <w:szCs w:val="14"/>
                <w:color w:val="auto"/>
              </w:rPr>
            </w:pPr>
          </w:p>
        </w:tc>
        <w:tc>
          <w:tcPr>
            <w:tcW w:w="10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2.9</w:t>
            </w:r>
          </w:p>
        </w:tc>
        <w:tc>
          <w:tcPr>
            <w:tcW w:w="92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(0.3)</w:t>
            </w:r>
          </w:p>
        </w:tc>
        <w:tc>
          <w:tcPr>
            <w:tcW w:w="640" w:type="dxa"/>
            <w:vAlign w:val="bottom"/>
          </w:tcPr>
          <w:p>
            <w:pPr>
              <w:spacing w:after="0"/>
              <w:rPr>
                <w:sz w:val="14"/>
                <w:szCs w:val="14"/>
                <w:color w:val="auto"/>
              </w:rPr>
            </w:pPr>
          </w:p>
        </w:tc>
        <w:tc>
          <w:tcPr>
            <w:tcW w:w="10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4.5</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(0.3)</w:t>
            </w:r>
          </w:p>
        </w:tc>
      </w:tr>
      <w:tr>
        <w:trPr>
          <w:trHeight w:val="58"/>
        </w:trPr>
        <w:tc>
          <w:tcPr>
            <w:tcW w:w="47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01"/>
        </w:trPr>
        <w:tc>
          <w:tcPr>
            <w:tcW w:w="47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Income (loss) before income taxes</w:t>
            </w:r>
          </w:p>
        </w:tc>
        <w:tc>
          <w:tcPr>
            <w:tcW w:w="54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3.2</w:t>
            </w:r>
          </w:p>
        </w:tc>
        <w:tc>
          <w:tcPr>
            <w:tcW w:w="9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9.5</w:t>
            </w:r>
          </w:p>
        </w:tc>
        <w:tc>
          <w:tcPr>
            <w:tcW w:w="64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(12.7)</w:t>
            </w:r>
          </w:p>
        </w:tc>
        <w:tc>
          <w:tcPr>
            <w:tcW w:w="8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19.0</w:t>
            </w:r>
          </w:p>
        </w:tc>
      </w:tr>
      <w:tr>
        <w:trPr>
          <w:trHeight w:val="169"/>
        </w:trPr>
        <w:tc>
          <w:tcPr>
            <w:tcW w:w="4700" w:type="dxa"/>
            <w:vAlign w:val="bottom"/>
          </w:tcPr>
          <w:p>
            <w:pPr>
              <w:ind w:left="20"/>
              <w:spacing w:after="0" w:line="169" w:lineRule="exact"/>
              <w:rPr>
                <w:sz w:val="20"/>
                <w:szCs w:val="20"/>
                <w:color w:val="auto"/>
              </w:rPr>
            </w:pPr>
            <w:r>
              <w:rPr>
                <w:rFonts w:ascii="Calibri" w:cs="Calibri" w:eastAsia="Calibri" w:hAnsi="Calibri"/>
                <w:sz w:val="14"/>
                <w:szCs w:val="14"/>
                <w:color w:val="auto"/>
              </w:rPr>
              <w:t>Provision (beneft) for income taxes</w:t>
            </w:r>
          </w:p>
        </w:tc>
        <w:tc>
          <w:tcPr>
            <w:tcW w:w="540" w:type="dxa"/>
            <w:vAlign w:val="bottom"/>
          </w:tcPr>
          <w:p>
            <w:pPr>
              <w:spacing w:after="0"/>
              <w:rPr>
                <w:sz w:val="14"/>
                <w:szCs w:val="14"/>
                <w:color w:val="auto"/>
              </w:rPr>
            </w:pPr>
          </w:p>
        </w:tc>
        <w:tc>
          <w:tcPr>
            <w:tcW w:w="10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0.8</w:t>
            </w:r>
          </w:p>
        </w:tc>
        <w:tc>
          <w:tcPr>
            <w:tcW w:w="920" w:type="dxa"/>
            <w:vAlign w:val="bottom"/>
          </w:tcPr>
          <w:p>
            <w:pPr>
              <w:spacing w:after="0"/>
              <w:rPr>
                <w:sz w:val="14"/>
                <w:szCs w:val="14"/>
                <w:color w:val="auto"/>
              </w:rPr>
            </w:pPr>
          </w:p>
        </w:tc>
        <w:tc>
          <w:tcPr>
            <w:tcW w:w="7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2.1</w:t>
            </w:r>
          </w:p>
        </w:tc>
        <w:tc>
          <w:tcPr>
            <w:tcW w:w="6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(1.7)</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9.4</w:t>
            </w:r>
          </w:p>
        </w:tc>
      </w:tr>
      <w:tr>
        <w:trPr>
          <w:trHeight w:val="58"/>
        </w:trPr>
        <w:tc>
          <w:tcPr>
            <w:tcW w:w="47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26"/>
        </w:trPr>
        <w:tc>
          <w:tcPr>
            <w:tcW w:w="47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income (loss)</w:t>
            </w:r>
          </w:p>
        </w:tc>
        <w:tc>
          <w:tcPr>
            <w:tcW w:w="540" w:type="dxa"/>
            <w:vAlign w:val="bottom"/>
            <w:tcBorders>
              <w:bottom w:val="single" w:sz="8" w:color="DBDBDB"/>
            </w:tcBorders>
            <w:shd w:val="clear" w:color="auto" w:fill="DBDBDB"/>
          </w:tcPr>
          <w:p>
            <w:pPr>
              <w:jc w:val="right"/>
              <w:ind w:right="369"/>
              <w:spacing w:after="0" w:line="162"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2.4</w:t>
            </w:r>
          </w:p>
        </w:tc>
        <w:tc>
          <w:tcPr>
            <w:tcW w:w="920" w:type="dxa"/>
            <w:vAlign w:val="bottom"/>
            <w:tcBorders>
              <w:bottom w:val="single" w:sz="8" w:color="DBDBDB"/>
            </w:tcBorders>
            <w:shd w:val="clear" w:color="auto" w:fill="DBDBDB"/>
          </w:tcPr>
          <w:p>
            <w:pPr>
              <w:jc w:val="right"/>
              <w:ind w:right="709"/>
              <w:spacing w:after="0" w:line="162"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7.4</w:t>
            </w:r>
          </w:p>
        </w:tc>
        <w:tc>
          <w:tcPr>
            <w:tcW w:w="640" w:type="dxa"/>
            <w:vAlign w:val="bottom"/>
            <w:tcBorders>
              <w:bottom w:val="single" w:sz="8" w:color="DBDBDB"/>
            </w:tcBorders>
            <w:shd w:val="clear" w:color="auto" w:fill="DBDBDB"/>
          </w:tcPr>
          <w:p>
            <w:pPr>
              <w:jc w:val="right"/>
              <w:ind w:right="429"/>
              <w:spacing w:after="0" w:line="162"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(11.0)</w:t>
            </w:r>
          </w:p>
        </w:tc>
        <w:tc>
          <w:tcPr>
            <w:tcW w:w="880" w:type="dxa"/>
            <w:vAlign w:val="bottom"/>
            <w:tcBorders>
              <w:bottom w:val="single" w:sz="8" w:color="DBDBDB"/>
            </w:tcBorders>
            <w:shd w:val="clear" w:color="auto" w:fill="DBDBDB"/>
          </w:tcPr>
          <w:p>
            <w:pPr>
              <w:jc w:val="right"/>
              <w:ind w:right="669"/>
              <w:spacing w:after="0" w:line="162"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9.6</w:t>
            </w:r>
          </w:p>
        </w:tc>
      </w:tr>
      <w:tr>
        <w:trPr>
          <w:trHeight w:val="194"/>
        </w:trPr>
        <w:tc>
          <w:tcPr>
            <w:tcW w:w="47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207"/>
        </w:trPr>
        <w:tc>
          <w:tcPr>
            <w:tcW w:w="47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Net income (loss) per share:</w:t>
            </w:r>
          </w:p>
        </w:tc>
        <w:tc>
          <w:tcPr>
            <w:tcW w:w="5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r>
      <w:tr>
        <w:trPr>
          <w:trHeight w:val="169"/>
        </w:trPr>
        <w:tc>
          <w:tcPr>
            <w:tcW w:w="4700" w:type="dxa"/>
            <w:vAlign w:val="bottom"/>
          </w:tcPr>
          <w:p>
            <w:pPr>
              <w:ind w:left="340"/>
              <w:spacing w:after="0" w:line="169" w:lineRule="exact"/>
              <w:rPr>
                <w:sz w:val="20"/>
                <w:szCs w:val="20"/>
                <w:color w:val="auto"/>
              </w:rPr>
            </w:pPr>
            <w:r>
              <w:rPr>
                <w:rFonts w:ascii="Calibri" w:cs="Calibri" w:eastAsia="Calibri" w:hAnsi="Calibri"/>
                <w:sz w:val="14"/>
                <w:szCs w:val="14"/>
                <w:color w:val="auto"/>
              </w:rPr>
              <w:t>Basic</w:t>
            </w:r>
          </w:p>
        </w:tc>
        <w:tc>
          <w:tcPr>
            <w:tcW w:w="540" w:type="dxa"/>
            <w:vAlign w:val="bottom"/>
          </w:tcPr>
          <w:p>
            <w:pPr>
              <w:jc w:val="right"/>
              <w:ind w:right="36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0.03</w:t>
            </w:r>
          </w:p>
        </w:tc>
        <w:tc>
          <w:tcPr>
            <w:tcW w:w="920" w:type="dxa"/>
            <w:vAlign w:val="bottom"/>
          </w:tcPr>
          <w:p>
            <w:pPr>
              <w:jc w:val="right"/>
              <w:ind w:right="70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0.10</w:t>
            </w:r>
          </w:p>
        </w:tc>
        <w:tc>
          <w:tcPr>
            <w:tcW w:w="640" w:type="dxa"/>
            <w:vAlign w:val="bottom"/>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(0.16)</w:t>
            </w:r>
          </w:p>
        </w:tc>
        <w:tc>
          <w:tcPr>
            <w:tcW w:w="880" w:type="dxa"/>
            <w:vAlign w:val="bottom"/>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0.14</w:t>
            </w:r>
          </w:p>
        </w:tc>
      </w:tr>
      <w:tr>
        <w:trPr>
          <w:trHeight w:val="58"/>
        </w:trPr>
        <w:tc>
          <w:tcPr>
            <w:tcW w:w="4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70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Diluted</w:t>
            </w:r>
          </w:p>
        </w:tc>
        <w:tc>
          <w:tcPr>
            <w:tcW w:w="540" w:type="dxa"/>
            <w:vAlign w:val="bottom"/>
            <w:tcBorders>
              <w:bottom w:val="single" w:sz="8" w:color="DBDBDB"/>
            </w:tcBorders>
            <w:shd w:val="clear" w:color="auto" w:fill="DBDBDB"/>
          </w:tcPr>
          <w:p>
            <w:pPr>
              <w:jc w:val="right"/>
              <w:ind w:right="36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0.03</w:t>
            </w:r>
          </w:p>
        </w:tc>
        <w:tc>
          <w:tcPr>
            <w:tcW w:w="920" w:type="dxa"/>
            <w:vAlign w:val="bottom"/>
            <w:tcBorders>
              <w:bottom w:val="single" w:sz="8" w:color="DBDBDB"/>
            </w:tcBorders>
            <w:shd w:val="clear" w:color="auto" w:fill="DBDBDB"/>
          </w:tcPr>
          <w:p>
            <w:pPr>
              <w:jc w:val="right"/>
              <w:ind w:right="70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0.10</w:t>
            </w:r>
          </w:p>
        </w:tc>
        <w:tc>
          <w:tcPr>
            <w:tcW w:w="640" w:type="dxa"/>
            <w:vAlign w:val="bottom"/>
            <w:tcBorders>
              <w:bottom w:val="single" w:sz="8" w:color="DBDBDB"/>
            </w:tcBorders>
            <w:shd w:val="clear" w:color="auto" w:fill="DBDBDB"/>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(0.16)</w:t>
            </w:r>
          </w:p>
        </w:tc>
        <w:tc>
          <w:tcPr>
            <w:tcW w:w="880" w:type="dxa"/>
            <w:vAlign w:val="bottom"/>
            <w:tcBorders>
              <w:bottom w:val="single" w:sz="8" w:color="DBDBDB"/>
            </w:tcBorders>
            <w:shd w:val="clear" w:color="auto" w:fill="DBDBDB"/>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0.14</w:t>
            </w:r>
          </w:p>
        </w:tc>
      </w:tr>
      <w:tr>
        <w:trPr>
          <w:trHeight w:val="214"/>
        </w:trPr>
        <w:tc>
          <w:tcPr>
            <w:tcW w:w="4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7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Other comprehensive income (loss), net of tax</w:t>
            </w:r>
          </w:p>
        </w:tc>
        <w:tc>
          <w:tcPr>
            <w:tcW w:w="5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r>
      <w:tr>
        <w:trPr>
          <w:trHeight w:val="169"/>
        </w:trPr>
        <w:tc>
          <w:tcPr>
            <w:tcW w:w="4700" w:type="dxa"/>
            <w:vAlign w:val="bottom"/>
          </w:tcPr>
          <w:p>
            <w:pPr>
              <w:ind w:left="340"/>
              <w:spacing w:after="0" w:line="169" w:lineRule="exact"/>
              <w:rPr>
                <w:sz w:val="20"/>
                <w:szCs w:val="20"/>
                <w:color w:val="auto"/>
              </w:rPr>
            </w:pPr>
            <w:r>
              <w:rPr>
                <w:rFonts w:ascii="Calibri" w:cs="Calibri" w:eastAsia="Calibri" w:hAnsi="Calibri"/>
                <w:sz w:val="14"/>
                <w:szCs w:val="14"/>
                <w:color w:val="auto"/>
              </w:rPr>
              <w:t>Foreign currency translaton adjustments</w:t>
            </w:r>
          </w:p>
        </w:tc>
        <w:tc>
          <w:tcPr>
            <w:tcW w:w="540" w:type="dxa"/>
            <w:vAlign w:val="bottom"/>
          </w:tcPr>
          <w:p>
            <w:pPr>
              <w:spacing w:after="0"/>
              <w:rPr>
                <w:sz w:val="14"/>
                <w:szCs w:val="14"/>
                <w:color w:val="auto"/>
              </w:rPr>
            </w:pPr>
          </w:p>
        </w:tc>
        <w:tc>
          <w:tcPr>
            <w:tcW w:w="10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0.2</w:t>
            </w:r>
          </w:p>
        </w:tc>
        <w:tc>
          <w:tcPr>
            <w:tcW w:w="92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(0.2)</w:t>
            </w:r>
          </w:p>
        </w:tc>
        <w:tc>
          <w:tcPr>
            <w:tcW w:w="6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(0.1)</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0.3</w:t>
            </w:r>
          </w:p>
        </w:tc>
      </w:tr>
      <w:tr>
        <w:trPr>
          <w:trHeight w:val="58"/>
        </w:trPr>
        <w:tc>
          <w:tcPr>
            <w:tcW w:w="47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01"/>
        </w:trPr>
        <w:tc>
          <w:tcPr>
            <w:tcW w:w="47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Comprehensive income (loss)</w:t>
            </w:r>
          </w:p>
        </w:tc>
        <w:tc>
          <w:tcPr>
            <w:tcW w:w="540" w:type="dxa"/>
            <w:vAlign w:val="bottom"/>
            <w:tcBorders>
              <w:bottom w:val="single" w:sz="8" w:color="DBDBDB"/>
            </w:tcBorders>
            <w:shd w:val="clear" w:color="auto" w:fill="DBDBDB"/>
          </w:tcPr>
          <w:p>
            <w:pPr>
              <w:jc w:val="right"/>
              <w:ind w:right="369"/>
              <w:spacing w:after="0" w:line="162"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2.6</w:t>
            </w:r>
          </w:p>
        </w:tc>
        <w:tc>
          <w:tcPr>
            <w:tcW w:w="920" w:type="dxa"/>
            <w:vAlign w:val="bottom"/>
            <w:tcBorders>
              <w:bottom w:val="single" w:sz="8" w:color="DBDBDB"/>
            </w:tcBorders>
            <w:shd w:val="clear" w:color="auto" w:fill="DBDBDB"/>
          </w:tcPr>
          <w:p>
            <w:pPr>
              <w:jc w:val="right"/>
              <w:ind w:right="709"/>
              <w:spacing w:after="0" w:line="162"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7.2</w:t>
            </w:r>
          </w:p>
        </w:tc>
        <w:tc>
          <w:tcPr>
            <w:tcW w:w="640" w:type="dxa"/>
            <w:vAlign w:val="bottom"/>
            <w:tcBorders>
              <w:bottom w:val="single" w:sz="8" w:color="DBDBDB"/>
            </w:tcBorders>
            <w:shd w:val="clear" w:color="auto" w:fill="DBDBDB"/>
          </w:tcPr>
          <w:p>
            <w:pPr>
              <w:jc w:val="right"/>
              <w:ind w:right="429"/>
              <w:spacing w:after="0" w:line="162"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(11.1)</w:t>
            </w:r>
          </w:p>
        </w:tc>
        <w:tc>
          <w:tcPr>
            <w:tcW w:w="880" w:type="dxa"/>
            <w:vAlign w:val="bottom"/>
            <w:tcBorders>
              <w:bottom w:val="single" w:sz="8" w:color="DBDBDB"/>
            </w:tcBorders>
            <w:shd w:val="clear" w:color="auto" w:fill="DBDBDB"/>
          </w:tcPr>
          <w:p>
            <w:pPr>
              <w:jc w:val="right"/>
              <w:ind w:right="669"/>
              <w:spacing w:after="0" w:line="162"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9.9</w:t>
            </w:r>
          </w:p>
        </w:tc>
      </w:tr>
      <w:tr>
        <w:trPr>
          <w:trHeight w:val="20"/>
        </w:trPr>
        <w:tc>
          <w:tcPr>
            <w:tcW w:w="4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2985135</wp:posOffset>
            </wp:positionH>
            <wp:positionV relativeFrom="paragraph">
              <wp:posOffset>-2929255</wp:posOffset>
            </wp:positionV>
            <wp:extent cx="41529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5290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See accompanying notes to unaudited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6" w:name="page7"/>
    <w:bookmarkEnd w:id="6"/>
    <w:p>
      <w:pPr>
        <w:spacing w:after="0" w:line="1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MISSION PRODUCE, INC.</w:t>
      </w:r>
    </w:p>
    <w:p>
      <w:pPr>
        <w:spacing w:after="0" w:line="3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CONDENSED CONSOLIDATED STATEMENTS OF SHAREHOLDERS’ EQUITY (UNAUDITED)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485"/>
        </w:trPr>
        <w:tc>
          <w:tcPr>
            <w:tcW w:w="3080" w:type="dxa"/>
            <w:vAlign w:val="bottom"/>
            <w:shd w:val="clear" w:color="auto" w:fill="43C0B9"/>
          </w:tcPr>
          <w:p>
            <w:pPr>
              <w:spacing w:after="0"/>
              <w:rPr>
                <w:sz w:val="24"/>
                <w:szCs w:val="24"/>
                <w:color w:val="auto"/>
              </w:rPr>
            </w:pPr>
          </w:p>
        </w:tc>
        <w:tc>
          <w:tcPr>
            <w:tcW w:w="1940" w:type="dxa"/>
            <w:vAlign w:val="bottom"/>
            <w:gridSpan w:val="2"/>
            <w:shd w:val="clear" w:color="auto" w:fill="43C0B9"/>
          </w:tcPr>
          <w:p>
            <w:pPr>
              <w:jc w:val="right"/>
              <w:ind w:right="78"/>
              <w:spacing w:after="0"/>
              <w:rPr>
                <w:sz w:val="20"/>
                <w:szCs w:val="20"/>
                <w:color w:val="auto"/>
              </w:rPr>
            </w:pPr>
            <w:r>
              <w:rPr>
                <w:rFonts w:ascii="Calibri" w:cs="Calibri" w:eastAsia="Calibri" w:hAnsi="Calibri"/>
                <w:sz w:val="12"/>
                <w:szCs w:val="12"/>
                <w:b w:val="1"/>
                <w:bCs w:val="1"/>
                <w:color w:val="FFFFFF"/>
              </w:rPr>
              <w:t>Common stock</w:t>
            </w:r>
          </w:p>
        </w:tc>
        <w:tc>
          <w:tcPr>
            <w:tcW w:w="640" w:type="dxa"/>
            <w:vAlign w:val="bottom"/>
            <w:shd w:val="clear" w:color="auto" w:fill="43C0B9"/>
          </w:tcPr>
          <w:p>
            <w:pPr>
              <w:spacing w:after="0"/>
              <w:rPr>
                <w:sz w:val="24"/>
                <w:szCs w:val="24"/>
                <w:color w:val="auto"/>
              </w:rPr>
            </w:pPr>
          </w:p>
        </w:tc>
        <w:tc>
          <w:tcPr>
            <w:tcW w:w="160" w:type="dxa"/>
            <w:vAlign w:val="bottom"/>
            <w:shd w:val="clear" w:color="auto" w:fill="43C0B9"/>
          </w:tcPr>
          <w:p>
            <w:pPr>
              <w:spacing w:after="0"/>
              <w:rPr>
                <w:sz w:val="24"/>
                <w:szCs w:val="24"/>
                <w:color w:val="auto"/>
              </w:rPr>
            </w:pPr>
          </w:p>
        </w:tc>
        <w:tc>
          <w:tcPr>
            <w:tcW w:w="980" w:type="dxa"/>
            <w:vAlign w:val="bottom"/>
            <w:vMerge w:val="restart"/>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Additonal paid-in</w:t>
            </w:r>
          </w:p>
        </w:tc>
        <w:tc>
          <w:tcPr>
            <w:tcW w:w="120" w:type="dxa"/>
            <w:vAlign w:val="bottom"/>
            <w:shd w:val="clear" w:color="auto" w:fill="43C0B9"/>
          </w:tcPr>
          <w:p>
            <w:pPr>
              <w:spacing w:after="0"/>
              <w:rPr>
                <w:sz w:val="24"/>
                <w:szCs w:val="24"/>
                <w:color w:val="auto"/>
              </w:rPr>
            </w:pPr>
          </w:p>
        </w:tc>
        <w:tc>
          <w:tcPr>
            <w:tcW w:w="1000" w:type="dxa"/>
            <w:vAlign w:val="bottom"/>
            <w:vMerge w:val="restart"/>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Notes receivable</w:t>
            </w:r>
          </w:p>
        </w:tc>
        <w:tc>
          <w:tcPr>
            <w:tcW w:w="80" w:type="dxa"/>
            <w:vAlign w:val="bottom"/>
            <w:shd w:val="clear" w:color="auto" w:fill="43C0B9"/>
          </w:tcPr>
          <w:p>
            <w:pPr>
              <w:spacing w:after="0"/>
              <w:rPr>
                <w:sz w:val="24"/>
                <w:szCs w:val="24"/>
                <w:color w:val="auto"/>
              </w:rPr>
            </w:pPr>
          </w:p>
        </w:tc>
        <w:tc>
          <w:tcPr>
            <w:tcW w:w="1020" w:type="dxa"/>
            <w:vAlign w:val="bottom"/>
            <w:vMerge w:val="restart"/>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Accumulated other</w:t>
            </w:r>
          </w:p>
        </w:tc>
        <w:tc>
          <w:tcPr>
            <w:tcW w:w="120" w:type="dxa"/>
            <w:vAlign w:val="bottom"/>
            <w:shd w:val="clear" w:color="auto" w:fill="43C0B9"/>
          </w:tcPr>
          <w:p>
            <w:pPr>
              <w:spacing w:after="0"/>
              <w:rPr>
                <w:sz w:val="24"/>
                <w:szCs w:val="24"/>
                <w:color w:val="auto"/>
              </w:rPr>
            </w:pPr>
          </w:p>
        </w:tc>
        <w:tc>
          <w:tcPr>
            <w:tcW w:w="1000" w:type="dxa"/>
            <w:vAlign w:val="bottom"/>
            <w:shd w:val="clear" w:color="auto" w:fill="43C0B9"/>
          </w:tcPr>
          <w:p>
            <w:pPr>
              <w:spacing w:after="0"/>
              <w:rPr>
                <w:sz w:val="24"/>
                <w:szCs w:val="24"/>
                <w:color w:val="auto"/>
              </w:rPr>
            </w:pPr>
          </w:p>
        </w:tc>
        <w:tc>
          <w:tcPr>
            <w:tcW w:w="80" w:type="dxa"/>
            <w:vAlign w:val="bottom"/>
            <w:shd w:val="clear" w:color="auto" w:fill="43C0B9"/>
          </w:tcPr>
          <w:p>
            <w:pPr>
              <w:spacing w:after="0"/>
              <w:rPr>
                <w:sz w:val="24"/>
                <w:szCs w:val="24"/>
                <w:color w:val="auto"/>
              </w:rPr>
            </w:pPr>
          </w:p>
        </w:tc>
        <w:tc>
          <w:tcPr>
            <w:tcW w:w="1020" w:type="dxa"/>
            <w:vAlign w:val="bottom"/>
            <w:vMerge w:val="restart"/>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Total shareholders'</w:t>
            </w:r>
          </w:p>
        </w:tc>
        <w:tc>
          <w:tcPr>
            <w:tcW w:w="0" w:type="dxa"/>
            <w:vAlign w:val="bottom"/>
          </w:tcPr>
          <w:p>
            <w:pPr>
              <w:spacing w:after="0"/>
              <w:rPr>
                <w:sz w:val="1"/>
                <w:szCs w:val="1"/>
                <w:color w:val="auto"/>
              </w:rPr>
            </w:pPr>
          </w:p>
        </w:tc>
      </w:tr>
      <w:tr>
        <w:trPr>
          <w:trHeight w:val="66"/>
        </w:trPr>
        <w:tc>
          <w:tcPr>
            <w:tcW w:w="3080" w:type="dxa"/>
            <w:vAlign w:val="bottom"/>
            <w:shd w:val="clear" w:color="auto" w:fill="43C0B9"/>
          </w:tcPr>
          <w:p>
            <w:pPr>
              <w:spacing w:after="0"/>
              <w:rPr>
                <w:sz w:val="5"/>
                <w:szCs w:val="5"/>
                <w:color w:val="auto"/>
              </w:rPr>
            </w:pPr>
          </w:p>
        </w:tc>
        <w:tc>
          <w:tcPr>
            <w:tcW w:w="1420" w:type="dxa"/>
            <w:vAlign w:val="bottom"/>
            <w:shd w:val="clear" w:color="auto" w:fill="43C0B9"/>
          </w:tcPr>
          <w:p>
            <w:pPr>
              <w:spacing w:after="0"/>
              <w:rPr>
                <w:sz w:val="5"/>
                <w:szCs w:val="5"/>
                <w:color w:val="auto"/>
              </w:rPr>
            </w:pPr>
          </w:p>
        </w:tc>
        <w:tc>
          <w:tcPr>
            <w:tcW w:w="520" w:type="dxa"/>
            <w:vAlign w:val="bottom"/>
            <w:shd w:val="clear" w:color="auto" w:fill="43C0B9"/>
          </w:tcPr>
          <w:p>
            <w:pPr>
              <w:spacing w:after="0"/>
              <w:rPr>
                <w:sz w:val="5"/>
                <w:szCs w:val="5"/>
                <w:color w:val="auto"/>
              </w:rPr>
            </w:pPr>
          </w:p>
        </w:tc>
        <w:tc>
          <w:tcPr>
            <w:tcW w:w="640" w:type="dxa"/>
            <w:vAlign w:val="bottom"/>
            <w:shd w:val="clear" w:color="auto" w:fill="43C0B9"/>
          </w:tcPr>
          <w:p>
            <w:pPr>
              <w:spacing w:after="0"/>
              <w:rPr>
                <w:sz w:val="5"/>
                <w:szCs w:val="5"/>
                <w:color w:val="auto"/>
              </w:rPr>
            </w:pPr>
          </w:p>
        </w:tc>
        <w:tc>
          <w:tcPr>
            <w:tcW w:w="160" w:type="dxa"/>
            <w:vAlign w:val="bottom"/>
            <w:shd w:val="clear" w:color="auto" w:fill="43C0B9"/>
          </w:tcPr>
          <w:p>
            <w:pPr>
              <w:spacing w:after="0"/>
              <w:rPr>
                <w:sz w:val="5"/>
                <w:szCs w:val="5"/>
                <w:color w:val="auto"/>
              </w:rPr>
            </w:pPr>
          </w:p>
        </w:tc>
        <w:tc>
          <w:tcPr>
            <w:tcW w:w="980" w:type="dxa"/>
            <w:vAlign w:val="bottom"/>
            <w:vMerge w:val="continue"/>
            <w:shd w:val="clear" w:color="auto" w:fill="43C0B9"/>
          </w:tcPr>
          <w:p>
            <w:pPr>
              <w:spacing w:after="0"/>
              <w:rPr>
                <w:sz w:val="5"/>
                <w:szCs w:val="5"/>
                <w:color w:val="auto"/>
              </w:rPr>
            </w:pPr>
          </w:p>
        </w:tc>
        <w:tc>
          <w:tcPr>
            <w:tcW w:w="120" w:type="dxa"/>
            <w:vAlign w:val="bottom"/>
            <w:shd w:val="clear" w:color="auto" w:fill="43C0B9"/>
          </w:tcPr>
          <w:p>
            <w:pPr>
              <w:spacing w:after="0"/>
              <w:rPr>
                <w:sz w:val="5"/>
                <w:szCs w:val="5"/>
                <w:color w:val="auto"/>
              </w:rPr>
            </w:pPr>
          </w:p>
        </w:tc>
        <w:tc>
          <w:tcPr>
            <w:tcW w:w="1000" w:type="dxa"/>
            <w:vAlign w:val="bottom"/>
            <w:vMerge w:val="continue"/>
            <w:shd w:val="clear" w:color="auto" w:fill="43C0B9"/>
          </w:tcPr>
          <w:p>
            <w:pPr>
              <w:spacing w:after="0"/>
              <w:rPr>
                <w:sz w:val="5"/>
                <w:szCs w:val="5"/>
                <w:color w:val="auto"/>
              </w:rPr>
            </w:pPr>
          </w:p>
        </w:tc>
        <w:tc>
          <w:tcPr>
            <w:tcW w:w="80" w:type="dxa"/>
            <w:vAlign w:val="bottom"/>
            <w:shd w:val="clear" w:color="auto" w:fill="43C0B9"/>
          </w:tcPr>
          <w:p>
            <w:pPr>
              <w:spacing w:after="0"/>
              <w:rPr>
                <w:sz w:val="5"/>
                <w:szCs w:val="5"/>
                <w:color w:val="auto"/>
              </w:rPr>
            </w:pPr>
          </w:p>
        </w:tc>
        <w:tc>
          <w:tcPr>
            <w:tcW w:w="1020" w:type="dxa"/>
            <w:vAlign w:val="bottom"/>
            <w:vMerge w:val="continue"/>
            <w:shd w:val="clear" w:color="auto" w:fill="43C0B9"/>
          </w:tcPr>
          <w:p>
            <w:pPr>
              <w:spacing w:after="0"/>
              <w:rPr>
                <w:sz w:val="5"/>
                <w:szCs w:val="5"/>
                <w:color w:val="auto"/>
              </w:rPr>
            </w:pPr>
          </w:p>
        </w:tc>
        <w:tc>
          <w:tcPr>
            <w:tcW w:w="120" w:type="dxa"/>
            <w:vAlign w:val="bottom"/>
            <w:shd w:val="clear" w:color="auto" w:fill="43C0B9"/>
          </w:tcPr>
          <w:p>
            <w:pPr>
              <w:spacing w:after="0"/>
              <w:rPr>
                <w:sz w:val="5"/>
                <w:szCs w:val="5"/>
                <w:color w:val="auto"/>
              </w:rPr>
            </w:pPr>
          </w:p>
        </w:tc>
        <w:tc>
          <w:tcPr>
            <w:tcW w:w="1000" w:type="dxa"/>
            <w:vAlign w:val="bottom"/>
            <w:shd w:val="clear" w:color="auto" w:fill="43C0B9"/>
          </w:tcPr>
          <w:p>
            <w:pPr>
              <w:spacing w:after="0"/>
              <w:rPr>
                <w:sz w:val="5"/>
                <w:szCs w:val="5"/>
                <w:color w:val="auto"/>
              </w:rPr>
            </w:pPr>
          </w:p>
        </w:tc>
        <w:tc>
          <w:tcPr>
            <w:tcW w:w="80" w:type="dxa"/>
            <w:vAlign w:val="bottom"/>
            <w:shd w:val="clear" w:color="auto" w:fill="43C0B9"/>
          </w:tcPr>
          <w:p>
            <w:pPr>
              <w:spacing w:after="0"/>
              <w:rPr>
                <w:sz w:val="5"/>
                <w:szCs w:val="5"/>
                <w:color w:val="auto"/>
              </w:rPr>
            </w:pPr>
          </w:p>
        </w:tc>
        <w:tc>
          <w:tcPr>
            <w:tcW w:w="1020" w:type="dxa"/>
            <w:vAlign w:val="bottom"/>
            <w:vMerge w:val="continue"/>
            <w:shd w:val="clear" w:color="auto" w:fill="43C0B9"/>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08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2"/>
                <w:szCs w:val="12"/>
                <w:b w:val="1"/>
                <w:bCs w:val="1"/>
                <w:color w:val="FFFFFF"/>
              </w:rPr>
              <w:t>(In millions, except for shares)</w:t>
            </w:r>
          </w:p>
        </w:tc>
        <w:tc>
          <w:tcPr>
            <w:tcW w:w="142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Shares</w:t>
            </w:r>
          </w:p>
        </w:tc>
        <w:tc>
          <w:tcPr>
            <w:tcW w:w="520" w:type="dxa"/>
            <w:vAlign w:val="bottom"/>
            <w:tcBorders>
              <w:bottom w:val="single" w:sz="8" w:color="43C0B9"/>
            </w:tcBorders>
            <w:shd w:val="clear" w:color="auto" w:fill="43C0B9"/>
          </w:tcPr>
          <w:p>
            <w:pPr>
              <w:spacing w:after="0"/>
              <w:rPr>
                <w:sz w:val="14"/>
                <w:szCs w:val="14"/>
                <w:color w:val="auto"/>
              </w:rPr>
            </w:pPr>
          </w:p>
        </w:tc>
        <w:tc>
          <w:tcPr>
            <w:tcW w:w="64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Amount</w:t>
            </w:r>
          </w:p>
        </w:tc>
        <w:tc>
          <w:tcPr>
            <w:tcW w:w="160" w:type="dxa"/>
            <w:vAlign w:val="bottom"/>
            <w:tcBorders>
              <w:bottom w:val="single" w:sz="8" w:color="43C0B9"/>
            </w:tcBorders>
            <w:shd w:val="clear" w:color="auto" w:fill="43C0B9"/>
          </w:tcPr>
          <w:p>
            <w:pPr>
              <w:spacing w:after="0"/>
              <w:rPr>
                <w:sz w:val="14"/>
                <w:szCs w:val="14"/>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capital</w:t>
            </w:r>
          </w:p>
        </w:tc>
        <w:tc>
          <w:tcPr>
            <w:tcW w:w="120" w:type="dxa"/>
            <w:vAlign w:val="bottom"/>
            <w:tcBorders>
              <w:bottom w:val="single" w:sz="8" w:color="43C0B9"/>
            </w:tcBorders>
            <w:shd w:val="clear" w:color="auto" w:fill="43C0B9"/>
          </w:tcPr>
          <w:p>
            <w:pPr>
              <w:spacing w:after="0"/>
              <w:rPr>
                <w:sz w:val="14"/>
                <w:szCs w:val="14"/>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from shareholders</w:t>
            </w:r>
          </w:p>
        </w:tc>
        <w:tc>
          <w:tcPr>
            <w:tcW w:w="1100" w:type="dxa"/>
            <w:vAlign w:val="bottom"/>
            <w:tcBorders>
              <w:bottom w:val="single" w:sz="8" w:color="43C0B9"/>
            </w:tcBorders>
            <w:gridSpan w:val="2"/>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comprehensive loss</w:t>
            </w:r>
          </w:p>
        </w:tc>
        <w:tc>
          <w:tcPr>
            <w:tcW w:w="120" w:type="dxa"/>
            <w:vAlign w:val="bottom"/>
            <w:tcBorders>
              <w:bottom w:val="single" w:sz="8" w:color="43C0B9"/>
            </w:tcBorders>
            <w:shd w:val="clear" w:color="auto" w:fill="43C0B9"/>
          </w:tcPr>
          <w:p>
            <w:pPr>
              <w:spacing w:after="0"/>
              <w:rPr>
                <w:sz w:val="14"/>
                <w:szCs w:val="14"/>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Retained earnings</w:t>
            </w:r>
          </w:p>
        </w:tc>
        <w:tc>
          <w:tcPr>
            <w:tcW w:w="80" w:type="dxa"/>
            <w:vAlign w:val="bottom"/>
            <w:tcBorders>
              <w:bottom w:val="single" w:sz="8" w:color="43C0B9"/>
            </w:tcBorders>
            <w:shd w:val="clear" w:color="auto" w:fill="43C0B9"/>
          </w:tcPr>
          <w:p>
            <w:pPr>
              <w:spacing w:after="0"/>
              <w:rPr>
                <w:sz w:val="14"/>
                <w:szCs w:val="14"/>
                <w:color w:val="auto"/>
              </w:rPr>
            </w:pPr>
          </w:p>
        </w:tc>
        <w:tc>
          <w:tcPr>
            <w:tcW w:w="102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equity</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Balance at October 31, 2020</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70,550,922</w:t>
            </w:r>
          </w:p>
        </w:tc>
        <w:tc>
          <w:tcPr>
            <w:tcW w:w="520" w:type="dxa"/>
            <w:vAlign w:val="bottom"/>
            <w:tcBorders>
              <w:bottom w:val="single" w:sz="8" w:color="DBDBDB"/>
            </w:tcBorders>
            <w:shd w:val="clear" w:color="auto" w:fill="DBDBDB"/>
          </w:tcPr>
          <w:p>
            <w:pPr>
              <w:jc w:val="right"/>
              <w:ind w:right="378"/>
              <w:spacing w:after="0"/>
              <w:rPr>
                <w:sz w:val="20"/>
                <w:szCs w:val="20"/>
                <w:color w:val="auto"/>
              </w:rPr>
            </w:pPr>
            <w:r>
              <w:rPr>
                <w:rFonts w:ascii="Calibri" w:cs="Calibri" w:eastAsia="Calibri" w:hAnsi="Calibri"/>
                <w:sz w:val="12"/>
                <w:szCs w:val="12"/>
                <w:color w:val="auto"/>
                <w:w w:val="97"/>
              </w:rPr>
              <w:t>$</w:t>
            </w:r>
          </w:p>
        </w:tc>
        <w:tc>
          <w:tcPr>
            <w:tcW w:w="6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0.1</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222.8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(0.5)</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251.2</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473.5</w:t>
            </w:r>
          </w:p>
        </w:tc>
        <w:tc>
          <w:tcPr>
            <w:tcW w:w="0" w:type="dxa"/>
            <w:vAlign w:val="bottom"/>
          </w:tcPr>
          <w:p>
            <w:pPr>
              <w:spacing w:after="0"/>
              <w:rPr>
                <w:sz w:val="1"/>
                <w:szCs w:val="1"/>
                <w:color w:val="auto"/>
              </w:rPr>
            </w:pPr>
          </w:p>
        </w:tc>
      </w:tr>
      <w:tr>
        <w:trPr>
          <w:trHeight w:val="164"/>
        </w:trPr>
        <w:tc>
          <w:tcPr>
            <w:tcW w:w="3080" w:type="dxa"/>
            <w:vAlign w:val="bottom"/>
          </w:tcPr>
          <w:p>
            <w:pPr>
              <w:ind w:left="20"/>
              <w:spacing w:after="0"/>
              <w:rPr>
                <w:sz w:val="20"/>
                <w:szCs w:val="20"/>
                <w:color w:val="auto"/>
              </w:rPr>
            </w:pPr>
            <w:r>
              <w:rPr>
                <w:rFonts w:ascii="Calibri" w:cs="Calibri" w:eastAsia="Calibri" w:hAnsi="Calibri"/>
                <w:sz w:val="12"/>
                <w:szCs w:val="12"/>
                <w:color w:val="auto"/>
              </w:rPr>
              <w:t>Stock-based compensaton</w:t>
            </w:r>
          </w:p>
        </w:tc>
        <w:tc>
          <w:tcPr>
            <w:tcW w:w="14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2"/>
                <w:szCs w:val="12"/>
                <w:color w:val="auto"/>
              </w:rPr>
              <w:t>0.8</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0.8</w:t>
            </w: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Repayment of stock opton notes receivable</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0" w:type="dxa"/>
            <w:vAlign w:val="bottom"/>
          </w:tcPr>
          <w:p>
            <w:pPr>
              <w:spacing w:after="0"/>
              <w:rPr>
                <w:sz w:val="1"/>
                <w:szCs w:val="1"/>
                <w:color w:val="auto"/>
              </w:rPr>
            </w:pPr>
          </w:p>
        </w:tc>
      </w:tr>
      <w:tr>
        <w:trPr>
          <w:trHeight w:val="164"/>
        </w:trPr>
        <w:tc>
          <w:tcPr>
            <w:tcW w:w="3080" w:type="dxa"/>
            <w:vAlign w:val="bottom"/>
          </w:tcPr>
          <w:p>
            <w:pPr>
              <w:ind w:left="20"/>
              <w:spacing w:after="0"/>
              <w:rPr>
                <w:sz w:val="20"/>
                <w:szCs w:val="20"/>
                <w:color w:val="auto"/>
              </w:rPr>
            </w:pPr>
            <w:r>
              <w:rPr>
                <w:rFonts w:ascii="Calibri" w:cs="Calibri" w:eastAsia="Calibri" w:hAnsi="Calibri"/>
                <w:sz w:val="12"/>
                <w:szCs w:val="12"/>
                <w:color w:val="auto"/>
              </w:rPr>
              <w:t>Net income</w:t>
            </w:r>
          </w:p>
        </w:tc>
        <w:tc>
          <w:tcPr>
            <w:tcW w:w="14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2.2</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2.2</w:t>
            </w: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Other comprehensive income</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0.5</w:t>
            </w:r>
          </w:p>
        </w:tc>
        <w:tc>
          <w:tcPr>
            <w:tcW w:w="1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0.5</w:t>
            </w:r>
          </w:p>
        </w:tc>
        <w:tc>
          <w:tcPr>
            <w:tcW w:w="0" w:type="dxa"/>
            <w:vAlign w:val="bottom"/>
          </w:tcPr>
          <w:p>
            <w:pPr>
              <w:spacing w:after="0"/>
              <w:rPr>
                <w:sz w:val="1"/>
                <w:szCs w:val="1"/>
                <w:color w:val="auto"/>
              </w:rPr>
            </w:pPr>
          </w:p>
        </w:tc>
      </w:tr>
      <w:tr>
        <w:trPr>
          <w:trHeight w:val="157"/>
        </w:trPr>
        <w:tc>
          <w:tcPr>
            <w:tcW w:w="3080" w:type="dxa"/>
            <w:vAlign w:val="bottom"/>
            <w:tcBorders>
              <w:top w:val="single" w:sz="8" w:color="auto"/>
            </w:tcBorders>
          </w:tcPr>
          <w:p>
            <w:pPr>
              <w:ind w:left="20"/>
              <w:spacing w:after="0"/>
              <w:rPr>
                <w:sz w:val="20"/>
                <w:szCs w:val="20"/>
                <w:color w:val="auto"/>
              </w:rPr>
            </w:pPr>
            <w:r>
              <w:rPr>
                <w:rFonts w:ascii="Calibri" w:cs="Calibri" w:eastAsia="Calibri" w:hAnsi="Calibri"/>
                <w:sz w:val="12"/>
                <w:szCs w:val="12"/>
                <w:color w:val="auto"/>
              </w:rPr>
              <w:t>Balance at January 31, 2021</w:t>
            </w:r>
          </w:p>
        </w:tc>
        <w:tc>
          <w:tcPr>
            <w:tcW w:w="14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70,550,922</w:t>
            </w:r>
          </w:p>
        </w:tc>
        <w:tc>
          <w:tcPr>
            <w:tcW w:w="520" w:type="dxa"/>
            <w:vAlign w:val="bottom"/>
            <w:tcBorders>
              <w:top w:val="single" w:sz="8" w:color="auto"/>
            </w:tcBorders>
          </w:tcPr>
          <w:p>
            <w:pPr>
              <w:jc w:val="right"/>
              <w:ind w:right="378"/>
              <w:spacing w:after="0"/>
              <w:rPr>
                <w:sz w:val="20"/>
                <w:szCs w:val="20"/>
                <w:color w:val="auto"/>
              </w:rPr>
            </w:pPr>
            <w:r>
              <w:rPr>
                <w:rFonts w:ascii="Calibri" w:cs="Calibri" w:eastAsia="Calibri" w:hAnsi="Calibri"/>
                <w:sz w:val="12"/>
                <w:szCs w:val="12"/>
                <w:color w:val="auto"/>
                <w:w w:val="97"/>
              </w:rPr>
              <w:t>$</w:t>
            </w:r>
          </w:p>
        </w:tc>
        <w:tc>
          <w:tcPr>
            <w:tcW w:w="640" w:type="dxa"/>
            <w:vAlign w:val="bottom"/>
            <w:tcBorders>
              <w:top w:val="single" w:sz="8" w:color="auto"/>
            </w:tcBorders>
          </w:tcPr>
          <w:p>
            <w:pPr>
              <w:jc w:val="right"/>
              <w:ind w:right="38"/>
              <w:spacing w:after="0"/>
              <w:rPr>
                <w:sz w:val="20"/>
                <w:szCs w:val="20"/>
                <w:color w:val="auto"/>
              </w:rPr>
            </w:pPr>
            <w:r>
              <w:rPr>
                <w:rFonts w:ascii="Calibri" w:cs="Calibri" w:eastAsia="Calibri" w:hAnsi="Calibri"/>
                <w:sz w:val="12"/>
                <w:szCs w:val="12"/>
                <w:color w:val="auto"/>
              </w:rPr>
              <w:t>0.1</w:t>
            </w:r>
          </w:p>
        </w:tc>
        <w:tc>
          <w:tcPr>
            <w:tcW w:w="16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9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223.6</w:t>
            </w:r>
          </w:p>
        </w:tc>
        <w:tc>
          <w:tcPr>
            <w:tcW w:w="1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253.4</w:t>
            </w:r>
          </w:p>
        </w:tc>
        <w:tc>
          <w:tcPr>
            <w:tcW w:w="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477.1</w:t>
            </w:r>
          </w:p>
        </w:tc>
        <w:tc>
          <w:tcPr>
            <w:tcW w:w="0" w:type="dxa"/>
            <w:vAlign w:val="bottom"/>
          </w:tcPr>
          <w:p>
            <w:pPr>
              <w:spacing w:after="0"/>
              <w:rPr>
                <w:sz w:val="1"/>
                <w:szCs w:val="1"/>
                <w:color w:val="auto"/>
              </w:rPr>
            </w:pPr>
          </w:p>
        </w:tc>
      </w:tr>
      <w:tr>
        <w:trPr>
          <w:trHeight w:val="37"/>
        </w:trPr>
        <w:tc>
          <w:tcPr>
            <w:tcW w:w="30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Issuance of common stock for equity awards</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50,000</w:t>
            </w:r>
          </w:p>
        </w:tc>
        <w:tc>
          <w:tcPr>
            <w:tcW w:w="52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64"/>
        </w:trPr>
        <w:tc>
          <w:tcPr>
            <w:tcW w:w="3080" w:type="dxa"/>
            <w:vAlign w:val="bottom"/>
          </w:tcPr>
          <w:p>
            <w:pPr>
              <w:ind w:left="20"/>
              <w:spacing w:after="0"/>
              <w:rPr>
                <w:sz w:val="20"/>
                <w:szCs w:val="20"/>
                <w:color w:val="auto"/>
              </w:rPr>
            </w:pPr>
            <w:r>
              <w:rPr>
                <w:rFonts w:ascii="Calibri" w:cs="Calibri" w:eastAsia="Calibri" w:hAnsi="Calibri"/>
                <w:sz w:val="12"/>
                <w:szCs w:val="12"/>
                <w:color w:val="auto"/>
              </w:rPr>
              <w:t>Stock-based compensaton</w:t>
            </w:r>
          </w:p>
        </w:tc>
        <w:tc>
          <w:tcPr>
            <w:tcW w:w="14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2"/>
                <w:szCs w:val="12"/>
                <w:color w:val="auto"/>
              </w:rPr>
              <w:t>0.7</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0.7</w:t>
            </w: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Net income</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7.4</w:t>
            </w:r>
          </w:p>
        </w:tc>
        <w:tc>
          <w:tcPr>
            <w:tcW w:w="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7.4</w:t>
            </w:r>
          </w:p>
        </w:tc>
        <w:tc>
          <w:tcPr>
            <w:tcW w:w="0" w:type="dxa"/>
            <w:vAlign w:val="bottom"/>
          </w:tcPr>
          <w:p>
            <w:pPr>
              <w:spacing w:after="0"/>
              <w:rPr>
                <w:sz w:val="1"/>
                <w:szCs w:val="1"/>
                <w:color w:val="auto"/>
              </w:rPr>
            </w:pPr>
          </w:p>
        </w:tc>
      </w:tr>
      <w:tr>
        <w:trPr>
          <w:trHeight w:val="164"/>
        </w:trPr>
        <w:tc>
          <w:tcPr>
            <w:tcW w:w="3080" w:type="dxa"/>
            <w:vAlign w:val="bottom"/>
          </w:tcPr>
          <w:p>
            <w:pPr>
              <w:ind w:left="20"/>
              <w:spacing w:after="0"/>
              <w:rPr>
                <w:sz w:val="20"/>
                <w:szCs w:val="20"/>
                <w:color w:val="auto"/>
              </w:rPr>
            </w:pPr>
            <w:r>
              <w:rPr>
                <w:rFonts w:ascii="Calibri" w:cs="Calibri" w:eastAsia="Calibri" w:hAnsi="Calibri"/>
                <w:sz w:val="12"/>
                <w:szCs w:val="12"/>
                <w:color w:val="auto"/>
              </w:rPr>
              <w:t>Other comprehensive loss</w:t>
            </w:r>
          </w:p>
        </w:tc>
        <w:tc>
          <w:tcPr>
            <w:tcW w:w="14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(0.2)</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(0.2)</w:t>
            </w:r>
          </w:p>
        </w:tc>
        <w:tc>
          <w:tcPr>
            <w:tcW w:w="0" w:type="dxa"/>
            <w:vAlign w:val="bottom"/>
          </w:tcPr>
          <w:p>
            <w:pPr>
              <w:spacing w:after="0"/>
              <w:rPr>
                <w:sz w:val="1"/>
                <w:szCs w:val="1"/>
                <w:color w:val="auto"/>
              </w:rPr>
            </w:pPr>
          </w:p>
        </w:tc>
      </w:tr>
      <w:tr>
        <w:trPr>
          <w:trHeight w:val="37"/>
        </w:trPr>
        <w:tc>
          <w:tcPr>
            <w:tcW w:w="30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Balance at April 30, 2021</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70,600,922</w:t>
            </w:r>
          </w:p>
        </w:tc>
        <w:tc>
          <w:tcPr>
            <w:tcW w:w="520" w:type="dxa"/>
            <w:vAlign w:val="bottom"/>
            <w:tcBorders>
              <w:bottom w:val="single" w:sz="8" w:color="DBDBDB"/>
            </w:tcBorders>
            <w:shd w:val="clear" w:color="auto" w:fill="DBDBDB"/>
          </w:tcPr>
          <w:p>
            <w:pPr>
              <w:jc w:val="right"/>
              <w:ind w:right="378"/>
              <w:spacing w:after="0"/>
              <w:rPr>
                <w:sz w:val="20"/>
                <w:szCs w:val="20"/>
                <w:color w:val="auto"/>
              </w:rPr>
            </w:pPr>
            <w:r>
              <w:rPr>
                <w:rFonts w:ascii="Calibri" w:cs="Calibri" w:eastAsia="Calibri" w:hAnsi="Calibri"/>
                <w:sz w:val="12"/>
                <w:szCs w:val="12"/>
                <w:color w:val="auto"/>
                <w:w w:val="97"/>
              </w:rPr>
              <w:t>$</w:t>
            </w:r>
          </w:p>
        </w:tc>
        <w:tc>
          <w:tcPr>
            <w:tcW w:w="6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0.1</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224.3</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(0.2)</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260.8</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485.0</w:t>
            </w:r>
          </w:p>
        </w:tc>
        <w:tc>
          <w:tcPr>
            <w:tcW w:w="0" w:type="dxa"/>
            <w:vAlign w:val="bottom"/>
          </w:tcPr>
          <w:p>
            <w:pPr>
              <w:spacing w:after="0"/>
              <w:rPr>
                <w:sz w:val="1"/>
                <w:szCs w:val="1"/>
                <w:color w:val="auto"/>
              </w:rPr>
            </w:pPr>
          </w:p>
        </w:tc>
      </w:tr>
      <w:tr>
        <w:trPr>
          <w:trHeight w:val="181"/>
        </w:trPr>
        <w:tc>
          <w:tcPr>
            <w:tcW w:w="30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Balance at October 31, 2021</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70,631,525</w:t>
            </w:r>
          </w:p>
        </w:tc>
        <w:tc>
          <w:tcPr>
            <w:tcW w:w="520" w:type="dxa"/>
            <w:vAlign w:val="bottom"/>
            <w:tcBorders>
              <w:bottom w:val="single" w:sz="8" w:color="DBDBDB"/>
            </w:tcBorders>
            <w:shd w:val="clear" w:color="auto" w:fill="DBDBDB"/>
          </w:tcPr>
          <w:p>
            <w:pPr>
              <w:jc w:val="right"/>
              <w:ind w:right="378"/>
              <w:spacing w:after="0"/>
              <w:rPr>
                <w:sz w:val="20"/>
                <w:szCs w:val="20"/>
                <w:color w:val="auto"/>
              </w:rPr>
            </w:pPr>
            <w:r>
              <w:rPr>
                <w:rFonts w:ascii="Calibri" w:cs="Calibri" w:eastAsia="Calibri" w:hAnsi="Calibri"/>
                <w:sz w:val="12"/>
                <w:szCs w:val="12"/>
                <w:color w:val="auto"/>
                <w:w w:val="97"/>
              </w:rPr>
              <w:t>$</w:t>
            </w:r>
          </w:p>
        </w:tc>
        <w:tc>
          <w:tcPr>
            <w:tcW w:w="6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0.1</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225.6</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(0.5)</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309.0</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534.2</w:t>
            </w:r>
          </w:p>
        </w:tc>
        <w:tc>
          <w:tcPr>
            <w:tcW w:w="0" w:type="dxa"/>
            <w:vAlign w:val="bottom"/>
          </w:tcPr>
          <w:p>
            <w:pPr>
              <w:spacing w:after="0"/>
              <w:rPr>
                <w:sz w:val="1"/>
                <w:szCs w:val="1"/>
                <w:color w:val="auto"/>
              </w:rPr>
            </w:pPr>
          </w:p>
        </w:tc>
      </w:tr>
      <w:tr>
        <w:trPr>
          <w:trHeight w:val="164"/>
        </w:trPr>
        <w:tc>
          <w:tcPr>
            <w:tcW w:w="3080" w:type="dxa"/>
            <w:vAlign w:val="bottom"/>
          </w:tcPr>
          <w:p>
            <w:pPr>
              <w:ind w:left="20"/>
              <w:spacing w:after="0"/>
              <w:rPr>
                <w:sz w:val="20"/>
                <w:szCs w:val="20"/>
                <w:color w:val="auto"/>
              </w:rPr>
            </w:pPr>
            <w:r>
              <w:rPr>
                <w:rFonts w:ascii="Calibri" w:cs="Calibri" w:eastAsia="Calibri" w:hAnsi="Calibri"/>
                <w:sz w:val="12"/>
                <w:szCs w:val="12"/>
                <w:color w:val="auto"/>
              </w:rPr>
              <w:t>Stock-based compensaton</w:t>
            </w:r>
          </w:p>
        </w:tc>
        <w:tc>
          <w:tcPr>
            <w:tcW w:w="14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2"/>
                <w:szCs w:val="12"/>
                <w:color w:val="auto"/>
              </w:rPr>
              <w:t>0.8</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0.8</w:t>
            </w: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Net loss</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(13.4)</w:t>
            </w:r>
          </w:p>
        </w:tc>
        <w:tc>
          <w:tcPr>
            <w:tcW w:w="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(13.4)</w:t>
            </w:r>
          </w:p>
        </w:tc>
        <w:tc>
          <w:tcPr>
            <w:tcW w:w="0" w:type="dxa"/>
            <w:vAlign w:val="bottom"/>
          </w:tcPr>
          <w:p>
            <w:pPr>
              <w:spacing w:after="0"/>
              <w:rPr>
                <w:sz w:val="1"/>
                <w:szCs w:val="1"/>
                <w:color w:val="auto"/>
              </w:rPr>
            </w:pPr>
          </w:p>
        </w:tc>
      </w:tr>
      <w:tr>
        <w:trPr>
          <w:trHeight w:val="164"/>
        </w:trPr>
        <w:tc>
          <w:tcPr>
            <w:tcW w:w="3080" w:type="dxa"/>
            <w:vAlign w:val="bottom"/>
          </w:tcPr>
          <w:p>
            <w:pPr>
              <w:ind w:left="20"/>
              <w:spacing w:after="0"/>
              <w:rPr>
                <w:sz w:val="20"/>
                <w:szCs w:val="20"/>
                <w:color w:val="auto"/>
              </w:rPr>
            </w:pPr>
            <w:r>
              <w:rPr>
                <w:rFonts w:ascii="Calibri" w:cs="Calibri" w:eastAsia="Calibri" w:hAnsi="Calibri"/>
                <w:sz w:val="12"/>
                <w:szCs w:val="12"/>
                <w:color w:val="auto"/>
              </w:rPr>
              <w:t>Other comprehensive loss</w:t>
            </w:r>
          </w:p>
        </w:tc>
        <w:tc>
          <w:tcPr>
            <w:tcW w:w="14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(0.3)</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(0.3)</w:t>
            </w:r>
          </w:p>
        </w:tc>
        <w:tc>
          <w:tcPr>
            <w:tcW w:w="0" w:type="dxa"/>
            <w:vAlign w:val="bottom"/>
          </w:tcPr>
          <w:p>
            <w:pPr>
              <w:spacing w:after="0"/>
              <w:rPr>
                <w:sz w:val="1"/>
                <w:szCs w:val="1"/>
                <w:color w:val="auto"/>
              </w:rPr>
            </w:pPr>
          </w:p>
        </w:tc>
      </w:tr>
      <w:tr>
        <w:trPr>
          <w:trHeight w:val="37"/>
        </w:trPr>
        <w:tc>
          <w:tcPr>
            <w:tcW w:w="30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Balance at January 31, 2022</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70,631,525</w:t>
            </w:r>
          </w:p>
        </w:tc>
        <w:tc>
          <w:tcPr>
            <w:tcW w:w="520" w:type="dxa"/>
            <w:vAlign w:val="bottom"/>
            <w:tcBorders>
              <w:bottom w:val="single" w:sz="8" w:color="DBDBDB"/>
            </w:tcBorders>
            <w:shd w:val="clear" w:color="auto" w:fill="DBDBDB"/>
          </w:tcPr>
          <w:p>
            <w:pPr>
              <w:jc w:val="right"/>
              <w:ind w:right="378"/>
              <w:spacing w:after="0"/>
              <w:rPr>
                <w:sz w:val="20"/>
                <w:szCs w:val="20"/>
                <w:color w:val="auto"/>
              </w:rPr>
            </w:pPr>
            <w:r>
              <w:rPr>
                <w:rFonts w:ascii="Calibri" w:cs="Calibri" w:eastAsia="Calibri" w:hAnsi="Calibri"/>
                <w:sz w:val="12"/>
                <w:szCs w:val="12"/>
                <w:color w:val="auto"/>
                <w:w w:val="97"/>
              </w:rPr>
              <w:t>$</w:t>
            </w:r>
          </w:p>
        </w:tc>
        <w:tc>
          <w:tcPr>
            <w:tcW w:w="6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0.1</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226.4</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295.6</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521.3</w:t>
            </w:r>
          </w:p>
        </w:tc>
        <w:tc>
          <w:tcPr>
            <w:tcW w:w="0" w:type="dxa"/>
            <w:vAlign w:val="bottom"/>
          </w:tcPr>
          <w:p>
            <w:pPr>
              <w:spacing w:after="0"/>
              <w:rPr>
                <w:sz w:val="1"/>
                <w:szCs w:val="1"/>
                <w:color w:val="auto"/>
              </w:rPr>
            </w:pPr>
          </w:p>
        </w:tc>
      </w:tr>
      <w:tr>
        <w:trPr>
          <w:trHeight w:val="157"/>
        </w:trPr>
        <w:tc>
          <w:tcPr>
            <w:tcW w:w="3080" w:type="dxa"/>
            <w:vAlign w:val="bottom"/>
            <w:tcBorders>
              <w:top w:val="single" w:sz="8" w:color="auto"/>
            </w:tcBorders>
          </w:tcPr>
          <w:p>
            <w:pPr>
              <w:ind w:left="20"/>
              <w:spacing w:after="0"/>
              <w:rPr>
                <w:sz w:val="20"/>
                <w:szCs w:val="20"/>
                <w:color w:val="auto"/>
              </w:rPr>
            </w:pPr>
            <w:r>
              <w:rPr>
                <w:rFonts w:ascii="Calibri" w:cs="Calibri" w:eastAsia="Calibri" w:hAnsi="Calibri"/>
                <w:sz w:val="12"/>
                <w:szCs w:val="12"/>
                <w:color w:val="auto"/>
              </w:rPr>
              <w:t>Stock-based compensaton</w:t>
            </w:r>
          </w:p>
        </w:tc>
        <w:tc>
          <w:tcPr>
            <w:tcW w:w="14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0.9</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0.9</w:t>
            </w: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Issuance of common stock for equity awards</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22,516</w:t>
            </w:r>
          </w:p>
        </w:tc>
        <w:tc>
          <w:tcPr>
            <w:tcW w:w="520" w:type="dxa"/>
            <w:vAlign w:val="bottom"/>
            <w:tcBorders>
              <w:bottom w:val="single" w:sz="8" w:color="DBDBDB"/>
            </w:tcBorders>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64"/>
        </w:trPr>
        <w:tc>
          <w:tcPr>
            <w:tcW w:w="3080" w:type="dxa"/>
            <w:vAlign w:val="bottom"/>
          </w:tcPr>
          <w:p>
            <w:pPr>
              <w:ind w:left="20"/>
              <w:spacing w:after="0"/>
              <w:rPr>
                <w:sz w:val="20"/>
                <w:szCs w:val="20"/>
                <w:color w:val="auto"/>
              </w:rPr>
            </w:pPr>
            <w:r>
              <w:rPr>
                <w:rFonts w:ascii="Calibri" w:cs="Calibri" w:eastAsia="Calibri" w:hAnsi="Calibri"/>
                <w:sz w:val="12"/>
                <w:szCs w:val="12"/>
                <w:color w:val="auto"/>
              </w:rPr>
              <w:t>Net income</w:t>
            </w:r>
          </w:p>
        </w:tc>
        <w:tc>
          <w:tcPr>
            <w:tcW w:w="14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2"/>
                <w:szCs w:val="12"/>
                <w:color w:val="auto"/>
              </w:rPr>
              <w:t>2.4</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2.4</w:t>
            </w: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color w:val="auto"/>
              </w:rPr>
              <w:t>Other comprehensive income</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5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0.2</w:t>
            </w:r>
          </w:p>
        </w:tc>
        <w:tc>
          <w:tcPr>
            <w:tcW w:w="1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0.2</w:t>
            </w:r>
          </w:p>
        </w:tc>
        <w:tc>
          <w:tcPr>
            <w:tcW w:w="0" w:type="dxa"/>
            <w:vAlign w:val="bottom"/>
          </w:tcPr>
          <w:p>
            <w:pPr>
              <w:spacing w:after="0"/>
              <w:rPr>
                <w:sz w:val="1"/>
                <w:szCs w:val="1"/>
                <w:color w:val="auto"/>
              </w:rPr>
            </w:pPr>
          </w:p>
        </w:tc>
      </w:tr>
      <w:tr>
        <w:trPr>
          <w:trHeight w:val="157"/>
        </w:trPr>
        <w:tc>
          <w:tcPr>
            <w:tcW w:w="3080" w:type="dxa"/>
            <w:vAlign w:val="bottom"/>
            <w:tcBorders>
              <w:top w:val="single" w:sz="8" w:color="auto"/>
            </w:tcBorders>
          </w:tcPr>
          <w:p>
            <w:pPr>
              <w:ind w:left="20"/>
              <w:spacing w:after="0"/>
              <w:rPr>
                <w:sz w:val="20"/>
                <w:szCs w:val="20"/>
                <w:color w:val="auto"/>
              </w:rPr>
            </w:pPr>
            <w:r>
              <w:rPr>
                <w:rFonts w:ascii="Calibri" w:cs="Calibri" w:eastAsia="Calibri" w:hAnsi="Calibri"/>
                <w:sz w:val="12"/>
                <w:szCs w:val="12"/>
                <w:color w:val="auto"/>
              </w:rPr>
              <w:t>Balance at April 30, 2022</w:t>
            </w:r>
          </w:p>
        </w:tc>
        <w:tc>
          <w:tcPr>
            <w:tcW w:w="14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70,654,041</w:t>
            </w:r>
          </w:p>
        </w:tc>
        <w:tc>
          <w:tcPr>
            <w:tcW w:w="520" w:type="dxa"/>
            <w:vAlign w:val="bottom"/>
            <w:tcBorders>
              <w:top w:val="single" w:sz="8" w:color="auto"/>
            </w:tcBorders>
          </w:tcPr>
          <w:p>
            <w:pPr>
              <w:jc w:val="right"/>
              <w:ind w:right="378"/>
              <w:spacing w:after="0"/>
              <w:rPr>
                <w:sz w:val="20"/>
                <w:szCs w:val="20"/>
                <w:color w:val="auto"/>
              </w:rPr>
            </w:pPr>
            <w:r>
              <w:rPr>
                <w:rFonts w:ascii="Calibri" w:cs="Calibri" w:eastAsia="Calibri" w:hAnsi="Calibri"/>
                <w:sz w:val="12"/>
                <w:szCs w:val="12"/>
                <w:color w:val="auto"/>
                <w:w w:val="97"/>
              </w:rPr>
              <w:t>$</w:t>
            </w:r>
          </w:p>
        </w:tc>
        <w:tc>
          <w:tcPr>
            <w:tcW w:w="640" w:type="dxa"/>
            <w:vAlign w:val="bottom"/>
            <w:tcBorders>
              <w:top w:val="single" w:sz="8" w:color="auto"/>
            </w:tcBorders>
          </w:tcPr>
          <w:p>
            <w:pPr>
              <w:jc w:val="right"/>
              <w:ind w:right="38"/>
              <w:spacing w:after="0"/>
              <w:rPr>
                <w:sz w:val="20"/>
                <w:szCs w:val="20"/>
                <w:color w:val="auto"/>
              </w:rPr>
            </w:pPr>
            <w:r>
              <w:rPr>
                <w:rFonts w:ascii="Calibri" w:cs="Calibri" w:eastAsia="Calibri" w:hAnsi="Calibri"/>
                <w:sz w:val="12"/>
                <w:szCs w:val="12"/>
                <w:color w:val="auto"/>
              </w:rPr>
              <w:t>0.1</w:t>
            </w:r>
          </w:p>
        </w:tc>
        <w:tc>
          <w:tcPr>
            <w:tcW w:w="16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9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227.3</w:t>
            </w:r>
          </w:p>
        </w:tc>
        <w:tc>
          <w:tcPr>
            <w:tcW w:w="1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(0.6)</w:t>
            </w:r>
          </w:p>
        </w:tc>
        <w:tc>
          <w:tcPr>
            <w:tcW w:w="1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298.0</w:t>
            </w:r>
          </w:p>
        </w:tc>
        <w:tc>
          <w:tcPr>
            <w:tcW w:w="8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w w:val="97"/>
              </w:rPr>
              <w:t>$</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2"/>
                <w:szCs w:val="12"/>
                <w:color w:val="auto"/>
              </w:rPr>
              <w:t>524.8</w:t>
            </w:r>
          </w:p>
        </w:tc>
        <w:tc>
          <w:tcPr>
            <w:tcW w:w="0" w:type="dxa"/>
            <w:vAlign w:val="bottom"/>
          </w:tcPr>
          <w:p>
            <w:pPr>
              <w:spacing w:after="0"/>
              <w:rPr>
                <w:sz w:val="1"/>
                <w:szCs w:val="1"/>
                <w:color w:val="auto"/>
              </w:rPr>
            </w:pPr>
          </w:p>
        </w:tc>
      </w:tr>
      <w:tr>
        <w:trPr>
          <w:trHeight w:val="37"/>
        </w:trPr>
        <w:tc>
          <w:tcPr>
            <w:tcW w:w="30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-2997200</wp:posOffset>
            </wp:positionV>
            <wp:extent cx="1409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See accompanying notes to unaudited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ind w:right="-39"/>
        <w:spacing w:after="0"/>
        <w:rPr>
          <w:sz w:val="20"/>
          <w:szCs w:val="20"/>
          <w:color w:val="auto"/>
        </w:rPr>
      </w:pPr>
      <w:r>
        <w:rPr>
          <w:rFonts w:ascii="Calibri" w:cs="Calibri" w:eastAsia="Calibri" w:hAnsi="Calibri"/>
          <w:sz w:val="20"/>
          <w:szCs w:val="20"/>
          <w:b w:val="1"/>
          <w:bCs w:val="1"/>
          <w:color w:val="auto"/>
        </w:rPr>
        <w:t>MISSION PRODUCE, INC.</w:t>
      </w:r>
    </w:p>
    <w:p>
      <w:pPr>
        <w:spacing w:after="0" w:line="50"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CONDENSED CONSOLIDATED STATEMENTS OF CASH FLOW (UNAUDITED)</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580" w:type="dxa"/>
            <w:vAlign w:val="bottom"/>
            <w:shd w:val="clear" w:color="auto" w:fill="43C0B9"/>
          </w:tcPr>
          <w:p>
            <w:pPr>
              <w:spacing w:after="0"/>
              <w:rPr>
                <w:sz w:val="16"/>
                <w:szCs w:val="16"/>
                <w:color w:val="auto"/>
              </w:rPr>
            </w:pPr>
          </w:p>
        </w:tc>
        <w:tc>
          <w:tcPr>
            <w:tcW w:w="460" w:type="dxa"/>
            <w:vAlign w:val="bottom"/>
            <w:shd w:val="clear" w:color="auto" w:fill="43C0B9"/>
          </w:tcPr>
          <w:p>
            <w:pPr>
              <w:spacing w:after="0"/>
              <w:rPr>
                <w:sz w:val="16"/>
                <w:szCs w:val="16"/>
                <w:color w:val="auto"/>
              </w:rPr>
            </w:pPr>
          </w:p>
        </w:tc>
        <w:tc>
          <w:tcPr>
            <w:tcW w:w="2200" w:type="dxa"/>
            <w:vAlign w:val="bottom"/>
            <w:gridSpan w:val="2"/>
            <w:shd w:val="clear" w:color="auto" w:fill="43C0B9"/>
          </w:tcPr>
          <w:p>
            <w:pPr>
              <w:jc w:val="right"/>
              <w:ind w:right="149"/>
              <w:spacing w:after="0"/>
              <w:rPr>
                <w:sz w:val="20"/>
                <w:szCs w:val="20"/>
                <w:color w:val="auto"/>
              </w:rPr>
            </w:pPr>
            <w:r>
              <w:rPr>
                <w:rFonts w:ascii="Calibri" w:cs="Calibri" w:eastAsia="Calibri" w:hAnsi="Calibri"/>
                <w:sz w:val="14"/>
                <w:szCs w:val="14"/>
                <w:b w:val="1"/>
                <w:bCs w:val="1"/>
                <w:color w:val="FFFFFF"/>
              </w:rPr>
              <w:t>Six Months Ended April 30,</w:t>
            </w:r>
          </w:p>
        </w:tc>
        <w:tc>
          <w:tcPr>
            <w:tcW w:w="620" w:type="dxa"/>
            <w:vAlign w:val="bottom"/>
            <w:shd w:val="clear" w:color="auto" w:fill="43C0B9"/>
          </w:tcPr>
          <w:p>
            <w:pPr>
              <w:spacing w:after="0"/>
              <w:rPr>
                <w:sz w:val="16"/>
                <w:szCs w:val="16"/>
                <w:color w:val="auto"/>
              </w:rPr>
            </w:pPr>
          </w:p>
        </w:tc>
        <w:tc>
          <w:tcPr>
            <w:tcW w:w="300" w:type="dxa"/>
            <w:vAlign w:val="bottom"/>
            <w:shd w:val="clear" w:color="auto" w:fill="43C0B9"/>
          </w:tcPr>
          <w:p>
            <w:pPr>
              <w:spacing w:after="0"/>
              <w:rPr>
                <w:sz w:val="16"/>
                <w:szCs w:val="16"/>
                <w:color w:val="auto"/>
              </w:rPr>
            </w:pPr>
          </w:p>
        </w:tc>
      </w:tr>
      <w:tr>
        <w:trPr>
          <w:trHeight w:val="259"/>
        </w:trPr>
        <w:tc>
          <w:tcPr>
            <w:tcW w:w="758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460" w:type="dxa"/>
            <w:vAlign w:val="bottom"/>
            <w:tcBorders>
              <w:bottom w:val="single" w:sz="8" w:color="43C0B9"/>
            </w:tcBorders>
            <w:shd w:val="clear" w:color="auto" w:fill="43C0B9"/>
          </w:tcPr>
          <w:p>
            <w:pPr>
              <w:spacing w:after="0"/>
              <w:rPr>
                <w:sz w:val="22"/>
                <w:szCs w:val="22"/>
                <w:color w:val="auto"/>
              </w:rPr>
            </w:pPr>
          </w:p>
        </w:tc>
        <w:tc>
          <w:tcPr>
            <w:tcW w:w="1180" w:type="dxa"/>
            <w:vAlign w:val="bottom"/>
            <w:tcBorders>
              <w:bottom w:val="single" w:sz="8" w:color="43C0B9"/>
            </w:tcBorders>
            <w:shd w:val="clear" w:color="auto" w:fill="43C0B9"/>
          </w:tcPr>
          <w:p>
            <w:pPr>
              <w:jc w:val="right"/>
              <w:ind w:right="109"/>
              <w:spacing w:after="0"/>
              <w:rPr>
                <w:sz w:val="20"/>
                <w:szCs w:val="20"/>
                <w:color w:val="auto"/>
              </w:rPr>
            </w:pPr>
            <w:r>
              <w:rPr>
                <w:rFonts w:ascii="Calibri" w:cs="Calibri" w:eastAsia="Calibri" w:hAnsi="Calibri"/>
                <w:sz w:val="14"/>
                <w:szCs w:val="14"/>
                <w:b w:val="1"/>
                <w:bCs w:val="1"/>
                <w:color w:val="FFFFFF"/>
              </w:rPr>
              <w:t>2022</w:t>
            </w:r>
          </w:p>
        </w:tc>
        <w:tc>
          <w:tcPr>
            <w:tcW w:w="1020" w:type="dxa"/>
            <w:vAlign w:val="bottom"/>
            <w:tcBorders>
              <w:bottom w:val="single" w:sz="8" w:color="43C0B9"/>
            </w:tcBorders>
            <w:shd w:val="clear" w:color="auto" w:fill="43C0B9"/>
          </w:tcPr>
          <w:p>
            <w:pPr>
              <w:spacing w:after="0"/>
              <w:rPr>
                <w:sz w:val="22"/>
                <w:szCs w:val="22"/>
                <w:color w:val="auto"/>
              </w:rPr>
            </w:pPr>
          </w:p>
        </w:tc>
        <w:tc>
          <w:tcPr>
            <w:tcW w:w="62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c>
          <w:tcPr>
            <w:tcW w:w="300" w:type="dxa"/>
            <w:vAlign w:val="bottom"/>
            <w:tcBorders>
              <w:bottom w:val="single" w:sz="8" w:color="43C0B9"/>
            </w:tcBorders>
            <w:shd w:val="clear" w:color="auto" w:fill="43C0B9"/>
          </w:tcPr>
          <w:p>
            <w:pPr>
              <w:spacing w:after="0"/>
              <w:rPr>
                <w:sz w:val="22"/>
                <w:szCs w:val="22"/>
                <w:color w:val="auto"/>
              </w:rPr>
            </w:pPr>
          </w:p>
        </w:tc>
      </w:tr>
      <w:tr>
        <w:trPr>
          <w:trHeight w:val="20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b w:val="1"/>
                <w:bCs w:val="1"/>
                <w:color w:val="auto"/>
              </w:rPr>
              <w:t>Operatng Actvites</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20"/>
              <w:spacing w:after="0" w:line="169" w:lineRule="exact"/>
              <w:rPr>
                <w:sz w:val="20"/>
                <w:szCs w:val="20"/>
                <w:color w:val="auto"/>
              </w:rPr>
            </w:pPr>
            <w:r>
              <w:rPr>
                <w:rFonts w:ascii="Calibri" w:cs="Calibri" w:eastAsia="Calibri" w:hAnsi="Calibri"/>
                <w:sz w:val="14"/>
                <w:szCs w:val="14"/>
                <w:color w:val="auto"/>
              </w:rPr>
              <w:t>Net (loss) income</w:t>
            </w:r>
          </w:p>
        </w:tc>
        <w:tc>
          <w:tcPr>
            <w:tcW w:w="460" w:type="dxa"/>
            <w:vAlign w:val="bottom"/>
          </w:tcPr>
          <w:p>
            <w:pPr>
              <w:jc w:val="right"/>
              <w:ind w:right="309"/>
              <w:spacing w:after="0" w:line="169" w:lineRule="exact"/>
              <w:rPr>
                <w:sz w:val="20"/>
                <w:szCs w:val="20"/>
                <w:color w:val="auto"/>
              </w:rPr>
            </w:pPr>
            <w:r>
              <w:rPr>
                <w:rFonts w:ascii="Calibri" w:cs="Calibri" w:eastAsia="Calibri" w:hAnsi="Calibri"/>
                <w:sz w:val="14"/>
                <w:szCs w:val="14"/>
                <w:color w:val="auto"/>
                <w:w w:val="83"/>
              </w:rPr>
              <w:t>$</w:t>
            </w: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(11.0)</w:t>
            </w:r>
          </w:p>
        </w:tc>
        <w:tc>
          <w:tcPr>
            <w:tcW w:w="1020" w:type="dxa"/>
            <w:vAlign w:val="bottom"/>
          </w:tcPr>
          <w:p>
            <w:pPr>
              <w:jc w:val="right"/>
              <w:ind w:right="789"/>
              <w:spacing w:after="0" w:line="169" w:lineRule="exact"/>
              <w:rPr>
                <w:sz w:val="20"/>
                <w:szCs w:val="20"/>
                <w:color w:val="auto"/>
              </w:rPr>
            </w:pPr>
            <w:r>
              <w:rPr>
                <w:rFonts w:ascii="Calibri" w:cs="Calibri" w:eastAsia="Calibri" w:hAnsi="Calibri"/>
                <w:sz w:val="14"/>
                <w:szCs w:val="14"/>
                <w:color w:val="auto"/>
              </w:rPr>
              <w:t>$</w:t>
            </w: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9.6</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Adjustments to reconcile net (loss) income to net cash used in operatng actvites</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Provision for losses on accounts receivable</w:t>
            </w:r>
          </w:p>
        </w:tc>
        <w:tc>
          <w:tcPr>
            <w:tcW w:w="460" w:type="dxa"/>
            <w:vAlign w:val="bottom"/>
          </w:tcPr>
          <w:p>
            <w:pPr>
              <w:spacing w:after="0"/>
              <w:rPr>
                <w:sz w:val="14"/>
                <w:szCs w:val="14"/>
                <w:color w:val="auto"/>
              </w:rPr>
            </w:pPr>
          </w:p>
        </w:tc>
        <w:tc>
          <w:tcPr>
            <w:tcW w:w="11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0.1</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0.1</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Depreciaton and amortzaton</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10.1</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7.6</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Amortzaton of debt issuance costs</w:t>
            </w:r>
          </w:p>
        </w:tc>
        <w:tc>
          <w:tcPr>
            <w:tcW w:w="460" w:type="dxa"/>
            <w:vAlign w:val="bottom"/>
          </w:tcPr>
          <w:p>
            <w:pPr>
              <w:spacing w:after="0"/>
              <w:rPr>
                <w:sz w:val="14"/>
                <w:szCs w:val="14"/>
                <w:color w:val="auto"/>
              </w:rPr>
            </w:pPr>
          </w:p>
        </w:tc>
        <w:tc>
          <w:tcPr>
            <w:tcW w:w="11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0.2</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0.2</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Noncash lease expense</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2.5</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2.0</w:t>
            </w:r>
          </w:p>
        </w:tc>
        <w:tc>
          <w:tcPr>
            <w:tcW w:w="300" w:type="dxa"/>
            <w:vAlign w:val="bottom"/>
            <w:tcBorders>
              <w:bottom w:val="single" w:sz="8" w:color="DBDBDB"/>
            </w:tcBorders>
            <w:shd w:val="clear" w:color="auto" w:fill="DBDBDB"/>
          </w:tcPr>
          <w:p>
            <w:pPr>
              <w:jc w:val="right"/>
              <w:ind w:right="134"/>
              <w:spacing w:after="0"/>
              <w:rPr>
                <w:sz w:val="20"/>
                <w:szCs w:val="20"/>
                <w:color w:val="auto"/>
              </w:rPr>
            </w:pPr>
            <w:r>
              <w:rPr>
                <w:rFonts w:ascii="Calibri" w:cs="Calibri" w:eastAsia="Calibri" w:hAnsi="Calibri"/>
                <w:sz w:val="9"/>
                <w:szCs w:val="9"/>
                <w:color w:val="auto"/>
                <w:w w:val="99"/>
              </w:rPr>
              <w:t>(1)</w:t>
            </w: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Equity method income</w:t>
            </w:r>
          </w:p>
        </w:tc>
        <w:tc>
          <w:tcPr>
            <w:tcW w:w="46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(1.9)</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(2.1)</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Stock-based compensaton</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1.7</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Dividends received from equity method investees</w:t>
            </w:r>
          </w:p>
        </w:tc>
        <w:tc>
          <w:tcPr>
            <w:tcW w:w="460" w:type="dxa"/>
            <w:vAlign w:val="bottom"/>
          </w:tcPr>
          <w:p>
            <w:pPr>
              <w:spacing w:after="0"/>
              <w:rPr>
                <w:sz w:val="14"/>
                <w:szCs w:val="14"/>
                <w:color w:val="auto"/>
              </w:rPr>
            </w:pPr>
          </w:p>
        </w:tc>
        <w:tc>
          <w:tcPr>
            <w:tcW w:w="11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2.2</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Losses (gains) on asset impairment, disposals and sales, net of insurance recoveries</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0.3</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Deferred income taxes</w:t>
            </w:r>
          </w:p>
        </w:tc>
        <w:tc>
          <w:tcPr>
            <w:tcW w:w="46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(0.1)</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5.0</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Other</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0.3</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Unrealized gains on derivatve fnancial instruments</w:t>
            </w:r>
          </w:p>
        </w:tc>
        <w:tc>
          <w:tcPr>
            <w:tcW w:w="46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(3.0)</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(0.3)</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Efect on cash of changes in operatng assets and liabilites:</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Trade accounts receivable</w:t>
            </w:r>
          </w:p>
        </w:tc>
        <w:tc>
          <w:tcPr>
            <w:tcW w:w="46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(29.6)</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(28.2)</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Grower fruit advances</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(3.7)</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(1.7)</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Miscellaneous receivables</w:t>
            </w:r>
          </w:p>
        </w:tc>
        <w:tc>
          <w:tcPr>
            <w:tcW w:w="460" w:type="dxa"/>
            <w:vAlign w:val="bottom"/>
          </w:tcPr>
          <w:p>
            <w:pPr>
              <w:spacing w:after="0"/>
              <w:rPr>
                <w:sz w:val="14"/>
                <w:szCs w:val="14"/>
                <w:color w:val="auto"/>
              </w:rPr>
            </w:pPr>
          </w:p>
        </w:tc>
        <w:tc>
          <w:tcPr>
            <w:tcW w:w="11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1.6</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1.1</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Inventory</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(40.7)</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(27.5)</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Prepaid expenses and other current assets</w:t>
            </w:r>
          </w:p>
        </w:tc>
        <w:tc>
          <w:tcPr>
            <w:tcW w:w="460" w:type="dxa"/>
            <w:vAlign w:val="bottom"/>
          </w:tcPr>
          <w:p>
            <w:pPr>
              <w:spacing w:after="0"/>
              <w:rPr>
                <w:sz w:val="14"/>
                <w:szCs w:val="14"/>
                <w:color w:val="auto"/>
              </w:rPr>
            </w:pPr>
          </w:p>
        </w:tc>
        <w:tc>
          <w:tcPr>
            <w:tcW w:w="11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0.9</w:t>
            </w:r>
          </w:p>
        </w:tc>
        <w:tc>
          <w:tcPr>
            <w:tcW w:w="1020" w:type="dxa"/>
            <w:vAlign w:val="bottom"/>
          </w:tcPr>
          <w:p>
            <w:pPr>
              <w:spacing w:after="0"/>
              <w:rPr>
                <w:sz w:val="14"/>
                <w:szCs w:val="14"/>
                <w:color w:val="auto"/>
              </w:rPr>
            </w:pPr>
          </w:p>
        </w:tc>
        <w:tc>
          <w:tcPr>
            <w:tcW w:w="920" w:type="dxa"/>
            <w:vAlign w:val="bottom"/>
            <w:gridSpan w:val="2"/>
          </w:tcPr>
          <w:p>
            <w:pPr>
              <w:jc w:val="right"/>
              <w:ind w:right="134"/>
              <w:spacing w:after="0" w:line="169" w:lineRule="exact"/>
              <w:rPr>
                <w:sz w:val="20"/>
                <w:szCs w:val="20"/>
                <w:color w:val="auto"/>
              </w:rPr>
            </w:pPr>
            <w:r>
              <w:rPr>
                <w:rFonts w:ascii="Calibri" w:cs="Calibri" w:eastAsia="Calibri" w:hAnsi="Calibri"/>
                <w:sz w:val="14"/>
                <w:szCs w:val="14"/>
                <w:color w:val="auto"/>
              </w:rPr>
              <w:t xml:space="preserve">(0.1) </w:t>
            </w:r>
            <w:r>
              <w:rPr>
                <w:rFonts w:ascii="Calibri" w:cs="Calibri" w:eastAsia="Calibri" w:hAnsi="Calibri"/>
                <w:sz w:val="9"/>
                <w:szCs w:val="9"/>
                <w:color w:val="auto"/>
              </w:rPr>
              <w:t>(1)</w:t>
            </w: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Income taxes receivable</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(5.8)</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(3.5)</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Other assets</w:t>
            </w:r>
          </w:p>
        </w:tc>
        <w:tc>
          <w:tcPr>
            <w:tcW w:w="46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(0.1)</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(4.7)</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Accounts payable and accrued expenses</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7.3</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10.5</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Income taxes payable</w:t>
            </w:r>
          </w:p>
        </w:tc>
        <w:tc>
          <w:tcPr>
            <w:tcW w:w="46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(0.5)</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(0.9)</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Grower payables</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36.4</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12.5</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460"/>
              <w:spacing w:after="0" w:line="169" w:lineRule="exact"/>
              <w:rPr>
                <w:sz w:val="20"/>
                <w:szCs w:val="20"/>
                <w:color w:val="auto"/>
              </w:rPr>
            </w:pPr>
            <w:r>
              <w:rPr>
                <w:rFonts w:ascii="Calibri" w:cs="Calibri" w:eastAsia="Calibri" w:hAnsi="Calibri"/>
                <w:sz w:val="14"/>
                <w:szCs w:val="14"/>
                <w:color w:val="auto"/>
              </w:rPr>
              <w:t>Operatng lease liabilites</w:t>
            </w:r>
          </w:p>
        </w:tc>
        <w:tc>
          <w:tcPr>
            <w:tcW w:w="46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(2.1)</w:t>
            </w:r>
          </w:p>
        </w:tc>
        <w:tc>
          <w:tcPr>
            <w:tcW w:w="1020" w:type="dxa"/>
            <w:vAlign w:val="bottom"/>
          </w:tcPr>
          <w:p>
            <w:pPr>
              <w:spacing w:after="0"/>
              <w:rPr>
                <w:sz w:val="14"/>
                <w:szCs w:val="14"/>
                <w:color w:val="auto"/>
              </w:rPr>
            </w:pPr>
          </w:p>
        </w:tc>
        <w:tc>
          <w:tcPr>
            <w:tcW w:w="920" w:type="dxa"/>
            <w:vAlign w:val="bottom"/>
            <w:gridSpan w:val="2"/>
          </w:tcPr>
          <w:p>
            <w:pPr>
              <w:jc w:val="right"/>
              <w:ind w:right="134"/>
              <w:spacing w:after="0" w:line="169" w:lineRule="exact"/>
              <w:rPr>
                <w:sz w:val="20"/>
                <w:szCs w:val="20"/>
                <w:color w:val="auto"/>
              </w:rPr>
            </w:pPr>
            <w:r>
              <w:rPr>
                <w:rFonts w:ascii="Calibri" w:cs="Calibri" w:eastAsia="Calibri" w:hAnsi="Calibri"/>
                <w:sz w:val="14"/>
                <w:szCs w:val="14"/>
                <w:color w:val="auto"/>
              </w:rPr>
              <w:t xml:space="preserve">(1.2) </w:t>
            </w:r>
            <w:r>
              <w:rPr>
                <w:rFonts w:ascii="Calibri" w:cs="Calibri" w:eastAsia="Calibri" w:hAnsi="Calibri"/>
                <w:sz w:val="9"/>
                <w:szCs w:val="9"/>
                <w:color w:val="auto"/>
              </w:rPr>
              <w:t>(1)</w:t>
            </w: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gridSpan w:val="2"/>
          </w:tcPr>
          <w:p>
            <w:pPr>
              <w:spacing w:after="0"/>
              <w:rPr>
                <w:sz w:val="5"/>
                <w:szCs w:val="5"/>
                <w:color w:val="auto"/>
              </w:rPr>
            </w:pPr>
          </w:p>
        </w:tc>
      </w:tr>
      <w:tr>
        <w:trPr>
          <w:trHeight w:val="227"/>
        </w:trPr>
        <w:tc>
          <w:tcPr>
            <w:tcW w:w="7580" w:type="dxa"/>
            <w:vAlign w:val="bottom"/>
            <w:tcBorders>
              <w:bottom w:val="single" w:sz="8" w:color="DBDBDB"/>
            </w:tcBorders>
            <w:shd w:val="clear" w:color="auto" w:fill="DBDBDB"/>
          </w:tcPr>
          <w:p>
            <w:pPr>
              <w:ind w:left="460"/>
              <w:spacing w:after="0" w:line="169" w:lineRule="exact"/>
              <w:rPr>
                <w:sz w:val="20"/>
                <w:szCs w:val="20"/>
                <w:color w:val="auto"/>
              </w:rPr>
            </w:pPr>
            <w:r>
              <w:rPr>
                <w:rFonts w:ascii="Calibri" w:cs="Calibri" w:eastAsia="Calibri" w:hAnsi="Calibri"/>
                <w:sz w:val="14"/>
                <w:szCs w:val="14"/>
                <w:color w:val="auto"/>
              </w:rPr>
              <w:t>Other long-term liabilites</w:t>
            </w:r>
          </w:p>
        </w:tc>
        <w:tc>
          <w:tcPr>
            <w:tcW w:w="46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(1.5)</w:t>
            </w:r>
          </w:p>
        </w:tc>
        <w:tc>
          <w:tcPr>
            <w:tcW w:w="1020" w:type="dxa"/>
            <w:vAlign w:val="bottom"/>
            <w:tcBorders>
              <w:bottom w:val="single" w:sz="8" w:color="DBDBDB"/>
            </w:tcBorders>
            <w:shd w:val="clear" w:color="auto" w:fill="DBDBDB"/>
          </w:tcPr>
          <w:p>
            <w:pPr>
              <w:spacing w:after="0"/>
              <w:rPr>
                <w:sz w:val="19"/>
                <w:szCs w:val="19"/>
                <w:color w:val="auto"/>
              </w:rPr>
            </w:pPr>
          </w:p>
        </w:tc>
        <w:tc>
          <w:tcPr>
            <w:tcW w:w="920" w:type="dxa"/>
            <w:vAlign w:val="bottom"/>
            <w:tcBorders>
              <w:bottom w:val="single" w:sz="8" w:color="DBDBDB"/>
            </w:tcBorders>
            <w:gridSpan w:val="2"/>
            <w:shd w:val="clear" w:color="auto" w:fill="DBDBDB"/>
          </w:tcPr>
          <w:p>
            <w:pPr>
              <w:jc w:val="right"/>
              <w:ind w:right="134"/>
              <w:spacing w:after="0" w:line="169" w:lineRule="exact"/>
              <w:rPr>
                <w:sz w:val="20"/>
                <w:szCs w:val="20"/>
                <w:color w:val="auto"/>
              </w:rPr>
            </w:pPr>
            <w:r>
              <w:rPr>
                <w:rFonts w:ascii="Calibri" w:cs="Calibri" w:eastAsia="Calibri" w:hAnsi="Calibri"/>
                <w:sz w:val="14"/>
                <w:szCs w:val="14"/>
                <w:color w:val="auto"/>
              </w:rPr>
              <w:t xml:space="preserve">(0.7) </w:t>
            </w:r>
            <w:r>
              <w:rPr>
                <w:rFonts w:ascii="Calibri" w:cs="Calibri" w:eastAsia="Calibri" w:hAnsi="Calibri"/>
                <w:sz w:val="9"/>
                <w:szCs w:val="9"/>
                <w:color w:val="auto"/>
              </w:rPr>
              <w:t>(1)</w:t>
            </w:r>
          </w:p>
        </w:tc>
      </w:tr>
      <w:tr>
        <w:trPr>
          <w:trHeight w:val="162"/>
        </w:trPr>
        <w:tc>
          <w:tcPr>
            <w:tcW w:w="758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cash used in operatng actvites</w:t>
            </w:r>
          </w:p>
        </w:tc>
        <w:tc>
          <w:tcPr>
            <w:tcW w:w="460" w:type="dxa"/>
            <w:vAlign w:val="bottom"/>
            <w:tcBorders>
              <w:top w:val="single" w:sz="8" w:color="auto"/>
            </w:tcBorders>
          </w:tcPr>
          <w:p>
            <w:pPr>
              <w:jc w:val="right"/>
              <w:ind w:right="309"/>
              <w:spacing w:after="0" w:line="162" w:lineRule="exact"/>
              <w:rPr>
                <w:sz w:val="20"/>
                <w:szCs w:val="20"/>
                <w:color w:val="auto"/>
              </w:rPr>
            </w:pPr>
            <w:r>
              <w:rPr>
                <w:rFonts w:ascii="Calibri" w:cs="Calibri" w:eastAsia="Calibri" w:hAnsi="Calibri"/>
                <w:sz w:val="14"/>
                <w:szCs w:val="14"/>
                <w:color w:val="auto"/>
                <w:w w:val="83"/>
              </w:rPr>
              <w:t>$</w:t>
            </w:r>
          </w:p>
        </w:tc>
        <w:tc>
          <w:tcPr>
            <w:tcW w:w="118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(37.0)</w:t>
            </w:r>
          </w:p>
        </w:tc>
        <w:tc>
          <w:tcPr>
            <w:tcW w:w="1020" w:type="dxa"/>
            <w:vAlign w:val="bottom"/>
            <w:tcBorders>
              <w:top w:val="single" w:sz="8" w:color="auto"/>
            </w:tcBorders>
          </w:tcPr>
          <w:p>
            <w:pPr>
              <w:jc w:val="right"/>
              <w:ind w:right="789"/>
              <w:spacing w:after="0" w:line="162" w:lineRule="exact"/>
              <w:rPr>
                <w:sz w:val="20"/>
                <w:szCs w:val="20"/>
                <w:color w:val="auto"/>
              </w:rPr>
            </w:pPr>
            <w:r>
              <w:rPr>
                <w:rFonts w:ascii="Calibri" w:cs="Calibri" w:eastAsia="Calibri" w:hAnsi="Calibri"/>
                <w:sz w:val="14"/>
                <w:szCs w:val="14"/>
                <w:color w:val="auto"/>
              </w:rPr>
              <w:t>$</w:t>
            </w:r>
          </w:p>
        </w:tc>
        <w:tc>
          <w:tcPr>
            <w:tcW w:w="6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(20.2)</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b w:val="1"/>
                <w:bCs w:val="1"/>
                <w:color w:val="auto"/>
              </w:rPr>
              <w:t>Investng Actvites</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20"/>
              <w:spacing w:after="0" w:line="169" w:lineRule="exact"/>
              <w:rPr>
                <w:sz w:val="20"/>
                <w:szCs w:val="20"/>
                <w:color w:val="auto"/>
              </w:rPr>
            </w:pPr>
            <w:r>
              <w:rPr>
                <w:rFonts w:ascii="Calibri" w:cs="Calibri" w:eastAsia="Calibri" w:hAnsi="Calibri"/>
                <w:sz w:val="14"/>
                <w:szCs w:val="14"/>
                <w:color w:val="auto"/>
              </w:rPr>
              <w:t>Purchases of property and equipment</w:t>
            </w:r>
          </w:p>
        </w:tc>
        <w:tc>
          <w:tcPr>
            <w:tcW w:w="46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(29.1)</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(46.8)</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Proceeds from sale of property, plant and equipment</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2.9</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2.3</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20"/>
              <w:spacing w:after="0" w:line="169" w:lineRule="exact"/>
              <w:rPr>
                <w:sz w:val="20"/>
                <w:szCs w:val="20"/>
                <w:color w:val="auto"/>
              </w:rPr>
            </w:pPr>
            <w:r>
              <w:rPr>
                <w:rFonts w:ascii="Calibri" w:cs="Calibri" w:eastAsia="Calibri" w:hAnsi="Calibri"/>
                <w:sz w:val="14"/>
                <w:szCs w:val="14"/>
                <w:color w:val="auto"/>
              </w:rPr>
              <w:t>Investment in equity method investees</w:t>
            </w:r>
          </w:p>
        </w:tc>
        <w:tc>
          <w:tcPr>
            <w:tcW w:w="46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(0.2)</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Loans to equity method investees</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20"/>
              <w:spacing w:after="0" w:line="169" w:lineRule="exact"/>
              <w:rPr>
                <w:sz w:val="20"/>
                <w:szCs w:val="20"/>
                <w:color w:val="auto"/>
              </w:rPr>
            </w:pPr>
            <w:r>
              <w:rPr>
                <w:rFonts w:ascii="Calibri" w:cs="Calibri" w:eastAsia="Calibri" w:hAnsi="Calibri"/>
                <w:sz w:val="14"/>
                <w:szCs w:val="14"/>
                <w:color w:val="auto"/>
              </w:rPr>
              <w:t>Loan repayments from equity method investees</w:t>
            </w:r>
          </w:p>
        </w:tc>
        <w:tc>
          <w:tcPr>
            <w:tcW w:w="460" w:type="dxa"/>
            <w:vAlign w:val="bottom"/>
          </w:tcPr>
          <w:p>
            <w:pPr>
              <w:spacing w:after="0"/>
              <w:rPr>
                <w:sz w:val="14"/>
                <w:szCs w:val="14"/>
                <w:color w:val="auto"/>
              </w:rPr>
            </w:pPr>
          </w:p>
        </w:tc>
        <w:tc>
          <w:tcPr>
            <w:tcW w:w="11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1.0</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1.5</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2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Other</w:t>
            </w:r>
          </w:p>
        </w:tc>
        <w:tc>
          <w:tcPr>
            <w:tcW w:w="46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102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(0.3)</w:t>
            </w:r>
          </w:p>
        </w:tc>
        <w:tc>
          <w:tcPr>
            <w:tcW w:w="300" w:type="dxa"/>
            <w:vAlign w:val="bottom"/>
            <w:tcBorders>
              <w:bottom w:val="single" w:sz="8" w:color="DBDBDB"/>
            </w:tcBorders>
            <w:shd w:val="clear" w:color="auto" w:fill="DBDBDB"/>
          </w:tcPr>
          <w:p>
            <w:pPr>
              <w:spacing w:after="0"/>
              <w:rPr>
                <w:sz w:val="19"/>
                <w:szCs w:val="19"/>
                <w:color w:val="auto"/>
              </w:rPr>
            </w:pPr>
          </w:p>
        </w:tc>
      </w:tr>
      <w:tr>
        <w:trPr>
          <w:trHeight w:val="162"/>
        </w:trPr>
        <w:tc>
          <w:tcPr>
            <w:tcW w:w="758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cash used in investng actvites</w:t>
            </w:r>
          </w:p>
        </w:tc>
        <w:tc>
          <w:tcPr>
            <w:tcW w:w="460" w:type="dxa"/>
            <w:vAlign w:val="bottom"/>
            <w:tcBorders>
              <w:top w:val="single" w:sz="8" w:color="auto"/>
            </w:tcBorders>
          </w:tcPr>
          <w:p>
            <w:pPr>
              <w:jc w:val="right"/>
              <w:ind w:right="309"/>
              <w:spacing w:after="0" w:line="162" w:lineRule="exact"/>
              <w:rPr>
                <w:sz w:val="20"/>
                <w:szCs w:val="20"/>
                <w:color w:val="auto"/>
              </w:rPr>
            </w:pPr>
            <w:r>
              <w:rPr>
                <w:rFonts w:ascii="Calibri" w:cs="Calibri" w:eastAsia="Calibri" w:hAnsi="Calibri"/>
                <w:sz w:val="14"/>
                <w:szCs w:val="14"/>
                <w:color w:val="auto"/>
                <w:w w:val="83"/>
              </w:rPr>
              <w:t>$</w:t>
            </w:r>
          </w:p>
        </w:tc>
        <w:tc>
          <w:tcPr>
            <w:tcW w:w="118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(25.8)</w:t>
            </w:r>
          </w:p>
        </w:tc>
        <w:tc>
          <w:tcPr>
            <w:tcW w:w="1020" w:type="dxa"/>
            <w:vAlign w:val="bottom"/>
            <w:tcBorders>
              <w:top w:val="single" w:sz="8" w:color="auto"/>
            </w:tcBorders>
          </w:tcPr>
          <w:p>
            <w:pPr>
              <w:jc w:val="right"/>
              <w:ind w:right="789"/>
              <w:spacing w:after="0" w:line="162" w:lineRule="exact"/>
              <w:rPr>
                <w:sz w:val="20"/>
                <w:szCs w:val="20"/>
                <w:color w:val="auto"/>
              </w:rPr>
            </w:pPr>
            <w:r>
              <w:rPr>
                <w:rFonts w:ascii="Calibri" w:cs="Calibri" w:eastAsia="Calibri" w:hAnsi="Calibri"/>
                <w:sz w:val="14"/>
                <w:szCs w:val="14"/>
                <w:color w:val="auto"/>
              </w:rPr>
              <w:t>$</w:t>
            </w:r>
          </w:p>
        </w:tc>
        <w:tc>
          <w:tcPr>
            <w:tcW w:w="6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(45.0)</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b w:val="1"/>
                <w:bCs w:val="1"/>
                <w:color w:val="auto"/>
              </w:rPr>
              <w:t>Financing Actvites</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20"/>
              <w:spacing w:after="0" w:line="169" w:lineRule="exact"/>
              <w:rPr>
                <w:sz w:val="20"/>
                <w:szCs w:val="20"/>
                <w:color w:val="auto"/>
              </w:rPr>
            </w:pPr>
            <w:r>
              <w:rPr>
                <w:rFonts w:ascii="Calibri" w:cs="Calibri" w:eastAsia="Calibri" w:hAnsi="Calibri"/>
                <w:sz w:val="14"/>
                <w:szCs w:val="14"/>
                <w:color w:val="auto"/>
              </w:rPr>
              <w:t>Borrowings on revolving credit facility</w:t>
            </w:r>
          </w:p>
        </w:tc>
        <w:tc>
          <w:tcPr>
            <w:tcW w:w="460" w:type="dxa"/>
            <w:vAlign w:val="bottom"/>
          </w:tcPr>
          <w:p>
            <w:pPr>
              <w:spacing w:after="0"/>
              <w:rPr>
                <w:sz w:val="14"/>
                <w:szCs w:val="14"/>
                <w:color w:val="auto"/>
              </w:rPr>
            </w:pPr>
          </w:p>
        </w:tc>
        <w:tc>
          <w:tcPr>
            <w:tcW w:w="11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20.0</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Payments on revolving credit facility</w:t>
            </w:r>
          </w:p>
        </w:tc>
        <w:tc>
          <w:tcPr>
            <w:tcW w:w="4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(20.0)</w:t>
            </w:r>
          </w:p>
        </w:tc>
        <w:tc>
          <w:tcPr>
            <w:tcW w:w="102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20"/>
              <w:spacing w:after="0" w:line="169" w:lineRule="exact"/>
              <w:rPr>
                <w:sz w:val="20"/>
                <w:szCs w:val="20"/>
                <w:color w:val="auto"/>
              </w:rPr>
            </w:pPr>
            <w:r>
              <w:rPr>
                <w:rFonts w:ascii="Calibri" w:cs="Calibri" w:eastAsia="Calibri" w:hAnsi="Calibri"/>
                <w:sz w:val="14"/>
                <w:szCs w:val="14"/>
                <w:color w:val="auto"/>
              </w:rPr>
              <w:t>Principal payments on long-term debt obligatons</w:t>
            </w:r>
          </w:p>
        </w:tc>
        <w:tc>
          <w:tcPr>
            <w:tcW w:w="460" w:type="dxa"/>
            <w:vAlign w:val="bottom"/>
          </w:tcPr>
          <w:p>
            <w:pPr>
              <w:spacing w:after="0"/>
              <w:rPr>
                <w:sz w:val="14"/>
                <w:szCs w:val="14"/>
                <w:color w:val="auto"/>
              </w:rPr>
            </w:pPr>
          </w:p>
        </w:tc>
        <w:tc>
          <w:tcPr>
            <w:tcW w:w="11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(4.4)</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(3.9)</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2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Principal payments on fnance lease obligatons</w:t>
            </w:r>
          </w:p>
        </w:tc>
        <w:tc>
          <w:tcPr>
            <w:tcW w:w="46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(0.6)</w:t>
            </w:r>
          </w:p>
        </w:tc>
        <w:tc>
          <w:tcPr>
            <w:tcW w:w="102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(0.6)</w:t>
            </w:r>
          </w:p>
        </w:tc>
        <w:tc>
          <w:tcPr>
            <w:tcW w:w="300" w:type="dxa"/>
            <w:vAlign w:val="bottom"/>
            <w:tcBorders>
              <w:bottom w:val="single" w:sz="8" w:color="DBDBDB"/>
            </w:tcBorders>
            <w:shd w:val="clear" w:color="auto" w:fill="DBDBDB"/>
          </w:tcPr>
          <w:p>
            <w:pPr>
              <w:spacing w:after="0"/>
              <w:rPr>
                <w:sz w:val="19"/>
                <w:szCs w:val="19"/>
                <w:color w:val="auto"/>
              </w:rPr>
            </w:pPr>
          </w:p>
        </w:tc>
      </w:tr>
      <w:tr>
        <w:trPr>
          <w:trHeight w:val="162"/>
        </w:trPr>
        <w:tc>
          <w:tcPr>
            <w:tcW w:w="758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cash used in fnancing actvites</w:t>
            </w:r>
          </w:p>
        </w:tc>
        <w:tc>
          <w:tcPr>
            <w:tcW w:w="460" w:type="dxa"/>
            <w:vAlign w:val="bottom"/>
            <w:tcBorders>
              <w:top w:val="single" w:sz="8" w:color="auto"/>
            </w:tcBorders>
          </w:tcPr>
          <w:p>
            <w:pPr>
              <w:jc w:val="right"/>
              <w:ind w:right="309"/>
              <w:spacing w:after="0" w:line="162" w:lineRule="exact"/>
              <w:rPr>
                <w:sz w:val="20"/>
                <w:szCs w:val="20"/>
                <w:color w:val="auto"/>
              </w:rPr>
            </w:pPr>
            <w:r>
              <w:rPr>
                <w:rFonts w:ascii="Calibri" w:cs="Calibri" w:eastAsia="Calibri" w:hAnsi="Calibri"/>
                <w:sz w:val="14"/>
                <w:szCs w:val="14"/>
                <w:color w:val="auto"/>
                <w:w w:val="83"/>
              </w:rPr>
              <w:t>$</w:t>
            </w:r>
          </w:p>
        </w:tc>
        <w:tc>
          <w:tcPr>
            <w:tcW w:w="118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(5.0)</w:t>
            </w:r>
          </w:p>
        </w:tc>
        <w:tc>
          <w:tcPr>
            <w:tcW w:w="1020" w:type="dxa"/>
            <w:vAlign w:val="bottom"/>
            <w:tcBorders>
              <w:top w:val="single" w:sz="8" w:color="auto"/>
            </w:tcBorders>
          </w:tcPr>
          <w:p>
            <w:pPr>
              <w:jc w:val="right"/>
              <w:ind w:right="789"/>
              <w:spacing w:after="0" w:line="162" w:lineRule="exact"/>
              <w:rPr>
                <w:sz w:val="20"/>
                <w:szCs w:val="20"/>
                <w:color w:val="auto"/>
              </w:rPr>
            </w:pPr>
            <w:r>
              <w:rPr>
                <w:rFonts w:ascii="Calibri" w:cs="Calibri" w:eastAsia="Calibri" w:hAnsi="Calibri"/>
                <w:sz w:val="14"/>
                <w:szCs w:val="14"/>
                <w:color w:val="auto"/>
              </w:rPr>
              <w:t>$</w:t>
            </w:r>
          </w:p>
        </w:tc>
        <w:tc>
          <w:tcPr>
            <w:tcW w:w="6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(4.5)</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2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Efect of exchange rate changes on cash</w:t>
            </w:r>
          </w:p>
        </w:tc>
        <w:tc>
          <w:tcPr>
            <w:tcW w:w="46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(0.4)</w:t>
            </w:r>
          </w:p>
        </w:tc>
        <w:tc>
          <w:tcPr>
            <w:tcW w:w="102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w:t>
            </w:r>
          </w:p>
        </w:tc>
        <w:tc>
          <w:tcPr>
            <w:tcW w:w="300" w:type="dxa"/>
            <w:vAlign w:val="bottom"/>
            <w:tcBorders>
              <w:bottom w:val="single" w:sz="8" w:color="DBDBDB"/>
            </w:tcBorders>
            <w:shd w:val="clear" w:color="auto" w:fill="DBDBDB"/>
          </w:tcPr>
          <w:p>
            <w:pPr>
              <w:spacing w:after="0"/>
              <w:rPr>
                <w:sz w:val="19"/>
                <w:szCs w:val="19"/>
                <w:color w:val="auto"/>
              </w:rPr>
            </w:pPr>
          </w:p>
        </w:tc>
      </w:tr>
      <w:tr>
        <w:trPr>
          <w:trHeight w:val="162"/>
        </w:trPr>
        <w:tc>
          <w:tcPr>
            <w:tcW w:w="758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decrease in cash, cash equivalents and restricted cash</w:t>
            </w:r>
          </w:p>
        </w:tc>
        <w:tc>
          <w:tcPr>
            <w:tcW w:w="4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(68.2)</w:t>
            </w:r>
          </w:p>
        </w:tc>
        <w:tc>
          <w:tcPr>
            <w:tcW w:w="10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(69.5)</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2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Cash, cash equivalents and restricted cash, beginning of period</w:t>
            </w:r>
          </w:p>
        </w:tc>
        <w:tc>
          <w:tcPr>
            <w:tcW w:w="46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92.2</w:t>
            </w:r>
          </w:p>
        </w:tc>
        <w:tc>
          <w:tcPr>
            <w:tcW w:w="102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127.0</w:t>
            </w:r>
          </w:p>
        </w:tc>
        <w:tc>
          <w:tcPr>
            <w:tcW w:w="300" w:type="dxa"/>
            <w:vAlign w:val="bottom"/>
            <w:tcBorders>
              <w:bottom w:val="single" w:sz="8" w:color="DBDBDB"/>
            </w:tcBorders>
            <w:shd w:val="clear" w:color="auto" w:fill="DBDBDB"/>
          </w:tcPr>
          <w:p>
            <w:pPr>
              <w:spacing w:after="0"/>
              <w:rPr>
                <w:sz w:val="19"/>
                <w:szCs w:val="19"/>
                <w:color w:val="auto"/>
              </w:rPr>
            </w:pPr>
          </w:p>
        </w:tc>
      </w:tr>
      <w:tr>
        <w:trPr>
          <w:trHeight w:val="162"/>
        </w:trPr>
        <w:tc>
          <w:tcPr>
            <w:tcW w:w="758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Cash, cash equivalents and restricted cash, end of period</w:t>
            </w:r>
          </w:p>
        </w:tc>
        <w:tc>
          <w:tcPr>
            <w:tcW w:w="460" w:type="dxa"/>
            <w:vAlign w:val="bottom"/>
            <w:tcBorders>
              <w:top w:val="single" w:sz="8" w:color="auto"/>
            </w:tcBorders>
          </w:tcPr>
          <w:p>
            <w:pPr>
              <w:jc w:val="right"/>
              <w:ind w:right="309"/>
              <w:spacing w:after="0" w:line="162" w:lineRule="exact"/>
              <w:rPr>
                <w:sz w:val="20"/>
                <w:szCs w:val="20"/>
                <w:color w:val="auto"/>
              </w:rPr>
            </w:pPr>
            <w:r>
              <w:rPr>
                <w:rFonts w:ascii="Calibri" w:cs="Calibri" w:eastAsia="Calibri" w:hAnsi="Calibri"/>
                <w:sz w:val="14"/>
                <w:szCs w:val="14"/>
                <w:color w:val="auto"/>
                <w:w w:val="83"/>
              </w:rPr>
              <w:t>$</w:t>
            </w:r>
          </w:p>
        </w:tc>
        <w:tc>
          <w:tcPr>
            <w:tcW w:w="118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24.0</w:t>
            </w:r>
          </w:p>
        </w:tc>
        <w:tc>
          <w:tcPr>
            <w:tcW w:w="1020" w:type="dxa"/>
            <w:vAlign w:val="bottom"/>
            <w:tcBorders>
              <w:top w:val="single" w:sz="8" w:color="auto"/>
            </w:tcBorders>
          </w:tcPr>
          <w:p>
            <w:pPr>
              <w:jc w:val="right"/>
              <w:ind w:right="789"/>
              <w:spacing w:after="0" w:line="162" w:lineRule="exact"/>
              <w:rPr>
                <w:sz w:val="20"/>
                <w:szCs w:val="20"/>
                <w:color w:val="auto"/>
              </w:rPr>
            </w:pPr>
            <w:r>
              <w:rPr>
                <w:rFonts w:ascii="Calibri" w:cs="Calibri" w:eastAsia="Calibri" w:hAnsi="Calibri"/>
                <w:sz w:val="14"/>
                <w:szCs w:val="14"/>
                <w:color w:val="auto"/>
              </w:rPr>
              <w:t>$</w:t>
            </w:r>
          </w:p>
        </w:tc>
        <w:tc>
          <w:tcPr>
            <w:tcW w:w="6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57.5</w:t>
            </w:r>
          </w:p>
        </w:tc>
        <w:tc>
          <w:tcPr>
            <w:tcW w:w="300" w:type="dxa"/>
            <w:vAlign w:val="bottom"/>
          </w:tcPr>
          <w:p>
            <w:pPr>
              <w:spacing w:after="0"/>
              <w:rPr>
                <w:sz w:val="14"/>
                <w:szCs w:val="14"/>
                <w:color w:val="auto"/>
              </w:rPr>
            </w:pPr>
          </w:p>
        </w:tc>
      </w:tr>
      <w:tr>
        <w:trPr>
          <w:trHeight w:val="58"/>
        </w:trPr>
        <w:tc>
          <w:tcPr>
            <w:tcW w:w="75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00" w:type="dxa"/>
            <w:vAlign w:val="bottom"/>
            <w:tcBorders>
              <w:bottom w:val="single" w:sz="8" w:color="DBDBDB"/>
            </w:tcBorders>
          </w:tcPr>
          <w:p>
            <w:pPr>
              <w:spacing w:after="0"/>
              <w:rPr>
                <w:sz w:val="5"/>
                <w:szCs w:val="5"/>
                <w:color w:val="auto"/>
              </w:rPr>
            </w:pPr>
          </w:p>
        </w:tc>
      </w:tr>
      <w:tr>
        <w:trPr>
          <w:trHeight w:val="127"/>
        </w:trPr>
        <w:tc>
          <w:tcPr>
            <w:tcW w:w="758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11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r>
      <w:tr>
        <w:trPr>
          <w:trHeight w:val="169"/>
        </w:trPr>
        <w:tc>
          <w:tcPr>
            <w:tcW w:w="758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Summary of cash, cash equivalents and restricted cash reported within the condensed consolidated balance sheets:</w:t>
            </w: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0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Cash and cash equivalents</w:t>
            </w:r>
          </w:p>
        </w:tc>
        <w:tc>
          <w:tcPr>
            <w:tcW w:w="460" w:type="dxa"/>
            <w:vAlign w:val="bottom"/>
            <w:tcBorders>
              <w:bottom w:val="single" w:sz="8" w:color="DBDBDB"/>
            </w:tcBorders>
            <w:shd w:val="clear" w:color="auto" w:fill="DBDBDB"/>
          </w:tcPr>
          <w:p>
            <w:pPr>
              <w:jc w:val="right"/>
              <w:ind w:right="309"/>
              <w:spacing w:after="0" w:line="169" w:lineRule="exact"/>
              <w:rPr>
                <w:sz w:val="20"/>
                <w:szCs w:val="20"/>
                <w:color w:val="auto"/>
              </w:rPr>
            </w:pPr>
            <w:r>
              <w:rPr>
                <w:rFonts w:ascii="Calibri" w:cs="Calibri" w:eastAsia="Calibri" w:hAnsi="Calibri"/>
                <w:sz w:val="14"/>
                <w:szCs w:val="14"/>
                <w:color w:val="auto"/>
                <w:w w:val="83"/>
              </w:rPr>
              <w:t>$</w:t>
            </w: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21.4</w:t>
            </w:r>
          </w:p>
        </w:tc>
        <w:tc>
          <w:tcPr>
            <w:tcW w:w="1020" w:type="dxa"/>
            <w:vAlign w:val="bottom"/>
            <w:tcBorders>
              <w:bottom w:val="single" w:sz="8" w:color="DBDBDB"/>
            </w:tcBorders>
            <w:shd w:val="clear" w:color="auto" w:fill="DBDBDB"/>
          </w:tcPr>
          <w:p>
            <w:pPr>
              <w:jc w:val="right"/>
              <w:ind w:right="789"/>
              <w:spacing w:after="0" w:line="169" w:lineRule="exact"/>
              <w:rPr>
                <w:sz w:val="20"/>
                <w:szCs w:val="20"/>
                <w:color w:val="auto"/>
              </w:rPr>
            </w:pPr>
            <w:r>
              <w:rPr>
                <w:rFonts w:ascii="Calibri" w:cs="Calibri" w:eastAsia="Calibri" w:hAnsi="Calibri"/>
                <w:sz w:val="14"/>
                <w:szCs w:val="14"/>
                <w:color w:val="auto"/>
              </w:rPr>
              <w:t>$</w:t>
            </w: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54.2</w:t>
            </w:r>
          </w:p>
        </w:tc>
        <w:tc>
          <w:tcPr>
            <w:tcW w:w="300" w:type="dxa"/>
            <w:vAlign w:val="bottom"/>
            <w:tcBorders>
              <w:bottom w:val="single" w:sz="8" w:color="DBDBDB"/>
            </w:tcBorders>
            <w:shd w:val="clear" w:color="auto" w:fill="DBDBDB"/>
          </w:tcPr>
          <w:p>
            <w:pPr>
              <w:spacing w:after="0"/>
              <w:rPr>
                <w:sz w:val="18"/>
                <w:szCs w:val="18"/>
                <w:color w:val="auto"/>
              </w:rPr>
            </w:pPr>
          </w:p>
        </w:tc>
      </w:tr>
      <w:tr>
        <w:trPr>
          <w:trHeight w:val="169"/>
        </w:trPr>
        <w:tc>
          <w:tcPr>
            <w:tcW w:w="7580" w:type="dxa"/>
            <w:vAlign w:val="bottom"/>
          </w:tcPr>
          <w:p>
            <w:pPr>
              <w:ind w:left="20"/>
              <w:spacing w:after="0" w:line="169" w:lineRule="exact"/>
              <w:rPr>
                <w:sz w:val="20"/>
                <w:szCs w:val="20"/>
                <w:color w:val="auto"/>
              </w:rPr>
            </w:pPr>
            <w:r>
              <w:rPr>
                <w:rFonts w:ascii="Calibri" w:cs="Calibri" w:eastAsia="Calibri" w:hAnsi="Calibri"/>
                <w:sz w:val="14"/>
                <w:szCs w:val="14"/>
                <w:color w:val="auto"/>
              </w:rPr>
              <w:t>Restricted cash</w:t>
            </w:r>
          </w:p>
        </w:tc>
        <w:tc>
          <w:tcPr>
            <w:tcW w:w="460" w:type="dxa"/>
            <w:vAlign w:val="bottom"/>
          </w:tcPr>
          <w:p>
            <w:pPr>
              <w:spacing w:after="0"/>
              <w:rPr>
                <w:sz w:val="14"/>
                <w:szCs w:val="14"/>
                <w:color w:val="auto"/>
              </w:rPr>
            </w:pPr>
          </w:p>
        </w:tc>
        <w:tc>
          <w:tcPr>
            <w:tcW w:w="118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2.6</w:t>
            </w:r>
          </w:p>
        </w:tc>
        <w:tc>
          <w:tcPr>
            <w:tcW w:w="102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Calibri" w:cs="Calibri" w:eastAsia="Calibri" w:hAnsi="Calibri"/>
                <w:sz w:val="14"/>
                <w:szCs w:val="14"/>
                <w:color w:val="auto"/>
              </w:rPr>
              <w:t>1.7</w:t>
            </w:r>
          </w:p>
        </w:tc>
        <w:tc>
          <w:tcPr>
            <w:tcW w:w="300" w:type="dxa"/>
            <w:vAlign w:val="bottom"/>
          </w:tcPr>
          <w:p>
            <w:pPr>
              <w:spacing w:after="0"/>
              <w:rPr>
                <w:sz w:val="14"/>
                <w:szCs w:val="14"/>
                <w:color w:val="auto"/>
              </w:rPr>
            </w:pPr>
          </w:p>
        </w:tc>
      </w:tr>
      <w:tr>
        <w:trPr>
          <w:trHeight w:val="58"/>
        </w:trPr>
        <w:tc>
          <w:tcPr>
            <w:tcW w:w="7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27"/>
        </w:trPr>
        <w:tc>
          <w:tcPr>
            <w:tcW w:w="75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Restricted cash included in other assets</w:t>
            </w:r>
          </w:p>
        </w:tc>
        <w:tc>
          <w:tcPr>
            <w:tcW w:w="46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1.6</w:t>
            </w:r>
          </w:p>
        </w:tc>
        <w:tc>
          <w:tcPr>
            <w:tcW w:w="300" w:type="dxa"/>
            <w:vAlign w:val="bottom"/>
            <w:tcBorders>
              <w:bottom w:val="single" w:sz="8" w:color="DBDBDB"/>
            </w:tcBorders>
            <w:shd w:val="clear" w:color="auto" w:fill="DBDBDB"/>
          </w:tcPr>
          <w:p>
            <w:pPr>
              <w:spacing w:after="0"/>
              <w:rPr>
                <w:sz w:val="19"/>
                <w:szCs w:val="19"/>
                <w:color w:val="auto"/>
              </w:rPr>
            </w:pPr>
          </w:p>
        </w:tc>
      </w:tr>
      <w:tr>
        <w:trPr>
          <w:trHeight w:val="162"/>
        </w:trPr>
        <w:tc>
          <w:tcPr>
            <w:tcW w:w="758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Total cash, cash equivalents, and restricted cash shown in the condensed consolidated statements of cash fows</w:t>
            </w:r>
          </w:p>
        </w:tc>
        <w:tc>
          <w:tcPr>
            <w:tcW w:w="460" w:type="dxa"/>
            <w:vAlign w:val="bottom"/>
            <w:tcBorders>
              <w:top w:val="single" w:sz="8" w:color="auto"/>
            </w:tcBorders>
          </w:tcPr>
          <w:p>
            <w:pPr>
              <w:jc w:val="right"/>
              <w:ind w:right="309"/>
              <w:spacing w:after="0" w:line="162" w:lineRule="exact"/>
              <w:rPr>
                <w:sz w:val="20"/>
                <w:szCs w:val="20"/>
                <w:color w:val="auto"/>
              </w:rPr>
            </w:pPr>
            <w:r>
              <w:rPr>
                <w:rFonts w:ascii="Calibri" w:cs="Calibri" w:eastAsia="Calibri" w:hAnsi="Calibri"/>
                <w:sz w:val="14"/>
                <w:szCs w:val="14"/>
                <w:color w:val="auto"/>
                <w:w w:val="83"/>
              </w:rPr>
              <w:t>$</w:t>
            </w:r>
          </w:p>
        </w:tc>
        <w:tc>
          <w:tcPr>
            <w:tcW w:w="118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24.0</w:t>
            </w:r>
          </w:p>
        </w:tc>
        <w:tc>
          <w:tcPr>
            <w:tcW w:w="1020" w:type="dxa"/>
            <w:vAlign w:val="bottom"/>
            <w:tcBorders>
              <w:top w:val="single" w:sz="8" w:color="auto"/>
            </w:tcBorders>
          </w:tcPr>
          <w:p>
            <w:pPr>
              <w:jc w:val="right"/>
              <w:ind w:right="789"/>
              <w:spacing w:after="0" w:line="162" w:lineRule="exact"/>
              <w:rPr>
                <w:sz w:val="20"/>
                <w:szCs w:val="20"/>
                <w:color w:val="auto"/>
              </w:rPr>
            </w:pPr>
            <w:r>
              <w:rPr>
                <w:rFonts w:ascii="Calibri" w:cs="Calibri" w:eastAsia="Calibri" w:hAnsi="Calibri"/>
                <w:sz w:val="14"/>
                <w:szCs w:val="14"/>
                <w:color w:val="auto"/>
              </w:rPr>
              <w:t>$</w:t>
            </w:r>
          </w:p>
        </w:tc>
        <w:tc>
          <w:tcPr>
            <w:tcW w:w="6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57.5</w:t>
            </w:r>
          </w:p>
        </w:tc>
        <w:tc>
          <w:tcPr>
            <w:tcW w:w="300" w:type="dxa"/>
            <w:vAlign w:val="bottom"/>
          </w:tcPr>
          <w:p>
            <w:pPr>
              <w:spacing w:after="0"/>
              <w:rPr>
                <w:sz w:val="14"/>
                <w:szCs w:val="14"/>
                <w:color w:val="auto"/>
              </w:rPr>
            </w:pPr>
          </w:p>
        </w:tc>
      </w:tr>
      <w:tr>
        <w:trPr>
          <w:trHeight w:val="58"/>
        </w:trPr>
        <w:tc>
          <w:tcPr>
            <w:tcW w:w="75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4836795</wp:posOffset>
            </wp:positionH>
            <wp:positionV relativeFrom="paragraph">
              <wp:posOffset>-7668260</wp:posOffset>
            </wp:positionV>
            <wp:extent cx="2089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117" w:lineRule="exact"/>
        <w:rPr>
          <w:sz w:val="20"/>
          <w:szCs w:val="20"/>
          <w:color w:val="auto"/>
        </w:rPr>
      </w:pPr>
    </w:p>
    <w:p>
      <w:pPr>
        <w:ind w:left="160" w:right="100" w:hanging="153"/>
        <w:spacing w:after="0"/>
        <w:tabs>
          <w:tab w:leader="none" w:pos="156" w:val="left"/>
        </w:tabs>
        <w:numPr>
          <w:ilvl w:val="0"/>
          <w:numId w:val="4"/>
        </w:numPr>
        <w:rPr>
          <w:rFonts w:ascii="Calibri" w:cs="Calibri" w:eastAsia="Calibri" w:hAnsi="Calibri"/>
          <w:sz w:val="16"/>
          <w:szCs w:val="16"/>
          <w:color w:val="auto"/>
          <w:vertAlign w:val="superscript"/>
        </w:rPr>
      </w:pPr>
      <w:r>
        <w:rPr>
          <w:rFonts w:ascii="Calibri" w:cs="Calibri" w:eastAsia="Calibri" w:hAnsi="Calibri"/>
          <w:sz w:val="12"/>
          <w:szCs w:val="12"/>
          <w:color w:val="auto"/>
        </w:rPr>
        <w:t>Prior period amounts difer from those previously reported due to the adopton of ASC 842, Leases, efectve November 1, 2020, which was frst presented in our annual report on Form-10K for the year ended October 31,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See accompanying notes to unaudited condensed consolidated fnancial statements.</w:t>
      </w:r>
    </w:p>
    <w:p>
      <w:pPr>
        <w:sectPr>
          <w:pgSz w:w="11900" w:h="16838" w:orient="portrait"/>
          <w:cols w:equalWidth="0" w:num="1">
            <w:col w:w="11200"/>
          </w:cols>
          <w:pgMar w:left="320" w:top="1067" w:right="379" w:bottom="667" w:gutter="0" w:footer="0" w:header="0"/>
        </w:sectPr>
      </w:pPr>
    </w:p>
    <w:p>
      <w:pPr>
        <w:spacing w:after="0" w:line="200" w:lineRule="exact"/>
        <w:rPr>
          <w:sz w:val="20"/>
          <w:szCs w:val="20"/>
          <w:color w:val="auto"/>
        </w:rPr>
      </w:pPr>
    </w:p>
    <w:p>
      <w:pPr>
        <w:spacing w:after="0" w:line="325"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67" w:right="379" w:bottom="667" w:gutter="0" w:footer="0" w:header="0"/>
          <w:type w:val="continuous"/>
        </w:sectPr>
      </w:pPr>
    </w:p>
    <w:bookmarkStart w:id="8" w:name="page9"/>
    <w:bookmarkEnd w:id="8"/>
    <w:p>
      <w:pPr>
        <w:jc w:val="center"/>
        <w:ind w:right="-19"/>
        <w:spacing w:after="0"/>
        <w:rPr>
          <w:sz w:val="20"/>
          <w:szCs w:val="20"/>
          <w:color w:val="auto"/>
        </w:rPr>
      </w:pPr>
      <w:r>
        <w:rPr>
          <w:rFonts w:ascii="Calibri" w:cs="Calibri" w:eastAsia="Calibri" w:hAnsi="Calibri"/>
          <w:sz w:val="25"/>
          <w:szCs w:val="25"/>
          <w:b w:val="1"/>
          <w:bCs w:val="1"/>
          <w:color w:val="43C0B9"/>
        </w:rPr>
        <w:t>MISSION PRODUCE, INC.</w:t>
      </w:r>
    </w:p>
    <w:p>
      <w:pPr>
        <w:jc w:val="center"/>
        <w:ind w:right="-19"/>
        <w:spacing w:after="0" w:line="231" w:lineRule="auto"/>
        <w:rPr>
          <w:sz w:val="20"/>
          <w:szCs w:val="20"/>
          <w:color w:val="auto"/>
        </w:rPr>
      </w:pPr>
      <w:r>
        <w:rPr>
          <w:rFonts w:ascii="Calibri" w:cs="Calibri" w:eastAsia="Calibri" w:hAnsi="Calibri"/>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 w:hanging="373"/>
        <w:spacing w:after="0"/>
        <w:tabs>
          <w:tab w:leader="none" w:pos="38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General</w:t>
      </w:r>
    </w:p>
    <w:p>
      <w:pPr>
        <w:spacing w:after="0" w:line="211"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Business</w:t>
      </w:r>
    </w:p>
    <w:p>
      <w:pPr>
        <w:spacing w:after="0" w:line="222" w:lineRule="exact"/>
        <w:rPr>
          <w:sz w:val="20"/>
          <w:szCs w:val="20"/>
          <w:color w:val="auto"/>
        </w:rPr>
      </w:pPr>
    </w:p>
    <w:p>
      <w:pPr>
        <w:ind w:right="60" w:firstLine="642"/>
        <w:spacing w:after="0" w:line="235" w:lineRule="auto"/>
        <w:rPr>
          <w:sz w:val="20"/>
          <w:szCs w:val="20"/>
          <w:color w:val="auto"/>
        </w:rPr>
      </w:pPr>
      <w:r>
        <w:rPr>
          <w:rFonts w:ascii="Calibri" w:cs="Calibri" w:eastAsia="Calibri" w:hAnsi="Calibri"/>
          <w:sz w:val="16"/>
          <w:szCs w:val="16"/>
          <w:color w:val="auto"/>
        </w:rPr>
        <w:t>Mission Produce, Inc. together with its consolidated subsidiaries (“Mission,” “the Company,” “we,” “us” or “our”), is a global leader in the avocado industry. The Company’s expertse lies in the farming, packaging, marketng and distributon of avocados to food retailers, distributors and produce wholesalers worldwide. The Company procures avocados principally from California, Mexico and Peru. Through our various operatng facilites, we grow, sort, pack, bag and ripen avocados for distributon to domestc and internatonal markets. We report our results of operatons in two operatng segments: Marketng and Distributon and Internatonal Farming (see Note 10).</w:t>
      </w:r>
    </w:p>
    <w:p>
      <w:pPr>
        <w:spacing w:after="0" w:line="20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Basis of presentaton and consolidaton</w:t>
      </w:r>
    </w:p>
    <w:p>
      <w:pPr>
        <w:spacing w:after="0" w:line="222" w:lineRule="exact"/>
        <w:rPr>
          <w:sz w:val="20"/>
          <w:szCs w:val="20"/>
          <w:color w:val="auto"/>
        </w:rPr>
      </w:pPr>
    </w:p>
    <w:p>
      <w:pPr>
        <w:ind w:right="60" w:firstLine="642"/>
        <w:spacing w:after="0" w:line="235" w:lineRule="auto"/>
        <w:rPr>
          <w:sz w:val="20"/>
          <w:szCs w:val="20"/>
          <w:color w:val="auto"/>
        </w:rPr>
      </w:pPr>
      <w:r>
        <w:rPr>
          <w:rFonts w:ascii="Calibri" w:cs="Calibri" w:eastAsia="Calibri" w:hAnsi="Calibri"/>
          <w:sz w:val="16"/>
          <w:szCs w:val="16"/>
          <w:color w:val="auto"/>
        </w:rPr>
        <w:t>The unaudited interim condensed consolidated fnancial statements are presented in accordance with accountng principles generally accepted in the United States of America (“U.S. GAAP”) for interim fnancial informaton and include the Company’s consolidated domestc and internatonal subsidiaries. Certain informaton and disclosures normally included in annual consolidated fnancial statements prepared in accordance with U.S. GAAP have been condensed or omited. Accordingly, these unaudited interim condensed consolidated fnancial statements and accompanying footnotes should be read in conjuncton with the Company’s Annual Report for the year ended October 31, 2021. In the opinion of management, all adjustments, of a normal recurring nature, considered necessary for a fair statement have been included in the unaudited condensed consolidated fnancial statements. Interim results of operatons are not necessarily indicatve of future results, including results that may be expected for the twelve months ended October 31, 2022.</w:t>
      </w:r>
    </w:p>
    <w:p>
      <w:pPr>
        <w:spacing w:after="0" w:line="21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Recently issued accountng standards</w:t>
      </w:r>
    </w:p>
    <w:p>
      <w:pPr>
        <w:spacing w:after="0" w:line="222" w:lineRule="exact"/>
        <w:rPr>
          <w:sz w:val="20"/>
          <w:szCs w:val="20"/>
          <w:color w:val="auto"/>
        </w:rPr>
      </w:pPr>
    </w:p>
    <w:p>
      <w:pPr>
        <w:ind w:right="140" w:firstLine="642"/>
        <w:spacing w:after="0" w:line="235" w:lineRule="auto"/>
        <w:rPr>
          <w:sz w:val="20"/>
          <w:szCs w:val="20"/>
          <w:color w:val="auto"/>
        </w:rPr>
      </w:pPr>
      <w:r>
        <w:rPr>
          <w:rFonts w:ascii="Calibri" w:cs="Calibri" w:eastAsia="Calibri" w:hAnsi="Calibri"/>
          <w:sz w:val="16"/>
          <w:szCs w:val="16"/>
          <w:color w:val="auto"/>
        </w:rPr>
        <w:t>In March 2022, the Financial Accountng Standards Board (“FASB”) issued Accountng Standards Update (“ASU”) 2022-02, Financial Instruments–Credit Losses (Topic 326) Troubled Debt Restructurings and Vintage Disclosures, which among other things, requires that enttes disclose current-period gross write-ofs by year of originaton for fnancing receivables. The amendments in this ASU are required to be adopted for fscal years beginning afer December 15, 2022, including interim periods within those fscal years. The impact of ASU 2022-02 is not expected to be material on our fnancial conditon, results of operatons and cash fows.</w:t>
      </w:r>
    </w:p>
    <w:p>
      <w:pPr>
        <w:spacing w:after="0" w:line="211" w:lineRule="exact"/>
        <w:rPr>
          <w:sz w:val="20"/>
          <w:szCs w:val="20"/>
          <w:color w:val="auto"/>
        </w:rPr>
      </w:pPr>
    </w:p>
    <w:p>
      <w:pPr>
        <w:ind w:right="100" w:firstLine="642"/>
        <w:spacing w:after="0" w:line="237" w:lineRule="auto"/>
        <w:rPr>
          <w:sz w:val="20"/>
          <w:szCs w:val="20"/>
          <w:color w:val="auto"/>
        </w:rPr>
      </w:pPr>
      <w:r>
        <w:rPr>
          <w:rFonts w:ascii="Calibri" w:cs="Calibri" w:eastAsia="Calibri" w:hAnsi="Calibri"/>
          <w:sz w:val="16"/>
          <w:szCs w:val="16"/>
          <w:color w:val="auto"/>
        </w:rPr>
        <w:t>In March 2020, the FASB issued ASU 2020-04, Reference Rate Reform, and a subsequent update following, which provides optonal expedients and exceptons for applying GAAP principles to contracts, hedging relatonships, and other transactons afected by reference rate reform if certain criteria are met. The amendments in this ASU apply only to contracts, hedging relatonships, and other transactons that reference LIBOR or another reference rate expected to be discontnued as a result of reference rate reform. The optonal expedients in this ASU are available for adopton as of March 12, 2020 through December 31, 2022. The Company is evaluatng the impact of electng the adopton of this ASU on our fnancial conditon, results of operatons and cash fows.</w:t>
      </w:r>
    </w:p>
    <w:p>
      <w:pPr>
        <w:spacing w:after="0" w:line="200" w:lineRule="exact"/>
        <w:rPr>
          <w:sz w:val="20"/>
          <w:szCs w:val="20"/>
          <w:color w:val="auto"/>
        </w:rPr>
      </w:pPr>
    </w:p>
    <w:p>
      <w:pPr>
        <w:spacing w:after="0" w:line="236"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2.</w:t>
        <w:tab/>
        <w:t>Inventory</w:t>
      </w:r>
    </w:p>
    <w:p>
      <w:pPr>
        <w:spacing w:after="0" w:line="225"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Major classes of inventory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3700" w:type="dxa"/>
            <w:vAlign w:val="bottom"/>
            <w:tcBorders>
              <w:bottom w:val="single" w:sz="8" w:color="43C0B9"/>
            </w:tcBorders>
            <w:shd w:val="clear" w:color="auto" w:fill="43C0B9"/>
          </w:tcPr>
          <w:p>
            <w:pPr>
              <w:spacing w:after="0"/>
              <w:rPr>
                <w:sz w:val="18"/>
                <w:szCs w:val="18"/>
                <w:color w:val="auto"/>
              </w:rPr>
            </w:pPr>
          </w:p>
        </w:tc>
        <w:tc>
          <w:tcPr>
            <w:tcW w:w="122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April 30, 2022</w:t>
            </w:r>
          </w:p>
        </w:tc>
        <w:tc>
          <w:tcPr>
            <w:tcW w:w="380" w:type="dxa"/>
            <w:vAlign w:val="bottom"/>
            <w:tcBorders>
              <w:bottom w:val="single" w:sz="8" w:color="43C0B9"/>
            </w:tcBorders>
            <w:shd w:val="clear" w:color="auto" w:fill="43C0B9"/>
          </w:tcPr>
          <w:p>
            <w:pPr>
              <w:spacing w:after="0"/>
              <w:rPr>
                <w:sz w:val="18"/>
                <w:szCs w:val="18"/>
                <w:color w:val="auto"/>
              </w:rPr>
            </w:pPr>
          </w:p>
        </w:tc>
        <w:tc>
          <w:tcPr>
            <w:tcW w:w="130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October 31, 2021</w:t>
            </w:r>
          </w:p>
        </w:tc>
      </w:tr>
      <w:tr>
        <w:trPr>
          <w:trHeight w:val="207"/>
        </w:trPr>
        <w:tc>
          <w:tcPr>
            <w:tcW w:w="462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Finished goods</w:t>
            </w:r>
          </w:p>
        </w:tc>
        <w:tc>
          <w:tcPr>
            <w:tcW w:w="3700" w:type="dxa"/>
            <w:vAlign w:val="bottom"/>
            <w:tcBorders>
              <w:bottom w:val="single" w:sz="8" w:color="DBDBDB"/>
            </w:tcBorders>
            <w:shd w:val="clear" w:color="auto" w:fill="DBDBDB"/>
          </w:tcPr>
          <w:p>
            <w:pPr>
              <w:jc w:val="right"/>
              <w:ind w:right="269"/>
              <w:spacing w:after="0" w:line="169" w:lineRule="exact"/>
              <w:rPr>
                <w:sz w:val="20"/>
                <w:szCs w:val="20"/>
                <w:color w:val="auto"/>
              </w:rPr>
            </w:pPr>
            <w:r>
              <w:rPr>
                <w:rFonts w:ascii="Calibri" w:cs="Calibri" w:eastAsia="Calibri" w:hAnsi="Calibri"/>
                <w:sz w:val="14"/>
                <w:szCs w:val="14"/>
                <w:color w:val="auto"/>
              </w:rPr>
              <w:t>$</w:t>
            </w:r>
          </w:p>
        </w:tc>
        <w:tc>
          <w:tcPr>
            <w:tcW w:w="12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43.7</w:t>
            </w:r>
          </w:p>
        </w:tc>
        <w:tc>
          <w:tcPr>
            <w:tcW w:w="380" w:type="dxa"/>
            <w:vAlign w:val="bottom"/>
            <w:tcBorders>
              <w:bottom w:val="single" w:sz="8" w:color="DBDBDB"/>
            </w:tcBorders>
            <w:shd w:val="clear" w:color="auto" w:fill="DBDBDB"/>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3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22.5</w:t>
            </w:r>
          </w:p>
        </w:tc>
      </w:tr>
      <w:tr>
        <w:trPr>
          <w:trHeight w:val="169"/>
        </w:trPr>
        <w:tc>
          <w:tcPr>
            <w:tcW w:w="4620" w:type="dxa"/>
            <w:vAlign w:val="bottom"/>
          </w:tcPr>
          <w:p>
            <w:pPr>
              <w:ind w:left="20"/>
              <w:spacing w:after="0" w:line="169" w:lineRule="exact"/>
              <w:rPr>
                <w:sz w:val="20"/>
                <w:szCs w:val="20"/>
                <w:color w:val="auto"/>
              </w:rPr>
            </w:pPr>
            <w:r>
              <w:rPr>
                <w:rFonts w:ascii="Calibri" w:cs="Calibri" w:eastAsia="Calibri" w:hAnsi="Calibri"/>
                <w:sz w:val="14"/>
                <w:szCs w:val="14"/>
                <w:color w:val="auto"/>
              </w:rPr>
              <w:t>Crop growing costs</w:t>
            </w:r>
          </w:p>
        </w:tc>
        <w:tc>
          <w:tcPr>
            <w:tcW w:w="3700" w:type="dxa"/>
            <w:vAlign w:val="bottom"/>
          </w:tcPr>
          <w:p>
            <w:pPr>
              <w:spacing w:after="0"/>
              <w:rPr>
                <w:sz w:val="14"/>
                <w:szCs w:val="14"/>
                <w:color w:val="auto"/>
              </w:rPr>
            </w:pPr>
          </w:p>
        </w:tc>
        <w:tc>
          <w:tcPr>
            <w:tcW w:w="12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30.8</w:t>
            </w:r>
          </w:p>
        </w:tc>
        <w:tc>
          <w:tcPr>
            <w:tcW w:w="38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Calibri" w:cs="Calibri" w:eastAsia="Calibri" w:hAnsi="Calibri"/>
                <w:sz w:val="14"/>
                <w:szCs w:val="14"/>
                <w:color w:val="auto"/>
              </w:rPr>
              <w:t>11.9</w:t>
            </w:r>
          </w:p>
        </w:tc>
      </w:tr>
      <w:tr>
        <w:trPr>
          <w:trHeight w:val="58"/>
        </w:trPr>
        <w:tc>
          <w:tcPr>
            <w:tcW w:w="46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32"/>
        </w:trPr>
        <w:tc>
          <w:tcPr>
            <w:tcW w:w="462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Packaging and supplies</w:t>
            </w:r>
          </w:p>
        </w:tc>
        <w:tc>
          <w:tcPr>
            <w:tcW w:w="3700" w:type="dxa"/>
            <w:vAlign w:val="bottom"/>
            <w:tcBorders>
              <w:bottom w:val="single" w:sz="8" w:color="DBDBDB"/>
            </w:tcBorders>
            <w:shd w:val="clear" w:color="auto" w:fill="DBDBDB"/>
          </w:tcPr>
          <w:p>
            <w:pPr>
              <w:spacing w:after="0"/>
              <w:rPr>
                <w:sz w:val="19"/>
                <w:szCs w:val="19"/>
                <w:color w:val="auto"/>
              </w:rPr>
            </w:pPr>
          </w:p>
        </w:tc>
        <w:tc>
          <w:tcPr>
            <w:tcW w:w="12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16.1</w:t>
            </w:r>
          </w:p>
        </w:tc>
        <w:tc>
          <w:tcPr>
            <w:tcW w:w="380" w:type="dxa"/>
            <w:vAlign w:val="bottom"/>
            <w:tcBorders>
              <w:bottom w:val="single" w:sz="8" w:color="DBDBDB"/>
            </w:tcBorders>
            <w:shd w:val="clear" w:color="auto" w:fill="DBDBDB"/>
          </w:tcPr>
          <w:p>
            <w:pPr>
              <w:spacing w:after="0"/>
              <w:rPr>
                <w:sz w:val="19"/>
                <w:szCs w:val="19"/>
                <w:color w:val="auto"/>
              </w:rPr>
            </w:pPr>
          </w:p>
        </w:tc>
        <w:tc>
          <w:tcPr>
            <w:tcW w:w="13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13.8</w:t>
            </w:r>
          </w:p>
        </w:tc>
      </w:tr>
      <w:tr>
        <w:trPr>
          <w:trHeight w:val="162"/>
        </w:trPr>
        <w:tc>
          <w:tcPr>
            <w:tcW w:w="462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Inventory</w:t>
            </w:r>
          </w:p>
        </w:tc>
        <w:tc>
          <w:tcPr>
            <w:tcW w:w="3700" w:type="dxa"/>
            <w:vAlign w:val="bottom"/>
            <w:tcBorders>
              <w:top w:val="single" w:sz="8" w:color="auto"/>
            </w:tcBorders>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122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90.6</w:t>
            </w:r>
          </w:p>
        </w:tc>
        <w:tc>
          <w:tcPr>
            <w:tcW w:w="380" w:type="dxa"/>
            <w:vAlign w:val="bottom"/>
            <w:tcBorders>
              <w:top w:val="single" w:sz="8" w:color="auto"/>
            </w:tcBorders>
          </w:tcPr>
          <w:p>
            <w:pPr>
              <w:jc w:val="right"/>
              <w:ind w:right="169"/>
              <w:spacing w:after="0" w:line="162" w:lineRule="exact"/>
              <w:rPr>
                <w:sz w:val="20"/>
                <w:szCs w:val="20"/>
                <w:color w:val="auto"/>
              </w:rPr>
            </w:pPr>
            <w:r>
              <w:rPr>
                <w:rFonts w:ascii="Calibri" w:cs="Calibri" w:eastAsia="Calibri" w:hAnsi="Calibri"/>
                <w:sz w:val="14"/>
                <w:szCs w:val="14"/>
                <w:color w:val="auto"/>
              </w:rPr>
              <w:t>$</w:t>
            </w:r>
          </w:p>
        </w:tc>
        <w:tc>
          <w:tcPr>
            <w:tcW w:w="130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48.2</w:t>
            </w:r>
          </w:p>
        </w:tc>
      </w:tr>
      <w:tr>
        <w:trPr>
          <w:trHeight w:val="58"/>
        </w:trPr>
        <w:tc>
          <w:tcPr>
            <w:tcW w:w="462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900"/>
        <w:spacing w:after="0"/>
        <w:rPr>
          <w:sz w:val="20"/>
          <w:szCs w:val="20"/>
          <w:color w:val="auto"/>
        </w:rPr>
      </w:pPr>
      <w:r>
        <w:rPr>
          <w:rFonts w:ascii="Calibri" w:cs="Calibri" w:eastAsia="Calibri" w:hAnsi="Calibri"/>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7" w:right="35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25"/>
          <w:szCs w:val="25"/>
          <w:b w:val="1"/>
          <w:bCs w:val="1"/>
          <w:color w:val="43C0B9"/>
        </w:rPr>
        <w:t>MISSION PRODUCE, INC.</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20"/>
          <w:szCs w:val="20"/>
          <w:b w:val="1"/>
          <w:bCs w:val="1"/>
          <w:color w:val="auto"/>
        </w:rPr>
        <w:t>3.</w:t>
        <w:tab/>
        <w:t>Details of Certain Account Balances</w:t>
      </w:r>
    </w:p>
    <w:p>
      <w:pPr>
        <w:spacing w:after="0" w:line="22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Accrued expenses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3600" w:type="dxa"/>
            <w:vAlign w:val="bottom"/>
            <w:tcBorders>
              <w:bottom w:val="single" w:sz="8" w:color="43C0B9"/>
            </w:tcBorders>
            <w:shd w:val="clear" w:color="auto" w:fill="43C0B9"/>
          </w:tcPr>
          <w:p>
            <w:pPr>
              <w:spacing w:after="0"/>
              <w:rPr>
                <w:sz w:val="18"/>
                <w:szCs w:val="18"/>
                <w:color w:val="auto"/>
              </w:rPr>
            </w:pPr>
          </w:p>
        </w:tc>
        <w:tc>
          <w:tcPr>
            <w:tcW w:w="120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April 30, 2022</w:t>
            </w:r>
          </w:p>
        </w:tc>
        <w:tc>
          <w:tcPr>
            <w:tcW w:w="360" w:type="dxa"/>
            <w:vAlign w:val="bottom"/>
            <w:tcBorders>
              <w:bottom w:val="single" w:sz="8" w:color="43C0B9"/>
            </w:tcBorders>
            <w:shd w:val="clear" w:color="auto" w:fill="43C0B9"/>
          </w:tcPr>
          <w:p>
            <w:pPr>
              <w:spacing w:after="0"/>
              <w:rPr>
                <w:sz w:val="18"/>
                <w:szCs w:val="18"/>
                <w:color w:val="auto"/>
              </w:rPr>
            </w:pPr>
          </w:p>
        </w:tc>
        <w:tc>
          <w:tcPr>
            <w:tcW w:w="126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October 31, 2021</w:t>
            </w:r>
          </w:p>
        </w:tc>
      </w:tr>
      <w:tr>
        <w:trPr>
          <w:trHeight w:val="207"/>
        </w:trPr>
        <w:tc>
          <w:tcPr>
            <w:tcW w:w="48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Employee-related</w:t>
            </w:r>
          </w:p>
        </w:tc>
        <w:tc>
          <w:tcPr>
            <w:tcW w:w="3600" w:type="dxa"/>
            <w:vAlign w:val="bottom"/>
            <w:tcBorders>
              <w:bottom w:val="single" w:sz="8" w:color="DBDBDB"/>
            </w:tcBorders>
            <w:shd w:val="clear" w:color="auto" w:fill="DBDBDB"/>
          </w:tcPr>
          <w:p>
            <w:pPr>
              <w:jc w:val="right"/>
              <w:ind w:right="269"/>
              <w:spacing w:after="0" w:line="169"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12.1</w:t>
            </w:r>
          </w:p>
        </w:tc>
        <w:tc>
          <w:tcPr>
            <w:tcW w:w="360" w:type="dxa"/>
            <w:vAlign w:val="bottom"/>
            <w:tcBorders>
              <w:bottom w:val="single" w:sz="8" w:color="DBDBDB"/>
            </w:tcBorders>
            <w:shd w:val="clear" w:color="auto" w:fill="DBDBDB"/>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14.6</w:t>
            </w:r>
          </w:p>
        </w:tc>
      </w:tr>
      <w:tr>
        <w:trPr>
          <w:trHeight w:val="169"/>
        </w:trPr>
        <w:tc>
          <w:tcPr>
            <w:tcW w:w="4800" w:type="dxa"/>
            <w:vAlign w:val="bottom"/>
          </w:tcPr>
          <w:p>
            <w:pPr>
              <w:ind w:left="20"/>
              <w:spacing w:after="0" w:line="169" w:lineRule="exact"/>
              <w:rPr>
                <w:sz w:val="20"/>
                <w:szCs w:val="20"/>
                <w:color w:val="auto"/>
              </w:rPr>
            </w:pPr>
            <w:r>
              <w:rPr>
                <w:rFonts w:ascii="Calibri" w:cs="Calibri" w:eastAsia="Calibri" w:hAnsi="Calibri"/>
                <w:sz w:val="14"/>
                <w:szCs w:val="14"/>
                <w:color w:val="auto"/>
              </w:rPr>
              <w:t>Freight</w:t>
            </w:r>
          </w:p>
        </w:tc>
        <w:tc>
          <w:tcPr>
            <w:tcW w:w="3600" w:type="dxa"/>
            <w:vAlign w:val="bottom"/>
          </w:tcPr>
          <w:p>
            <w:pPr>
              <w:spacing w:after="0"/>
              <w:rPr>
                <w:sz w:val="14"/>
                <w:szCs w:val="14"/>
                <w:color w:val="auto"/>
              </w:rPr>
            </w:pPr>
          </w:p>
        </w:tc>
        <w:tc>
          <w:tcPr>
            <w:tcW w:w="12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6.7</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3.9</w:t>
            </w:r>
          </w:p>
        </w:tc>
      </w:tr>
      <w:tr>
        <w:trPr>
          <w:trHeight w:val="58"/>
        </w:trPr>
        <w:tc>
          <w:tcPr>
            <w:tcW w:w="48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48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Interest rate swaps</w:t>
            </w:r>
          </w:p>
        </w:tc>
        <w:tc>
          <w:tcPr>
            <w:tcW w:w="36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2.1</w:t>
            </w:r>
          </w:p>
        </w:tc>
      </w:tr>
      <w:tr>
        <w:trPr>
          <w:trHeight w:val="169"/>
        </w:trPr>
        <w:tc>
          <w:tcPr>
            <w:tcW w:w="4800" w:type="dxa"/>
            <w:vAlign w:val="bottom"/>
          </w:tcPr>
          <w:p>
            <w:pPr>
              <w:ind w:left="20"/>
              <w:spacing w:after="0" w:line="169" w:lineRule="exact"/>
              <w:rPr>
                <w:sz w:val="20"/>
                <w:szCs w:val="20"/>
                <w:color w:val="auto"/>
              </w:rPr>
            </w:pPr>
            <w:r>
              <w:rPr>
                <w:rFonts w:ascii="Calibri" w:cs="Calibri" w:eastAsia="Calibri" w:hAnsi="Calibri"/>
                <w:sz w:val="14"/>
                <w:szCs w:val="14"/>
                <w:color w:val="auto"/>
              </w:rPr>
              <w:t>Constructon-in-progress</w:t>
            </w:r>
          </w:p>
        </w:tc>
        <w:tc>
          <w:tcPr>
            <w:tcW w:w="3600" w:type="dxa"/>
            <w:vAlign w:val="bottom"/>
          </w:tcPr>
          <w:p>
            <w:pPr>
              <w:spacing w:after="0"/>
              <w:rPr>
                <w:sz w:val="14"/>
                <w:szCs w:val="14"/>
                <w:color w:val="auto"/>
              </w:rPr>
            </w:pPr>
          </w:p>
        </w:tc>
        <w:tc>
          <w:tcPr>
            <w:tcW w:w="12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0.4</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0.2</w:t>
            </w:r>
          </w:p>
        </w:tc>
      </w:tr>
      <w:tr>
        <w:trPr>
          <w:trHeight w:val="58"/>
        </w:trPr>
        <w:tc>
          <w:tcPr>
            <w:tcW w:w="48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48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Outside fruit purchase</w:t>
            </w:r>
          </w:p>
        </w:tc>
        <w:tc>
          <w:tcPr>
            <w:tcW w:w="36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2.9</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2.2</w:t>
            </w:r>
          </w:p>
        </w:tc>
      </w:tr>
      <w:tr>
        <w:trPr>
          <w:trHeight w:val="169"/>
        </w:trPr>
        <w:tc>
          <w:tcPr>
            <w:tcW w:w="4800" w:type="dxa"/>
            <w:vAlign w:val="bottom"/>
          </w:tcPr>
          <w:p>
            <w:pPr>
              <w:ind w:left="20"/>
              <w:spacing w:after="0" w:line="169" w:lineRule="exact"/>
              <w:rPr>
                <w:sz w:val="20"/>
                <w:szCs w:val="20"/>
                <w:color w:val="auto"/>
              </w:rPr>
            </w:pPr>
            <w:r>
              <w:rPr>
                <w:rFonts w:ascii="Calibri" w:cs="Calibri" w:eastAsia="Calibri" w:hAnsi="Calibri"/>
                <w:sz w:val="14"/>
                <w:szCs w:val="14"/>
                <w:color w:val="auto"/>
              </w:rPr>
              <w:t>VAT and local taxes payable</w:t>
            </w:r>
          </w:p>
        </w:tc>
        <w:tc>
          <w:tcPr>
            <w:tcW w:w="3600" w:type="dxa"/>
            <w:vAlign w:val="bottom"/>
          </w:tcPr>
          <w:p>
            <w:pPr>
              <w:spacing w:after="0"/>
              <w:rPr>
                <w:sz w:val="14"/>
                <w:szCs w:val="14"/>
                <w:color w:val="auto"/>
              </w:rPr>
            </w:pPr>
          </w:p>
        </w:tc>
        <w:tc>
          <w:tcPr>
            <w:tcW w:w="12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0.5</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1.0</w:t>
            </w:r>
          </w:p>
        </w:tc>
      </w:tr>
      <w:tr>
        <w:trPr>
          <w:trHeight w:val="58"/>
        </w:trPr>
        <w:tc>
          <w:tcPr>
            <w:tcW w:w="48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07"/>
        </w:trPr>
        <w:tc>
          <w:tcPr>
            <w:tcW w:w="48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Legal setlement</w:t>
            </w:r>
          </w:p>
        </w:tc>
        <w:tc>
          <w:tcPr>
            <w:tcW w:w="36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0.8</w:t>
            </w:r>
          </w:p>
        </w:tc>
        <w:tc>
          <w:tcPr>
            <w:tcW w:w="36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0.8</w:t>
            </w:r>
          </w:p>
        </w:tc>
      </w:tr>
      <w:tr>
        <w:trPr>
          <w:trHeight w:val="169"/>
        </w:trPr>
        <w:tc>
          <w:tcPr>
            <w:tcW w:w="4800" w:type="dxa"/>
            <w:vAlign w:val="bottom"/>
          </w:tcPr>
          <w:p>
            <w:pPr>
              <w:ind w:left="20"/>
              <w:spacing w:after="0" w:line="169" w:lineRule="exact"/>
              <w:rPr>
                <w:sz w:val="20"/>
                <w:szCs w:val="20"/>
                <w:color w:val="auto"/>
              </w:rPr>
            </w:pPr>
            <w:r>
              <w:rPr>
                <w:rFonts w:ascii="Calibri" w:cs="Calibri" w:eastAsia="Calibri" w:hAnsi="Calibri"/>
                <w:sz w:val="14"/>
                <w:szCs w:val="14"/>
                <w:color w:val="auto"/>
              </w:rPr>
              <w:t>Other</w:t>
            </w:r>
          </w:p>
        </w:tc>
        <w:tc>
          <w:tcPr>
            <w:tcW w:w="3600" w:type="dxa"/>
            <w:vAlign w:val="bottom"/>
          </w:tcPr>
          <w:p>
            <w:pPr>
              <w:spacing w:after="0"/>
              <w:rPr>
                <w:sz w:val="14"/>
                <w:szCs w:val="14"/>
                <w:color w:val="auto"/>
              </w:rPr>
            </w:pPr>
          </w:p>
        </w:tc>
        <w:tc>
          <w:tcPr>
            <w:tcW w:w="12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5.5</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4.0</w:t>
            </w:r>
          </w:p>
        </w:tc>
      </w:tr>
      <w:tr>
        <w:trPr>
          <w:trHeight w:val="58"/>
        </w:trPr>
        <w:tc>
          <w:tcPr>
            <w:tcW w:w="480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1"/>
        </w:trPr>
        <w:tc>
          <w:tcPr>
            <w:tcW w:w="48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Accrued expenses</w:t>
            </w:r>
          </w:p>
        </w:tc>
        <w:tc>
          <w:tcPr>
            <w:tcW w:w="360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28.9</w:t>
            </w:r>
          </w:p>
        </w:tc>
        <w:tc>
          <w:tcPr>
            <w:tcW w:w="360" w:type="dxa"/>
            <w:vAlign w:val="bottom"/>
            <w:tcBorders>
              <w:bottom w:val="single" w:sz="8" w:color="DBDBDB"/>
            </w:tcBorders>
            <w:shd w:val="clear" w:color="auto" w:fill="DBDBDB"/>
          </w:tcPr>
          <w:p>
            <w:pPr>
              <w:jc w:val="right"/>
              <w:ind w:right="169"/>
              <w:spacing w:after="0" w:line="162"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28.8</w:t>
            </w:r>
          </w:p>
        </w:tc>
      </w:tr>
      <w:tr>
        <w:trPr>
          <w:trHeight w:val="20"/>
        </w:trPr>
        <w:tc>
          <w:tcPr>
            <w:tcW w:w="480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Other income (expense)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shd w:val="clear" w:color="auto" w:fill="43C0B9"/>
          </w:tcPr>
          <w:p>
            <w:pPr>
              <w:spacing w:after="0"/>
              <w:rPr>
                <w:sz w:val="15"/>
                <w:szCs w:val="15"/>
                <w:color w:val="auto"/>
              </w:rPr>
            </w:pPr>
          </w:p>
        </w:tc>
        <w:tc>
          <w:tcPr>
            <w:tcW w:w="560" w:type="dxa"/>
            <w:vAlign w:val="bottom"/>
            <w:shd w:val="clear" w:color="auto" w:fill="43C0B9"/>
          </w:tcPr>
          <w:p>
            <w:pPr>
              <w:spacing w:after="0"/>
              <w:rPr>
                <w:sz w:val="15"/>
                <w:szCs w:val="15"/>
                <w:color w:val="auto"/>
              </w:rPr>
            </w:pPr>
          </w:p>
        </w:tc>
        <w:tc>
          <w:tcPr>
            <w:tcW w:w="1960" w:type="dxa"/>
            <w:vAlign w:val="bottom"/>
            <w:gridSpan w:val="2"/>
            <w:shd w:val="clear" w:color="auto" w:fill="43C0B9"/>
          </w:tcPr>
          <w:p>
            <w:pPr>
              <w:jc w:val="right"/>
              <w:ind w:right="209"/>
              <w:spacing w:after="0"/>
              <w:rPr>
                <w:sz w:val="20"/>
                <w:szCs w:val="20"/>
                <w:color w:val="auto"/>
              </w:rPr>
            </w:pPr>
            <w:r>
              <w:rPr>
                <w:rFonts w:ascii="Calibri" w:cs="Calibri" w:eastAsia="Calibri" w:hAnsi="Calibri"/>
                <w:sz w:val="14"/>
                <w:szCs w:val="14"/>
                <w:b w:val="1"/>
                <w:bCs w:val="1"/>
                <w:color w:val="FFFFFF"/>
              </w:rPr>
              <w:t>Three Months Ended</w:t>
            </w:r>
          </w:p>
        </w:tc>
        <w:tc>
          <w:tcPr>
            <w:tcW w:w="780" w:type="dxa"/>
            <w:vAlign w:val="bottom"/>
            <w:shd w:val="clear" w:color="auto" w:fill="43C0B9"/>
          </w:tcPr>
          <w:p>
            <w:pPr>
              <w:spacing w:after="0"/>
              <w:rPr>
                <w:sz w:val="15"/>
                <w:szCs w:val="15"/>
                <w:color w:val="auto"/>
              </w:rPr>
            </w:pPr>
          </w:p>
        </w:tc>
        <w:tc>
          <w:tcPr>
            <w:tcW w:w="660" w:type="dxa"/>
            <w:vAlign w:val="bottom"/>
            <w:shd w:val="clear" w:color="auto" w:fill="43C0B9"/>
          </w:tcPr>
          <w:p>
            <w:pPr>
              <w:spacing w:after="0"/>
              <w:rPr>
                <w:sz w:val="15"/>
                <w:szCs w:val="15"/>
                <w:color w:val="auto"/>
              </w:rPr>
            </w:pPr>
          </w:p>
        </w:tc>
        <w:tc>
          <w:tcPr>
            <w:tcW w:w="1900" w:type="dxa"/>
            <w:vAlign w:val="bottom"/>
            <w:gridSpan w:val="2"/>
            <w:shd w:val="clear" w:color="auto" w:fill="43C0B9"/>
          </w:tcPr>
          <w:p>
            <w:pPr>
              <w:jc w:val="right"/>
              <w:ind w:right="269"/>
              <w:spacing w:after="0"/>
              <w:rPr>
                <w:sz w:val="20"/>
                <w:szCs w:val="20"/>
                <w:color w:val="auto"/>
              </w:rPr>
            </w:pPr>
            <w:r>
              <w:rPr>
                <w:rFonts w:ascii="Calibri" w:cs="Calibri" w:eastAsia="Calibri" w:hAnsi="Calibri"/>
                <w:sz w:val="14"/>
                <w:szCs w:val="14"/>
                <w:b w:val="1"/>
                <w:bCs w:val="1"/>
                <w:color w:val="FFFFFF"/>
              </w:rPr>
              <w:t>Six Months Ended</w:t>
            </w:r>
          </w:p>
        </w:tc>
        <w:tc>
          <w:tcPr>
            <w:tcW w:w="740" w:type="dxa"/>
            <w:vAlign w:val="bottom"/>
            <w:shd w:val="clear" w:color="auto" w:fill="43C0B9"/>
          </w:tcPr>
          <w:p>
            <w:pPr>
              <w:spacing w:after="0"/>
              <w:rPr>
                <w:sz w:val="15"/>
                <w:szCs w:val="15"/>
                <w:color w:val="auto"/>
              </w:rPr>
            </w:pPr>
          </w:p>
        </w:tc>
      </w:tr>
      <w:tr>
        <w:trPr>
          <w:trHeight w:val="169"/>
        </w:trPr>
        <w:tc>
          <w:tcPr>
            <w:tcW w:w="46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1960" w:type="dxa"/>
            <w:vAlign w:val="bottom"/>
            <w:gridSpan w:val="2"/>
            <w:shd w:val="clear" w:color="auto" w:fill="43C0B9"/>
          </w:tcPr>
          <w:p>
            <w:pPr>
              <w:jc w:val="right"/>
              <w:ind w:right="589"/>
              <w:spacing w:after="0" w:line="169" w:lineRule="exact"/>
              <w:rPr>
                <w:sz w:val="20"/>
                <w:szCs w:val="20"/>
                <w:color w:val="auto"/>
              </w:rPr>
            </w:pPr>
            <w:r>
              <w:rPr>
                <w:rFonts w:ascii="Calibri" w:cs="Calibri" w:eastAsia="Calibri" w:hAnsi="Calibri"/>
                <w:sz w:val="14"/>
                <w:szCs w:val="14"/>
                <w:b w:val="1"/>
                <w:bCs w:val="1"/>
                <w:color w:val="FFFFFF"/>
              </w:rPr>
              <w:t>April 30,</w:t>
            </w:r>
          </w:p>
        </w:tc>
        <w:tc>
          <w:tcPr>
            <w:tcW w:w="780" w:type="dxa"/>
            <w:vAlign w:val="bottom"/>
            <w:shd w:val="clear" w:color="auto" w:fill="43C0B9"/>
          </w:tcPr>
          <w:p>
            <w:pPr>
              <w:spacing w:after="0"/>
              <w:rPr>
                <w:sz w:val="14"/>
                <w:szCs w:val="14"/>
                <w:color w:val="auto"/>
              </w:rPr>
            </w:pPr>
          </w:p>
        </w:tc>
        <w:tc>
          <w:tcPr>
            <w:tcW w:w="660" w:type="dxa"/>
            <w:vAlign w:val="bottom"/>
            <w:shd w:val="clear" w:color="auto" w:fill="43C0B9"/>
          </w:tcPr>
          <w:p>
            <w:pPr>
              <w:spacing w:after="0"/>
              <w:rPr>
                <w:sz w:val="14"/>
                <w:szCs w:val="14"/>
                <w:color w:val="auto"/>
              </w:rPr>
            </w:pPr>
          </w:p>
        </w:tc>
        <w:tc>
          <w:tcPr>
            <w:tcW w:w="1900" w:type="dxa"/>
            <w:vAlign w:val="bottom"/>
            <w:gridSpan w:val="2"/>
            <w:shd w:val="clear" w:color="auto" w:fill="43C0B9"/>
          </w:tcPr>
          <w:p>
            <w:pPr>
              <w:jc w:val="right"/>
              <w:ind w:right="549"/>
              <w:spacing w:after="0" w:line="169" w:lineRule="exact"/>
              <w:rPr>
                <w:sz w:val="20"/>
                <w:szCs w:val="20"/>
                <w:color w:val="auto"/>
              </w:rPr>
            </w:pPr>
            <w:r>
              <w:rPr>
                <w:rFonts w:ascii="Calibri" w:cs="Calibri" w:eastAsia="Calibri" w:hAnsi="Calibri"/>
                <w:sz w:val="14"/>
                <w:szCs w:val="14"/>
                <w:b w:val="1"/>
                <w:bCs w:val="1"/>
                <w:color w:val="FFFFFF"/>
              </w:rPr>
              <w:t>April 30,</w:t>
            </w:r>
          </w:p>
        </w:tc>
        <w:tc>
          <w:tcPr>
            <w:tcW w:w="740" w:type="dxa"/>
            <w:vAlign w:val="bottom"/>
            <w:shd w:val="clear" w:color="auto" w:fill="43C0B9"/>
          </w:tcPr>
          <w:p>
            <w:pPr>
              <w:spacing w:after="0"/>
              <w:rPr>
                <w:sz w:val="14"/>
                <w:szCs w:val="14"/>
                <w:color w:val="auto"/>
              </w:rPr>
            </w:pPr>
          </w:p>
        </w:tc>
      </w:tr>
      <w:tr>
        <w:trPr>
          <w:trHeight w:val="280"/>
        </w:trPr>
        <w:tc>
          <w:tcPr>
            <w:tcW w:w="46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56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920" w:type="dxa"/>
            <w:vAlign w:val="bottom"/>
            <w:tcBorders>
              <w:bottom w:val="single" w:sz="8" w:color="43C0B9"/>
            </w:tcBorders>
            <w:shd w:val="clear" w:color="auto" w:fill="43C0B9"/>
          </w:tcPr>
          <w:p>
            <w:pPr>
              <w:spacing w:after="0"/>
              <w:rPr>
                <w:sz w:val="24"/>
                <w:szCs w:val="24"/>
                <w:color w:val="auto"/>
              </w:rPr>
            </w:pPr>
          </w:p>
        </w:tc>
        <w:tc>
          <w:tcPr>
            <w:tcW w:w="780" w:type="dxa"/>
            <w:vAlign w:val="bottom"/>
            <w:tcBorders>
              <w:bottom w:val="single" w:sz="8" w:color="43C0B9"/>
            </w:tcBorders>
            <w:shd w:val="clear" w:color="auto" w:fill="43C0B9"/>
          </w:tcPr>
          <w:p>
            <w:pPr>
              <w:jc w:val="right"/>
              <w:ind w:right="129"/>
              <w:spacing w:after="0"/>
              <w:rPr>
                <w:sz w:val="20"/>
                <w:szCs w:val="20"/>
                <w:color w:val="auto"/>
              </w:rPr>
            </w:pPr>
            <w:r>
              <w:rPr>
                <w:rFonts w:ascii="Calibri" w:cs="Calibri" w:eastAsia="Calibri" w:hAnsi="Calibri"/>
                <w:sz w:val="14"/>
                <w:szCs w:val="14"/>
                <w:b w:val="1"/>
                <w:bCs w:val="1"/>
                <w:color w:val="FFFFFF"/>
              </w:rPr>
              <w:t>2021</w:t>
            </w:r>
          </w:p>
        </w:tc>
        <w:tc>
          <w:tcPr>
            <w:tcW w:w="660" w:type="dxa"/>
            <w:vAlign w:val="bottom"/>
            <w:tcBorders>
              <w:bottom w:val="single" w:sz="8" w:color="43C0B9"/>
            </w:tcBorders>
            <w:shd w:val="clear" w:color="auto" w:fill="43C0B9"/>
          </w:tcPr>
          <w:p>
            <w:pPr>
              <w:spacing w:after="0"/>
              <w:rPr>
                <w:sz w:val="24"/>
                <w:szCs w:val="24"/>
                <w:color w:val="auto"/>
              </w:rPr>
            </w:pPr>
          </w:p>
        </w:tc>
        <w:tc>
          <w:tcPr>
            <w:tcW w:w="1000" w:type="dxa"/>
            <w:vAlign w:val="bottom"/>
            <w:tcBorders>
              <w:bottom w:val="single" w:sz="8" w:color="43C0B9"/>
            </w:tcBorders>
            <w:shd w:val="clear" w:color="auto" w:fill="43C0B9"/>
          </w:tcPr>
          <w:p>
            <w:pPr>
              <w:jc w:val="right"/>
              <w:ind w:right="69"/>
              <w:spacing w:after="0"/>
              <w:rPr>
                <w:sz w:val="20"/>
                <w:szCs w:val="20"/>
                <w:color w:val="auto"/>
              </w:rPr>
            </w:pPr>
            <w:r>
              <w:rPr>
                <w:rFonts w:ascii="Calibri" w:cs="Calibri" w:eastAsia="Calibri" w:hAnsi="Calibri"/>
                <w:sz w:val="14"/>
                <w:szCs w:val="14"/>
                <w:b w:val="1"/>
                <w:bCs w:val="1"/>
                <w:color w:val="FFFFFF"/>
              </w:rPr>
              <w:t>2022</w:t>
            </w:r>
          </w:p>
        </w:tc>
        <w:tc>
          <w:tcPr>
            <w:tcW w:w="90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Gains on derivatve fnancial instruments</w:t>
            </w:r>
          </w:p>
        </w:tc>
        <w:tc>
          <w:tcPr>
            <w:tcW w:w="560" w:type="dxa"/>
            <w:vAlign w:val="bottom"/>
            <w:tcBorders>
              <w:bottom w:val="single" w:sz="8" w:color="DBDBDB"/>
            </w:tcBorders>
            <w:shd w:val="clear" w:color="auto" w:fill="DBDBDB"/>
          </w:tcPr>
          <w:p>
            <w:pPr>
              <w:jc w:val="right"/>
              <w:ind w:right="38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2.2</w:t>
            </w:r>
          </w:p>
        </w:tc>
        <w:tc>
          <w:tcPr>
            <w:tcW w:w="920" w:type="dxa"/>
            <w:vAlign w:val="bottom"/>
            <w:tcBorders>
              <w:bottom w:val="single" w:sz="8" w:color="DBDBDB"/>
            </w:tcBorders>
            <w:shd w:val="clear" w:color="auto" w:fill="DBDBDB"/>
          </w:tcPr>
          <w:p>
            <w:pPr>
              <w:jc w:val="right"/>
              <w:ind w:right="709"/>
              <w:spacing w:after="0" w:line="169"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DBDBDB"/>
            </w:tcBorders>
            <w:shd w:val="clear" w:color="auto" w:fill="DBDBDB"/>
          </w:tcPr>
          <w:p>
            <w:pPr>
              <w:jc w:val="center"/>
              <w:ind w:left="289"/>
              <w:spacing w:after="0" w:line="169" w:lineRule="exact"/>
              <w:rPr>
                <w:sz w:val="20"/>
                <w:szCs w:val="20"/>
                <w:color w:val="auto"/>
              </w:rPr>
            </w:pPr>
            <w:r>
              <w:rPr>
                <w:rFonts w:ascii="Calibri" w:cs="Calibri" w:eastAsia="Calibri" w:hAnsi="Calibri"/>
                <w:sz w:val="14"/>
                <w:szCs w:val="14"/>
                <w:color w:val="auto"/>
              </w:rPr>
              <w:t>0.3</w:t>
            </w:r>
          </w:p>
        </w:tc>
        <w:tc>
          <w:tcPr>
            <w:tcW w:w="660" w:type="dxa"/>
            <w:vAlign w:val="bottom"/>
            <w:tcBorders>
              <w:bottom w:val="single" w:sz="8" w:color="DBDBDB"/>
            </w:tcBorders>
            <w:shd w:val="clear" w:color="auto" w:fill="DBDBDB"/>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3.0</w:t>
            </w:r>
          </w:p>
        </w:tc>
        <w:tc>
          <w:tcPr>
            <w:tcW w:w="900" w:type="dxa"/>
            <w:vAlign w:val="bottom"/>
            <w:tcBorders>
              <w:bottom w:val="single" w:sz="8" w:color="DBDBDB"/>
            </w:tcBorders>
            <w:shd w:val="clear" w:color="auto" w:fill="DBDBDB"/>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center"/>
              <w:ind w:left="369"/>
              <w:spacing w:after="0" w:line="169" w:lineRule="exact"/>
              <w:rPr>
                <w:sz w:val="20"/>
                <w:szCs w:val="20"/>
                <w:color w:val="auto"/>
              </w:rPr>
            </w:pPr>
            <w:r>
              <w:rPr>
                <w:rFonts w:ascii="Calibri" w:cs="Calibri" w:eastAsia="Calibri" w:hAnsi="Calibri"/>
                <w:sz w:val="14"/>
                <w:szCs w:val="14"/>
                <w:color w:val="auto"/>
              </w:rPr>
              <w:t>0.3</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Foreign currency transacton (loss) gain</w:t>
            </w:r>
          </w:p>
        </w:tc>
        <w:tc>
          <w:tcPr>
            <w:tcW w:w="5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(0.4)</w:t>
            </w:r>
          </w:p>
        </w:tc>
        <w:tc>
          <w:tcPr>
            <w:tcW w:w="920" w:type="dxa"/>
            <w:vAlign w:val="bottom"/>
          </w:tcPr>
          <w:p>
            <w:pPr>
              <w:spacing w:after="0"/>
              <w:rPr>
                <w:sz w:val="14"/>
                <w:szCs w:val="14"/>
                <w:color w:val="auto"/>
              </w:rPr>
            </w:pPr>
          </w:p>
        </w:tc>
        <w:tc>
          <w:tcPr>
            <w:tcW w:w="780" w:type="dxa"/>
            <w:vAlign w:val="bottom"/>
          </w:tcPr>
          <w:p>
            <w:pPr>
              <w:jc w:val="center"/>
              <w:ind w:left="249"/>
              <w:spacing w:after="0" w:line="169" w:lineRule="exact"/>
              <w:rPr>
                <w:sz w:val="20"/>
                <w:szCs w:val="20"/>
                <w:color w:val="auto"/>
              </w:rPr>
            </w:pPr>
            <w:r>
              <w:rPr>
                <w:rFonts w:ascii="Calibri" w:cs="Calibri" w:eastAsia="Calibri" w:hAnsi="Calibri"/>
                <w:sz w:val="14"/>
                <w:szCs w:val="14"/>
                <w:color w:val="auto"/>
                <w:w w:val="99"/>
              </w:rPr>
              <w:t>(1.2)</w:t>
            </w:r>
          </w:p>
        </w:tc>
        <w:tc>
          <w:tcPr>
            <w:tcW w:w="660" w:type="dxa"/>
            <w:vAlign w:val="bottom"/>
          </w:tcPr>
          <w:p>
            <w:pPr>
              <w:spacing w:after="0"/>
              <w:rPr>
                <w:sz w:val="14"/>
                <w:szCs w:val="14"/>
                <w:color w:val="auto"/>
              </w:rPr>
            </w:pPr>
          </w:p>
        </w:tc>
        <w:tc>
          <w:tcPr>
            <w:tcW w:w="10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0.1</w:t>
            </w:r>
          </w:p>
        </w:tc>
        <w:tc>
          <w:tcPr>
            <w:tcW w:w="900" w:type="dxa"/>
            <w:vAlign w:val="bottom"/>
          </w:tcPr>
          <w:p>
            <w:pPr>
              <w:spacing w:after="0"/>
              <w:rPr>
                <w:sz w:val="14"/>
                <w:szCs w:val="14"/>
                <w:color w:val="auto"/>
              </w:rPr>
            </w:pPr>
          </w:p>
        </w:tc>
        <w:tc>
          <w:tcPr>
            <w:tcW w:w="740" w:type="dxa"/>
            <w:vAlign w:val="bottom"/>
          </w:tcPr>
          <w:p>
            <w:pPr>
              <w:jc w:val="center"/>
              <w:ind w:left="349"/>
              <w:spacing w:after="0" w:line="169" w:lineRule="exact"/>
              <w:rPr>
                <w:sz w:val="20"/>
                <w:szCs w:val="20"/>
                <w:color w:val="auto"/>
              </w:rPr>
            </w:pPr>
            <w:r>
              <w:rPr>
                <w:rFonts w:ascii="Calibri" w:cs="Calibri" w:eastAsia="Calibri" w:hAnsi="Calibri"/>
                <w:sz w:val="14"/>
                <w:szCs w:val="14"/>
                <w:color w:val="auto"/>
              </w:rPr>
              <w:t>(1.8)</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Interest income</w:t>
            </w:r>
          </w:p>
        </w:tc>
        <w:tc>
          <w:tcPr>
            <w:tcW w:w="5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1.1</w:t>
            </w:r>
          </w:p>
        </w:tc>
        <w:tc>
          <w:tcPr>
            <w:tcW w:w="92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center"/>
              <w:ind w:left="289"/>
              <w:spacing w:after="0" w:line="169" w:lineRule="exact"/>
              <w:rPr>
                <w:sz w:val="20"/>
                <w:szCs w:val="20"/>
                <w:color w:val="auto"/>
              </w:rPr>
            </w:pPr>
            <w:r>
              <w:rPr>
                <w:rFonts w:ascii="Calibri" w:cs="Calibri" w:eastAsia="Calibri" w:hAnsi="Calibri"/>
                <w:sz w:val="14"/>
                <w:szCs w:val="14"/>
                <w:color w:val="auto"/>
              </w:rPr>
              <w:t>0.9</w:t>
            </w:r>
          </w:p>
        </w:tc>
        <w:tc>
          <w:tcPr>
            <w:tcW w:w="66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1.2</w:t>
            </w:r>
          </w:p>
        </w:tc>
        <w:tc>
          <w:tcPr>
            <w:tcW w:w="9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center"/>
              <w:ind w:left="369"/>
              <w:spacing w:after="0" w:line="169" w:lineRule="exact"/>
              <w:rPr>
                <w:sz w:val="20"/>
                <w:szCs w:val="20"/>
                <w:color w:val="auto"/>
              </w:rPr>
            </w:pPr>
            <w:r>
              <w:rPr>
                <w:rFonts w:ascii="Calibri" w:cs="Calibri" w:eastAsia="Calibri" w:hAnsi="Calibri"/>
                <w:sz w:val="14"/>
                <w:szCs w:val="14"/>
                <w:color w:val="auto"/>
              </w:rPr>
              <w:t>1.1</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Other</w:t>
            </w:r>
          </w:p>
        </w:tc>
        <w:tc>
          <w:tcPr>
            <w:tcW w:w="560" w:type="dxa"/>
            <w:vAlign w:val="bottom"/>
          </w:tcPr>
          <w:p>
            <w:pPr>
              <w:spacing w:after="0"/>
              <w:rPr>
                <w:sz w:val="14"/>
                <w:szCs w:val="14"/>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920" w:type="dxa"/>
            <w:vAlign w:val="bottom"/>
          </w:tcPr>
          <w:p>
            <w:pPr>
              <w:spacing w:after="0"/>
              <w:rPr>
                <w:sz w:val="14"/>
                <w:szCs w:val="14"/>
                <w:color w:val="auto"/>
              </w:rPr>
            </w:pPr>
          </w:p>
        </w:tc>
        <w:tc>
          <w:tcPr>
            <w:tcW w:w="780" w:type="dxa"/>
            <w:vAlign w:val="bottom"/>
          </w:tcPr>
          <w:p>
            <w:pPr>
              <w:jc w:val="center"/>
              <w:ind w:left="249"/>
              <w:spacing w:after="0" w:line="169" w:lineRule="exact"/>
              <w:rPr>
                <w:sz w:val="20"/>
                <w:szCs w:val="20"/>
                <w:color w:val="auto"/>
              </w:rPr>
            </w:pPr>
            <w:r>
              <w:rPr>
                <w:rFonts w:ascii="Calibri" w:cs="Calibri" w:eastAsia="Calibri" w:hAnsi="Calibri"/>
                <w:sz w:val="14"/>
                <w:szCs w:val="14"/>
                <w:color w:val="auto"/>
                <w:w w:val="99"/>
              </w:rPr>
              <w:t>(0.3)</w:t>
            </w:r>
          </w:p>
        </w:tc>
        <w:tc>
          <w:tcPr>
            <w:tcW w:w="660" w:type="dxa"/>
            <w:vAlign w:val="bottom"/>
          </w:tcPr>
          <w:p>
            <w:pPr>
              <w:spacing w:after="0"/>
              <w:rPr>
                <w:sz w:val="14"/>
                <w:szCs w:val="14"/>
                <w:color w:val="auto"/>
              </w:rPr>
            </w:pPr>
          </w:p>
        </w:tc>
        <w:tc>
          <w:tcPr>
            <w:tcW w:w="10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0.2</w:t>
            </w:r>
          </w:p>
        </w:tc>
        <w:tc>
          <w:tcPr>
            <w:tcW w:w="900" w:type="dxa"/>
            <w:vAlign w:val="bottom"/>
          </w:tcPr>
          <w:p>
            <w:pPr>
              <w:spacing w:after="0"/>
              <w:rPr>
                <w:sz w:val="14"/>
                <w:szCs w:val="14"/>
                <w:color w:val="auto"/>
              </w:rPr>
            </w:pPr>
          </w:p>
        </w:tc>
        <w:tc>
          <w:tcPr>
            <w:tcW w:w="740" w:type="dxa"/>
            <w:vAlign w:val="bottom"/>
          </w:tcPr>
          <w:p>
            <w:pPr>
              <w:jc w:val="center"/>
              <w:ind w:left="369"/>
              <w:spacing w:after="0" w:line="169" w:lineRule="exact"/>
              <w:rPr>
                <w:sz w:val="20"/>
                <w:szCs w:val="20"/>
                <w:color w:val="auto"/>
              </w:rPr>
            </w:pPr>
            <w:r>
              <w:rPr>
                <w:rFonts w:ascii="Calibri" w:cs="Calibri" w:eastAsia="Calibri" w:hAnsi="Calibri"/>
                <w:sz w:val="14"/>
                <w:szCs w:val="14"/>
                <w:color w:val="auto"/>
              </w:rPr>
              <w:t>0.1</w:t>
            </w:r>
          </w:p>
        </w:tc>
      </w:tr>
      <w:tr>
        <w:trPr>
          <w:trHeight w:val="58"/>
        </w:trPr>
        <w:tc>
          <w:tcPr>
            <w:tcW w:w="46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01"/>
        </w:trPr>
        <w:tc>
          <w:tcPr>
            <w:tcW w:w="46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Other income (expense)</w:t>
            </w:r>
          </w:p>
        </w:tc>
        <w:tc>
          <w:tcPr>
            <w:tcW w:w="560" w:type="dxa"/>
            <w:vAlign w:val="bottom"/>
            <w:tcBorders>
              <w:bottom w:val="single" w:sz="8" w:color="DBDBDB"/>
            </w:tcBorders>
            <w:shd w:val="clear" w:color="auto" w:fill="DBDBDB"/>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2.9</w:t>
            </w:r>
          </w:p>
        </w:tc>
        <w:tc>
          <w:tcPr>
            <w:tcW w:w="920" w:type="dxa"/>
            <w:vAlign w:val="bottom"/>
            <w:tcBorders>
              <w:bottom w:val="single" w:sz="8" w:color="DBDBDB"/>
            </w:tcBorders>
            <w:shd w:val="clear" w:color="auto" w:fill="DBDBDB"/>
          </w:tcPr>
          <w:p>
            <w:pPr>
              <w:jc w:val="right"/>
              <w:ind w:right="709"/>
              <w:spacing w:after="0" w:line="162"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DBDBDB"/>
            </w:tcBorders>
            <w:shd w:val="clear" w:color="auto" w:fill="DBDBDB"/>
          </w:tcPr>
          <w:p>
            <w:pPr>
              <w:jc w:val="center"/>
              <w:ind w:left="249"/>
              <w:spacing w:after="0" w:line="162" w:lineRule="exact"/>
              <w:rPr>
                <w:sz w:val="20"/>
                <w:szCs w:val="20"/>
                <w:color w:val="auto"/>
              </w:rPr>
            </w:pPr>
            <w:r>
              <w:rPr>
                <w:rFonts w:ascii="Calibri" w:cs="Calibri" w:eastAsia="Calibri" w:hAnsi="Calibri"/>
                <w:sz w:val="14"/>
                <w:szCs w:val="14"/>
                <w:color w:val="auto"/>
                <w:w w:val="99"/>
              </w:rPr>
              <w:t>(0.3)</w:t>
            </w:r>
          </w:p>
        </w:tc>
        <w:tc>
          <w:tcPr>
            <w:tcW w:w="660" w:type="dxa"/>
            <w:vAlign w:val="bottom"/>
            <w:tcBorders>
              <w:bottom w:val="single" w:sz="8" w:color="DBDBDB"/>
            </w:tcBorders>
            <w:shd w:val="clear" w:color="auto" w:fill="DBDBDB"/>
          </w:tcPr>
          <w:p>
            <w:pPr>
              <w:jc w:val="right"/>
              <w:ind w:right="42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4.5</w:t>
            </w:r>
          </w:p>
        </w:tc>
        <w:tc>
          <w:tcPr>
            <w:tcW w:w="900" w:type="dxa"/>
            <w:vAlign w:val="bottom"/>
            <w:tcBorders>
              <w:bottom w:val="single" w:sz="8" w:color="DBDBDB"/>
            </w:tcBorders>
            <w:shd w:val="clear" w:color="auto" w:fill="DBDBDB"/>
          </w:tcPr>
          <w:p>
            <w:pPr>
              <w:jc w:val="right"/>
              <w:ind w:right="669"/>
              <w:spacing w:after="0" w:line="162"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center"/>
              <w:ind w:left="349"/>
              <w:spacing w:after="0" w:line="162" w:lineRule="exact"/>
              <w:rPr>
                <w:sz w:val="20"/>
                <w:szCs w:val="20"/>
                <w:color w:val="auto"/>
              </w:rPr>
            </w:pPr>
            <w:r>
              <w:rPr>
                <w:rFonts w:ascii="Calibri" w:cs="Calibri" w:eastAsia="Calibri" w:hAnsi="Calibri"/>
                <w:sz w:val="14"/>
                <w:szCs w:val="14"/>
                <w:color w:val="auto"/>
              </w:rPr>
              <w:t>(0.3)</w:t>
            </w:r>
          </w:p>
        </w:tc>
      </w:tr>
      <w:tr>
        <w:trPr>
          <w:trHeight w:val="20"/>
        </w:trPr>
        <w:tc>
          <w:tcPr>
            <w:tcW w:w="4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-890905</wp:posOffset>
            </wp:positionV>
            <wp:extent cx="4186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86555"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0" w:type="dxa"/>
            <w:vAlign w:val="bottom"/>
          </w:tcPr>
          <w:p>
            <w:pPr>
              <w:spacing w:after="0"/>
              <w:rPr>
                <w:sz w:val="20"/>
                <w:szCs w:val="20"/>
                <w:color w:val="auto"/>
              </w:rPr>
            </w:pPr>
            <w:r>
              <w:rPr>
                <w:rFonts w:ascii="Calibri" w:cs="Calibri" w:eastAsia="Calibri" w:hAnsi="Calibri"/>
                <w:sz w:val="20"/>
                <w:szCs w:val="20"/>
                <w:b w:val="1"/>
                <w:bCs w:val="1"/>
                <w:color w:val="auto"/>
              </w:rPr>
              <w:t>4.</w:t>
            </w:r>
          </w:p>
        </w:tc>
        <w:tc>
          <w:tcPr>
            <w:tcW w:w="7680" w:type="dxa"/>
            <w:vAlign w:val="bottom"/>
          </w:tcPr>
          <w:p>
            <w:pPr>
              <w:ind w:left="100"/>
              <w:spacing w:after="0"/>
              <w:rPr>
                <w:sz w:val="20"/>
                <w:szCs w:val="20"/>
                <w:color w:val="auto"/>
              </w:rPr>
            </w:pPr>
            <w:r>
              <w:rPr>
                <w:rFonts w:ascii="Calibri" w:cs="Calibri" w:eastAsia="Calibri" w:hAnsi="Calibri"/>
                <w:sz w:val="20"/>
                <w:szCs w:val="20"/>
                <w:b w:val="1"/>
                <w:bCs w:val="1"/>
                <w:color w:val="auto"/>
              </w:rPr>
              <w:t>Debt</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7"/>
        </w:trPr>
        <w:tc>
          <w:tcPr>
            <w:tcW w:w="7960" w:type="dxa"/>
            <w:vAlign w:val="bottom"/>
            <w:gridSpan w:val="2"/>
          </w:tcPr>
          <w:p>
            <w:pPr>
              <w:spacing w:after="0"/>
              <w:rPr>
                <w:sz w:val="20"/>
                <w:szCs w:val="20"/>
                <w:color w:val="auto"/>
              </w:rPr>
            </w:pPr>
            <w:r>
              <w:rPr>
                <w:rFonts w:ascii="Calibri" w:cs="Calibri" w:eastAsia="Calibri" w:hAnsi="Calibri"/>
                <w:sz w:val="16"/>
                <w:szCs w:val="16"/>
                <w:b w:val="1"/>
                <w:bCs w:val="1"/>
                <w:color w:val="auto"/>
              </w:rPr>
              <w:t>Credit facility</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5"/>
        </w:trPr>
        <w:tc>
          <w:tcPr>
            <w:tcW w:w="280" w:type="dxa"/>
            <w:vAlign w:val="bottom"/>
          </w:tcPr>
          <w:p>
            <w:pPr>
              <w:spacing w:after="0"/>
              <w:rPr>
                <w:sz w:val="24"/>
                <w:szCs w:val="24"/>
                <w:color w:val="auto"/>
              </w:rPr>
            </w:pPr>
          </w:p>
        </w:tc>
        <w:tc>
          <w:tcPr>
            <w:tcW w:w="7680" w:type="dxa"/>
            <w:vAlign w:val="bottom"/>
          </w:tcPr>
          <w:p>
            <w:pPr>
              <w:ind w:left="360"/>
              <w:spacing w:after="0"/>
              <w:rPr>
                <w:sz w:val="20"/>
                <w:szCs w:val="20"/>
                <w:color w:val="auto"/>
              </w:rPr>
            </w:pPr>
            <w:r>
              <w:rPr>
                <w:rFonts w:ascii="Calibri" w:cs="Calibri" w:eastAsia="Calibri" w:hAnsi="Calibri"/>
                <w:sz w:val="16"/>
                <w:szCs w:val="16"/>
                <w:color w:val="auto"/>
              </w:rPr>
              <w:t>Long-term debt under our credit facility with Bank of America (“BoA”) Merrill Lynch consisted of the following:</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1"/>
        </w:trPr>
        <w:tc>
          <w:tcPr>
            <w:tcW w:w="796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960" w:type="dxa"/>
            <w:vAlign w:val="bottom"/>
            <w:tcBorders>
              <w:bottom w:val="single" w:sz="8" w:color="43C0B9"/>
            </w:tcBorders>
            <w:gridSpan w:val="2"/>
            <w:shd w:val="clear" w:color="auto" w:fill="43C0B9"/>
          </w:tcPr>
          <w:p>
            <w:pPr>
              <w:ind w:left="20"/>
              <w:spacing w:after="0" w:line="169" w:lineRule="exact"/>
              <w:rPr>
                <w:sz w:val="20"/>
                <w:szCs w:val="20"/>
                <w:color w:val="auto"/>
              </w:rPr>
            </w:pPr>
            <w:r>
              <w:rPr>
                <w:rFonts w:ascii="Calibri" w:cs="Calibri" w:eastAsia="Calibri" w:hAnsi="Calibri"/>
                <w:sz w:val="14"/>
                <w:szCs w:val="14"/>
                <w:b w:val="1"/>
                <w:bCs w:val="1"/>
                <w:color w:val="FFFFFF"/>
              </w:rPr>
              <w:t>(In millions)</w:t>
            </w:r>
          </w:p>
        </w:tc>
        <w:tc>
          <w:tcPr>
            <w:tcW w:w="460" w:type="dxa"/>
            <w:vAlign w:val="bottom"/>
            <w:tcBorders>
              <w:bottom w:val="single" w:sz="8" w:color="43C0B9"/>
            </w:tcBorders>
            <w:shd w:val="clear" w:color="auto" w:fill="43C0B9"/>
          </w:tcPr>
          <w:p>
            <w:pPr>
              <w:spacing w:after="0"/>
              <w:rPr>
                <w:sz w:val="18"/>
                <w:szCs w:val="18"/>
                <w:color w:val="auto"/>
              </w:rPr>
            </w:pPr>
          </w:p>
        </w:tc>
        <w:tc>
          <w:tcPr>
            <w:tcW w:w="1200" w:type="dxa"/>
            <w:vAlign w:val="bottom"/>
            <w:tcBorders>
              <w:bottom w:val="single" w:sz="8" w:color="43C0B9"/>
            </w:tcBorders>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April 30, 2022</w:t>
            </w:r>
          </w:p>
        </w:tc>
        <w:tc>
          <w:tcPr>
            <w:tcW w:w="360" w:type="dxa"/>
            <w:vAlign w:val="bottom"/>
            <w:tcBorders>
              <w:bottom w:val="single" w:sz="8" w:color="43C0B9"/>
            </w:tcBorders>
            <w:shd w:val="clear" w:color="auto" w:fill="43C0B9"/>
          </w:tcPr>
          <w:p>
            <w:pPr>
              <w:spacing w:after="0"/>
              <w:rPr>
                <w:sz w:val="18"/>
                <w:szCs w:val="18"/>
                <w:color w:val="auto"/>
              </w:rPr>
            </w:pPr>
          </w:p>
        </w:tc>
        <w:tc>
          <w:tcPr>
            <w:tcW w:w="1260" w:type="dxa"/>
            <w:vAlign w:val="bottom"/>
            <w:tcBorders>
              <w:bottom w:val="single" w:sz="8" w:color="43C0B9"/>
            </w:tcBorders>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October 31, 2021</w:t>
            </w:r>
          </w:p>
        </w:tc>
      </w:tr>
      <w:tr>
        <w:trPr>
          <w:trHeight w:val="169"/>
        </w:trPr>
        <w:tc>
          <w:tcPr>
            <w:tcW w:w="7960" w:type="dxa"/>
            <w:vAlign w:val="bottom"/>
            <w:gridSpan w:val="2"/>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Revolving line of credit. The interest rate is variable, based on LIBOR plus a spread that varies with the Company’s leverage rato. As of</w:t>
            </w:r>
          </w:p>
        </w:tc>
        <w:tc>
          <w:tcPr>
            <w:tcW w:w="460" w:type="dxa"/>
            <w:vAlign w:val="bottom"/>
            <w:shd w:val="clear" w:color="auto" w:fill="DBDBDB"/>
          </w:tcPr>
          <w:p>
            <w:pPr>
              <w:jc w:val="right"/>
              <w:ind w:right="249"/>
              <w:spacing w:after="0" w:line="169" w:lineRule="exact"/>
              <w:rPr>
                <w:sz w:val="20"/>
                <w:szCs w:val="20"/>
                <w:color w:val="auto"/>
              </w:rPr>
            </w:pPr>
            <w:r>
              <w:rPr>
                <w:rFonts w:ascii="Calibri" w:cs="Calibri" w:eastAsia="Calibri" w:hAnsi="Calibri"/>
                <w:sz w:val="14"/>
                <w:szCs w:val="14"/>
                <w:color w:val="auto"/>
              </w:rPr>
              <w:t>$</w:t>
            </w:r>
          </w:p>
        </w:tc>
        <w:tc>
          <w:tcPr>
            <w:tcW w:w="1200" w:type="dxa"/>
            <w:vAlign w:val="bottom"/>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60" w:type="dxa"/>
            <w:vAlign w:val="bottom"/>
            <w:shd w:val="clear" w:color="auto" w:fill="DBDBDB"/>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260" w:type="dxa"/>
            <w:vAlign w:val="bottom"/>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73"/>
        </w:trPr>
        <w:tc>
          <w:tcPr>
            <w:tcW w:w="7960" w:type="dxa"/>
            <w:vAlign w:val="bottom"/>
            <w:gridSpan w:val="2"/>
            <w:shd w:val="clear" w:color="auto" w:fill="DBDBDB"/>
          </w:tcPr>
          <w:p>
            <w:pPr>
              <w:ind w:left="20"/>
              <w:spacing w:after="0"/>
              <w:rPr>
                <w:sz w:val="20"/>
                <w:szCs w:val="20"/>
                <w:color w:val="auto"/>
              </w:rPr>
            </w:pPr>
            <w:r>
              <w:rPr>
                <w:rFonts w:ascii="Calibri" w:cs="Calibri" w:eastAsia="Calibri" w:hAnsi="Calibri"/>
                <w:sz w:val="14"/>
                <w:szCs w:val="14"/>
                <w:color w:val="auto"/>
              </w:rPr>
              <w:t>April 30, 2022 and October 31, 2021, the interest rate was 2.45% and 1.84%, respectvely. Interest is payable monthly and principal is</w:t>
            </w:r>
          </w:p>
        </w:tc>
        <w:tc>
          <w:tcPr>
            <w:tcW w:w="4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r>
      <w:tr>
        <w:trPr>
          <w:trHeight w:val="200"/>
        </w:trPr>
        <w:tc>
          <w:tcPr>
            <w:tcW w:w="796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4"/>
                <w:szCs w:val="14"/>
                <w:color w:val="auto"/>
              </w:rPr>
              <w:t>due in full in October 2023.</w:t>
            </w:r>
          </w:p>
        </w:tc>
        <w:tc>
          <w:tcPr>
            <w:tcW w:w="46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spacing w:after="0"/>
              <w:rPr>
                <w:sz w:val="17"/>
                <w:szCs w:val="17"/>
                <w:color w:val="auto"/>
              </w:rPr>
            </w:pP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Senior term loan (A-1). The interest rate is variable, based on LIBOR plus a spread that varies with the Company’s leverage rato. As of</w:t>
            </w:r>
          </w:p>
        </w:tc>
        <w:tc>
          <w:tcPr>
            <w:tcW w:w="460" w:type="dxa"/>
            <w:vAlign w:val="bottom"/>
          </w:tcPr>
          <w:p>
            <w:pPr>
              <w:spacing w:after="0"/>
              <w:rPr>
                <w:sz w:val="14"/>
                <w:szCs w:val="14"/>
                <w:color w:val="auto"/>
              </w:rPr>
            </w:pPr>
          </w:p>
        </w:tc>
        <w:tc>
          <w:tcPr>
            <w:tcW w:w="12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86.3</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90.0</w:t>
            </w:r>
          </w:p>
        </w:tc>
      </w:tr>
      <w:tr>
        <w:trPr>
          <w:trHeight w:val="173"/>
        </w:trPr>
        <w:tc>
          <w:tcPr>
            <w:tcW w:w="7960" w:type="dxa"/>
            <w:vAlign w:val="bottom"/>
            <w:gridSpan w:val="2"/>
          </w:tcPr>
          <w:p>
            <w:pPr>
              <w:ind w:left="20"/>
              <w:spacing w:after="0"/>
              <w:rPr>
                <w:sz w:val="20"/>
                <w:szCs w:val="20"/>
                <w:color w:val="auto"/>
              </w:rPr>
            </w:pPr>
            <w:r>
              <w:rPr>
                <w:rFonts w:ascii="Calibri" w:cs="Calibri" w:eastAsia="Calibri" w:hAnsi="Calibri"/>
                <w:sz w:val="14"/>
                <w:szCs w:val="14"/>
                <w:color w:val="auto"/>
              </w:rPr>
              <w:t>April 30, 2022 and October 31, 2021, the interest rate was 2.76% and 1.84%, respectvely. Interest is payable monthly, principal is</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4"/>
        </w:trPr>
        <w:tc>
          <w:tcPr>
            <w:tcW w:w="7960" w:type="dxa"/>
            <w:vAlign w:val="bottom"/>
            <w:gridSpan w:val="2"/>
          </w:tcPr>
          <w:p>
            <w:pPr>
              <w:ind w:left="20"/>
              <w:spacing w:after="0"/>
              <w:rPr>
                <w:sz w:val="20"/>
                <w:szCs w:val="20"/>
                <w:color w:val="auto"/>
              </w:rPr>
            </w:pPr>
            <w:r>
              <w:rPr>
                <w:rFonts w:ascii="Calibri" w:cs="Calibri" w:eastAsia="Calibri" w:hAnsi="Calibri"/>
                <w:sz w:val="14"/>
                <w:szCs w:val="14"/>
                <w:color w:val="auto"/>
              </w:rPr>
              <w:t>payable quarterly and due in full in October 2023.</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46"/>
        </w:trPr>
        <w:tc>
          <w:tcPr>
            <w:tcW w:w="796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169"/>
        </w:trPr>
        <w:tc>
          <w:tcPr>
            <w:tcW w:w="7960" w:type="dxa"/>
            <w:vAlign w:val="bottom"/>
            <w:gridSpan w:val="2"/>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Senior term loan (A-2). The interest rate is variable, based on LIBOR plus a spread that varies with the Company’s leverage rato. As of</w:t>
            </w:r>
          </w:p>
        </w:tc>
        <w:tc>
          <w:tcPr>
            <w:tcW w:w="460" w:type="dxa"/>
            <w:vAlign w:val="bottom"/>
            <w:shd w:val="clear" w:color="auto" w:fill="DBDBDB"/>
          </w:tcPr>
          <w:p>
            <w:pPr>
              <w:spacing w:after="0"/>
              <w:rPr>
                <w:sz w:val="14"/>
                <w:szCs w:val="14"/>
                <w:color w:val="auto"/>
              </w:rPr>
            </w:pPr>
          </w:p>
        </w:tc>
        <w:tc>
          <w:tcPr>
            <w:tcW w:w="1200" w:type="dxa"/>
            <w:vAlign w:val="bottom"/>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72.4</w:t>
            </w:r>
          </w:p>
        </w:tc>
        <w:tc>
          <w:tcPr>
            <w:tcW w:w="360" w:type="dxa"/>
            <w:vAlign w:val="bottom"/>
            <w:shd w:val="clear" w:color="auto" w:fill="DBDBDB"/>
          </w:tcPr>
          <w:p>
            <w:pPr>
              <w:spacing w:after="0"/>
              <w:rPr>
                <w:sz w:val="14"/>
                <w:szCs w:val="14"/>
                <w:color w:val="auto"/>
              </w:rPr>
            </w:pPr>
          </w:p>
        </w:tc>
        <w:tc>
          <w:tcPr>
            <w:tcW w:w="1260" w:type="dxa"/>
            <w:vAlign w:val="bottom"/>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72.8</w:t>
            </w:r>
          </w:p>
        </w:tc>
      </w:tr>
      <w:tr>
        <w:trPr>
          <w:trHeight w:val="173"/>
        </w:trPr>
        <w:tc>
          <w:tcPr>
            <w:tcW w:w="7960" w:type="dxa"/>
            <w:vAlign w:val="bottom"/>
            <w:gridSpan w:val="2"/>
            <w:shd w:val="clear" w:color="auto" w:fill="DBDBDB"/>
          </w:tcPr>
          <w:p>
            <w:pPr>
              <w:ind w:left="20"/>
              <w:spacing w:after="0"/>
              <w:rPr>
                <w:sz w:val="20"/>
                <w:szCs w:val="20"/>
                <w:color w:val="auto"/>
              </w:rPr>
            </w:pPr>
            <w:r>
              <w:rPr>
                <w:rFonts w:ascii="Calibri" w:cs="Calibri" w:eastAsia="Calibri" w:hAnsi="Calibri"/>
                <w:sz w:val="14"/>
                <w:szCs w:val="14"/>
                <w:color w:val="auto"/>
              </w:rPr>
              <w:t>April 30, 2022 and October 31, 2021, the interest rate was 3.26% and 2.34% respectvely. Interest is payable monthly, principal is payable</w:t>
            </w:r>
          </w:p>
        </w:tc>
        <w:tc>
          <w:tcPr>
            <w:tcW w:w="4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r>
      <w:tr>
        <w:trPr>
          <w:trHeight w:val="200"/>
        </w:trPr>
        <w:tc>
          <w:tcPr>
            <w:tcW w:w="796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4"/>
                <w:szCs w:val="14"/>
                <w:color w:val="auto"/>
              </w:rPr>
              <w:t>quarterly and due in full in October 2025.</w:t>
            </w:r>
          </w:p>
        </w:tc>
        <w:tc>
          <w:tcPr>
            <w:tcW w:w="46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spacing w:after="0"/>
              <w:rPr>
                <w:sz w:val="17"/>
                <w:szCs w:val="17"/>
                <w:color w:val="auto"/>
              </w:rPr>
            </w:pP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Note payable to BoA. Payable in monthly installments including interest at a rate of 3.96% as of both April 30, 2022 and October 31,</w:t>
            </w:r>
          </w:p>
        </w:tc>
        <w:tc>
          <w:tcPr>
            <w:tcW w:w="460" w:type="dxa"/>
            <w:vAlign w:val="bottom"/>
          </w:tcPr>
          <w:p>
            <w:pPr>
              <w:spacing w:after="0"/>
              <w:rPr>
                <w:sz w:val="14"/>
                <w:szCs w:val="14"/>
                <w:color w:val="auto"/>
              </w:rPr>
            </w:pPr>
          </w:p>
        </w:tc>
        <w:tc>
          <w:tcPr>
            <w:tcW w:w="12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1.2</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1.5</w:t>
            </w:r>
          </w:p>
        </w:tc>
      </w:tr>
      <w:tr>
        <w:trPr>
          <w:trHeight w:val="173"/>
        </w:trPr>
        <w:tc>
          <w:tcPr>
            <w:tcW w:w="7960" w:type="dxa"/>
            <w:vAlign w:val="bottom"/>
            <w:gridSpan w:val="2"/>
          </w:tcPr>
          <w:p>
            <w:pPr>
              <w:ind w:left="20"/>
              <w:spacing w:after="0"/>
              <w:rPr>
                <w:sz w:val="20"/>
                <w:szCs w:val="20"/>
                <w:color w:val="auto"/>
              </w:rPr>
            </w:pPr>
            <w:r>
              <w:rPr>
                <w:rFonts w:ascii="Calibri" w:cs="Calibri" w:eastAsia="Calibri" w:hAnsi="Calibri"/>
                <w:sz w:val="14"/>
                <w:szCs w:val="14"/>
                <w:color w:val="auto"/>
              </w:rPr>
              <w:t>2021. Principal is due July 2024.</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60"/>
        </w:trPr>
        <w:tc>
          <w:tcPr>
            <w:tcW w:w="7960" w:type="dxa"/>
            <w:vAlign w:val="bottom"/>
            <w:tcBorders>
              <w:bottom w:val="single" w:sz="8" w:color="auto"/>
            </w:tcBorders>
            <w:gridSpan w:val="2"/>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1"/>
        </w:trPr>
        <w:tc>
          <w:tcPr>
            <w:tcW w:w="7960" w:type="dxa"/>
            <w:vAlign w:val="bottom"/>
            <w:tcBorders>
              <w:bottom w:val="single" w:sz="8" w:color="DBDBDB"/>
            </w:tcBorders>
            <w:gridSpan w:val="2"/>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long-term debt</w:t>
            </w:r>
          </w:p>
        </w:tc>
        <w:tc>
          <w:tcPr>
            <w:tcW w:w="46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159.9</w:t>
            </w:r>
          </w:p>
        </w:tc>
        <w:tc>
          <w:tcPr>
            <w:tcW w:w="36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164.3</w:t>
            </w: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Less debt issuance costs</w:t>
            </w:r>
          </w:p>
        </w:tc>
        <w:tc>
          <w:tcPr>
            <w:tcW w:w="4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Calibri" w:cs="Calibri" w:eastAsia="Calibri" w:hAnsi="Calibri"/>
                <w:sz w:val="14"/>
                <w:szCs w:val="14"/>
                <w:color w:val="auto"/>
              </w:rPr>
              <w:t>(0.4)</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(0.4)</w:t>
            </w:r>
          </w:p>
        </w:tc>
      </w:tr>
      <w:tr>
        <w:trPr>
          <w:trHeight w:val="58"/>
        </w:trPr>
        <w:tc>
          <w:tcPr>
            <w:tcW w:w="7960" w:type="dxa"/>
            <w:vAlign w:val="bottom"/>
            <w:tcBorders>
              <w:bottom w:val="single" w:sz="8" w:color="auto"/>
            </w:tcBorders>
            <w:gridSpan w:val="2"/>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1"/>
        </w:trPr>
        <w:tc>
          <w:tcPr>
            <w:tcW w:w="7960" w:type="dxa"/>
            <w:vAlign w:val="bottom"/>
            <w:tcBorders>
              <w:bottom w:val="single" w:sz="8" w:color="DBDBDB"/>
            </w:tcBorders>
            <w:gridSpan w:val="2"/>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Long-term debt, net of debt issuance costs</w:t>
            </w:r>
          </w:p>
        </w:tc>
        <w:tc>
          <w:tcPr>
            <w:tcW w:w="46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159.5</w:t>
            </w:r>
          </w:p>
        </w:tc>
        <w:tc>
          <w:tcPr>
            <w:tcW w:w="36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163.9</w:t>
            </w:r>
          </w:p>
        </w:tc>
      </w:tr>
      <w:tr>
        <w:trPr>
          <w:trHeight w:val="169"/>
        </w:trPr>
        <w:tc>
          <w:tcPr>
            <w:tcW w:w="796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Less current porton of long-term debt</w:t>
            </w:r>
          </w:p>
        </w:tc>
        <w:tc>
          <w:tcPr>
            <w:tcW w:w="4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Calibri" w:cs="Calibri" w:eastAsia="Calibri" w:hAnsi="Calibri"/>
                <w:sz w:val="14"/>
                <w:szCs w:val="14"/>
                <w:color w:val="auto"/>
              </w:rPr>
              <w:t>(8.8)</w:t>
            </w:r>
          </w:p>
        </w:tc>
        <w:tc>
          <w:tcPr>
            <w:tcW w:w="3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(8.8)</w:t>
            </w:r>
          </w:p>
        </w:tc>
      </w:tr>
      <w:tr>
        <w:trPr>
          <w:trHeight w:val="58"/>
        </w:trPr>
        <w:tc>
          <w:tcPr>
            <w:tcW w:w="7960" w:type="dxa"/>
            <w:vAlign w:val="bottom"/>
            <w:tcBorders>
              <w:bottom w:val="single" w:sz="8" w:color="auto"/>
            </w:tcBorders>
            <w:gridSpan w:val="2"/>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1"/>
        </w:trPr>
        <w:tc>
          <w:tcPr>
            <w:tcW w:w="7960" w:type="dxa"/>
            <w:vAlign w:val="bottom"/>
            <w:tcBorders>
              <w:bottom w:val="single" w:sz="8" w:color="DBDBDB"/>
            </w:tcBorders>
            <w:gridSpan w:val="2"/>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Long-term debt, net of current porton</w:t>
            </w:r>
          </w:p>
        </w:tc>
        <w:tc>
          <w:tcPr>
            <w:tcW w:w="460" w:type="dxa"/>
            <w:vAlign w:val="bottom"/>
            <w:tcBorders>
              <w:bottom w:val="single" w:sz="8" w:color="DBDBDB"/>
            </w:tcBorders>
            <w:shd w:val="clear" w:color="auto" w:fill="DBDBDB"/>
          </w:tcPr>
          <w:p>
            <w:pPr>
              <w:jc w:val="right"/>
              <w:ind w:right="249"/>
              <w:spacing w:after="0" w:line="162"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150.7</w:t>
            </w:r>
          </w:p>
        </w:tc>
        <w:tc>
          <w:tcPr>
            <w:tcW w:w="36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155.1</w:t>
            </w:r>
          </w:p>
        </w:tc>
      </w:tr>
      <w:tr>
        <w:trPr>
          <w:trHeight w:val="20"/>
        </w:trPr>
        <w:tc>
          <w:tcPr>
            <w:tcW w:w="280" w:type="dxa"/>
            <w:vAlign w:val="bottom"/>
            <w:shd w:val="clear" w:color="auto" w:fill="000000"/>
          </w:tcPr>
          <w:p>
            <w:pPr>
              <w:spacing w:after="0" w:line="20" w:lineRule="exact"/>
              <w:rPr>
                <w:sz w:val="1"/>
                <w:szCs w:val="1"/>
                <w:color w:val="auto"/>
              </w:rPr>
            </w:pPr>
          </w:p>
        </w:tc>
        <w:tc>
          <w:tcPr>
            <w:tcW w:w="7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360" w:firstLine="642"/>
        <w:spacing w:after="0" w:line="237" w:lineRule="auto"/>
        <w:rPr>
          <w:sz w:val="20"/>
          <w:szCs w:val="20"/>
          <w:color w:val="auto"/>
        </w:rPr>
      </w:pPr>
      <w:r>
        <w:rPr>
          <w:rFonts w:ascii="Calibri" w:cs="Calibri" w:eastAsia="Calibri" w:hAnsi="Calibri"/>
          <w:sz w:val="16"/>
          <w:szCs w:val="16"/>
          <w:color w:val="auto"/>
        </w:rPr>
        <w:t>The credit facility requires the Company to comply with fnancial and other covenants, including limitatons on investments, capital expenditures, dividend payments, amounts and types of liens and indebtedness, and material asset sales. The Company is also required to maintain certain leverage and fxed charge coverage ratos. As of April 30, 2022, the Company was in compliance with all covenants of the credit facility.</w:t>
      </w:r>
    </w:p>
    <w:p>
      <w:pPr>
        <w:spacing w:after="0" w:line="20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Interest rate swaps</w:t>
      </w:r>
    </w:p>
    <w:p>
      <w:pPr>
        <w:spacing w:after="0" w:line="209" w:lineRule="exact"/>
        <w:rPr>
          <w:sz w:val="20"/>
          <w:szCs w:val="20"/>
          <w:color w:val="auto"/>
        </w:rPr>
      </w:pPr>
    </w:p>
    <w:p>
      <w:pPr>
        <w:ind w:right="160" w:firstLine="642"/>
        <w:spacing w:after="0" w:line="242" w:lineRule="auto"/>
        <w:rPr>
          <w:sz w:val="20"/>
          <w:szCs w:val="20"/>
          <w:color w:val="auto"/>
        </w:rPr>
      </w:pPr>
      <w:r>
        <w:rPr>
          <w:rFonts w:ascii="Calibri" w:cs="Calibri" w:eastAsia="Calibri" w:hAnsi="Calibri"/>
          <w:sz w:val="16"/>
          <w:szCs w:val="16"/>
          <w:color w:val="auto"/>
        </w:rPr>
        <w:t>The Company has four separate interest rate swaps with a total notonal amount of $100 million to hedge changes in the variable interest rate on $100 million of principal value of the Company’s term loans. We account for the interest rate swaps in accordance with ASC 815, Derivatves</w:t>
      </w:r>
    </w:p>
    <w:p>
      <w:pPr>
        <w:sectPr>
          <w:pgSz w:w="11900" w:h="16838" w:orient="portrait"/>
          <w:cols w:equalWidth="0" w:num="1">
            <w:col w:w="11240"/>
          </w:cols>
          <w:pgMar w:left="320" w:top="164"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type w:val="continuous"/>
        </w:sectPr>
      </w:pPr>
    </w:p>
    <w:bookmarkStart w:id="10" w:name="page11"/>
    <w:bookmarkEnd w:id="10"/>
    <w:p>
      <w:pPr>
        <w:jc w:val="center"/>
        <w:ind w:right="-39"/>
        <w:spacing w:after="0"/>
        <w:rPr>
          <w:sz w:val="20"/>
          <w:szCs w:val="20"/>
          <w:color w:val="auto"/>
        </w:rPr>
      </w:pPr>
      <w:r>
        <w:rPr>
          <w:rFonts w:ascii="Calibri" w:cs="Calibri" w:eastAsia="Calibri" w:hAnsi="Calibri"/>
          <w:sz w:val="25"/>
          <w:szCs w:val="25"/>
          <w:b w:val="1"/>
          <w:bCs w:val="1"/>
          <w:color w:val="43C0B9"/>
        </w:rPr>
        <w:t>MISSION PRODUCE, INC.</w:t>
      </w:r>
    </w:p>
    <w:p>
      <w:pPr>
        <w:spacing w:after="0" w:line="2" w:lineRule="exact"/>
        <w:rPr>
          <w:sz w:val="20"/>
          <w:szCs w:val="20"/>
          <w:color w:val="auto"/>
        </w:rPr>
      </w:pPr>
    </w:p>
    <w:p>
      <w:pPr>
        <w:jc w:val="center"/>
        <w:ind w:right="-39"/>
        <w:spacing w:after="0"/>
        <w:rPr>
          <w:sz w:val="20"/>
          <w:szCs w:val="20"/>
          <w:color w:val="auto"/>
        </w:rPr>
      </w:pPr>
      <w:r>
        <w:rPr>
          <w:rFonts w:ascii="Calibri" w:cs="Calibri" w:eastAsia="Calibri" w:hAnsi="Calibri"/>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6"/>
          <w:szCs w:val="16"/>
          <w:color w:val="auto"/>
        </w:rPr>
        <w:t>and Hedging, as amended, which requires the recogniton of all derivatve instruments as either assets or liabilites in the consolidated balance sheets and measurement of those instruments at fair value. The Company has not designated the interest rate swaps as cash fow hedges, and as a result under the accountng guidance, changes in the fair value of the interest rate swaps have been recorded in other income (expense) in the condensed consolidated statements of comprehensive income (loss) and changes in the liability are presented in net cash used in operatng actvites in the condensed consolidated statements of cash fow. Refer to Note 7 for more details.</w:t>
      </w:r>
    </w:p>
    <w:p>
      <w:pPr>
        <w:spacing w:after="0" w:line="200" w:lineRule="exact"/>
        <w:rPr>
          <w:sz w:val="20"/>
          <w:szCs w:val="20"/>
          <w:color w:val="auto"/>
        </w:rPr>
      </w:pPr>
    </w:p>
    <w:p>
      <w:pPr>
        <w:spacing w:after="0" w:line="248" w:lineRule="exact"/>
        <w:rPr>
          <w:sz w:val="20"/>
          <w:szCs w:val="20"/>
          <w:color w:val="auto"/>
        </w:rPr>
      </w:pPr>
    </w:p>
    <w:p>
      <w:pPr>
        <w:ind w:left="440" w:hanging="433"/>
        <w:spacing w:after="0"/>
        <w:tabs>
          <w:tab w:leader="none" w:pos="44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Commitments and Contngencies</w:t>
      </w:r>
    </w:p>
    <w:p>
      <w:pPr>
        <w:spacing w:after="0" w:line="211"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Litgaton</w:t>
      </w:r>
    </w:p>
    <w:p>
      <w:pPr>
        <w:spacing w:after="0" w:line="219"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The Company is involved from tme to tme in claims, proceedings, and litgaton, including the following:</w:t>
      </w:r>
    </w:p>
    <w:p>
      <w:pPr>
        <w:spacing w:after="0" w:line="209" w:lineRule="exact"/>
        <w:rPr>
          <w:sz w:val="20"/>
          <w:szCs w:val="20"/>
          <w:color w:val="auto"/>
        </w:rPr>
      </w:pPr>
    </w:p>
    <w:p>
      <w:pPr>
        <w:ind w:right="40" w:firstLine="642"/>
        <w:spacing w:after="0" w:line="236" w:lineRule="auto"/>
        <w:rPr>
          <w:sz w:val="20"/>
          <w:szCs w:val="20"/>
          <w:color w:val="auto"/>
        </w:rPr>
      </w:pPr>
      <w:r>
        <w:rPr>
          <w:rFonts w:ascii="Calibri" w:cs="Calibri" w:eastAsia="Calibri" w:hAnsi="Calibri"/>
          <w:sz w:val="16"/>
          <w:szCs w:val="16"/>
          <w:color w:val="auto"/>
        </w:rPr>
        <w:t>On April 23, 2020, former Mission Produce, Inc. employees fled a class acton lawsuit in the Superior Court of the State of California for the County of Los Angeles against us alleging violaton of certain wage and labor laws in California, including failure to pay all overtme wages, minimum wage violatons, and meal and rest period violatons, among others. Additonally, on June 10, 2020, former Mission Produce, Inc. employees fled a class acton lawsuit in the Superior Court of the State of California for the County of Ventura against us alleging similar violatons of certain wage and labor laws. The plaintfs in both cases seek damages primarily consistng of class certfcaton and payment of wages earned and owed, plus other consequental and special damages. While the Company believes that it did not violate any wage or labor laws, it nevertheless decided to setle these class acton lawsuits. In May 2021, the plaintfs in both class acton lawsuits and the Company agreed preliminarily to a comprehensive setlement to resolve both class acton cases for a total of $0.8 million, which the Company recorded as a loss contngency in selling, general and administratve expenses in the condensed consolidated statements of comprehensive income during the three months ended April 30, 2021. This preliminary setlement is subject to approval by the applicable courts.</w:t>
      </w:r>
    </w:p>
    <w:p>
      <w:pPr>
        <w:spacing w:after="0" w:line="224" w:lineRule="exact"/>
        <w:rPr>
          <w:sz w:val="20"/>
          <w:szCs w:val="20"/>
          <w:color w:val="auto"/>
        </w:rPr>
      </w:pPr>
    </w:p>
    <w:p>
      <w:pPr>
        <w:ind w:right="60" w:firstLine="642"/>
        <w:spacing w:after="0" w:line="232" w:lineRule="auto"/>
        <w:rPr>
          <w:sz w:val="20"/>
          <w:szCs w:val="20"/>
          <w:color w:val="auto"/>
        </w:rPr>
      </w:pPr>
      <w:r>
        <w:rPr>
          <w:rFonts w:ascii="Calibri" w:cs="Calibri" w:eastAsia="Calibri" w:hAnsi="Calibri"/>
          <w:sz w:val="16"/>
          <w:szCs w:val="16"/>
          <w:color w:val="auto"/>
        </w:rPr>
        <w:t>The outcomes of our legal proceedings and other contngencies are inherently unpredictable, subject to signifcant uncertaintes, and if one or more legal maters were resolved against the Company in a reportng period for amounts above management’s expectatons, the Company’s fnancial conditon and operatng results for that period could be materially adversely afected.</w:t>
      </w:r>
    </w:p>
    <w:p>
      <w:pPr>
        <w:spacing w:after="0" w:line="206" w:lineRule="exact"/>
        <w:rPr>
          <w:sz w:val="20"/>
          <w:szCs w:val="20"/>
          <w:color w:val="auto"/>
        </w:rPr>
      </w:pPr>
    </w:p>
    <w:p>
      <w:pPr>
        <w:ind w:left="380" w:hanging="373"/>
        <w:spacing w:after="0"/>
        <w:tabs>
          <w:tab w:leader="none" w:pos="38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Income Taxes</w:t>
      </w:r>
    </w:p>
    <w:p>
      <w:pPr>
        <w:spacing w:after="0" w:line="214" w:lineRule="exact"/>
        <w:rPr>
          <w:sz w:val="20"/>
          <w:szCs w:val="20"/>
          <w:color w:val="auto"/>
        </w:rPr>
      </w:pPr>
    </w:p>
    <w:p>
      <w:pPr>
        <w:ind w:firstLine="642"/>
        <w:spacing w:after="0" w:line="237" w:lineRule="auto"/>
        <w:rPr>
          <w:sz w:val="20"/>
          <w:szCs w:val="20"/>
          <w:color w:val="auto"/>
        </w:rPr>
      </w:pPr>
      <w:r>
        <w:rPr>
          <w:rFonts w:ascii="Calibri" w:cs="Calibri" w:eastAsia="Calibri" w:hAnsi="Calibri"/>
          <w:sz w:val="16"/>
          <w:szCs w:val="16"/>
          <w:color w:val="auto"/>
        </w:rPr>
        <w:t>The income tax expense recorded for the three and six months ended April 30, 2022 and 2021, difers from the income taxes expected at the U.S. federal statutory tax rate of 21.0%, primarily due to income atributable to foreign jurisdictons which is taxed at diferent rates, changes in foreign exchange rates taxable in foreign jurisdictons, state taxes, nondeductble tax items, changes in uncertain tax positons (“UTP”), and changes in tax law afectng the rate in future years.</w:t>
      </w:r>
    </w:p>
    <w:p>
      <w:pPr>
        <w:spacing w:after="0" w:line="224" w:lineRule="exact"/>
        <w:rPr>
          <w:sz w:val="20"/>
          <w:szCs w:val="20"/>
          <w:color w:val="auto"/>
        </w:rPr>
      </w:pPr>
    </w:p>
    <w:p>
      <w:pPr>
        <w:ind w:right="160" w:firstLine="642"/>
        <w:spacing w:after="0" w:line="235" w:lineRule="auto"/>
        <w:rPr>
          <w:sz w:val="20"/>
          <w:szCs w:val="20"/>
          <w:color w:val="auto"/>
        </w:rPr>
      </w:pPr>
      <w:r>
        <w:rPr>
          <w:rFonts w:ascii="Calibri" w:cs="Calibri" w:eastAsia="Calibri" w:hAnsi="Calibri"/>
          <w:sz w:val="16"/>
          <w:szCs w:val="16"/>
          <w:color w:val="auto"/>
        </w:rPr>
        <w:t>As of April 30, 2022, the Company had $14.0 million in UTP accrued, of which $7.8 million relates to interest and penaltes, inclusive of infatonary adjustments. The period for assessing interest and penaltes has expired. However, the Company contnues to record certain statutory adjustments related to infaton. Changes in the UTP related to changes in foreign exchange rates during the period are included in other income (expense) in the condensed consolidated statements of comprehensive income (loss).</w:t>
      </w:r>
    </w:p>
    <w:p>
      <w:pPr>
        <w:spacing w:after="0" w:line="211" w:lineRule="exact"/>
        <w:rPr>
          <w:sz w:val="20"/>
          <w:szCs w:val="20"/>
          <w:color w:val="auto"/>
        </w:rPr>
      </w:pPr>
    </w:p>
    <w:p>
      <w:pPr>
        <w:ind w:right="80" w:firstLine="642"/>
        <w:spacing w:after="0" w:line="235" w:lineRule="auto"/>
        <w:rPr>
          <w:sz w:val="20"/>
          <w:szCs w:val="20"/>
          <w:color w:val="auto"/>
        </w:rPr>
      </w:pPr>
      <w:r>
        <w:rPr>
          <w:rFonts w:ascii="Calibri" w:cs="Calibri" w:eastAsia="Calibri" w:hAnsi="Calibri"/>
          <w:sz w:val="16"/>
          <w:szCs w:val="16"/>
          <w:color w:val="auto"/>
        </w:rPr>
        <w:t>Additonally, the Company recorded a discrete tax expense of $5.1 million during the three months ended January 31, 2021, related to the remeasurement of our deferred tax liabilites in Peru due to the enactment of tax rate changes for future years. On December 30, 2020, Peru enacted certain tax law changes efectve January 1, 2021 that repealed existng tax laws which provided benefts to agribusiness enttes. The new law will subject the Company to higher Peruvian tax rates than the current rate of 15% as follows: 20% for calendar years 2023 to 2024, 25% for calendar years 2025 to 2027, and 29.5% thereafer.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64" w:right="37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25"/>
          <w:szCs w:val="25"/>
          <w:b w:val="1"/>
          <w:bCs w:val="1"/>
          <w:color w:val="43C0B9"/>
        </w:rPr>
        <w:t>MISSION PRODUCE, INC.</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hanging="373"/>
        <w:spacing w:after="0"/>
        <w:tabs>
          <w:tab w:leader="none" w:pos="38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Fair Value Measurements</w:t>
      </w:r>
    </w:p>
    <w:p>
      <w:pPr>
        <w:spacing w:after="0" w:line="225"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Financial assets and liabilites measured and recorded at fair value on a recurring basis included in the condensed consolidated balance sheets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shd w:val="clear" w:color="auto" w:fill="43C0B9"/>
          </w:tcPr>
          <w:p>
            <w:pPr>
              <w:spacing w:after="0"/>
              <w:rPr>
                <w:sz w:val="16"/>
                <w:szCs w:val="16"/>
                <w:color w:val="auto"/>
              </w:rPr>
            </w:pPr>
          </w:p>
        </w:tc>
        <w:tc>
          <w:tcPr>
            <w:tcW w:w="440" w:type="dxa"/>
            <w:vAlign w:val="bottom"/>
            <w:shd w:val="clear" w:color="auto" w:fill="43C0B9"/>
          </w:tcPr>
          <w:p>
            <w:pPr>
              <w:spacing w:after="0"/>
              <w:rPr>
                <w:sz w:val="16"/>
                <w:szCs w:val="16"/>
                <w:color w:val="auto"/>
              </w:rPr>
            </w:pPr>
          </w:p>
        </w:tc>
        <w:tc>
          <w:tcPr>
            <w:tcW w:w="680" w:type="dxa"/>
            <w:vAlign w:val="bottom"/>
            <w:shd w:val="clear" w:color="auto" w:fill="43C0B9"/>
          </w:tcPr>
          <w:p>
            <w:pPr>
              <w:spacing w:after="0"/>
              <w:rPr>
                <w:sz w:val="16"/>
                <w:szCs w:val="16"/>
                <w:color w:val="auto"/>
              </w:rPr>
            </w:pPr>
          </w:p>
        </w:tc>
        <w:tc>
          <w:tcPr>
            <w:tcW w:w="220" w:type="dxa"/>
            <w:vAlign w:val="bottom"/>
            <w:shd w:val="clear" w:color="auto" w:fill="43C0B9"/>
          </w:tcPr>
          <w:p>
            <w:pPr>
              <w:spacing w:after="0"/>
              <w:rPr>
                <w:sz w:val="16"/>
                <w:szCs w:val="16"/>
                <w:color w:val="auto"/>
              </w:rPr>
            </w:pPr>
          </w:p>
        </w:tc>
        <w:tc>
          <w:tcPr>
            <w:tcW w:w="2460" w:type="dxa"/>
            <w:vAlign w:val="bottom"/>
            <w:gridSpan w:val="3"/>
            <w:shd w:val="clear" w:color="auto" w:fill="43C0B9"/>
          </w:tcPr>
          <w:p>
            <w:pPr>
              <w:jc w:val="center"/>
              <w:ind w:right="249"/>
              <w:spacing w:after="0"/>
              <w:rPr>
                <w:sz w:val="20"/>
                <w:szCs w:val="20"/>
                <w:color w:val="auto"/>
              </w:rPr>
            </w:pPr>
            <w:r>
              <w:rPr>
                <w:rFonts w:ascii="Calibri" w:cs="Calibri" w:eastAsia="Calibri" w:hAnsi="Calibri"/>
                <w:sz w:val="14"/>
                <w:szCs w:val="14"/>
                <w:b w:val="1"/>
                <w:bCs w:val="1"/>
                <w:color w:val="FFFFFF"/>
              </w:rPr>
              <w:t>April 30, 2022</w:t>
            </w:r>
          </w:p>
        </w:tc>
        <w:tc>
          <w:tcPr>
            <w:tcW w:w="1520" w:type="dxa"/>
            <w:vAlign w:val="bottom"/>
            <w:shd w:val="clear" w:color="auto" w:fill="43C0B9"/>
          </w:tcPr>
          <w:p>
            <w:pPr>
              <w:spacing w:after="0"/>
              <w:rPr>
                <w:sz w:val="16"/>
                <w:szCs w:val="16"/>
                <w:color w:val="auto"/>
              </w:rPr>
            </w:pPr>
          </w:p>
        </w:tc>
        <w:tc>
          <w:tcPr>
            <w:tcW w:w="700" w:type="dxa"/>
            <w:vAlign w:val="bottom"/>
            <w:shd w:val="clear" w:color="auto" w:fill="43C0B9"/>
          </w:tcPr>
          <w:p>
            <w:pPr>
              <w:spacing w:after="0"/>
              <w:rPr>
                <w:sz w:val="16"/>
                <w:szCs w:val="16"/>
                <w:color w:val="auto"/>
              </w:rPr>
            </w:pPr>
          </w:p>
        </w:tc>
        <w:tc>
          <w:tcPr>
            <w:tcW w:w="200" w:type="dxa"/>
            <w:vAlign w:val="bottom"/>
            <w:shd w:val="clear" w:color="auto" w:fill="43C0B9"/>
          </w:tcPr>
          <w:p>
            <w:pPr>
              <w:spacing w:after="0"/>
              <w:rPr>
                <w:sz w:val="16"/>
                <w:szCs w:val="16"/>
                <w:color w:val="auto"/>
              </w:rPr>
            </w:pPr>
          </w:p>
        </w:tc>
        <w:tc>
          <w:tcPr>
            <w:tcW w:w="2500" w:type="dxa"/>
            <w:vAlign w:val="bottom"/>
            <w:gridSpan w:val="3"/>
            <w:shd w:val="clear" w:color="auto" w:fill="43C0B9"/>
          </w:tcPr>
          <w:p>
            <w:pPr>
              <w:jc w:val="right"/>
              <w:ind w:right="829"/>
              <w:spacing w:after="0"/>
              <w:rPr>
                <w:sz w:val="20"/>
                <w:szCs w:val="20"/>
                <w:color w:val="auto"/>
              </w:rPr>
            </w:pPr>
            <w:r>
              <w:rPr>
                <w:rFonts w:ascii="Calibri" w:cs="Calibri" w:eastAsia="Calibri" w:hAnsi="Calibri"/>
                <w:sz w:val="14"/>
                <w:szCs w:val="14"/>
                <w:b w:val="1"/>
                <w:bCs w:val="1"/>
                <w:color w:val="FFFFFF"/>
              </w:rPr>
              <w:t>October 31, 2021</w:t>
            </w:r>
          </w:p>
        </w:tc>
        <w:tc>
          <w:tcPr>
            <w:tcW w:w="1000" w:type="dxa"/>
            <w:vAlign w:val="bottom"/>
            <w:shd w:val="clear" w:color="auto" w:fill="43C0B9"/>
          </w:tcPr>
          <w:p>
            <w:pPr>
              <w:spacing w:after="0"/>
              <w:rPr>
                <w:sz w:val="16"/>
                <w:szCs w:val="16"/>
                <w:color w:val="auto"/>
              </w:rPr>
            </w:pPr>
          </w:p>
        </w:tc>
      </w:tr>
      <w:tr>
        <w:trPr>
          <w:trHeight w:val="220"/>
        </w:trPr>
        <w:tc>
          <w:tcPr>
            <w:tcW w:w="1520" w:type="dxa"/>
            <w:vAlign w:val="bottom"/>
            <w:shd w:val="clear" w:color="auto" w:fill="43C0B9"/>
          </w:tcPr>
          <w:p>
            <w:pPr>
              <w:spacing w:after="0"/>
              <w:rPr>
                <w:sz w:val="19"/>
                <w:szCs w:val="19"/>
                <w:color w:val="auto"/>
              </w:rPr>
            </w:pPr>
          </w:p>
        </w:tc>
        <w:tc>
          <w:tcPr>
            <w:tcW w:w="440" w:type="dxa"/>
            <w:vAlign w:val="bottom"/>
            <w:shd w:val="clear" w:color="auto" w:fill="43C0B9"/>
          </w:tcPr>
          <w:p>
            <w:pPr>
              <w:spacing w:after="0"/>
              <w:rPr>
                <w:sz w:val="19"/>
                <w:szCs w:val="19"/>
                <w:color w:val="auto"/>
              </w:rPr>
            </w:pPr>
          </w:p>
        </w:tc>
        <w:tc>
          <w:tcPr>
            <w:tcW w:w="680" w:type="dxa"/>
            <w:vAlign w:val="bottom"/>
            <w:shd w:val="clear" w:color="auto" w:fill="43C0B9"/>
          </w:tcPr>
          <w:p>
            <w:pPr>
              <w:spacing w:after="0"/>
              <w:rPr>
                <w:sz w:val="19"/>
                <w:szCs w:val="19"/>
                <w:color w:val="auto"/>
              </w:rPr>
            </w:pPr>
          </w:p>
        </w:tc>
        <w:tc>
          <w:tcPr>
            <w:tcW w:w="220" w:type="dxa"/>
            <w:vAlign w:val="bottom"/>
            <w:shd w:val="clear" w:color="auto" w:fill="43C0B9"/>
          </w:tcPr>
          <w:p>
            <w:pPr>
              <w:spacing w:after="0"/>
              <w:rPr>
                <w:sz w:val="19"/>
                <w:szCs w:val="19"/>
                <w:color w:val="auto"/>
              </w:rPr>
            </w:pPr>
          </w:p>
        </w:tc>
        <w:tc>
          <w:tcPr>
            <w:tcW w:w="960" w:type="dxa"/>
            <w:vAlign w:val="bottom"/>
            <w:shd w:val="clear" w:color="auto" w:fill="43C0B9"/>
          </w:tcPr>
          <w:p>
            <w:pPr>
              <w:spacing w:after="0"/>
              <w:rPr>
                <w:sz w:val="19"/>
                <w:szCs w:val="19"/>
                <w:color w:val="auto"/>
              </w:rPr>
            </w:pPr>
          </w:p>
        </w:tc>
        <w:tc>
          <w:tcPr>
            <w:tcW w:w="300" w:type="dxa"/>
            <w:vAlign w:val="bottom"/>
            <w:shd w:val="clear" w:color="auto" w:fill="43C0B9"/>
          </w:tcPr>
          <w:p>
            <w:pPr>
              <w:spacing w:after="0"/>
              <w:rPr>
                <w:sz w:val="19"/>
                <w:szCs w:val="19"/>
                <w:color w:val="auto"/>
              </w:rPr>
            </w:pPr>
          </w:p>
        </w:tc>
        <w:tc>
          <w:tcPr>
            <w:tcW w:w="1200" w:type="dxa"/>
            <w:vAlign w:val="bottom"/>
            <w:shd w:val="clear" w:color="auto" w:fill="43C0B9"/>
          </w:tcPr>
          <w:p>
            <w:pPr>
              <w:jc w:val="right"/>
              <w:ind w:right="289"/>
              <w:spacing w:after="0"/>
              <w:rPr>
                <w:sz w:val="20"/>
                <w:szCs w:val="20"/>
                <w:color w:val="auto"/>
              </w:rPr>
            </w:pPr>
            <w:r>
              <w:rPr>
                <w:rFonts w:ascii="Calibri" w:cs="Calibri" w:eastAsia="Calibri" w:hAnsi="Calibri"/>
                <w:sz w:val="14"/>
                <w:szCs w:val="14"/>
                <w:b w:val="1"/>
                <w:bCs w:val="1"/>
                <w:color w:val="FFFFFF"/>
              </w:rPr>
              <w:t>Signifcant</w:t>
            </w:r>
          </w:p>
        </w:tc>
        <w:tc>
          <w:tcPr>
            <w:tcW w:w="1520" w:type="dxa"/>
            <w:vAlign w:val="bottom"/>
            <w:shd w:val="clear" w:color="auto" w:fill="43C0B9"/>
          </w:tcPr>
          <w:p>
            <w:pPr>
              <w:spacing w:after="0"/>
              <w:rPr>
                <w:sz w:val="19"/>
                <w:szCs w:val="19"/>
                <w:color w:val="auto"/>
              </w:rPr>
            </w:pPr>
          </w:p>
        </w:tc>
        <w:tc>
          <w:tcPr>
            <w:tcW w:w="700" w:type="dxa"/>
            <w:vAlign w:val="bottom"/>
            <w:shd w:val="clear" w:color="auto" w:fill="43C0B9"/>
          </w:tcPr>
          <w:p>
            <w:pPr>
              <w:spacing w:after="0"/>
              <w:rPr>
                <w:sz w:val="19"/>
                <w:szCs w:val="19"/>
                <w:color w:val="auto"/>
              </w:rPr>
            </w:pPr>
          </w:p>
        </w:tc>
        <w:tc>
          <w:tcPr>
            <w:tcW w:w="200" w:type="dxa"/>
            <w:vAlign w:val="bottom"/>
            <w:shd w:val="clear" w:color="auto" w:fill="43C0B9"/>
          </w:tcPr>
          <w:p>
            <w:pPr>
              <w:spacing w:after="0"/>
              <w:rPr>
                <w:sz w:val="19"/>
                <w:szCs w:val="19"/>
                <w:color w:val="auto"/>
              </w:rPr>
            </w:pPr>
          </w:p>
        </w:tc>
        <w:tc>
          <w:tcPr>
            <w:tcW w:w="980" w:type="dxa"/>
            <w:vAlign w:val="bottom"/>
            <w:shd w:val="clear" w:color="auto" w:fill="43C0B9"/>
          </w:tcPr>
          <w:p>
            <w:pPr>
              <w:spacing w:after="0"/>
              <w:rPr>
                <w:sz w:val="19"/>
                <w:szCs w:val="19"/>
                <w:color w:val="auto"/>
              </w:rPr>
            </w:pPr>
          </w:p>
        </w:tc>
        <w:tc>
          <w:tcPr>
            <w:tcW w:w="300" w:type="dxa"/>
            <w:vAlign w:val="bottom"/>
            <w:shd w:val="clear" w:color="auto" w:fill="43C0B9"/>
          </w:tcPr>
          <w:p>
            <w:pPr>
              <w:spacing w:after="0"/>
              <w:rPr>
                <w:sz w:val="19"/>
                <w:szCs w:val="19"/>
                <w:color w:val="auto"/>
              </w:rPr>
            </w:pPr>
          </w:p>
        </w:tc>
        <w:tc>
          <w:tcPr>
            <w:tcW w:w="1220" w:type="dxa"/>
            <w:vAlign w:val="bottom"/>
            <w:shd w:val="clear" w:color="auto" w:fill="43C0B9"/>
          </w:tcPr>
          <w:p>
            <w:pPr>
              <w:jc w:val="right"/>
              <w:ind w:right="289"/>
              <w:spacing w:after="0"/>
              <w:rPr>
                <w:sz w:val="20"/>
                <w:szCs w:val="20"/>
                <w:color w:val="auto"/>
              </w:rPr>
            </w:pPr>
            <w:r>
              <w:rPr>
                <w:rFonts w:ascii="Calibri" w:cs="Calibri" w:eastAsia="Calibri" w:hAnsi="Calibri"/>
                <w:sz w:val="14"/>
                <w:szCs w:val="14"/>
                <w:b w:val="1"/>
                <w:bCs w:val="1"/>
                <w:color w:val="FFFFFF"/>
              </w:rPr>
              <w:t>Signifcant</w:t>
            </w:r>
          </w:p>
        </w:tc>
        <w:tc>
          <w:tcPr>
            <w:tcW w:w="1000" w:type="dxa"/>
            <w:vAlign w:val="bottom"/>
            <w:shd w:val="clear" w:color="auto" w:fill="43C0B9"/>
          </w:tcPr>
          <w:p>
            <w:pPr>
              <w:spacing w:after="0"/>
              <w:rPr>
                <w:sz w:val="19"/>
                <w:szCs w:val="19"/>
                <w:color w:val="auto"/>
              </w:rPr>
            </w:pPr>
          </w:p>
        </w:tc>
      </w:tr>
      <w:tr>
        <w:trPr>
          <w:trHeight w:val="174"/>
        </w:trPr>
        <w:tc>
          <w:tcPr>
            <w:tcW w:w="1520" w:type="dxa"/>
            <w:vAlign w:val="bottom"/>
            <w:shd w:val="clear" w:color="auto" w:fill="43C0B9"/>
          </w:tcPr>
          <w:p>
            <w:pPr>
              <w:spacing w:after="0"/>
              <w:rPr>
                <w:sz w:val="15"/>
                <w:szCs w:val="15"/>
                <w:color w:val="auto"/>
              </w:rPr>
            </w:pPr>
          </w:p>
        </w:tc>
        <w:tc>
          <w:tcPr>
            <w:tcW w:w="440" w:type="dxa"/>
            <w:vAlign w:val="bottom"/>
            <w:shd w:val="clear" w:color="auto" w:fill="43C0B9"/>
          </w:tcPr>
          <w:p>
            <w:pPr>
              <w:spacing w:after="0"/>
              <w:rPr>
                <w:sz w:val="15"/>
                <w:szCs w:val="15"/>
                <w:color w:val="auto"/>
              </w:rPr>
            </w:pPr>
          </w:p>
        </w:tc>
        <w:tc>
          <w:tcPr>
            <w:tcW w:w="680" w:type="dxa"/>
            <w:vAlign w:val="bottom"/>
            <w:shd w:val="clear" w:color="auto" w:fill="43C0B9"/>
          </w:tcPr>
          <w:p>
            <w:pPr>
              <w:spacing w:after="0"/>
              <w:rPr>
                <w:sz w:val="15"/>
                <w:szCs w:val="15"/>
                <w:color w:val="auto"/>
              </w:rPr>
            </w:pPr>
          </w:p>
        </w:tc>
        <w:tc>
          <w:tcPr>
            <w:tcW w:w="220" w:type="dxa"/>
            <w:vAlign w:val="bottom"/>
            <w:shd w:val="clear" w:color="auto" w:fill="43C0B9"/>
          </w:tcPr>
          <w:p>
            <w:pPr>
              <w:spacing w:after="0"/>
              <w:rPr>
                <w:sz w:val="15"/>
                <w:szCs w:val="15"/>
                <w:color w:val="auto"/>
              </w:rPr>
            </w:pPr>
          </w:p>
        </w:tc>
        <w:tc>
          <w:tcPr>
            <w:tcW w:w="96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Quoted Prices</w:t>
            </w:r>
          </w:p>
        </w:tc>
        <w:tc>
          <w:tcPr>
            <w:tcW w:w="300" w:type="dxa"/>
            <w:vAlign w:val="bottom"/>
            <w:shd w:val="clear" w:color="auto" w:fill="43C0B9"/>
          </w:tcPr>
          <w:p>
            <w:pPr>
              <w:spacing w:after="0"/>
              <w:rPr>
                <w:sz w:val="15"/>
                <w:szCs w:val="15"/>
                <w:color w:val="auto"/>
              </w:rPr>
            </w:pPr>
          </w:p>
        </w:tc>
        <w:tc>
          <w:tcPr>
            <w:tcW w:w="1200" w:type="dxa"/>
            <w:vAlign w:val="bottom"/>
            <w:shd w:val="clear" w:color="auto" w:fill="43C0B9"/>
          </w:tcPr>
          <w:p>
            <w:pPr>
              <w:jc w:val="right"/>
              <w:ind w:right="289"/>
              <w:spacing w:after="0"/>
              <w:rPr>
                <w:sz w:val="20"/>
                <w:szCs w:val="20"/>
                <w:color w:val="auto"/>
              </w:rPr>
            </w:pPr>
            <w:r>
              <w:rPr>
                <w:rFonts w:ascii="Calibri" w:cs="Calibri" w:eastAsia="Calibri" w:hAnsi="Calibri"/>
                <w:sz w:val="14"/>
                <w:szCs w:val="14"/>
                <w:b w:val="1"/>
                <w:bCs w:val="1"/>
                <w:color w:val="FFFFFF"/>
              </w:rPr>
              <w:t>Other</w:t>
            </w:r>
          </w:p>
        </w:tc>
        <w:tc>
          <w:tcPr>
            <w:tcW w:w="1520" w:type="dxa"/>
            <w:vAlign w:val="bottom"/>
            <w:shd w:val="clear" w:color="auto" w:fill="43C0B9"/>
          </w:tcPr>
          <w:p>
            <w:pPr>
              <w:jc w:val="right"/>
              <w:ind w:right="449"/>
              <w:spacing w:after="0"/>
              <w:rPr>
                <w:sz w:val="20"/>
                <w:szCs w:val="20"/>
                <w:color w:val="auto"/>
              </w:rPr>
            </w:pPr>
            <w:r>
              <w:rPr>
                <w:rFonts w:ascii="Calibri" w:cs="Calibri" w:eastAsia="Calibri" w:hAnsi="Calibri"/>
                <w:sz w:val="14"/>
                <w:szCs w:val="14"/>
                <w:b w:val="1"/>
                <w:bCs w:val="1"/>
                <w:color w:val="FFFFFF"/>
              </w:rPr>
              <w:t>Signifcant</w:t>
            </w:r>
          </w:p>
        </w:tc>
        <w:tc>
          <w:tcPr>
            <w:tcW w:w="700" w:type="dxa"/>
            <w:vAlign w:val="bottom"/>
            <w:shd w:val="clear" w:color="auto" w:fill="43C0B9"/>
          </w:tcPr>
          <w:p>
            <w:pPr>
              <w:spacing w:after="0"/>
              <w:rPr>
                <w:sz w:val="15"/>
                <w:szCs w:val="15"/>
                <w:color w:val="auto"/>
              </w:rPr>
            </w:pPr>
          </w:p>
        </w:tc>
        <w:tc>
          <w:tcPr>
            <w:tcW w:w="200" w:type="dxa"/>
            <w:vAlign w:val="bottom"/>
            <w:shd w:val="clear" w:color="auto" w:fill="43C0B9"/>
          </w:tcPr>
          <w:p>
            <w:pPr>
              <w:spacing w:after="0"/>
              <w:rPr>
                <w:sz w:val="15"/>
                <w:szCs w:val="15"/>
                <w:color w:val="auto"/>
              </w:rPr>
            </w:pPr>
          </w:p>
        </w:tc>
        <w:tc>
          <w:tcPr>
            <w:tcW w:w="98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Quoted Prices</w:t>
            </w:r>
          </w:p>
        </w:tc>
        <w:tc>
          <w:tcPr>
            <w:tcW w:w="300" w:type="dxa"/>
            <w:vAlign w:val="bottom"/>
            <w:shd w:val="clear" w:color="auto" w:fill="43C0B9"/>
          </w:tcPr>
          <w:p>
            <w:pPr>
              <w:spacing w:after="0"/>
              <w:rPr>
                <w:sz w:val="15"/>
                <w:szCs w:val="15"/>
                <w:color w:val="auto"/>
              </w:rPr>
            </w:pPr>
          </w:p>
        </w:tc>
        <w:tc>
          <w:tcPr>
            <w:tcW w:w="1220" w:type="dxa"/>
            <w:vAlign w:val="bottom"/>
            <w:shd w:val="clear" w:color="auto" w:fill="43C0B9"/>
          </w:tcPr>
          <w:p>
            <w:pPr>
              <w:jc w:val="right"/>
              <w:ind w:right="289"/>
              <w:spacing w:after="0"/>
              <w:rPr>
                <w:sz w:val="20"/>
                <w:szCs w:val="20"/>
                <w:color w:val="auto"/>
              </w:rPr>
            </w:pPr>
            <w:r>
              <w:rPr>
                <w:rFonts w:ascii="Calibri" w:cs="Calibri" w:eastAsia="Calibri" w:hAnsi="Calibri"/>
                <w:sz w:val="14"/>
                <w:szCs w:val="14"/>
                <w:b w:val="1"/>
                <w:bCs w:val="1"/>
                <w:color w:val="FFFFFF"/>
              </w:rPr>
              <w:t>Other</w:t>
            </w:r>
          </w:p>
        </w:tc>
        <w:tc>
          <w:tcPr>
            <w:tcW w:w="100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Signifcant</w:t>
            </w:r>
          </w:p>
        </w:tc>
      </w:tr>
      <w:tr>
        <w:trPr>
          <w:trHeight w:val="174"/>
        </w:trPr>
        <w:tc>
          <w:tcPr>
            <w:tcW w:w="1520" w:type="dxa"/>
            <w:vAlign w:val="bottom"/>
            <w:shd w:val="clear" w:color="auto" w:fill="43C0B9"/>
          </w:tcPr>
          <w:p>
            <w:pPr>
              <w:spacing w:after="0"/>
              <w:rPr>
                <w:sz w:val="15"/>
                <w:szCs w:val="15"/>
                <w:color w:val="auto"/>
              </w:rPr>
            </w:pPr>
          </w:p>
        </w:tc>
        <w:tc>
          <w:tcPr>
            <w:tcW w:w="440" w:type="dxa"/>
            <w:vAlign w:val="bottom"/>
            <w:shd w:val="clear" w:color="auto" w:fill="43C0B9"/>
          </w:tcPr>
          <w:p>
            <w:pPr>
              <w:spacing w:after="0"/>
              <w:rPr>
                <w:sz w:val="15"/>
                <w:szCs w:val="15"/>
                <w:color w:val="auto"/>
              </w:rPr>
            </w:pPr>
          </w:p>
        </w:tc>
        <w:tc>
          <w:tcPr>
            <w:tcW w:w="680" w:type="dxa"/>
            <w:vAlign w:val="bottom"/>
            <w:shd w:val="clear" w:color="auto" w:fill="43C0B9"/>
          </w:tcPr>
          <w:p>
            <w:pPr>
              <w:spacing w:after="0"/>
              <w:rPr>
                <w:sz w:val="15"/>
                <w:szCs w:val="15"/>
                <w:color w:val="auto"/>
              </w:rPr>
            </w:pPr>
          </w:p>
        </w:tc>
        <w:tc>
          <w:tcPr>
            <w:tcW w:w="220" w:type="dxa"/>
            <w:vAlign w:val="bottom"/>
            <w:shd w:val="clear" w:color="auto" w:fill="43C0B9"/>
          </w:tcPr>
          <w:p>
            <w:pPr>
              <w:spacing w:after="0"/>
              <w:rPr>
                <w:sz w:val="15"/>
                <w:szCs w:val="15"/>
                <w:color w:val="auto"/>
              </w:rPr>
            </w:pPr>
          </w:p>
        </w:tc>
        <w:tc>
          <w:tcPr>
            <w:tcW w:w="96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in Actve</w:t>
            </w:r>
          </w:p>
        </w:tc>
        <w:tc>
          <w:tcPr>
            <w:tcW w:w="300" w:type="dxa"/>
            <w:vAlign w:val="bottom"/>
            <w:shd w:val="clear" w:color="auto" w:fill="43C0B9"/>
          </w:tcPr>
          <w:p>
            <w:pPr>
              <w:spacing w:after="0"/>
              <w:rPr>
                <w:sz w:val="15"/>
                <w:szCs w:val="15"/>
                <w:color w:val="auto"/>
              </w:rPr>
            </w:pPr>
          </w:p>
        </w:tc>
        <w:tc>
          <w:tcPr>
            <w:tcW w:w="1200" w:type="dxa"/>
            <w:vAlign w:val="bottom"/>
            <w:shd w:val="clear" w:color="auto" w:fill="43C0B9"/>
          </w:tcPr>
          <w:p>
            <w:pPr>
              <w:jc w:val="right"/>
              <w:ind w:right="289"/>
              <w:spacing w:after="0"/>
              <w:rPr>
                <w:sz w:val="20"/>
                <w:szCs w:val="20"/>
                <w:color w:val="auto"/>
              </w:rPr>
            </w:pPr>
            <w:r>
              <w:rPr>
                <w:rFonts w:ascii="Calibri" w:cs="Calibri" w:eastAsia="Calibri" w:hAnsi="Calibri"/>
                <w:sz w:val="14"/>
                <w:szCs w:val="14"/>
                <w:b w:val="1"/>
                <w:bCs w:val="1"/>
                <w:color w:val="FFFFFF"/>
              </w:rPr>
              <w:t>Observable</w:t>
            </w:r>
          </w:p>
        </w:tc>
        <w:tc>
          <w:tcPr>
            <w:tcW w:w="1520" w:type="dxa"/>
            <w:vAlign w:val="bottom"/>
            <w:shd w:val="clear" w:color="auto" w:fill="43C0B9"/>
          </w:tcPr>
          <w:p>
            <w:pPr>
              <w:jc w:val="right"/>
              <w:ind w:right="449"/>
              <w:spacing w:after="0"/>
              <w:rPr>
                <w:sz w:val="20"/>
                <w:szCs w:val="20"/>
                <w:color w:val="auto"/>
              </w:rPr>
            </w:pPr>
            <w:r>
              <w:rPr>
                <w:rFonts w:ascii="Calibri" w:cs="Calibri" w:eastAsia="Calibri" w:hAnsi="Calibri"/>
                <w:sz w:val="14"/>
                <w:szCs w:val="14"/>
                <w:b w:val="1"/>
                <w:bCs w:val="1"/>
                <w:color w:val="FFFFFF"/>
              </w:rPr>
              <w:t>Unobservable</w:t>
            </w:r>
          </w:p>
        </w:tc>
        <w:tc>
          <w:tcPr>
            <w:tcW w:w="700" w:type="dxa"/>
            <w:vAlign w:val="bottom"/>
            <w:shd w:val="clear" w:color="auto" w:fill="43C0B9"/>
          </w:tcPr>
          <w:p>
            <w:pPr>
              <w:spacing w:after="0"/>
              <w:rPr>
                <w:sz w:val="15"/>
                <w:szCs w:val="15"/>
                <w:color w:val="auto"/>
              </w:rPr>
            </w:pPr>
          </w:p>
        </w:tc>
        <w:tc>
          <w:tcPr>
            <w:tcW w:w="200" w:type="dxa"/>
            <w:vAlign w:val="bottom"/>
            <w:shd w:val="clear" w:color="auto" w:fill="43C0B9"/>
          </w:tcPr>
          <w:p>
            <w:pPr>
              <w:spacing w:after="0"/>
              <w:rPr>
                <w:sz w:val="15"/>
                <w:szCs w:val="15"/>
                <w:color w:val="auto"/>
              </w:rPr>
            </w:pPr>
          </w:p>
        </w:tc>
        <w:tc>
          <w:tcPr>
            <w:tcW w:w="98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in Actve</w:t>
            </w:r>
          </w:p>
        </w:tc>
        <w:tc>
          <w:tcPr>
            <w:tcW w:w="300" w:type="dxa"/>
            <w:vAlign w:val="bottom"/>
            <w:shd w:val="clear" w:color="auto" w:fill="43C0B9"/>
          </w:tcPr>
          <w:p>
            <w:pPr>
              <w:spacing w:after="0"/>
              <w:rPr>
                <w:sz w:val="15"/>
                <w:szCs w:val="15"/>
                <w:color w:val="auto"/>
              </w:rPr>
            </w:pPr>
          </w:p>
        </w:tc>
        <w:tc>
          <w:tcPr>
            <w:tcW w:w="1220" w:type="dxa"/>
            <w:vAlign w:val="bottom"/>
            <w:shd w:val="clear" w:color="auto" w:fill="43C0B9"/>
          </w:tcPr>
          <w:p>
            <w:pPr>
              <w:jc w:val="right"/>
              <w:ind w:right="289"/>
              <w:spacing w:after="0"/>
              <w:rPr>
                <w:sz w:val="20"/>
                <w:szCs w:val="20"/>
                <w:color w:val="auto"/>
              </w:rPr>
            </w:pPr>
            <w:r>
              <w:rPr>
                <w:rFonts w:ascii="Calibri" w:cs="Calibri" w:eastAsia="Calibri" w:hAnsi="Calibri"/>
                <w:sz w:val="14"/>
                <w:szCs w:val="14"/>
                <w:b w:val="1"/>
                <w:bCs w:val="1"/>
                <w:color w:val="FFFFFF"/>
              </w:rPr>
              <w:t>Observable</w:t>
            </w:r>
          </w:p>
        </w:tc>
        <w:tc>
          <w:tcPr>
            <w:tcW w:w="100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Unobservable</w:t>
            </w:r>
          </w:p>
        </w:tc>
      </w:tr>
      <w:tr>
        <w:trPr>
          <w:trHeight w:val="165"/>
        </w:trPr>
        <w:tc>
          <w:tcPr>
            <w:tcW w:w="1520" w:type="dxa"/>
            <w:vAlign w:val="bottom"/>
            <w:shd w:val="clear" w:color="auto" w:fill="43C0B9"/>
          </w:tcPr>
          <w:p>
            <w:pPr>
              <w:spacing w:after="0"/>
              <w:rPr>
                <w:sz w:val="14"/>
                <w:szCs w:val="14"/>
                <w:color w:val="auto"/>
              </w:rPr>
            </w:pPr>
          </w:p>
        </w:tc>
        <w:tc>
          <w:tcPr>
            <w:tcW w:w="440" w:type="dxa"/>
            <w:vAlign w:val="bottom"/>
            <w:shd w:val="clear" w:color="auto" w:fill="43C0B9"/>
          </w:tcPr>
          <w:p>
            <w:pPr>
              <w:spacing w:after="0"/>
              <w:rPr>
                <w:sz w:val="14"/>
                <w:szCs w:val="14"/>
                <w:color w:val="auto"/>
              </w:rPr>
            </w:pPr>
          </w:p>
        </w:tc>
        <w:tc>
          <w:tcPr>
            <w:tcW w:w="680" w:type="dxa"/>
            <w:vAlign w:val="bottom"/>
            <w:shd w:val="clear" w:color="auto" w:fill="43C0B9"/>
          </w:tcPr>
          <w:p>
            <w:pPr>
              <w:spacing w:after="0"/>
              <w:rPr>
                <w:sz w:val="14"/>
                <w:szCs w:val="14"/>
                <w:color w:val="auto"/>
              </w:rPr>
            </w:pPr>
          </w:p>
        </w:tc>
        <w:tc>
          <w:tcPr>
            <w:tcW w:w="220" w:type="dxa"/>
            <w:vAlign w:val="bottom"/>
            <w:shd w:val="clear" w:color="auto" w:fill="43C0B9"/>
          </w:tcPr>
          <w:p>
            <w:pPr>
              <w:spacing w:after="0"/>
              <w:rPr>
                <w:sz w:val="14"/>
                <w:szCs w:val="14"/>
                <w:color w:val="auto"/>
              </w:rPr>
            </w:pPr>
          </w:p>
        </w:tc>
        <w:tc>
          <w:tcPr>
            <w:tcW w:w="960" w:type="dxa"/>
            <w:vAlign w:val="bottom"/>
            <w:shd w:val="clear" w:color="auto" w:fill="43C0B9"/>
          </w:tcPr>
          <w:p>
            <w:pPr>
              <w:jc w:val="right"/>
              <w:spacing w:after="0" w:line="166" w:lineRule="exact"/>
              <w:rPr>
                <w:sz w:val="20"/>
                <w:szCs w:val="20"/>
                <w:color w:val="auto"/>
              </w:rPr>
            </w:pPr>
            <w:r>
              <w:rPr>
                <w:rFonts w:ascii="Calibri" w:cs="Calibri" w:eastAsia="Calibri" w:hAnsi="Calibri"/>
                <w:sz w:val="14"/>
                <w:szCs w:val="14"/>
                <w:b w:val="1"/>
                <w:bCs w:val="1"/>
                <w:color w:val="FFFFFF"/>
              </w:rPr>
              <w:t>Markets</w:t>
            </w:r>
          </w:p>
        </w:tc>
        <w:tc>
          <w:tcPr>
            <w:tcW w:w="300" w:type="dxa"/>
            <w:vAlign w:val="bottom"/>
            <w:shd w:val="clear" w:color="auto" w:fill="43C0B9"/>
          </w:tcPr>
          <w:p>
            <w:pPr>
              <w:spacing w:after="0"/>
              <w:rPr>
                <w:sz w:val="14"/>
                <w:szCs w:val="14"/>
                <w:color w:val="auto"/>
              </w:rPr>
            </w:pPr>
          </w:p>
        </w:tc>
        <w:tc>
          <w:tcPr>
            <w:tcW w:w="1200" w:type="dxa"/>
            <w:vAlign w:val="bottom"/>
            <w:shd w:val="clear" w:color="auto" w:fill="43C0B9"/>
          </w:tcPr>
          <w:p>
            <w:pPr>
              <w:jc w:val="right"/>
              <w:ind w:right="289"/>
              <w:spacing w:after="0" w:line="166" w:lineRule="exact"/>
              <w:rPr>
                <w:sz w:val="20"/>
                <w:szCs w:val="20"/>
                <w:color w:val="auto"/>
              </w:rPr>
            </w:pPr>
            <w:r>
              <w:rPr>
                <w:rFonts w:ascii="Calibri" w:cs="Calibri" w:eastAsia="Calibri" w:hAnsi="Calibri"/>
                <w:sz w:val="14"/>
                <w:szCs w:val="14"/>
                <w:b w:val="1"/>
                <w:bCs w:val="1"/>
                <w:color w:val="FFFFFF"/>
              </w:rPr>
              <w:t>Inputs</w:t>
            </w:r>
          </w:p>
        </w:tc>
        <w:tc>
          <w:tcPr>
            <w:tcW w:w="1520" w:type="dxa"/>
            <w:vAlign w:val="bottom"/>
            <w:shd w:val="clear" w:color="auto" w:fill="43C0B9"/>
          </w:tcPr>
          <w:p>
            <w:pPr>
              <w:jc w:val="right"/>
              <w:ind w:right="449"/>
              <w:spacing w:after="0" w:line="166" w:lineRule="exact"/>
              <w:rPr>
                <w:sz w:val="20"/>
                <w:szCs w:val="20"/>
                <w:color w:val="auto"/>
              </w:rPr>
            </w:pPr>
            <w:r>
              <w:rPr>
                <w:rFonts w:ascii="Calibri" w:cs="Calibri" w:eastAsia="Calibri" w:hAnsi="Calibri"/>
                <w:sz w:val="14"/>
                <w:szCs w:val="14"/>
                <w:b w:val="1"/>
                <w:bCs w:val="1"/>
                <w:color w:val="FFFFFF"/>
              </w:rPr>
              <w:t>Inputs</w:t>
            </w:r>
          </w:p>
        </w:tc>
        <w:tc>
          <w:tcPr>
            <w:tcW w:w="700" w:type="dxa"/>
            <w:vAlign w:val="bottom"/>
            <w:shd w:val="clear" w:color="auto" w:fill="43C0B9"/>
          </w:tcPr>
          <w:p>
            <w:pPr>
              <w:spacing w:after="0"/>
              <w:rPr>
                <w:sz w:val="14"/>
                <w:szCs w:val="14"/>
                <w:color w:val="auto"/>
              </w:rPr>
            </w:pPr>
          </w:p>
        </w:tc>
        <w:tc>
          <w:tcPr>
            <w:tcW w:w="200" w:type="dxa"/>
            <w:vAlign w:val="bottom"/>
            <w:shd w:val="clear" w:color="auto" w:fill="43C0B9"/>
          </w:tcPr>
          <w:p>
            <w:pPr>
              <w:spacing w:after="0"/>
              <w:rPr>
                <w:sz w:val="14"/>
                <w:szCs w:val="14"/>
                <w:color w:val="auto"/>
              </w:rPr>
            </w:pPr>
          </w:p>
        </w:tc>
        <w:tc>
          <w:tcPr>
            <w:tcW w:w="980" w:type="dxa"/>
            <w:vAlign w:val="bottom"/>
            <w:shd w:val="clear" w:color="auto" w:fill="43C0B9"/>
          </w:tcPr>
          <w:p>
            <w:pPr>
              <w:jc w:val="right"/>
              <w:ind w:right="29"/>
              <w:spacing w:after="0" w:line="166" w:lineRule="exact"/>
              <w:rPr>
                <w:sz w:val="20"/>
                <w:szCs w:val="20"/>
                <w:color w:val="auto"/>
              </w:rPr>
            </w:pPr>
            <w:r>
              <w:rPr>
                <w:rFonts w:ascii="Calibri" w:cs="Calibri" w:eastAsia="Calibri" w:hAnsi="Calibri"/>
                <w:sz w:val="14"/>
                <w:szCs w:val="14"/>
                <w:b w:val="1"/>
                <w:bCs w:val="1"/>
                <w:color w:val="FFFFFF"/>
              </w:rPr>
              <w:t>Markets</w:t>
            </w:r>
          </w:p>
        </w:tc>
        <w:tc>
          <w:tcPr>
            <w:tcW w:w="300" w:type="dxa"/>
            <w:vAlign w:val="bottom"/>
            <w:shd w:val="clear" w:color="auto" w:fill="43C0B9"/>
          </w:tcPr>
          <w:p>
            <w:pPr>
              <w:spacing w:after="0"/>
              <w:rPr>
                <w:sz w:val="14"/>
                <w:szCs w:val="14"/>
                <w:color w:val="auto"/>
              </w:rPr>
            </w:pPr>
          </w:p>
        </w:tc>
        <w:tc>
          <w:tcPr>
            <w:tcW w:w="1220" w:type="dxa"/>
            <w:vAlign w:val="bottom"/>
            <w:shd w:val="clear" w:color="auto" w:fill="43C0B9"/>
          </w:tcPr>
          <w:p>
            <w:pPr>
              <w:jc w:val="right"/>
              <w:ind w:right="289"/>
              <w:spacing w:after="0" w:line="166" w:lineRule="exact"/>
              <w:rPr>
                <w:sz w:val="20"/>
                <w:szCs w:val="20"/>
                <w:color w:val="auto"/>
              </w:rPr>
            </w:pPr>
            <w:r>
              <w:rPr>
                <w:rFonts w:ascii="Calibri" w:cs="Calibri" w:eastAsia="Calibri" w:hAnsi="Calibri"/>
                <w:sz w:val="14"/>
                <w:szCs w:val="14"/>
                <w:b w:val="1"/>
                <w:bCs w:val="1"/>
                <w:color w:val="FFFFFF"/>
              </w:rPr>
              <w:t>Inputs</w:t>
            </w:r>
          </w:p>
        </w:tc>
        <w:tc>
          <w:tcPr>
            <w:tcW w:w="1000" w:type="dxa"/>
            <w:vAlign w:val="bottom"/>
            <w:shd w:val="clear" w:color="auto" w:fill="43C0B9"/>
          </w:tcPr>
          <w:p>
            <w:pPr>
              <w:jc w:val="right"/>
              <w:spacing w:after="0" w:line="166" w:lineRule="exact"/>
              <w:rPr>
                <w:sz w:val="20"/>
                <w:szCs w:val="20"/>
                <w:color w:val="auto"/>
              </w:rPr>
            </w:pPr>
            <w:r>
              <w:rPr>
                <w:rFonts w:ascii="Calibri" w:cs="Calibri" w:eastAsia="Calibri" w:hAnsi="Calibri"/>
                <w:sz w:val="14"/>
                <w:szCs w:val="14"/>
                <w:b w:val="1"/>
                <w:bCs w:val="1"/>
                <w:color w:val="FFFFFF"/>
              </w:rPr>
              <w:t>Inputs</w:t>
            </w:r>
          </w:p>
        </w:tc>
      </w:tr>
      <w:tr>
        <w:trPr>
          <w:trHeight w:val="209"/>
        </w:trPr>
        <w:tc>
          <w:tcPr>
            <w:tcW w:w="1520" w:type="dxa"/>
            <w:vAlign w:val="bottom"/>
            <w:tcBorders>
              <w:bottom w:val="single" w:sz="8" w:color="43C0B9"/>
            </w:tcBorders>
            <w:shd w:val="clear" w:color="auto" w:fill="43C0B9"/>
          </w:tcPr>
          <w:p>
            <w:pPr>
              <w:ind w:left="20"/>
              <w:spacing w:after="0" w:line="169" w:lineRule="exact"/>
              <w:rPr>
                <w:sz w:val="20"/>
                <w:szCs w:val="20"/>
                <w:color w:val="auto"/>
              </w:rPr>
            </w:pPr>
            <w:r>
              <w:rPr>
                <w:rFonts w:ascii="Calibri" w:cs="Calibri" w:eastAsia="Calibri" w:hAnsi="Calibri"/>
                <w:sz w:val="14"/>
                <w:szCs w:val="14"/>
                <w:b w:val="1"/>
                <w:bCs w:val="1"/>
                <w:color w:val="FFFFFF"/>
              </w:rPr>
              <w:t>(In millions)</w:t>
            </w:r>
          </w:p>
        </w:tc>
        <w:tc>
          <w:tcPr>
            <w:tcW w:w="440" w:type="dxa"/>
            <w:vAlign w:val="bottom"/>
            <w:tcBorders>
              <w:bottom w:val="single" w:sz="8" w:color="43C0B9"/>
            </w:tcBorders>
            <w:shd w:val="clear" w:color="auto" w:fill="43C0B9"/>
          </w:tcPr>
          <w:p>
            <w:pPr>
              <w:spacing w:after="0"/>
              <w:rPr>
                <w:sz w:val="18"/>
                <w:szCs w:val="18"/>
                <w:color w:val="auto"/>
              </w:rPr>
            </w:pPr>
          </w:p>
        </w:tc>
        <w:tc>
          <w:tcPr>
            <w:tcW w:w="680" w:type="dxa"/>
            <w:vAlign w:val="bottom"/>
            <w:tcBorders>
              <w:bottom w:val="single" w:sz="8" w:color="43C0B9"/>
            </w:tcBorders>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Total</w:t>
            </w:r>
          </w:p>
        </w:tc>
        <w:tc>
          <w:tcPr>
            <w:tcW w:w="220" w:type="dxa"/>
            <w:vAlign w:val="bottom"/>
            <w:tcBorders>
              <w:bottom w:val="single" w:sz="8" w:color="43C0B9"/>
            </w:tcBorders>
            <w:shd w:val="clear" w:color="auto" w:fill="43C0B9"/>
          </w:tcPr>
          <w:p>
            <w:pPr>
              <w:spacing w:after="0"/>
              <w:rPr>
                <w:sz w:val="18"/>
                <w:szCs w:val="18"/>
                <w:color w:val="auto"/>
              </w:rPr>
            </w:pPr>
          </w:p>
        </w:tc>
        <w:tc>
          <w:tcPr>
            <w:tcW w:w="96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(Level 1)</w:t>
            </w:r>
          </w:p>
        </w:tc>
        <w:tc>
          <w:tcPr>
            <w:tcW w:w="300" w:type="dxa"/>
            <w:vAlign w:val="bottom"/>
            <w:tcBorders>
              <w:bottom w:val="single" w:sz="8" w:color="43C0B9"/>
            </w:tcBorders>
            <w:shd w:val="clear" w:color="auto" w:fill="43C0B9"/>
          </w:tcPr>
          <w:p>
            <w:pPr>
              <w:spacing w:after="0"/>
              <w:rPr>
                <w:sz w:val="18"/>
                <w:szCs w:val="18"/>
                <w:color w:val="auto"/>
              </w:rPr>
            </w:pPr>
          </w:p>
        </w:tc>
        <w:tc>
          <w:tcPr>
            <w:tcW w:w="1200" w:type="dxa"/>
            <w:vAlign w:val="bottom"/>
            <w:tcBorders>
              <w:bottom w:val="single" w:sz="8" w:color="43C0B9"/>
            </w:tcBorders>
            <w:shd w:val="clear" w:color="auto" w:fill="43C0B9"/>
          </w:tcPr>
          <w:p>
            <w:pPr>
              <w:jc w:val="right"/>
              <w:ind w:right="289"/>
              <w:spacing w:after="0" w:line="169" w:lineRule="exact"/>
              <w:rPr>
                <w:sz w:val="20"/>
                <w:szCs w:val="20"/>
                <w:color w:val="auto"/>
              </w:rPr>
            </w:pPr>
            <w:r>
              <w:rPr>
                <w:rFonts w:ascii="Calibri" w:cs="Calibri" w:eastAsia="Calibri" w:hAnsi="Calibri"/>
                <w:sz w:val="14"/>
                <w:szCs w:val="14"/>
                <w:b w:val="1"/>
                <w:bCs w:val="1"/>
                <w:color w:val="FFFFFF"/>
              </w:rPr>
              <w:t>(Level 2)</w:t>
            </w:r>
          </w:p>
        </w:tc>
        <w:tc>
          <w:tcPr>
            <w:tcW w:w="1520" w:type="dxa"/>
            <w:vAlign w:val="bottom"/>
            <w:tcBorders>
              <w:bottom w:val="single" w:sz="8" w:color="43C0B9"/>
            </w:tcBorders>
            <w:shd w:val="clear" w:color="auto" w:fill="43C0B9"/>
          </w:tcPr>
          <w:p>
            <w:pPr>
              <w:jc w:val="right"/>
              <w:ind w:right="449"/>
              <w:spacing w:after="0"/>
              <w:rPr>
                <w:sz w:val="20"/>
                <w:szCs w:val="20"/>
                <w:color w:val="auto"/>
              </w:rPr>
            </w:pPr>
            <w:r>
              <w:rPr>
                <w:rFonts w:ascii="Calibri" w:cs="Calibri" w:eastAsia="Calibri" w:hAnsi="Calibri"/>
                <w:sz w:val="14"/>
                <w:szCs w:val="14"/>
                <w:b w:val="1"/>
                <w:bCs w:val="1"/>
                <w:color w:val="FFFFFF"/>
              </w:rPr>
              <w:t>(Level 3)</w:t>
            </w:r>
          </w:p>
        </w:tc>
        <w:tc>
          <w:tcPr>
            <w:tcW w:w="700" w:type="dxa"/>
            <w:vAlign w:val="bottom"/>
            <w:tcBorders>
              <w:bottom w:val="single" w:sz="8" w:color="43C0B9"/>
            </w:tcBorders>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Total</w:t>
            </w:r>
          </w:p>
        </w:tc>
        <w:tc>
          <w:tcPr>
            <w:tcW w:w="200" w:type="dxa"/>
            <w:vAlign w:val="bottom"/>
            <w:tcBorders>
              <w:bottom w:val="single" w:sz="8" w:color="43C0B9"/>
            </w:tcBorders>
            <w:shd w:val="clear" w:color="auto" w:fill="43C0B9"/>
          </w:tcPr>
          <w:p>
            <w:pPr>
              <w:spacing w:after="0"/>
              <w:rPr>
                <w:sz w:val="18"/>
                <w:szCs w:val="18"/>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(Level 1)</w:t>
            </w:r>
          </w:p>
        </w:tc>
        <w:tc>
          <w:tcPr>
            <w:tcW w:w="300" w:type="dxa"/>
            <w:vAlign w:val="bottom"/>
            <w:tcBorders>
              <w:bottom w:val="single" w:sz="8" w:color="43C0B9"/>
            </w:tcBorders>
            <w:shd w:val="clear" w:color="auto" w:fill="43C0B9"/>
          </w:tcPr>
          <w:p>
            <w:pPr>
              <w:spacing w:after="0"/>
              <w:rPr>
                <w:sz w:val="18"/>
                <w:szCs w:val="18"/>
                <w:color w:val="auto"/>
              </w:rPr>
            </w:pPr>
          </w:p>
        </w:tc>
        <w:tc>
          <w:tcPr>
            <w:tcW w:w="1220" w:type="dxa"/>
            <w:vAlign w:val="bottom"/>
            <w:tcBorders>
              <w:bottom w:val="single" w:sz="8" w:color="43C0B9"/>
            </w:tcBorders>
            <w:shd w:val="clear" w:color="auto" w:fill="43C0B9"/>
          </w:tcPr>
          <w:p>
            <w:pPr>
              <w:jc w:val="right"/>
              <w:ind w:right="289"/>
              <w:spacing w:after="0" w:line="169" w:lineRule="exact"/>
              <w:rPr>
                <w:sz w:val="20"/>
                <w:szCs w:val="20"/>
                <w:color w:val="auto"/>
              </w:rPr>
            </w:pPr>
            <w:r>
              <w:rPr>
                <w:rFonts w:ascii="Calibri" w:cs="Calibri" w:eastAsia="Calibri" w:hAnsi="Calibri"/>
                <w:sz w:val="14"/>
                <w:szCs w:val="14"/>
                <w:b w:val="1"/>
                <w:bCs w:val="1"/>
                <w:color w:val="FFFFFF"/>
              </w:rPr>
              <w:t>(Level 2)</w:t>
            </w:r>
          </w:p>
        </w:tc>
        <w:tc>
          <w:tcPr>
            <w:tcW w:w="100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(Level 3)</w:t>
            </w:r>
          </w:p>
        </w:tc>
      </w:tr>
      <w:tr>
        <w:trPr>
          <w:trHeight w:val="207"/>
        </w:trPr>
        <w:tc>
          <w:tcPr>
            <w:tcW w:w="152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b w:val="1"/>
                <w:bCs w:val="1"/>
                <w:color w:val="auto"/>
              </w:rPr>
              <w:t>Assets</w:t>
            </w:r>
          </w:p>
        </w:tc>
        <w:tc>
          <w:tcPr>
            <w:tcW w:w="4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52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r>
      <w:tr>
        <w:trPr>
          <w:trHeight w:val="169"/>
        </w:trPr>
        <w:tc>
          <w:tcPr>
            <w:tcW w:w="1520" w:type="dxa"/>
            <w:vAlign w:val="bottom"/>
          </w:tcPr>
          <w:p>
            <w:pPr>
              <w:ind w:left="140"/>
              <w:spacing w:after="0" w:line="169" w:lineRule="exact"/>
              <w:rPr>
                <w:sz w:val="20"/>
                <w:szCs w:val="20"/>
                <w:color w:val="auto"/>
              </w:rPr>
            </w:pPr>
            <w:r>
              <w:rPr>
                <w:rFonts w:ascii="Calibri" w:cs="Calibri" w:eastAsia="Calibri" w:hAnsi="Calibri"/>
                <w:sz w:val="14"/>
                <w:szCs w:val="14"/>
                <w:color w:val="auto"/>
              </w:rPr>
              <w:t>Mutual funds</w:t>
            </w:r>
          </w:p>
        </w:tc>
        <w:tc>
          <w:tcPr>
            <w:tcW w:w="440" w:type="dxa"/>
            <w:vAlign w:val="bottom"/>
          </w:tcPr>
          <w:p>
            <w:pPr>
              <w:jc w:val="right"/>
              <w:ind w:right="289"/>
              <w:spacing w:after="0" w:line="169" w:lineRule="exact"/>
              <w:rPr>
                <w:sz w:val="20"/>
                <w:szCs w:val="20"/>
                <w:color w:val="auto"/>
              </w:rPr>
            </w:pPr>
            <w:r>
              <w:rPr>
                <w:rFonts w:ascii="Calibri" w:cs="Calibri" w:eastAsia="Calibri" w:hAnsi="Calibri"/>
                <w:sz w:val="14"/>
                <w:szCs w:val="14"/>
                <w:color w:val="auto"/>
                <w:w w:val="83"/>
              </w:rPr>
              <w:t>$</w:t>
            </w:r>
          </w:p>
        </w:tc>
        <w:tc>
          <w:tcPr>
            <w:tcW w:w="6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1.2</w:t>
            </w:r>
          </w:p>
        </w:tc>
        <w:tc>
          <w:tcPr>
            <w:tcW w:w="22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9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1.2</w:t>
            </w:r>
          </w:p>
        </w:tc>
        <w:tc>
          <w:tcPr>
            <w:tcW w:w="30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120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  $</w:t>
            </w:r>
          </w:p>
        </w:tc>
        <w:tc>
          <w:tcPr>
            <w:tcW w:w="1520" w:type="dxa"/>
            <w:vAlign w:val="bottom"/>
          </w:tcPr>
          <w:p>
            <w:pPr>
              <w:ind w:left="820"/>
              <w:spacing w:after="0" w:line="169" w:lineRule="exact"/>
              <w:rPr>
                <w:sz w:val="20"/>
                <w:szCs w:val="20"/>
                <w:color w:val="auto"/>
              </w:rPr>
            </w:pPr>
            <w:r>
              <w:rPr>
                <w:rFonts w:ascii="Calibri" w:cs="Calibri" w:eastAsia="Calibri" w:hAnsi="Calibri"/>
                <w:sz w:val="14"/>
                <w:szCs w:val="14"/>
                <w:color w:val="auto"/>
              </w:rPr>
              <w:t>—  $</w:t>
            </w:r>
          </w:p>
        </w:tc>
        <w:tc>
          <w:tcPr>
            <w:tcW w:w="7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1.2</w:t>
            </w:r>
          </w:p>
        </w:tc>
        <w:tc>
          <w:tcPr>
            <w:tcW w:w="2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1.2</w:t>
            </w:r>
          </w:p>
        </w:tc>
        <w:tc>
          <w:tcPr>
            <w:tcW w:w="30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122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  $</w:t>
            </w:r>
          </w:p>
        </w:tc>
        <w:tc>
          <w:tcPr>
            <w:tcW w:w="10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58"/>
        </w:trPr>
        <w:tc>
          <w:tcPr>
            <w:tcW w:w="1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7"/>
        </w:trPr>
        <w:tc>
          <w:tcPr>
            <w:tcW w:w="1520" w:type="dxa"/>
            <w:vAlign w:val="bottom"/>
            <w:tcBorders>
              <w:bottom w:val="single" w:sz="8" w:color="DBDBDB"/>
            </w:tcBorders>
            <w:shd w:val="clear" w:color="auto" w:fill="DBDBDB"/>
          </w:tcPr>
          <w:p>
            <w:pPr>
              <w:ind w:left="140"/>
              <w:spacing w:after="0" w:line="169" w:lineRule="exact"/>
              <w:rPr>
                <w:sz w:val="20"/>
                <w:szCs w:val="20"/>
                <w:color w:val="auto"/>
              </w:rPr>
            </w:pPr>
            <w:r>
              <w:rPr>
                <w:rFonts w:ascii="Calibri" w:cs="Calibri" w:eastAsia="Calibri" w:hAnsi="Calibri"/>
                <w:sz w:val="14"/>
                <w:szCs w:val="14"/>
                <w:color w:val="auto"/>
              </w:rPr>
              <w:t>Interest rate swap</w:t>
            </w:r>
          </w:p>
        </w:tc>
        <w:tc>
          <w:tcPr>
            <w:tcW w:w="4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0.6</w:t>
            </w:r>
          </w:p>
        </w:tc>
        <w:tc>
          <w:tcPr>
            <w:tcW w:w="22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329"/>
              <w:spacing w:after="0" w:line="169" w:lineRule="exact"/>
              <w:rPr>
                <w:sz w:val="20"/>
                <w:szCs w:val="20"/>
                <w:color w:val="auto"/>
              </w:rPr>
            </w:pPr>
            <w:r>
              <w:rPr>
                <w:rFonts w:ascii="Calibri" w:cs="Calibri" w:eastAsia="Calibri" w:hAnsi="Calibri"/>
                <w:sz w:val="14"/>
                <w:szCs w:val="14"/>
                <w:color w:val="auto"/>
              </w:rPr>
              <w:t>0.6</w:t>
            </w:r>
          </w:p>
        </w:tc>
        <w:tc>
          <w:tcPr>
            <w:tcW w:w="1520" w:type="dxa"/>
            <w:vAlign w:val="bottom"/>
            <w:tcBorders>
              <w:bottom w:val="single" w:sz="8" w:color="DBDBDB"/>
            </w:tcBorders>
            <w:shd w:val="clear" w:color="auto" w:fill="DBDBDB"/>
          </w:tcPr>
          <w:p>
            <w:pPr>
              <w:ind w:left="820"/>
              <w:spacing w:after="0" w:line="169"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2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32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152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Liabilites</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8"/>
        </w:trPr>
        <w:tc>
          <w:tcPr>
            <w:tcW w:w="1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07"/>
        </w:trPr>
        <w:tc>
          <w:tcPr>
            <w:tcW w:w="1520" w:type="dxa"/>
            <w:vAlign w:val="bottom"/>
            <w:tcBorders>
              <w:bottom w:val="single" w:sz="8" w:color="DBDBDB"/>
            </w:tcBorders>
            <w:shd w:val="clear" w:color="auto" w:fill="DBDBDB"/>
          </w:tcPr>
          <w:p>
            <w:pPr>
              <w:ind w:left="140"/>
              <w:spacing w:after="0" w:line="169" w:lineRule="exact"/>
              <w:rPr>
                <w:sz w:val="20"/>
                <w:szCs w:val="20"/>
                <w:color w:val="auto"/>
              </w:rPr>
            </w:pPr>
            <w:r>
              <w:rPr>
                <w:rFonts w:ascii="Calibri" w:cs="Calibri" w:eastAsia="Calibri" w:hAnsi="Calibri"/>
                <w:sz w:val="14"/>
                <w:szCs w:val="14"/>
                <w:color w:val="auto"/>
              </w:rPr>
              <w:t>Interest rate swap</w:t>
            </w:r>
          </w:p>
        </w:tc>
        <w:tc>
          <w:tcPr>
            <w:tcW w:w="44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ind w:right="329"/>
              <w:spacing w:after="0" w:line="169" w:lineRule="exact"/>
              <w:rPr>
                <w:sz w:val="20"/>
                <w:szCs w:val="20"/>
                <w:color w:val="auto"/>
              </w:rPr>
            </w:pPr>
            <w:r>
              <w:rPr>
                <w:rFonts w:ascii="Calibri" w:cs="Calibri" w:eastAsia="Calibri" w:hAnsi="Calibri"/>
                <w:sz w:val="14"/>
                <w:szCs w:val="14"/>
                <w:color w:val="auto"/>
              </w:rPr>
              <w:t>—</w:t>
            </w:r>
          </w:p>
        </w:tc>
        <w:tc>
          <w:tcPr>
            <w:tcW w:w="1520" w:type="dxa"/>
            <w:vAlign w:val="bottom"/>
            <w:tcBorders>
              <w:bottom w:val="single" w:sz="8" w:color="DBDBDB"/>
            </w:tcBorders>
            <w:shd w:val="clear" w:color="auto" w:fill="DBDBDB"/>
          </w:tcPr>
          <w:p>
            <w:pPr>
              <w:ind w:left="820"/>
              <w:spacing w:after="0" w:line="169"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3.5</w:t>
            </w:r>
          </w:p>
        </w:tc>
        <w:tc>
          <w:tcPr>
            <w:tcW w:w="2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ind w:right="329"/>
              <w:spacing w:after="0" w:line="169" w:lineRule="exact"/>
              <w:rPr>
                <w:sz w:val="20"/>
                <w:szCs w:val="20"/>
                <w:color w:val="auto"/>
              </w:rPr>
            </w:pPr>
            <w:r>
              <w:rPr>
                <w:rFonts w:ascii="Calibri" w:cs="Calibri" w:eastAsia="Calibri" w:hAnsi="Calibri"/>
                <w:sz w:val="14"/>
                <w:szCs w:val="14"/>
                <w:color w:val="auto"/>
              </w:rPr>
              <w:t>3.5</w:t>
            </w:r>
          </w:p>
        </w:tc>
        <w:tc>
          <w:tcPr>
            <w:tcW w:w="10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20"/>
        </w:trPr>
        <w:tc>
          <w:tcPr>
            <w:tcW w:w="1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-1315720</wp:posOffset>
            </wp:positionV>
            <wp:extent cx="61741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4105" cy="8255"/>
                    </a:xfrm>
                    <a:prstGeom prst="rect">
                      <a:avLst/>
                    </a:prstGeom>
                    <a:noFill/>
                  </pic:spPr>
                </pic:pic>
              </a:graphicData>
            </a:graphic>
          </wp:anchor>
        </w:drawing>
      </w:r>
    </w:p>
    <w:p>
      <w:pPr>
        <w:spacing w:after="0" w:line="269" w:lineRule="exact"/>
        <w:rPr>
          <w:sz w:val="20"/>
          <w:szCs w:val="20"/>
          <w:color w:val="auto"/>
        </w:rPr>
      </w:pPr>
    </w:p>
    <w:p>
      <w:pPr>
        <w:ind w:right="580" w:firstLine="642"/>
        <w:spacing w:after="0" w:line="233" w:lineRule="auto"/>
        <w:rPr>
          <w:sz w:val="20"/>
          <w:szCs w:val="20"/>
          <w:color w:val="auto"/>
        </w:rPr>
      </w:pPr>
      <w:r>
        <w:rPr>
          <w:rFonts w:ascii="Calibri" w:cs="Calibri" w:eastAsia="Calibri" w:hAnsi="Calibri"/>
          <w:sz w:val="16"/>
          <w:szCs w:val="16"/>
          <w:color w:val="auto"/>
        </w:rPr>
        <w:t>Our mutual fund investments relate to our deferred compensaton plan, which are held in a Rabbi trust. The funds are measured at quoted prices in actve markets, which is equivalent to their fair value.</w:t>
      </w:r>
    </w:p>
    <w:p>
      <w:pPr>
        <w:spacing w:after="0" w:line="223" w:lineRule="exact"/>
        <w:rPr>
          <w:sz w:val="20"/>
          <w:szCs w:val="20"/>
          <w:color w:val="auto"/>
        </w:rPr>
      </w:pPr>
    </w:p>
    <w:p>
      <w:pPr>
        <w:ind w:right="20" w:firstLine="642"/>
        <w:spacing w:after="0" w:line="236" w:lineRule="auto"/>
        <w:rPr>
          <w:sz w:val="20"/>
          <w:szCs w:val="20"/>
          <w:color w:val="auto"/>
        </w:rPr>
      </w:pPr>
      <w:r>
        <w:rPr>
          <w:rFonts w:ascii="Calibri" w:cs="Calibri" w:eastAsia="Calibri" w:hAnsi="Calibri"/>
          <w:sz w:val="16"/>
          <w:szCs w:val="16"/>
          <w:color w:val="auto"/>
        </w:rPr>
        <w:t>The fair value of interest rate swaps is determined using widely accepted valuaton techniques, including discounted cash fow analysis, on the expected cash fows of each derivatve. The analysis refects the contractual terms of the swaps, including the period to maturity, and uses observable market-based inputs, including interest rate curves (“signifcant other observable inputs”). The fair value calculaton also includes an amount for risk of non-performance using “signifcant unobservable inputs” such as estmates of current credit spreads to evaluate the likelihood of default. The Company has concluded, as of April 30, 2022 and October 31, 2021, that the fair value associated with the “signifcant unobservable inputs” relatng to the Company’s risk of non-performance was insignifcant to the overall fair value of the interest rate swap agreements and, as a result, the Company has determined that the relevant inputs for purposes of calculatng the fair value of the interest rate swap agreements, in their entrety, were based upon “signifcant other observable inputs”. The assets or liabilites associated with the interest rate swaps have been included in prepaid and other current assets and other assets or accrued expenses and other long-term liabilites, respectvely, in the condensed consolidated balance sheets and gains and losses for the interest rate swaps have been included in other income (expense) in the condensed consolidated statements of comprehensive income (loss).</w:t>
      </w:r>
    </w:p>
    <w:p>
      <w:pPr>
        <w:spacing w:after="0" w:line="194"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20"/>
          <w:szCs w:val="20"/>
          <w:b w:val="1"/>
          <w:bCs w:val="1"/>
          <w:color w:val="auto"/>
        </w:rPr>
        <w:t>8.</w:t>
      </w:r>
      <w:r>
        <w:rPr>
          <w:sz w:val="20"/>
          <w:szCs w:val="20"/>
          <w:color w:val="auto"/>
        </w:rPr>
        <w:tab/>
      </w:r>
      <w:r>
        <w:rPr>
          <w:rFonts w:ascii="Calibri" w:cs="Calibri" w:eastAsia="Calibri" w:hAnsi="Calibri"/>
          <w:sz w:val="19"/>
          <w:szCs w:val="19"/>
          <w:b w:val="1"/>
          <w:bCs w:val="1"/>
          <w:color w:val="auto"/>
        </w:rPr>
        <w:t>Earnings Per Share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shd w:val="clear" w:color="auto" w:fill="43C0B9"/>
          </w:tcPr>
          <w:p>
            <w:pPr>
              <w:spacing w:after="0"/>
              <w:rPr>
                <w:sz w:val="14"/>
                <w:szCs w:val="14"/>
                <w:color w:val="auto"/>
              </w:rPr>
            </w:pPr>
          </w:p>
        </w:tc>
        <w:tc>
          <w:tcPr>
            <w:tcW w:w="460" w:type="dxa"/>
            <w:vAlign w:val="bottom"/>
            <w:shd w:val="clear" w:color="auto" w:fill="43C0B9"/>
          </w:tcPr>
          <w:p>
            <w:pPr>
              <w:spacing w:after="0"/>
              <w:rPr>
                <w:sz w:val="14"/>
                <w:szCs w:val="14"/>
                <w:color w:val="auto"/>
              </w:rPr>
            </w:pPr>
          </w:p>
        </w:tc>
        <w:tc>
          <w:tcPr>
            <w:tcW w:w="1880" w:type="dxa"/>
            <w:vAlign w:val="bottom"/>
            <w:gridSpan w:val="2"/>
            <w:shd w:val="clear" w:color="auto" w:fill="43C0B9"/>
          </w:tcPr>
          <w:p>
            <w:pPr>
              <w:jc w:val="right"/>
              <w:ind w:right="69"/>
              <w:spacing w:after="0"/>
              <w:rPr>
                <w:sz w:val="20"/>
                <w:szCs w:val="20"/>
                <w:color w:val="auto"/>
              </w:rPr>
            </w:pPr>
            <w:r>
              <w:rPr>
                <w:rFonts w:ascii="Calibri" w:cs="Calibri" w:eastAsia="Calibri" w:hAnsi="Calibri"/>
                <w:sz w:val="14"/>
                <w:szCs w:val="14"/>
                <w:b w:val="1"/>
                <w:bCs w:val="1"/>
                <w:color w:val="FFFFFF"/>
              </w:rPr>
              <w:t>Three Months Ended</w:t>
            </w:r>
          </w:p>
        </w:tc>
        <w:tc>
          <w:tcPr>
            <w:tcW w:w="880" w:type="dxa"/>
            <w:vAlign w:val="bottom"/>
            <w:shd w:val="clear" w:color="auto" w:fill="43C0B9"/>
          </w:tcPr>
          <w:p>
            <w:pPr>
              <w:spacing w:after="0"/>
              <w:rPr>
                <w:sz w:val="14"/>
                <w:szCs w:val="14"/>
                <w:color w:val="auto"/>
              </w:rPr>
            </w:pPr>
          </w:p>
        </w:tc>
        <w:tc>
          <w:tcPr>
            <w:tcW w:w="520" w:type="dxa"/>
            <w:vAlign w:val="bottom"/>
            <w:shd w:val="clear" w:color="auto" w:fill="43C0B9"/>
          </w:tcPr>
          <w:p>
            <w:pPr>
              <w:spacing w:after="0"/>
              <w:rPr>
                <w:sz w:val="14"/>
                <w:szCs w:val="14"/>
                <w:color w:val="auto"/>
              </w:rPr>
            </w:pPr>
          </w:p>
        </w:tc>
        <w:tc>
          <w:tcPr>
            <w:tcW w:w="1860" w:type="dxa"/>
            <w:vAlign w:val="bottom"/>
            <w:gridSpan w:val="2"/>
            <w:shd w:val="clear" w:color="auto" w:fill="43C0B9"/>
          </w:tcPr>
          <w:p>
            <w:pPr>
              <w:jc w:val="right"/>
              <w:ind w:right="129"/>
              <w:spacing w:after="0"/>
              <w:rPr>
                <w:sz w:val="20"/>
                <w:szCs w:val="20"/>
                <w:color w:val="auto"/>
              </w:rPr>
            </w:pPr>
            <w:r>
              <w:rPr>
                <w:rFonts w:ascii="Calibri" w:cs="Calibri" w:eastAsia="Calibri" w:hAnsi="Calibri"/>
                <w:sz w:val="14"/>
                <w:szCs w:val="14"/>
                <w:b w:val="1"/>
                <w:bCs w:val="1"/>
                <w:color w:val="FFFFFF"/>
              </w:rPr>
              <w:t>Six Months Ended</w:t>
            </w:r>
          </w:p>
        </w:tc>
        <w:tc>
          <w:tcPr>
            <w:tcW w:w="880" w:type="dxa"/>
            <w:vAlign w:val="bottom"/>
            <w:shd w:val="clear" w:color="auto" w:fill="43C0B9"/>
          </w:tcPr>
          <w:p>
            <w:pPr>
              <w:spacing w:after="0"/>
              <w:rPr>
                <w:sz w:val="14"/>
                <w:szCs w:val="14"/>
                <w:color w:val="auto"/>
              </w:rPr>
            </w:pPr>
          </w:p>
        </w:tc>
      </w:tr>
      <w:tr>
        <w:trPr>
          <w:trHeight w:val="169"/>
        </w:trPr>
        <w:tc>
          <w:tcPr>
            <w:tcW w:w="4760" w:type="dxa"/>
            <w:vAlign w:val="bottom"/>
            <w:shd w:val="clear" w:color="auto" w:fill="43C0B9"/>
          </w:tcPr>
          <w:p>
            <w:pPr>
              <w:spacing w:after="0"/>
              <w:rPr>
                <w:sz w:val="14"/>
                <w:szCs w:val="14"/>
                <w:color w:val="auto"/>
              </w:rPr>
            </w:pPr>
          </w:p>
        </w:tc>
        <w:tc>
          <w:tcPr>
            <w:tcW w:w="460" w:type="dxa"/>
            <w:vAlign w:val="bottom"/>
            <w:shd w:val="clear" w:color="auto" w:fill="43C0B9"/>
          </w:tcPr>
          <w:p>
            <w:pPr>
              <w:spacing w:after="0"/>
              <w:rPr>
                <w:sz w:val="14"/>
                <w:szCs w:val="14"/>
                <w:color w:val="auto"/>
              </w:rPr>
            </w:pPr>
          </w:p>
        </w:tc>
        <w:tc>
          <w:tcPr>
            <w:tcW w:w="1880" w:type="dxa"/>
            <w:vAlign w:val="bottom"/>
            <w:gridSpan w:val="2"/>
            <w:shd w:val="clear" w:color="auto" w:fill="43C0B9"/>
          </w:tcPr>
          <w:p>
            <w:pPr>
              <w:jc w:val="right"/>
              <w:ind w:right="429"/>
              <w:spacing w:after="0" w:line="169" w:lineRule="exact"/>
              <w:rPr>
                <w:sz w:val="20"/>
                <w:szCs w:val="20"/>
                <w:color w:val="auto"/>
              </w:rPr>
            </w:pPr>
            <w:r>
              <w:rPr>
                <w:rFonts w:ascii="Calibri" w:cs="Calibri" w:eastAsia="Calibri" w:hAnsi="Calibri"/>
                <w:sz w:val="14"/>
                <w:szCs w:val="14"/>
                <w:b w:val="1"/>
                <w:bCs w:val="1"/>
                <w:color w:val="FFFFFF"/>
              </w:rPr>
              <w:t>April 30,</w:t>
            </w:r>
          </w:p>
        </w:tc>
        <w:tc>
          <w:tcPr>
            <w:tcW w:w="880" w:type="dxa"/>
            <w:vAlign w:val="bottom"/>
            <w:shd w:val="clear" w:color="auto" w:fill="43C0B9"/>
          </w:tcPr>
          <w:p>
            <w:pPr>
              <w:spacing w:after="0"/>
              <w:rPr>
                <w:sz w:val="14"/>
                <w:szCs w:val="14"/>
                <w:color w:val="auto"/>
              </w:rPr>
            </w:pPr>
          </w:p>
        </w:tc>
        <w:tc>
          <w:tcPr>
            <w:tcW w:w="520" w:type="dxa"/>
            <w:vAlign w:val="bottom"/>
            <w:shd w:val="clear" w:color="auto" w:fill="43C0B9"/>
          </w:tcPr>
          <w:p>
            <w:pPr>
              <w:spacing w:after="0"/>
              <w:rPr>
                <w:sz w:val="14"/>
                <w:szCs w:val="14"/>
                <w:color w:val="auto"/>
              </w:rPr>
            </w:pPr>
          </w:p>
        </w:tc>
        <w:tc>
          <w:tcPr>
            <w:tcW w:w="1860" w:type="dxa"/>
            <w:vAlign w:val="bottom"/>
            <w:gridSpan w:val="2"/>
            <w:shd w:val="clear" w:color="auto" w:fill="43C0B9"/>
          </w:tcPr>
          <w:p>
            <w:pPr>
              <w:jc w:val="right"/>
              <w:ind w:right="409"/>
              <w:spacing w:after="0" w:line="169" w:lineRule="exact"/>
              <w:rPr>
                <w:sz w:val="20"/>
                <w:szCs w:val="20"/>
                <w:color w:val="auto"/>
              </w:rPr>
            </w:pPr>
            <w:r>
              <w:rPr>
                <w:rFonts w:ascii="Calibri" w:cs="Calibri" w:eastAsia="Calibri" w:hAnsi="Calibri"/>
                <w:sz w:val="14"/>
                <w:szCs w:val="14"/>
                <w:b w:val="1"/>
                <w:bCs w:val="1"/>
                <w:color w:val="FFFFFF"/>
              </w:rPr>
              <w:t>April 30,</w:t>
            </w:r>
          </w:p>
        </w:tc>
        <w:tc>
          <w:tcPr>
            <w:tcW w:w="880" w:type="dxa"/>
            <w:vAlign w:val="bottom"/>
            <w:shd w:val="clear" w:color="auto" w:fill="43C0B9"/>
          </w:tcPr>
          <w:p>
            <w:pPr>
              <w:spacing w:after="0"/>
              <w:rPr>
                <w:sz w:val="14"/>
                <w:szCs w:val="14"/>
                <w:color w:val="auto"/>
              </w:rPr>
            </w:pPr>
          </w:p>
        </w:tc>
      </w:tr>
      <w:tr>
        <w:trPr>
          <w:trHeight w:val="294"/>
        </w:trPr>
        <w:tc>
          <w:tcPr>
            <w:tcW w:w="4760" w:type="dxa"/>
            <w:vAlign w:val="bottom"/>
            <w:tcBorders>
              <w:bottom w:val="single" w:sz="8" w:color="43C0B9"/>
            </w:tcBorders>
            <w:shd w:val="clear" w:color="auto" w:fill="43C0B9"/>
          </w:tcPr>
          <w:p>
            <w:pPr>
              <w:spacing w:after="0"/>
              <w:rPr>
                <w:sz w:val="24"/>
                <w:szCs w:val="24"/>
                <w:color w:val="auto"/>
              </w:rPr>
            </w:pPr>
          </w:p>
        </w:tc>
        <w:tc>
          <w:tcPr>
            <w:tcW w:w="460" w:type="dxa"/>
            <w:vAlign w:val="bottom"/>
            <w:tcBorders>
              <w:bottom w:val="single" w:sz="8" w:color="43C0B9"/>
            </w:tcBorders>
            <w:shd w:val="clear" w:color="auto" w:fill="43C0B9"/>
          </w:tcPr>
          <w:p>
            <w:pPr>
              <w:spacing w:after="0"/>
              <w:rPr>
                <w:sz w:val="24"/>
                <w:szCs w:val="24"/>
                <w:color w:val="auto"/>
              </w:rPr>
            </w:pPr>
          </w:p>
        </w:tc>
        <w:tc>
          <w:tcPr>
            <w:tcW w:w="1100" w:type="dxa"/>
            <w:vAlign w:val="bottom"/>
            <w:tcBorders>
              <w:bottom w:val="single" w:sz="8" w:color="43C0B9"/>
            </w:tcBorders>
            <w:shd w:val="clear" w:color="auto" w:fill="43C0B9"/>
          </w:tcPr>
          <w:p>
            <w:pPr>
              <w:jc w:val="right"/>
              <w:ind w:right="69"/>
              <w:spacing w:after="0"/>
              <w:rPr>
                <w:sz w:val="20"/>
                <w:szCs w:val="20"/>
                <w:color w:val="auto"/>
              </w:rPr>
            </w:pPr>
            <w:r>
              <w:rPr>
                <w:rFonts w:ascii="Calibri" w:cs="Calibri" w:eastAsia="Calibri" w:hAnsi="Calibri"/>
                <w:sz w:val="14"/>
                <w:szCs w:val="14"/>
                <w:b w:val="1"/>
                <w:bCs w:val="1"/>
                <w:color w:val="FFFFFF"/>
              </w:rPr>
              <w:t>2022</w:t>
            </w:r>
          </w:p>
        </w:tc>
        <w:tc>
          <w:tcPr>
            <w:tcW w:w="780" w:type="dxa"/>
            <w:vAlign w:val="bottom"/>
            <w:tcBorders>
              <w:bottom w:val="single" w:sz="8" w:color="43C0B9"/>
            </w:tcBorders>
            <w:shd w:val="clear" w:color="auto" w:fill="43C0B9"/>
          </w:tcPr>
          <w:p>
            <w:pPr>
              <w:spacing w:after="0"/>
              <w:rPr>
                <w:sz w:val="24"/>
                <w:szCs w:val="24"/>
                <w:color w:val="auto"/>
              </w:rPr>
            </w:pPr>
          </w:p>
        </w:tc>
        <w:tc>
          <w:tcPr>
            <w:tcW w:w="88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2021</w:t>
            </w:r>
          </w:p>
        </w:tc>
        <w:tc>
          <w:tcPr>
            <w:tcW w:w="520" w:type="dxa"/>
            <w:vAlign w:val="bottom"/>
            <w:tcBorders>
              <w:bottom w:val="single" w:sz="8" w:color="43C0B9"/>
            </w:tcBorders>
            <w:shd w:val="clear" w:color="auto" w:fill="43C0B9"/>
          </w:tcPr>
          <w:p>
            <w:pPr>
              <w:spacing w:after="0"/>
              <w:rPr>
                <w:sz w:val="24"/>
                <w:szCs w:val="24"/>
                <w:color w:val="auto"/>
              </w:rPr>
            </w:pPr>
          </w:p>
        </w:tc>
        <w:tc>
          <w:tcPr>
            <w:tcW w:w="114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720" w:type="dxa"/>
            <w:vAlign w:val="bottom"/>
            <w:tcBorders>
              <w:bottom w:val="single" w:sz="8" w:color="43C0B9"/>
            </w:tcBorders>
            <w:shd w:val="clear" w:color="auto" w:fill="43C0B9"/>
          </w:tcPr>
          <w:p>
            <w:pPr>
              <w:spacing w:after="0"/>
              <w:rPr>
                <w:sz w:val="24"/>
                <w:szCs w:val="24"/>
                <w:color w:val="auto"/>
              </w:rPr>
            </w:pPr>
          </w:p>
        </w:tc>
        <w:tc>
          <w:tcPr>
            <w:tcW w:w="88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7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b w:val="1"/>
                <w:bCs w:val="1"/>
                <w:color w:val="auto"/>
              </w:rPr>
              <w:t>Numerator:</w:t>
            </w:r>
          </w:p>
        </w:tc>
        <w:tc>
          <w:tcPr>
            <w:tcW w:w="46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spacing w:after="0"/>
              <w:rPr>
                <w:sz w:val="18"/>
                <w:szCs w:val="18"/>
                <w:color w:val="auto"/>
              </w:rPr>
            </w:pPr>
          </w:p>
        </w:tc>
      </w:tr>
      <w:tr>
        <w:trPr>
          <w:trHeight w:val="169"/>
        </w:trPr>
        <w:tc>
          <w:tcPr>
            <w:tcW w:w="4760" w:type="dxa"/>
            <w:vAlign w:val="bottom"/>
          </w:tcPr>
          <w:p>
            <w:pPr>
              <w:ind w:left="140"/>
              <w:spacing w:after="0" w:line="169" w:lineRule="exact"/>
              <w:rPr>
                <w:sz w:val="20"/>
                <w:szCs w:val="20"/>
                <w:color w:val="auto"/>
              </w:rPr>
            </w:pPr>
            <w:r>
              <w:rPr>
                <w:rFonts w:ascii="Calibri" w:cs="Calibri" w:eastAsia="Calibri" w:hAnsi="Calibri"/>
                <w:sz w:val="14"/>
                <w:szCs w:val="14"/>
                <w:color w:val="auto"/>
              </w:rPr>
              <w:t>Net income (loss) available to shareholders (in millions)</w:t>
            </w:r>
          </w:p>
        </w:tc>
        <w:tc>
          <w:tcPr>
            <w:tcW w:w="460" w:type="dxa"/>
            <w:vAlign w:val="bottom"/>
          </w:tcPr>
          <w:p>
            <w:pPr>
              <w:jc w:val="right"/>
              <w:ind w:right="309"/>
              <w:spacing w:after="0" w:line="169" w:lineRule="exact"/>
              <w:rPr>
                <w:sz w:val="20"/>
                <w:szCs w:val="20"/>
                <w:color w:val="auto"/>
              </w:rPr>
            </w:pPr>
            <w:r>
              <w:rPr>
                <w:rFonts w:ascii="Calibri" w:cs="Calibri" w:eastAsia="Calibri" w:hAnsi="Calibri"/>
                <w:sz w:val="14"/>
                <w:szCs w:val="14"/>
                <w:color w:val="auto"/>
                <w:w w:val="83"/>
              </w:rPr>
              <w:t>$</w:t>
            </w:r>
          </w:p>
        </w:tc>
        <w:tc>
          <w:tcPr>
            <w:tcW w:w="11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2.4</w:t>
            </w:r>
          </w:p>
        </w:tc>
        <w:tc>
          <w:tcPr>
            <w:tcW w:w="780" w:type="dxa"/>
            <w:vAlign w:val="bottom"/>
          </w:tcPr>
          <w:p>
            <w:pPr>
              <w:jc w:val="right"/>
              <w:ind w:right="54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7.4</w:t>
            </w:r>
          </w:p>
        </w:tc>
        <w:tc>
          <w:tcPr>
            <w:tcW w:w="520" w:type="dxa"/>
            <w:vAlign w:val="bottom"/>
          </w:tcPr>
          <w:p>
            <w:pPr>
              <w:jc w:val="right"/>
              <w:ind w:right="30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(11.0)</w:t>
            </w:r>
          </w:p>
        </w:tc>
        <w:tc>
          <w:tcPr>
            <w:tcW w:w="720" w:type="dxa"/>
            <w:vAlign w:val="bottom"/>
          </w:tcPr>
          <w:p>
            <w:pPr>
              <w:jc w:val="right"/>
              <w:ind w:right="52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line="169" w:lineRule="exact"/>
              <w:rPr>
                <w:sz w:val="20"/>
                <w:szCs w:val="20"/>
                <w:color w:val="auto"/>
              </w:rPr>
            </w:pPr>
            <w:r>
              <w:rPr>
                <w:rFonts w:ascii="Calibri" w:cs="Calibri" w:eastAsia="Calibri" w:hAnsi="Calibri"/>
                <w:sz w:val="14"/>
                <w:szCs w:val="14"/>
                <w:color w:val="auto"/>
              </w:rPr>
              <w:t>9.6</w:t>
            </w:r>
          </w:p>
        </w:tc>
      </w:tr>
      <w:tr>
        <w:trPr>
          <w:trHeight w:val="58"/>
        </w:trPr>
        <w:tc>
          <w:tcPr>
            <w:tcW w:w="47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01"/>
        </w:trPr>
        <w:tc>
          <w:tcPr>
            <w:tcW w:w="47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b w:val="1"/>
                <w:bCs w:val="1"/>
                <w:color w:val="auto"/>
              </w:rPr>
              <w:t>Denominator:</w:t>
            </w:r>
          </w:p>
        </w:tc>
        <w:tc>
          <w:tcPr>
            <w:tcW w:w="46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spacing w:after="0"/>
              <w:rPr>
                <w:sz w:val="17"/>
                <w:szCs w:val="17"/>
                <w:color w:val="auto"/>
              </w:rPr>
            </w:pPr>
          </w:p>
        </w:tc>
      </w:tr>
      <w:tr>
        <w:trPr>
          <w:trHeight w:val="159"/>
        </w:trPr>
        <w:tc>
          <w:tcPr>
            <w:tcW w:w="4760" w:type="dxa"/>
            <w:vAlign w:val="bottom"/>
          </w:tcPr>
          <w:p>
            <w:pPr>
              <w:ind w:left="340"/>
              <w:spacing w:after="0" w:line="159" w:lineRule="exact"/>
              <w:rPr>
                <w:sz w:val="20"/>
                <w:szCs w:val="20"/>
                <w:color w:val="auto"/>
              </w:rPr>
            </w:pPr>
            <w:r>
              <w:rPr>
                <w:rFonts w:ascii="Calibri" w:cs="Calibri" w:eastAsia="Calibri" w:hAnsi="Calibri"/>
                <w:sz w:val="14"/>
                <w:szCs w:val="14"/>
                <w:color w:val="auto"/>
              </w:rPr>
              <w:t>Weighted average shares of common stock outstanding, used in computng</w:t>
            </w: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2"/>
        </w:trPr>
        <w:tc>
          <w:tcPr>
            <w:tcW w:w="4760" w:type="dxa"/>
            <w:vAlign w:val="bottom"/>
          </w:tcPr>
          <w:p>
            <w:pPr>
              <w:ind w:left="340"/>
              <w:spacing w:after="0" w:line="169" w:lineRule="exact"/>
              <w:rPr>
                <w:sz w:val="20"/>
                <w:szCs w:val="20"/>
                <w:color w:val="auto"/>
              </w:rPr>
            </w:pPr>
            <w:r>
              <w:rPr>
                <w:rFonts w:ascii="Calibri" w:cs="Calibri" w:eastAsia="Calibri" w:hAnsi="Calibri"/>
                <w:sz w:val="14"/>
                <w:szCs w:val="14"/>
                <w:color w:val="auto"/>
              </w:rPr>
              <w:t>basic earnings per share</w:t>
            </w:r>
          </w:p>
        </w:tc>
        <w:tc>
          <w:tcPr>
            <w:tcW w:w="46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Calibri" w:cs="Calibri" w:eastAsia="Calibri" w:hAnsi="Calibri"/>
                <w:sz w:val="14"/>
                <w:szCs w:val="14"/>
                <w:color w:val="auto"/>
              </w:rPr>
              <w:t>70,636,331</w:t>
            </w:r>
          </w:p>
        </w:tc>
        <w:tc>
          <w:tcPr>
            <w:tcW w:w="78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Calibri" w:cs="Calibri" w:eastAsia="Calibri" w:hAnsi="Calibri"/>
                <w:sz w:val="14"/>
                <w:szCs w:val="14"/>
                <w:color w:val="auto"/>
              </w:rPr>
              <w:t>70,560,287</w:t>
            </w:r>
          </w:p>
        </w:tc>
        <w:tc>
          <w:tcPr>
            <w:tcW w:w="52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Calibri" w:cs="Calibri" w:eastAsia="Calibri" w:hAnsi="Calibri"/>
                <w:sz w:val="14"/>
                <w:szCs w:val="14"/>
                <w:color w:val="auto"/>
              </w:rPr>
              <w:t>70,633,888</w:t>
            </w:r>
          </w:p>
        </w:tc>
        <w:tc>
          <w:tcPr>
            <w:tcW w:w="7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70,555,528</w:t>
            </w:r>
          </w:p>
        </w:tc>
      </w:tr>
      <w:tr>
        <w:trPr>
          <w:trHeight w:val="60"/>
        </w:trPr>
        <w:tc>
          <w:tcPr>
            <w:tcW w:w="4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07"/>
        </w:trPr>
        <w:tc>
          <w:tcPr>
            <w:tcW w:w="476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Efect of dilutve stock optons</w:t>
            </w:r>
          </w:p>
        </w:tc>
        <w:tc>
          <w:tcPr>
            <w:tcW w:w="46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27,174</w:t>
            </w:r>
          </w:p>
        </w:tc>
        <w:tc>
          <w:tcPr>
            <w:tcW w:w="78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605,469</w:t>
            </w:r>
          </w:p>
        </w:tc>
        <w:tc>
          <w:tcPr>
            <w:tcW w:w="52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335,095</w:t>
            </w:r>
          </w:p>
        </w:tc>
      </w:tr>
      <w:tr>
        <w:trPr>
          <w:trHeight w:val="169"/>
        </w:trPr>
        <w:tc>
          <w:tcPr>
            <w:tcW w:w="4760" w:type="dxa"/>
            <w:vAlign w:val="bottom"/>
          </w:tcPr>
          <w:p>
            <w:pPr>
              <w:ind w:left="340"/>
              <w:spacing w:after="0" w:line="169" w:lineRule="exact"/>
              <w:rPr>
                <w:sz w:val="20"/>
                <w:szCs w:val="20"/>
                <w:color w:val="auto"/>
              </w:rPr>
            </w:pPr>
            <w:r>
              <w:rPr>
                <w:rFonts w:ascii="Calibri" w:cs="Calibri" w:eastAsia="Calibri" w:hAnsi="Calibri"/>
                <w:sz w:val="14"/>
                <w:szCs w:val="14"/>
                <w:color w:val="auto"/>
              </w:rPr>
              <w:t>Efect of dilutve RSUs</w:t>
            </w:r>
          </w:p>
        </w:tc>
        <w:tc>
          <w:tcPr>
            <w:tcW w:w="460" w:type="dxa"/>
            <w:vAlign w:val="bottom"/>
          </w:tcPr>
          <w:p>
            <w:pPr>
              <w:spacing w:after="0"/>
              <w:rPr>
                <w:sz w:val="14"/>
                <w:szCs w:val="14"/>
                <w:color w:val="auto"/>
              </w:rPr>
            </w:pPr>
          </w:p>
        </w:tc>
        <w:tc>
          <w:tcPr>
            <w:tcW w:w="11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29,918</w:t>
            </w:r>
          </w:p>
        </w:tc>
        <w:tc>
          <w:tcPr>
            <w:tcW w:w="780" w:type="dxa"/>
            <w:vAlign w:val="bottom"/>
          </w:tcPr>
          <w:p>
            <w:pPr>
              <w:spacing w:after="0"/>
              <w:rPr>
                <w:sz w:val="14"/>
                <w:szCs w:val="14"/>
                <w:color w:val="auto"/>
              </w:rPr>
            </w:pPr>
          </w:p>
        </w:tc>
        <w:tc>
          <w:tcPr>
            <w:tcW w:w="88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41,703</w:t>
            </w:r>
          </w:p>
        </w:tc>
        <w:tc>
          <w:tcPr>
            <w:tcW w:w="520" w:type="dxa"/>
            <w:vAlign w:val="bottom"/>
          </w:tcPr>
          <w:p>
            <w:pPr>
              <w:spacing w:after="0"/>
              <w:rPr>
                <w:sz w:val="14"/>
                <w:szCs w:val="14"/>
                <w:color w:val="auto"/>
              </w:rPr>
            </w:pPr>
          </w:p>
        </w:tc>
        <w:tc>
          <w:tcPr>
            <w:tcW w:w="11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Calibri" w:cs="Calibri" w:eastAsia="Calibri" w:hAnsi="Calibri"/>
                <w:sz w:val="14"/>
                <w:szCs w:val="14"/>
                <w:color w:val="auto"/>
              </w:rPr>
              <w:t>36,961</w:t>
            </w:r>
          </w:p>
        </w:tc>
      </w:tr>
      <w:tr>
        <w:trPr>
          <w:trHeight w:val="58"/>
        </w:trPr>
        <w:tc>
          <w:tcPr>
            <w:tcW w:w="47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153"/>
        </w:trPr>
        <w:tc>
          <w:tcPr>
            <w:tcW w:w="4760" w:type="dxa"/>
            <w:vAlign w:val="bottom"/>
            <w:shd w:val="clear" w:color="auto" w:fill="DBDBDB"/>
          </w:tcPr>
          <w:p>
            <w:pPr>
              <w:ind w:left="140"/>
              <w:spacing w:after="0" w:line="153" w:lineRule="exact"/>
              <w:rPr>
                <w:sz w:val="20"/>
                <w:szCs w:val="20"/>
                <w:color w:val="auto"/>
              </w:rPr>
            </w:pPr>
            <w:r>
              <w:rPr>
                <w:rFonts w:ascii="Calibri" w:cs="Calibri" w:eastAsia="Calibri" w:hAnsi="Calibri"/>
                <w:sz w:val="14"/>
                <w:szCs w:val="14"/>
                <w:color w:val="auto"/>
              </w:rPr>
              <w:t>Weighted average shares of common stock outstanding, used in computng</w:t>
            </w:r>
          </w:p>
        </w:tc>
        <w:tc>
          <w:tcPr>
            <w:tcW w:w="46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r>
      <w:tr>
        <w:trPr>
          <w:trHeight w:val="247"/>
        </w:trPr>
        <w:tc>
          <w:tcPr>
            <w:tcW w:w="4760" w:type="dxa"/>
            <w:vAlign w:val="bottom"/>
            <w:tcBorders>
              <w:bottom w:val="single" w:sz="8" w:color="DBDBDB"/>
            </w:tcBorders>
            <w:shd w:val="clear" w:color="auto" w:fill="DBDBDB"/>
          </w:tcPr>
          <w:p>
            <w:pPr>
              <w:ind w:left="140"/>
              <w:spacing w:after="0" w:line="169" w:lineRule="exact"/>
              <w:rPr>
                <w:sz w:val="20"/>
                <w:szCs w:val="20"/>
                <w:color w:val="auto"/>
              </w:rPr>
            </w:pPr>
            <w:r>
              <w:rPr>
                <w:rFonts w:ascii="Calibri" w:cs="Calibri" w:eastAsia="Calibri" w:hAnsi="Calibri"/>
                <w:sz w:val="14"/>
                <w:szCs w:val="14"/>
                <w:color w:val="auto"/>
              </w:rPr>
              <w:t>diluted earnings per share</w:t>
            </w:r>
          </w:p>
        </w:tc>
        <w:tc>
          <w:tcPr>
            <w:tcW w:w="46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ind w:right="9"/>
              <w:spacing w:after="0"/>
              <w:rPr>
                <w:sz w:val="20"/>
                <w:szCs w:val="20"/>
                <w:color w:val="auto"/>
              </w:rPr>
            </w:pPr>
            <w:r>
              <w:rPr>
                <w:rFonts w:ascii="Calibri" w:cs="Calibri" w:eastAsia="Calibri" w:hAnsi="Calibri"/>
                <w:sz w:val="14"/>
                <w:szCs w:val="14"/>
                <w:color w:val="auto"/>
              </w:rPr>
              <w:t>70,693,423</w:t>
            </w:r>
          </w:p>
        </w:tc>
        <w:tc>
          <w:tcPr>
            <w:tcW w:w="780" w:type="dxa"/>
            <w:vAlign w:val="bottom"/>
            <w:tcBorders>
              <w:bottom w:val="single" w:sz="8" w:color="DBDBDB"/>
            </w:tcBorders>
            <w:shd w:val="clear" w:color="auto" w:fill="DBDBDB"/>
          </w:tcPr>
          <w:p>
            <w:pPr>
              <w:spacing w:after="0"/>
              <w:rPr>
                <w:sz w:val="21"/>
                <w:szCs w:val="21"/>
                <w:color w:val="auto"/>
              </w:rPr>
            </w:pPr>
          </w:p>
        </w:tc>
        <w:tc>
          <w:tcPr>
            <w:tcW w:w="880" w:type="dxa"/>
            <w:vAlign w:val="bottom"/>
            <w:tcBorders>
              <w:bottom w:val="single" w:sz="8" w:color="DBDBDB"/>
            </w:tcBorders>
            <w:shd w:val="clear" w:color="auto" w:fill="DBDBDB"/>
          </w:tcPr>
          <w:p>
            <w:pPr>
              <w:jc w:val="right"/>
              <w:ind w:right="9"/>
              <w:spacing w:after="0"/>
              <w:rPr>
                <w:sz w:val="20"/>
                <w:szCs w:val="20"/>
                <w:color w:val="auto"/>
              </w:rPr>
            </w:pPr>
            <w:r>
              <w:rPr>
                <w:rFonts w:ascii="Calibri" w:cs="Calibri" w:eastAsia="Calibri" w:hAnsi="Calibri"/>
                <w:sz w:val="14"/>
                <w:szCs w:val="14"/>
                <w:color w:val="auto"/>
              </w:rPr>
              <w:t>71,207,459</w:t>
            </w:r>
          </w:p>
        </w:tc>
        <w:tc>
          <w:tcPr>
            <w:tcW w:w="52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ind w:right="29"/>
              <w:spacing w:after="0"/>
              <w:rPr>
                <w:sz w:val="20"/>
                <w:szCs w:val="20"/>
                <w:color w:val="auto"/>
              </w:rPr>
            </w:pPr>
            <w:r>
              <w:rPr>
                <w:rFonts w:ascii="Calibri" w:cs="Calibri" w:eastAsia="Calibri" w:hAnsi="Calibri"/>
                <w:sz w:val="14"/>
                <w:szCs w:val="14"/>
                <w:color w:val="auto"/>
              </w:rPr>
              <w:t>70,633,888</w:t>
            </w:r>
          </w:p>
        </w:tc>
        <w:tc>
          <w:tcPr>
            <w:tcW w:w="720" w:type="dxa"/>
            <w:vAlign w:val="bottom"/>
            <w:tcBorders>
              <w:bottom w:val="single" w:sz="8" w:color="DBDBDB"/>
            </w:tcBorders>
            <w:shd w:val="clear" w:color="auto" w:fill="DBDBDB"/>
          </w:tcPr>
          <w:p>
            <w:pPr>
              <w:spacing w:after="0"/>
              <w:rPr>
                <w:sz w:val="21"/>
                <w:szCs w:val="21"/>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70,927,584</w:t>
            </w:r>
          </w:p>
        </w:tc>
      </w:tr>
      <w:tr>
        <w:trPr>
          <w:trHeight w:val="162"/>
        </w:trPr>
        <w:tc>
          <w:tcPr>
            <w:tcW w:w="476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Earnings per share</w:t>
            </w:r>
          </w:p>
        </w:tc>
        <w:tc>
          <w:tcPr>
            <w:tcW w:w="4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58"/>
        </w:trPr>
        <w:tc>
          <w:tcPr>
            <w:tcW w:w="4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07"/>
        </w:trPr>
        <w:tc>
          <w:tcPr>
            <w:tcW w:w="476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Basic</w:t>
            </w:r>
          </w:p>
        </w:tc>
        <w:tc>
          <w:tcPr>
            <w:tcW w:w="460" w:type="dxa"/>
            <w:vAlign w:val="bottom"/>
            <w:tcBorders>
              <w:bottom w:val="single" w:sz="8" w:color="DBDBDB"/>
            </w:tcBorders>
            <w:shd w:val="clear" w:color="auto" w:fill="DBDBDB"/>
          </w:tcPr>
          <w:p>
            <w:pPr>
              <w:jc w:val="right"/>
              <w:ind w:right="309"/>
              <w:spacing w:after="0" w:line="169" w:lineRule="exact"/>
              <w:rPr>
                <w:sz w:val="20"/>
                <w:szCs w:val="20"/>
                <w:color w:val="auto"/>
              </w:rPr>
            </w:pPr>
            <w:r>
              <w:rPr>
                <w:rFonts w:ascii="Calibri" w:cs="Calibri" w:eastAsia="Calibri" w:hAnsi="Calibri"/>
                <w:sz w:val="14"/>
                <w:szCs w:val="14"/>
                <w:color w:val="auto"/>
                <w:w w:val="83"/>
              </w:rPr>
              <w:t>$</w:t>
            </w:r>
          </w:p>
        </w:tc>
        <w:tc>
          <w:tcPr>
            <w:tcW w:w="110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0.03</w:t>
            </w:r>
          </w:p>
        </w:tc>
        <w:tc>
          <w:tcPr>
            <w:tcW w:w="780" w:type="dxa"/>
            <w:vAlign w:val="bottom"/>
            <w:tcBorders>
              <w:bottom w:val="single" w:sz="8" w:color="DBDBDB"/>
            </w:tcBorders>
            <w:shd w:val="clear" w:color="auto" w:fill="DBDBDB"/>
          </w:tcPr>
          <w:p>
            <w:pPr>
              <w:jc w:val="right"/>
              <w:ind w:right="54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0.10</w:t>
            </w:r>
          </w:p>
        </w:tc>
        <w:tc>
          <w:tcPr>
            <w:tcW w:w="520" w:type="dxa"/>
            <w:vAlign w:val="bottom"/>
            <w:tcBorders>
              <w:bottom w:val="single" w:sz="8" w:color="DBDBDB"/>
            </w:tcBorders>
            <w:shd w:val="clear" w:color="auto" w:fill="DBDBDB"/>
          </w:tcPr>
          <w:p>
            <w:pPr>
              <w:jc w:val="right"/>
              <w:ind w:right="30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(0.16)</w:t>
            </w:r>
          </w:p>
        </w:tc>
        <w:tc>
          <w:tcPr>
            <w:tcW w:w="720" w:type="dxa"/>
            <w:vAlign w:val="bottom"/>
            <w:tcBorders>
              <w:bottom w:val="single" w:sz="8" w:color="DBDBDB"/>
            </w:tcBorders>
            <w:shd w:val="clear" w:color="auto" w:fill="DBDBDB"/>
          </w:tcPr>
          <w:p>
            <w:pPr>
              <w:jc w:val="right"/>
              <w:ind w:right="52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0.14</w:t>
            </w:r>
          </w:p>
        </w:tc>
      </w:tr>
      <w:tr>
        <w:trPr>
          <w:trHeight w:val="169"/>
        </w:trPr>
        <w:tc>
          <w:tcPr>
            <w:tcW w:w="4760" w:type="dxa"/>
            <w:vAlign w:val="bottom"/>
          </w:tcPr>
          <w:p>
            <w:pPr>
              <w:ind w:left="340"/>
              <w:spacing w:after="0" w:line="169" w:lineRule="exact"/>
              <w:rPr>
                <w:sz w:val="20"/>
                <w:szCs w:val="20"/>
                <w:color w:val="auto"/>
              </w:rPr>
            </w:pPr>
            <w:r>
              <w:rPr>
                <w:rFonts w:ascii="Calibri" w:cs="Calibri" w:eastAsia="Calibri" w:hAnsi="Calibri"/>
                <w:sz w:val="14"/>
                <w:szCs w:val="14"/>
                <w:color w:val="auto"/>
              </w:rPr>
              <w:t>Diluted</w:t>
            </w:r>
          </w:p>
        </w:tc>
        <w:tc>
          <w:tcPr>
            <w:tcW w:w="460" w:type="dxa"/>
            <w:vAlign w:val="bottom"/>
          </w:tcPr>
          <w:p>
            <w:pPr>
              <w:jc w:val="right"/>
              <w:ind w:right="309"/>
              <w:spacing w:after="0" w:line="169" w:lineRule="exact"/>
              <w:rPr>
                <w:sz w:val="20"/>
                <w:szCs w:val="20"/>
                <w:color w:val="auto"/>
              </w:rPr>
            </w:pPr>
            <w:r>
              <w:rPr>
                <w:rFonts w:ascii="Calibri" w:cs="Calibri" w:eastAsia="Calibri" w:hAnsi="Calibri"/>
                <w:sz w:val="14"/>
                <w:szCs w:val="14"/>
                <w:color w:val="auto"/>
                <w:w w:val="83"/>
              </w:rPr>
              <w:t>$</w:t>
            </w:r>
          </w:p>
        </w:tc>
        <w:tc>
          <w:tcPr>
            <w:tcW w:w="11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0.03</w:t>
            </w:r>
          </w:p>
        </w:tc>
        <w:tc>
          <w:tcPr>
            <w:tcW w:w="780" w:type="dxa"/>
            <w:vAlign w:val="bottom"/>
          </w:tcPr>
          <w:p>
            <w:pPr>
              <w:jc w:val="right"/>
              <w:ind w:right="54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0.10</w:t>
            </w:r>
          </w:p>
        </w:tc>
        <w:tc>
          <w:tcPr>
            <w:tcW w:w="520" w:type="dxa"/>
            <w:vAlign w:val="bottom"/>
          </w:tcPr>
          <w:p>
            <w:pPr>
              <w:jc w:val="right"/>
              <w:ind w:right="30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(0.16)</w:t>
            </w:r>
          </w:p>
        </w:tc>
        <w:tc>
          <w:tcPr>
            <w:tcW w:w="720" w:type="dxa"/>
            <w:vAlign w:val="bottom"/>
          </w:tcPr>
          <w:p>
            <w:pPr>
              <w:jc w:val="right"/>
              <w:ind w:right="52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line="169" w:lineRule="exact"/>
              <w:rPr>
                <w:sz w:val="20"/>
                <w:szCs w:val="20"/>
                <w:color w:val="auto"/>
              </w:rPr>
            </w:pPr>
            <w:r>
              <w:rPr>
                <w:rFonts w:ascii="Calibri" w:cs="Calibri" w:eastAsia="Calibri" w:hAnsi="Calibri"/>
                <w:sz w:val="14"/>
                <w:szCs w:val="14"/>
                <w:color w:val="auto"/>
              </w:rPr>
              <w:t>0.14</w:t>
            </w:r>
          </w:p>
        </w:tc>
      </w:tr>
      <w:tr>
        <w:trPr>
          <w:trHeight w:val="58"/>
        </w:trPr>
        <w:tc>
          <w:tcPr>
            <w:tcW w:w="47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-1850390</wp:posOffset>
            </wp:positionV>
            <wp:extent cx="41186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8610" cy="8255"/>
                    </a:xfrm>
                    <a:prstGeom prst="rect">
                      <a:avLst/>
                    </a:prstGeom>
                    <a:noFill/>
                  </pic:spPr>
                </pic:pic>
              </a:graphicData>
            </a:graphic>
          </wp:anchor>
        </w:drawing>
      </w:r>
    </w:p>
    <w:p>
      <w:pPr>
        <w:spacing w:after="0" w:line="256" w:lineRule="exact"/>
        <w:rPr>
          <w:sz w:val="20"/>
          <w:szCs w:val="20"/>
          <w:color w:val="auto"/>
        </w:rPr>
      </w:pPr>
    </w:p>
    <w:p>
      <w:pPr>
        <w:ind w:right="160" w:firstLine="642"/>
        <w:spacing w:after="0" w:line="242" w:lineRule="auto"/>
        <w:rPr>
          <w:sz w:val="20"/>
          <w:szCs w:val="20"/>
          <w:color w:val="auto"/>
        </w:rPr>
      </w:pPr>
      <w:r>
        <w:rPr>
          <w:rFonts w:ascii="Calibri" w:cs="Calibri" w:eastAsia="Calibri" w:hAnsi="Calibri"/>
          <w:sz w:val="16"/>
          <w:szCs w:val="16"/>
          <w:color w:val="auto"/>
        </w:rPr>
        <w:t>Equity awards representng shares of common stock outstanding that were excluded in the computaton of diluted earnings per share because their efect would have been ant-dilutve,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shd w:val="clear" w:color="auto" w:fill="43C0B9"/>
          </w:tcPr>
          <w:p>
            <w:pPr>
              <w:spacing w:after="0"/>
              <w:rPr>
                <w:sz w:val="15"/>
                <w:szCs w:val="15"/>
                <w:color w:val="auto"/>
              </w:rPr>
            </w:pPr>
          </w:p>
        </w:tc>
        <w:tc>
          <w:tcPr>
            <w:tcW w:w="2460" w:type="dxa"/>
            <w:vAlign w:val="bottom"/>
            <w:shd w:val="clear" w:color="auto" w:fill="43C0B9"/>
          </w:tcPr>
          <w:p>
            <w:pPr>
              <w:jc w:val="right"/>
              <w:ind w:right="169"/>
              <w:spacing w:after="0"/>
              <w:rPr>
                <w:sz w:val="20"/>
                <w:szCs w:val="20"/>
                <w:color w:val="auto"/>
              </w:rPr>
            </w:pPr>
            <w:r>
              <w:rPr>
                <w:rFonts w:ascii="Calibri" w:cs="Calibri" w:eastAsia="Calibri" w:hAnsi="Calibri"/>
                <w:sz w:val="14"/>
                <w:szCs w:val="14"/>
                <w:b w:val="1"/>
                <w:bCs w:val="1"/>
                <w:color w:val="FFFFFF"/>
              </w:rPr>
              <w:t>Three Months Ended</w:t>
            </w:r>
          </w:p>
        </w:tc>
        <w:tc>
          <w:tcPr>
            <w:tcW w:w="1220" w:type="dxa"/>
            <w:vAlign w:val="bottom"/>
            <w:shd w:val="clear" w:color="auto" w:fill="43C0B9"/>
          </w:tcPr>
          <w:p>
            <w:pPr>
              <w:spacing w:after="0"/>
              <w:rPr>
                <w:sz w:val="15"/>
                <w:szCs w:val="15"/>
                <w:color w:val="auto"/>
              </w:rPr>
            </w:pPr>
          </w:p>
        </w:tc>
        <w:tc>
          <w:tcPr>
            <w:tcW w:w="2020" w:type="dxa"/>
            <w:vAlign w:val="bottom"/>
            <w:shd w:val="clear" w:color="auto" w:fill="43C0B9"/>
          </w:tcPr>
          <w:p>
            <w:pPr>
              <w:jc w:val="right"/>
              <w:ind w:right="209"/>
              <w:spacing w:after="0"/>
              <w:rPr>
                <w:sz w:val="20"/>
                <w:szCs w:val="20"/>
                <w:color w:val="auto"/>
              </w:rPr>
            </w:pPr>
            <w:r>
              <w:rPr>
                <w:rFonts w:ascii="Calibri" w:cs="Calibri" w:eastAsia="Calibri" w:hAnsi="Calibri"/>
                <w:sz w:val="14"/>
                <w:szCs w:val="14"/>
                <w:b w:val="1"/>
                <w:bCs w:val="1"/>
                <w:color w:val="FFFFFF"/>
              </w:rPr>
              <w:t>Six Months Ended</w:t>
            </w:r>
          </w:p>
        </w:tc>
        <w:tc>
          <w:tcPr>
            <w:tcW w:w="800" w:type="dxa"/>
            <w:vAlign w:val="bottom"/>
            <w:shd w:val="clear" w:color="auto" w:fill="43C0B9"/>
          </w:tcPr>
          <w:p>
            <w:pPr>
              <w:spacing w:after="0"/>
              <w:rPr>
                <w:sz w:val="15"/>
                <w:szCs w:val="15"/>
                <w:color w:val="auto"/>
              </w:rPr>
            </w:pPr>
          </w:p>
        </w:tc>
      </w:tr>
      <w:tr>
        <w:trPr>
          <w:trHeight w:val="169"/>
        </w:trPr>
        <w:tc>
          <w:tcPr>
            <w:tcW w:w="4740" w:type="dxa"/>
            <w:vAlign w:val="bottom"/>
            <w:shd w:val="clear" w:color="auto" w:fill="43C0B9"/>
          </w:tcPr>
          <w:p>
            <w:pPr>
              <w:spacing w:after="0"/>
              <w:rPr>
                <w:sz w:val="14"/>
                <w:szCs w:val="14"/>
                <w:color w:val="auto"/>
              </w:rPr>
            </w:pPr>
          </w:p>
        </w:tc>
        <w:tc>
          <w:tcPr>
            <w:tcW w:w="2460" w:type="dxa"/>
            <w:vAlign w:val="bottom"/>
            <w:shd w:val="clear" w:color="auto" w:fill="43C0B9"/>
          </w:tcPr>
          <w:p>
            <w:pPr>
              <w:jc w:val="right"/>
              <w:ind w:right="529"/>
              <w:spacing w:after="0" w:line="169" w:lineRule="exact"/>
              <w:rPr>
                <w:sz w:val="20"/>
                <w:szCs w:val="20"/>
                <w:color w:val="auto"/>
              </w:rPr>
            </w:pPr>
            <w:r>
              <w:rPr>
                <w:rFonts w:ascii="Calibri" w:cs="Calibri" w:eastAsia="Calibri" w:hAnsi="Calibri"/>
                <w:sz w:val="14"/>
                <w:szCs w:val="14"/>
                <w:b w:val="1"/>
                <w:bCs w:val="1"/>
                <w:color w:val="FFFFFF"/>
              </w:rPr>
              <w:t>April 30,</w:t>
            </w:r>
          </w:p>
        </w:tc>
        <w:tc>
          <w:tcPr>
            <w:tcW w:w="1220" w:type="dxa"/>
            <w:vAlign w:val="bottom"/>
            <w:shd w:val="clear" w:color="auto" w:fill="43C0B9"/>
          </w:tcPr>
          <w:p>
            <w:pPr>
              <w:spacing w:after="0"/>
              <w:rPr>
                <w:sz w:val="14"/>
                <w:szCs w:val="14"/>
                <w:color w:val="auto"/>
              </w:rPr>
            </w:pPr>
          </w:p>
        </w:tc>
        <w:tc>
          <w:tcPr>
            <w:tcW w:w="2020" w:type="dxa"/>
            <w:vAlign w:val="bottom"/>
            <w:shd w:val="clear" w:color="auto" w:fill="43C0B9"/>
          </w:tcPr>
          <w:p>
            <w:pPr>
              <w:jc w:val="right"/>
              <w:ind w:right="489"/>
              <w:spacing w:after="0" w:line="169" w:lineRule="exact"/>
              <w:rPr>
                <w:sz w:val="20"/>
                <w:szCs w:val="20"/>
                <w:color w:val="auto"/>
              </w:rPr>
            </w:pPr>
            <w:r>
              <w:rPr>
                <w:rFonts w:ascii="Calibri" w:cs="Calibri" w:eastAsia="Calibri" w:hAnsi="Calibri"/>
                <w:sz w:val="14"/>
                <w:szCs w:val="14"/>
                <w:b w:val="1"/>
                <w:bCs w:val="1"/>
                <w:color w:val="FFFFFF"/>
              </w:rPr>
              <w:t>April 30,</w:t>
            </w:r>
          </w:p>
        </w:tc>
        <w:tc>
          <w:tcPr>
            <w:tcW w:w="800" w:type="dxa"/>
            <w:vAlign w:val="bottom"/>
            <w:shd w:val="clear" w:color="auto" w:fill="43C0B9"/>
          </w:tcPr>
          <w:p>
            <w:pPr>
              <w:spacing w:after="0"/>
              <w:rPr>
                <w:sz w:val="14"/>
                <w:szCs w:val="14"/>
                <w:color w:val="auto"/>
              </w:rPr>
            </w:pPr>
          </w:p>
        </w:tc>
      </w:tr>
      <w:tr>
        <w:trPr>
          <w:trHeight w:val="280"/>
        </w:trPr>
        <w:tc>
          <w:tcPr>
            <w:tcW w:w="4740" w:type="dxa"/>
            <w:vAlign w:val="bottom"/>
            <w:tcBorders>
              <w:bottom w:val="single" w:sz="8" w:color="43C0B9"/>
            </w:tcBorders>
            <w:shd w:val="clear" w:color="auto" w:fill="43C0B9"/>
          </w:tcPr>
          <w:p>
            <w:pPr>
              <w:spacing w:after="0"/>
              <w:rPr>
                <w:sz w:val="24"/>
                <w:szCs w:val="24"/>
                <w:color w:val="auto"/>
              </w:rPr>
            </w:pPr>
          </w:p>
        </w:tc>
        <w:tc>
          <w:tcPr>
            <w:tcW w:w="2460" w:type="dxa"/>
            <w:vAlign w:val="bottom"/>
            <w:tcBorders>
              <w:bottom w:val="single" w:sz="8" w:color="43C0B9"/>
            </w:tcBorders>
            <w:shd w:val="clear" w:color="auto" w:fill="43C0B9"/>
          </w:tcPr>
          <w:p>
            <w:pPr>
              <w:jc w:val="right"/>
              <w:ind w:right="949"/>
              <w:spacing w:after="0"/>
              <w:rPr>
                <w:sz w:val="20"/>
                <w:szCs w:val="20"/>
                <w:color w:val="auto"/>
              </w:rPr>
            </w:pPr>
            <w:r>
              <w:rPr>
                <w:rFonts w:ascii="Calibri" w:cs="Calibri" w:eastAsia="Calibri" w:hAnsi="Calibri"/>
                <w:sz w:val="14"/>
                <w:szCs w:val="14"/>
                <w:b w:val="1"/>
                <w:bCs w:val="1"/>
                <w:color w:val="FFFFFF"/>
              </w:rPr>
              <w:t>2022</w:t>
            </w:r>
          </w:p>
        </w:tc>
        <w:tc>
          <w:tcPr>
            <w:tcW w:w="1220" w:type="dxa"/>
            <w:vAlign w:val="bottom"/>
            <w:tcBorders>
              <w:bottom w:val="single" w:sz="8" w:color="43C0B9"/>
            </w:tcBorders>
            <w:shd w:val="clear" w:color="auto" w:fill="43C0B9"/>
          </w:tcPr>
          <w:p>
            <w:pPr>
              <w:jc w:val="right"/>
              <w:ind w:right="529"/>
              <w:spacing w:after="0"/>
              <w:rPr>
                <w:sz w:val="20"/>
                <w:szCs w:val="20"/>
                <w:color w:val="auto"/>
              </w:rPr>
            </w:pPr>
            <w:r>
              <w:rPr>
                <w:rFonts w:ascii="Calibri" w:cs="Calibri" w:eastAsia="Calibri" w:hAnsi="Calibri"/>
                <w:sz w:val="14"/>
                <w:szCs w:val="14"/>
                <w:b w:val="1"/>
                <w:bCs w:val="1"/>
                <w:color w:val="FFFFFF"/>
              </w:rPr>
              <w:t>2021</w:t>
            </w:r>
          </w:p>
        </w:tc>
        <w:tc>
          <w:tcPr>
            <w:tcW w:w="2020" w:type="dxa"/>
            <w:vAlign w:val="bottom"/>
            <w:tcBorders>
              <w:bottom w:val="single" w:sz="8" w:color="43C0B9"/>
            </w:tcBorders>
            <w:shd w:val="clear" w:color="auto" w:fill="43C0B9"/>
          </w:tcPr>
          <w:p>
            <w:pPr>
              <w:jc w:val="right"/>
              <w:ind w:right="889"/>
              <w:spacing w:after="0"/>
              <w:rPr>
                <w:sz w:val="20"/>
                <w:szCs w:val="20"/>
                <w:color w:val="auto"/>
              </w:rPr>
            </w:pPr>
            <w:r>
              <w:rPr>
                <w:rFonts w:ascii="Calibri" w:cs="Calibri" w:eastAsia="Calibri" w:hAnsi="Calibri"/>
                <w:sz w:val="14"/>
                <w:szCs w:val="14"/>
                <w:b w:val="1"/>
                <w:bCs w:val="1"/>
                <w:color w:val="FFFFFF"/>
              </w:rPr>
              <w:t>2022</w:t>
            </w:r>
          </w:p>
        </w:tc>
        <w:tc>
          <w:tcPr>
            <w:tcW w:w="80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169"/>
        </w:trPr>
        <w:tc>
          <w:tcPr>
            <w:tcW w:w="4740" w:type="dxa"/>
            <w:vAlign w:val="bottom"/>
          </w:tcPr>
          <w:p>
            <w:pPr>
              <w:ind w:left="20"/>
              <w:spacing w:after="0" w:line="169" w:lineRule="exact"/>
              <w:rPr>
                <w:sz w:val="20"/>
                <w:szCs w:val="20"/>
                <w:color w:val="auto"/>
              </w:rPr>
            </w:pPr>
            <w:r>
              <w:rPr>
                <w:rFonts w:ascii="Calibri" w:cs="Calibri" w:eastAsia="Calibri" w:hAnsi="Calibri"/>
                <w:sz w:val="14"/>
                <w:szCs w:val="14"/>
                <w:color w:val="auto"/>
              </w:rPr>
              <w:t>Ant-dilutve stock optons</w:t>
            </w:r>
          </w:p>
        </w:tc>
        <w:tc>
          <w:tcPr>
            <w:tcW w:w="2460" w:type="dxa"/>
            <w:vAlign w:val="bottom"/>
          </w:tcPr>
          <w:p>
            <w:pPr>
              <w:jc w:val="right"/>
              <w:ind w:right="889"/>
              <w:spacing w:after="0" w:line="169" w:lineRule="exact"/>
              <w:rPr>
                <w:sz w:val="20"/>
                <w:szCs w:val="20"/>
                <w:color w:val="auto"/>
              </w:rPr>
            </w:pPr>
            <w:r>
              <w:rPr>
                <w:rFonts w:ascii="Calibri" w:cs="Calibri" w:eastAsia="Calibri" w:hAnsi="Calibri"/>
                <w:sz w:val="14"/>
                <w:szCs w:val="14"/>
                <w:color w:val="auto"/>
              </w:rPr>
              <w:t>2,033,888</w:t>
            </w:r>
          </w:p>
        </w:tc>
        <w:tc>
          <w:tcPr>
            <w:tcW w:w="1220" w:type="dxa"/>
            <w:vAlign w:val="bottom"/>
          </w:tcPr>
          <w:p>
            <w:pPr>
              <w:jc w:val="right"/>
              <w:ind w:right="449"/>
              <w:spacing w:after="0" w:line="169" w:lineRule="exact"/>
              <w:rPr>
                <w:sz w:val="20"/>
                <w:szCs w:val="20"/>
                <w:color w:val="auto"/>
              </w:rPr>
            </w:pPr>
            <w:r>
              <w:rPr>
                <w:rFonts w:ascii="Calibri" w:cs="Calibri" w:eastAsia="Calibri" w:hAnsi="Calibri"/>
                <w:sz w:val="14"/>
                <w:szCs w:val="14"/>
                <w:color w:val="auto"/>
              </w:rPr>
              <w:t>141,392</w:t>
            </w:r>
          </w:p>
        </w:tc>
        <w:tc>
          <w:tcPr>
            <w:tcW w:w="2020" w:type="dxa"/>
            <w:vAlign w:val="bottom"/>
          </w:tcPr>
          <w:p>
            <w:pPr>
              <w:jc w:val="right"/>
              <w:ind w:right="829"/>
              <w:spacing w:after="0" w:line="169" w:lineRule="exact"/>
              <w:rPr>
                <w:sz w:val="20"/>
                <w:szCs w:val="20"/>
                <w:color w:val="auto"/>
              </w:rPr>
            </w:pPr>
            <w:r>
              <w:rPr>
                <w:rFonts w:ascii="Calibri" w:cs="Calibri" w:eastAsia="Calibri" w:hAnsi="Calibri"/>
                <w:sz w:val="14"/>
                <w:szCs w:val="14"/>
                <w:color w:val="auto"/>
              </w:rPr>
              <w:t>2,184,694</w:t>
            </w:r>
          </w:p>
        </w:tc>
        <w:tc>
          <w:tcPr>
            <w:tcW w:w="800" w:type="dxa"/>
            <w:vAlign w:val="bottom"/>
          </w:tcPr>
          <w:p>
            <w:pPr>
              <w:jc w:val="right"/>
              <w:spacing w:after="0" w:line="169" w:lineRule="exact"/>
              <w:rPr>
                <w:sz w:val="20"/>
                <w:szCs w:val="20"/>
                <w:color w:val="auto"/>
              </w:rPr>
            </w:pPr>
            <w:r>
              <w:rPr>
                <w:rFonts w:ascii="Calibri" w:cs="Calibri" w:eastAsia="Calibri" w:hAnsi="Calibri"/>
                <w:sz w:val="14"/>
                <w:szCs w:val="14"/>
                <w:color w:val="auto"/>
              </w:rPr>
              <w:t>510,000</w:t>
            </w:r>
          </w:p>
        </w:tc>
      </w:tr>
      <w:tr>
        <w:trPr>
          <w:trHeight w:val="58"/>
        </w:trPr>
        <w:tc>
          <w:tcPr>
            <w:tcW w:w="474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07"/>
        </w:trPr>
        <w:tc>
          <w:tcPr>
            <w:tcW w:w="47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Ant-dilutve RSUs</w:t>
            </w:r>
          </w:p>
        </w:tc>
        <w:tc>
          <w:tcPr>
            <w:tcW w:w="2460" w:type="dxa"/>
            <w:vAlign w:val="bottom"/>
            <w:tcBorders>
              <w:bottom w:val="single" w:sz="8" w:color="DBDBDB"/>
            </w:tcBorders>
            <w:shd w:val="clear" w:color="auto" w:fill="DBDBDB"/>
          </w:tcPr>
          <w:p>
            <w:pPr>
              <w:jc w:val="right"/>
              <w:ind w:right="889"/>
              <w:spacing w:after="0" w:line="169" w:lineRule="exact"/>
              <w:rPr>
                <w:sz w:val="20"/>
                <w:szCs w:val="20"/>
                <w:color w:val="auto"/>
              </w:rPr>
            </w:pPr>
            <w:r>
              <w:rPr>
                <w:rFonts w:ascii="Calibri" w:cs="Calibri" w:eastAsia="Calibri" w:hAnsi="Calibri"/>
                <w:sz w:val="14"/>
                <w:szCs w:val="14"/>
                <w:color w:val="auto"/>
              </w:rPr>
              <w:t>213,287</w:t>
            </w:r>
          </w:p>
        </w:tc>
        <w:tc>
          <w:tcPr>
            <w:tcW w:w="1220" w:type="dxa"/>
            <w:vAlign w:val="bottom"/>
            <w:tcBorders>
              <w:bottom w:val="single" w:sz="8" w:color="DBDBDB"/>
            </w:tcBorders>
            <w:shd w:val="clear" w:color="auto" w:fill="DBDBDB"/>
          </w:tcPr>
          <w:p>
            <w:pPr>
              <w:jc w:val="right"/>
              <w:ind w:right="449"/>
              <w:spacing w:after="0" w:line="169" w:lineRule="exact"/>
              <w:rPr>
                <w:sz w:val="20"/>
                <w:szCs w:val="20"/>
                <w:color w:val="auto"/>
              </w:rPr>
            </w:pPr>
            <w:r>
              <w:rPr>
                <w:rFonts w:ascii="Calibri" w:cs="Calibri" w:eastAsia="Calibri" w:hAnsi="Calibri"/>
                <w:sz w:val="14"/>
                <w:szCs w:val="14"/>
                <w:color w:val="auto"/>
              </w:rPr>
              <w:t>3,480</w:t>
            </w:r>
          </w:p>
        </w:tc>
        <w:tc>
          <w:tcPr>
            <w:tcW w:w="2020" w:type="dxa"/>
            <w:vAlign w:val="bottom"/>
            <w:tcBorders>
              <w:bottom w:val="single" w:sz="8" w:color="DBDBDB"/>
            </w:tcBorders>
            <w:shd w:val="clear" w:color="auto" w:fill="DBDBDB"/>
          </w:tcPr>
          <w:p>
            <w:pPr>
              <w:jc w:val="right"/>
              <w:ind w:right="829"/>
              <w:spacing w:after="0" w:line="169" w:lineRule="exact"/>
              <w:rPr>
                <w:sz w:val="20"/>
                <w:szCs w:val="20"/>
                <w:color w:val="auto"/>
              </w:rPr>
            </w:pPr>
            <w:r>
              <w:rPr>
                <w:rFonts w:ascii="Calibri" w:cs="Calibri" w:eastAsia="Calibri" w:hAnsi="Calibri"/>
                <w:sz w:val="14"/>
                <w:szCs w:val="14"/>
                <w:color w:val="auto"/>
              </w:rPr>
              <w:t>236,890</w:t>
            </w:r>
          </w:p>
        </w:tc>
        <w:tc>
          <w:tcPr>
            <w:tcW w:w="80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5,782</w:t>
            </w:r>
          </w:p>
        </w:tc>
      </w:tr>
      <w:tr>
        <w:trPr>
          <w:trHeight w:val="20"/>
        </w:trPr>
        <w:tc>
          <w:tcPr>
            <w:tcW w:w="474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-449580</wp:posOffset>
            </wp:positionV>
            <wp:extent cx="4127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27500" cy="825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type w:val="continuous"/>
        </w:sectPr>
      </w:pPr>
    </w:p>
    <w:bookmarkStart w:id="12" w:name="page13"/>
    <w:bookmarkEnd w:id="12"/>
    <w:p>
      <w:pPr>
        <w:jc w:val="center"/>
        <w:spacing w:after="0"/>
        <w:rPr>
          <w:sz w:val="20"/>
          <w:szCs w:val="20"/>
          <w:color w:val="auto"/>
        </w:rPr>
      </w:pPr>
      <w:r>
        <w:rPr>
          <w:rFonts w:ascii="Calibri" w:cs="Calibri" w:eastAsia="Calibri" w:hAnsi="Calibri"/>
          <w:sz w:val="25"/>
          <w:szCs w:val="25"/>
          <w:b w:val="1"/>
          <w:bCs w:val="1"/>
          <w:color w:val="43C0B9"/>
        </w:rPr>
        <w:t>MISSION PRODUCE, INC.</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hanging="373"/>
        <w:spacing w:after="0"/>
        <w:tabs>
          <w:tab w:leader="none" w:pos="38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Related Party Transactons</w:t>
      </w:r>
    </w:p>
    <w:p>
      <w:pPr>
        <w:spacing w:after="0" w:line="225"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Transactons with related partes included in the condensed consolidated fnancial statements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40" w:type="dxa"/>
            <w:vAlign w:val="bottom"/>
            <w:shd w:val="clear" w:color="auto" w:fill="43C0B9"/>
          </w:tcPr>
          <w:p>
            <w:pPr>
              <w:spacing w:after="0"/>
              <w:rPr>
                <w:sz w:val="14"/>
                <w:szCs w:val="14"/>
                <w:color w:val="auto"/>
              </w:rPr>
            </w:pPr>
          </w:p>
        </w:tc>
        <w:tc>
          <w:tcPr>
            <w:tcW w:w="340" w:type="dxa"/>
            <w:vAlign w:val="bottom"/>
            <w:shd w:val="clear" w:color="auto" w:fill="43C0B9"/>
          </w:tcPr>
          <w:p>
            <w:pPr>
              <w:spacing w:after="0"/>
              <w:rPr>
                <w:sz w:val="14"/>
                <w:szCs w:val="14"/>
                <w:color w:val="auto"/>
              </w:rPr>
            </w:pPr>
          </w:p>
        </w:tc>
        <w:tc>
          <w:tcPr>
            <w:tcW w:w="780" w:type="dxa"/>
            <w:vAlign w:val="bottom"/>
            <w:shd w:val="clear" w:color="auto" w:fill="43C0B9"/>
          </w:tcPr>
          <w:p>
            <w:pPr>
              <w:spacing w:after="0"/>
              <w:rPr>
                <w:sz w:val="14"/>
                <w:szCs w:val="14"/>
                <w:color w:val="auto"/>
              </w:rPr>
            </w:pPr>
          </w:p>
        </w:tc>
        <w:tc>
          <w:tcPr>
            <w:tcW w:w="280" w:type="dxa"/>
            <w:vAlign w:val="bottom"/>
            <w:shd w:val="clear" w:color="auto" w:fill="43C0B9"/>
          </w:tcPr>
          <w:p>
            <w:pPr>
              <w:spacing w:after="0"/>
              <w:rPr>
                <w:sz w:val="14"/>
                <w:szCs w:val="14"/>
                <w:color w:val="auto"/>
              </w:rPr>
            </w:pPr>
          </w:p>
        </w:tc>
        <w:tc>
          <w:tcPr>
            <w:tcW w:w="880" w:type="dxa"/>
            <w:vAlign w:val="bottom"/>
            <w:shd w:val="clear" w:color="auto" w:fill="43C0B9"/>
          </w:tcPr>
          <w:p>
            <w:pPr>
              <w:spacing w:after="0"/>
              <w:rPr>
                <w:sz w:val="14"/>
                <w:szCs w:val="14"/>
                <w:color w:val="auto"/>
              </w:rPr>
            </w:pPr>
          </w:p>
        </w:tc>
        <w:tc>
          <w:tcPr>
            <w:tcW w:w="120" w:type="dxa"/>
            <w:vAlign w:val="bottom"/>
            <w:shd w:val="clear" w:color="auto" w:fill="43C0B9"/>
          </w:tcPr>
          <w:p>
            <w:pPr>
              <w:spacing w:after="0"/>
              <w:rPr>
                <w:sz w:val="14"/>
                <w:szCs w:val="14"/>
                <w:color w:val="auto"/>
              </w:rPr>
            </w:pPr>
          </w:p>
        </w:tc>
        <w:tc>
          <w:tcPr>
            <w:tcW w:w="1020" w:type="dxa"/>
            <w:vAlign w:val="bottom"/>
            <w:shd w:val="clear" w:color="auto" w:fill="43C0B9"/>
          </w:tcPr>
          <w:p>
            <w:pPr>
              <w:spacing w:after="0"/>
              <w:rPr>
                <w:sz w:val="14"/>
                <w:szCs w:val="14"/>
                <w:color w:val="auto"/>
              </w:rPr>
            </w:pPr>
          </w:p>
        </w:tc>
        <w:tc>
          <w:tcPr>
            <w:tcW w:w="420" w:type="dxa"/>
            <w:vAlign w:val="bottom"/>
            <w:shd w:val="clear" w:color="auto" w:fill="43C0B9"/>
          </w:tcPr>
          <w:p>
            <w:pPr>
              <w:spacing w:after="0"/>
              <w:rPr>
                <w:sz w:val="14"/>
                <w:szCs w:val="14"/>
                <w:color w:val="auto"/>
              </w:rPr>
            </w:pPr>
          </w:p>
        </w:tc>
        <w:tc>
          <w:tcPr>
            <w:tcW w:w="2500" w:type="dxa"/>
            <w:vAlign w:val="bottom"/>
            <w:gridSpan w:val="4"/>
            <w:shd w:val="clear" w:color="auto" w:fill="43C0B9"/>
          </w:tcPr>
          <w:p>
            <w:pPr>
              <w:jc w:val="right"/>
              <w:ind w:right="38"/>
              <w:spacing w:after="0"/>
              <w:rPr>
                <w:sz w:val="20"/>
                <w:szCs w:val="20"/>
                <w:color w:val="auto"/>
              </w:rPr>
            </w:pPr>
            <w:r>
              <w:rPr>
                <w:rFonts w:ascii="Calibri" w:cs="Calibri" w:eastAsia="Calibri" w:hAnsi="Calibri"/>
                <w:sz w:val="12"/>
                <w:szCs w:val="12"/>
                <w:b w:val="1"/>
                <w:bCs w:val="1"/>
                <w:color w:val="FFFFFF"/>
              </w:rPr>
              <w:t>Condensed Consolidated Balance Sheets</w:t>
            </w:r>
          </w:p>
        </w:tc>
        <w:tc>
          <w:tcPr>
            <w:tcW w:w="840" w:type="dxa"/>
            <w:vAlign w:val="bottom"/>
            <w:shd w:val="clear" w:color="auto" w:fill="43C0B9"/>
          </w:tcPr>
          <w:p>
            <w:pPr>
              <w:spacing w:after="0"/>
              <w:rPr>
                <w:sz w:val="14"/>
                <w:szCs w:val="14"/>
                <w:color w:val="auto"/>
              </w:rPr>
            </w:pPr>
          </w:p>
        </w:tc>
        <w:tc>
          <w:tcPr>
            <w:tcW w:w="360" w:type="dxa"/>
            <w:vAlign w:val="bottom"/>
            <w:shd w:val="clear" w:color="auto" w:fill="43C0B9"/>
          </w:tcPr>
          <w:p>
            <w:pPr>
              <w:spacing w:after="0"/>
              <w:rPr>
                <w:sz w:val="14"/>
                <w:szCs w:val="14"/>
                <w:color w:val="auto"/>
              </w:rPr>
            </w:pPr>
          </w:p>
        </w:tc>
        <w:tc>
          <w:tcPr>
            <w:tcW w:w="820" w:type="dxa"/>
            <w:vAlign w:val="bottom"/>
            <w:shd w:val="clear" w:color="auto" w:fill="43C0B9"/>
          </w:tcPr>
          <w:p>
            <w:pPr>
              <w:spacing w:after="0"/>
              <w:rPr>
                <w:sz w:val="14"/>
                <w:szCs w:val="14"/>
                <w:color w:val="auto"/>
              </w:rPr>
            </w:pPr>
          </w:p>
        </w:tc>
        <w:tc>
          <w:tcPr>
            <w:tcW w:w="160" w:type="dxa"/>
            <w:vAlign w:val="bottom"/>
            <w:shd w:val="clear" w:color="auto" w:fill="43C0B9"/>
          </w:tcPr>
          <w:p>
            <w:pPr>
              <w:spacing w:after="0"/>
              <w:rPr>
                <w:sz w:val="14"/>
                <w:szCs w:val="14"/>
                <w:color w:val="auto"/>
              </w:rPr>
            </w:pPr>
          </w:p>
        </w:tc>
        <w:tc>
          <w:tcPr>
            <w:tcW w:w="980" w:type="dxa"/>
            <w:vAlign w:val="bottom"/>
            <w:shd w:val="clear" w:color="auto" w:fill="43C0B9"/>
          </w:tcPr>
          <w:p>
            <w:pPr>
              <w:spacing w:after="0"/>
              <w:rPr>
                <w:sz w:val="14"/>
                <w:szCs w:val="14"/>
                <w:color w:val="auto"/>
              </w:rPr>
            </w:pPr>
          </w:p>
        </w:tc>
      </w:tr>
      <w:tr>
        <w:trPr>
          <w:trHeight w:val="210"/>
        </w:trPr>
        <w:tc>
          <w:tcPr>
            <w:tcW w:w="1740" w:type="dxa"/>
            <w:vAlign w:val="bottom"/>
            <w:shd w:val="clear" w:color="auto" w:fill="43C0B9"/>
          </w:tcPr>
          <w:p>
            <w:pPr>
              <w:spacing w:after="0"/>
              <w:rPr>
                <w:sz w:val="18"/>
                <w:szCs w:val="18"/>
                <w:color w:val="auto"/>
              </w:rPr>
            </w:pPr>
          </w:p>
        </w:tc>
        <w:tc>
          <w:tcPr>
            <w:tcW w:w="340" w:type="dxa"/>
            <w:vAlign w:val="bottom"/>
            <w:shd w:val="clear" w:color="auto" w:fill="43C0B9"/>
          </w:tcPr>
          <w:p>
            <w:pPr>
              <w:spacing w:after="0"/>
              <w:rPr>
                <w:sz w:val="18"/>
                <w:szCs w:val="18"/>
                <w:color w:val="auto"/>
              </w:rPr>
            </w:pPr>
          </w:p>
        </w:tc>
        <w:tc>
          <w:tcPr>
            <w:tcW w:w="780" w:type="dxa"/>
            <w:vAlign w:val="bottom"/>
            <w:shd w:val="clear" w:color="auto" w:fill="43C0B9"/>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880" w:type="dxa"/>
            <w:vAlign w:val="bottom"/>
            <w:shd w:val="clear" w:color="auto" w:fill="43C0B9"/>
          </w:tcPr>
          <w:p>
            <w:pPr>
              <w:spacing w:after="0"/>
              <w:rPr>
                <w:sz w:val="18"/>
                <w:szCs w:val="18"/>
                <w:color w:val="auto"/>
              </w:rPr>
            </w:pPr>
          </w:p>
        </w:tc>
        <w:tc>
          <w:tcPr>
            <w:tcW w:w="120" w:type="dxa"/>
            <w:vAlign w:val="bottom"/>
            <w:shd w:val="clear" w:color="auto" w:fill="43C0B9"/>
          </w:tcPr>
          <w:p>
            <w:pPr>
              <w:spacing w:after="0"/>
              <w:rPr>
                <w:sz w:val="18"/>
                <w:szCs w:val="18"/>
                <w:color w:val="auto"/>
              </w:rPr>
            </w:pPr>
          </w:p>
        </w:tc>
        <w:tc>
          <w:tcPr>
            <w:tcW w:w="1020" w:type="dxa"/>
            <w:vAlign w:val="bottom"/>
            <w:shd w:val="clear" w:color="auto" w:fill="43C0B9"/>
          </w:tcPr>
          <w:p>
            <w:pPr>
              <w:jc w:val="right"/>
              <w:ind w:right="18"/>
              <w:spacing w:after="0"/>
              <w:rPr>
                <w:sz w:val="20"/>
                <w:szCs w:val="20"/>
                <w:color w:val="auto"/>
              </w:rPr>
            </w:pPr>
            <w:r>
              <w:rPr>
                <w:rFonts w:ascii="Calibri" w:cs="Calibri" w:eastAsia="Calibri" w:hAnsi="Calibri"/>
                <w:sz w:val="12"/>
                <w:szCs w:val="12"/>
                <w:b w:val="1"/>
                <w:bCs w:val="1"/>
                <w:color w:val="FFFFFF"/>
              </w:rPr>
              <w:t>April 30, 2022</w:t>
            </w:r>
          </w:p>
        </w:tc>
        <w:tc>
          <w:tcPr>
            <w:tcW w:w="420" w:type="dxa"/>
            <w:vAlign w:val="bottom"/>
            <w:shd w:val="clear" w:color="auto" w:fill="43C0B9"/>
          </w:tcPr>
          <w:p>
            <w:pPr>
              <w:spacing w:after="0"/>
              <w:rPr>
                <w:sz w:val="18"/>
                <w:szCs w:val="18"/>
                <w:color w:val="auto"/>
              </w:rPr>
            </w:pPr>
          </w:p>
        </w:tc>
        <w:tc>
          <w:tcPr>
            <w:tcW w:w="880" w:type="dxa"/>
            <w:vAlign w:val="bottom"/>
            <w:shd w:val="clear" w:color="auto" w:fill="43C0B9"/>
          </w:tcPr>
          <w:p>
            <w:pPr>
              <w:spacing w:after="0"/>
              <w:rPr>
                <w:sz w:val="18"/>
                <w:szCs w:val="18"/>
                <w:color w:val="auto"/>
              </w:rPr>
            </w:pPr>
          </w:p>
        </w:tc>
        <w:tc>
          <w:tcPr>
            <w:tcW w:w="480" w:type="dxa"/>
            <w:vAlign w:val="bottom"/>
            <w:shd w:val="clear" w:color="auto" w:fill="43C0B9"/>
          </w:tcPr>
          <w:p>
            <w:pPr>
              <w:spacing w:after="0"/>
              <w:rPr>
                <w:sz w:val="18"/>
                <w:szCs w:val="18"/>
                <w:color w:val="auto"/>
              </w:rPr>
            </w:pPr>
          </w:p>
        </w:tc>
        <w:tc>
          <w:tcPr>
            <w:tcW w:w="800" w:type="dxa"/>
            <w:vAlign w:val="bottom"/>
            <w:shd w:val="clear" w:color="auto" w:fill="43C0B9"/>
          </w:tcPr>
          <w:p>
            <w:pPr>
              <w:spacing w:after="0"/>
              <w:rPr>
                <w:sz w:val="18"/>
                <w:szCs w:val="18"/>
                <w:color w:val="auto"/>
              </w:rPr>
            </w:pPr>
          </w:p>
        </w:tc>
        <w:tc>
          <w:tcPr>
            <w:tcW w:w="340" w:type="dxa"/>
            <w:vAlign w:val="bottom"/>
            <w:shd w:val="clear" w:color="auto" w:fill="43C0B9"/>
          </w:tcPr>
          <w:p>
            <w:pPr>
              <w:spacing w:after="0"/>
              <w:rPr>
                <w:sz w:val="18"/>
                <w:szCs w:val="18"/>
                <w:color w:val="auto"/>
              </w:rPr>
            </w:pPr>
          </w:p>
        </w:tc>
        <w:tc>
          <w:tcPr>
            <w:tcW w:w="2020" w:type="dxa"/>
            <w:vAlign w:val="bottom"/>
            <w:gridSpan w:val="3"/>
            <w:shd w:val="clear" w:color="auto" w:fill="43C0B9"/>
          </w:tcPr>
          <w:p>
            <w:pPr>
              <w:jc w:val="right"/>
              <w:ind w:right="438"/>
              <w:spacing w:after="0"/>
              <w:rPr>
                <w:sz w:val="20"/>
                <w:szCs w:val="20"/>
                <w:color w:val="auto"/>
              </w:rPr>
            </w:pPr>
            <w:r>
              <w:rPr>
                <w:rFonts w:ascii="Calibri" w:cs="Calibri" w:eastAsia="Calibri" w:hAnsi="Calibri"/>
                <w:sz w:val="12"/>
                <w:szCs w:val="12"/>
                <w:b w:val="1"/>
                <w:bCs w:val="1"/>
                <w:color w:val="FFFFFF"/>
              </w:rPr>
              <w:t>October 31, 2021</w:t>
            </w:r>
          </w:p>
        </w:tc>
        <w:tc>
          <w:tcPr>
            <w:tcW w:w="160" w:type="dxa"/>
            <w:vAlign w:val="bottom"/>
            <w:shd w:val="clear" w:color="auto" w:fill="43C0B9"/>
          </w:tcPr>
          <w:p>
            <w:pPr>
              <w:spacing w:after="0"/>
              <w:rPr>
                <w:sz w:val="18"/>
                <w:szCs w:val="18"/>
                <w:color w:val="auto"/>
              </w:rPr>
            </w:pPr>
          </w:p>
        </w:tc>
        <w:tc>
          <w:tcPr>
            <w:tcW w:w="980" w:type="dxa"/>
            <w:vAlign w:val="bottom"/>
            <w:shd w:val="clear" w:color="auto" w:fill="43C0B9"/>
          </w:tcPr>
          <w:p>
            <w:pPr>
              <w:spacing w:after="0"/>
              <w:rPr>
                <w:sz w:val="18"/>
                <w:szCs w:val="18"/>
                <w:color w:val="auto"/>
              </w:rPr>
            </w:pPr>
          </w:p>
        </w:tc>
      </w:tr>
      <w:tr>
        <w:trPr>
          <w:trHeight w:val="214"/>
        </w:trPr>
        <w:tc>
          <w:tcPr>
            <w:tcW w:w="1740" w:type="dxa"/>
            <w:vAlign w:val="bottom"/>
            <w:shd w:val="clear" w:color="auto" w:fill="43C0B9"/>
          </w:tcPr>
          <w:p>
            <w:pPr>
              <w:spacing w:after="0"/>
              <w:rPr>
                <w:sz w:val="18"/>
                <w:szCs w:val="18"/>
                <w:color w:val="auto"/>
              </w:rPr>
            </w:pPr>
          </w:p>
        </w:tc>
        <w:tc>
          <w:tcPr>
            <w:tcW w:w="340" w:type="dxa"/>
            <w:vAlign w:val="bottom"/>
            <w:shd w:val="clear" w:color="auto" w:fill="43C0B9"/>
          </w:tcPr>
          <w:p>
            <w:pPr>
              <w:spacing w:after="0"/>
              <w:rPr>
                <w:sz w:val="18"/>
                <w:szCs w:val="18"/>
                <w:color w:val="auto"/>
              </w:rPr>
            </w:pPr>
          </w:p>
        </w:tc>
        <w:tc>
          <w:tcPr>
            <w:tcW w:w="780" w:type="dxa"/>
            <w:vAlign w:val="bottom"/>
            <w:shd w:val="clear" w:color="auto" w:fill="43C0B9"/>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880" w:type="dxa"/>
            <w:vAlign w:val="bottom"/>
            <w:shd w:val="clear" w:color="auto" w:fill="43C0B9"/>
          </w:tcPr>
          <w:p>
            <w:pPr>
              <w:spacing w:after="0"/>
              <w:rPr>
                <w:sz w:val="18"/>
                <w:szCs w:val="18"/>
                <w:color w:val="auto"/>
              </w:rPr>
            </w:pPr>
          </w:p>
        </w:tc>
        <w:tc>
          <w:tcPr>
            <w:tcW w:w="120" w:type="dxa"/>
            <w:vAlign w:val="bottom"/>
            <w:shd w:val="clear" w:color="auto" w:fill="43C0B9"/>
          </w:tcPr>
          <w:p>
            <w:pPr>
              <w:spacing w:after="0"/>
              <w:rPr>
                <w:sz w:val="18"/>
                <w:szCs w:val="18"/>
                <w:color w:val="auto"/>
              </w:rPr>
            </w:pPr>
          </w:p>
        </w:tc>
        <w:tc>
          <w:tcPr>
            <w:tcW w:w="1440" w:type="dxa"/>
            <w:vAlign w:val="bottom"/>
            <w:gridSpan w:val="2"/>
            <w:shd w:val="clear" w:color="auto" w:fill="43C0B9"/>
          </w:tcPr>
          <w:p>
            <w:pPr>
              <w:jc w:val="right"/>
              <w:ind w:right="138"/>
              <w:spacing w:after="0"/>
              <w:rPr>
                <w:sz w:val="20"/>
                <w:szCs w:val="20"/>
                <w:color w:val="auto"/>
              </w:rPr>
            </w:pPr>
            <w:r>
              <w:rPr>
                <w:rFonts w:ascii="Calibri" w:cs="Calibri" w:eastAsia="Calibri" w:hAnsi="Calibri"/>
                <w:sz w:val="12"/>
                <w:szCs w:val="12"/>
                <w:b w:val="1"/>
                <w:bCs w:val="1"/>
                <w:color w:val="FFFFFF"/>
              </w:rPr>
              <w:t>Loans to equity method</w:t>
            </w:r>
          </w:p>
        </w:tc>
        <w:tc>
          <w:tcPr>
            <w:tcW w:w="1360" w:type="dxa"/>
            <w:vAlign w:val="bottom"/>
            <w:gridSpan w:val="2"/>
            <w:shd w:val="clear" w:color="auto" w:fill="43C0B9"/>
          </w:tcPr>
          <w:p>
            <w:pPr>
              <w:jc w:val="right"/>
              <w:ind w:right="78"/>
              <w:spacing w:after="0"/>
              <w:rPr>
                <w:sz w:val="20"/>
                <w:szCs w:val="20"/>
                <w:color w:val="auto"/>
              </w:rPr>
            </w:pPr>
            <w:r>
              <w:rPr>
                <w:rFonts w:ascii="Calibri" w:cs="Calibri" w:eastAsia="Calibri" w:hAnsi="Calibri"/>
                <w:sz w:val="12"/>
                <w:szCs w:val="12"/>
                <w:b w:val="1"/>
                <w:bCs w:val="1"/>
                <w:color w:val="FFFFFF"/>
              </w:rPr>
              <w:t>Accounts payable &amp;</w:t>
            </w:r>
          </w:p>
        </w:tc>
        <w:tc>
          <w:tcPr>
            <w:tcW w:w="800" w:type="dxa"/>
            <w:vAlign w:val="bottom"/>
            <w:shd w:val="clear" w:color="auto" w:fill="43C0B9"/>
          </w:tcPr>
          <w:p>
            <w:pPr>
              <w:spacing w:after="0"/>
              <w:rPr>
                <w:sz w:val="18"/>
                <w:szCs w:val="18"/>
                <w:color w:val="auto"/>
              </w:rPr>
            </w:pPr>
          </w:p>
        </w:tc>
        <w:tc>
          <w:tcPr>
            <w:tcW w:w="340" w:type="dxa"/>
            <w:vAlign w:val="bottom"/>
            <w:shd w:val="clear" w:color="auto" w:fill="43C0B9"/>
          </w:tcPr>
          <w:p>
            <w:pPr>
              <w:spacing w:after="0"/>
              <w:rPr>
                <w:sz w:val="18"/>
                <w:szCs w:val="18"/>
                <w:color w:val="auto"/>
              </w:rPr>
            </w:pPr>
          </w:p>
        </w:tc>
        <w:tc>
          <w:tcPr>
            <w:tcW w:w="2020" w:type="dxa"/>
            <w:vAlign w:val="bottom"/>
            <w:gridSpan w:val="3"/>
            <w:shd w:val="clear" w:color="auto" w:fill="43C0B9"/>
          </w:tcPr>
          <w:p>
            <w:pPr>
              <w:jc w:val="right"/>
              <w:ind w:right="238"/>
              <w:spacing w:after="0"/>
              <w:rPr>
                <w:sz w:val="20"/>
                <w:szCs w:val="20"/>
                <w:color w:val="auto"/>
              </w:rPr>
            </w:pPr>
            <w:r>
              <w:rPr>
                <w:rFonts w:ascii="Calibri" w:cs="Calibri" w:eastAsia="Calibri" w:hAnsi="Calibri"/>
                <w:sz w:val="12"/>
                <w:szCs w:val="12"/>
                <w:b w:val="1"/>
                <w:bCs w:val="1"/>
                <w:color w:val="FFFFFF"/>
              </w:rPr>
              <w:t>Loans to equity method</w:t>
            </w:r>
          </w:p>
        </w:tc>
        <w:tc>
          <w:tcPr>
            <w:tcW w:w="1140" w:type="dxa"/>
            <w:vAlign w:val="bottom"/>
            <w:gridSpan w:val="2"/>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Accounts payable &amp;</w:t>
            </w:r>
          </w:p>
        </w:tc>
      </w:tr>
      <w:tr>
        <w:trPr>
          <w:trHeight w:val="164"/>
        </w:trPr>
        <w:tc>
          <w:tcPr>
            <w:tcW w:w="17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2"/>
                <w:szCs w:val="12"/>
                <w:b w:val="1"/>
                <w:bCs w:val="1"/>
                <w:color w:val="FFFFFF"/>
              </w:rPr>
              <w:t>(In millions)</w:t>
            </w:r>
          </w:p>
        </w:tc>
        <w:tc>
          <w:tcPr>
            <w:tcW w:w="340" w:type="dxa"/>
            <w:vAlign w:val="bottom"/>
            <w:tcBorders>
              <w:bottom w:val="single" w:sz="8" w:color="43C0B9"/>
            </w:tcBorders>
            <w:shd w:val="clear" w:color="auto" w:fill="43C0B9"/>
          </w:tcPr>
          <w:p>
            <w:pPr>
              <w:spacing w:after="0"/>
              <w:rPr>
                <w:sz w:val="14"/>
                <w:szCs w:val="14"/>
                <w:color w:val="auto"/>
              </w:rPr>
            </w:pPr>
          </w:p>
        </w:tc>
        <w:tc>
          <w:tcPr>
            <w:tcW w:w="780" w:type="dxa"/>
            <w:vAlign w:val="bottom"/>
            <w:tcBorders>
              <w:bottom w:val="single" w:sz="8" w:color="43C0B9"/>
            </w:tcBorders>
            <w:shd w:val="clear" w:color="auto" w:fill="43C0B9"/>
          </w:tcPr>
          <w:p>
            <w:pPr>
              <w:spacing w:after="0"/>
              <w:rPr>
                <w:sz w:val="14"/>
                <w:szCs w:val="14"/>
                <w:color w:val="auto"/>
              </w:rPr>
            </w:pPr>
          </w:p>
        </w:tc>
        <w:tc>
          <w:tcPr>
            <w:tcW w:w="1160" w:type="dxa"/>
            <w:vAlign w:val="bottom"/>
            <w:tcBorders>
              <w:bottom w:val="single" w:sz="8" w:color="43C0B9"/>
            </w:tcBorders>
            <w:gridSpan w:val="2"/>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Accounts receivable</w:t>
            </w:r>
          </w:p>
        </w:tc>
        <w:tc>
          <w:tcPr>
            <w:tcW w:w="120" w:type="dxa"/>
            <w:vAlign w:val="bottom"/>
            <w:tcBorders>
              <w:bottom w:val="single" w:sz="8" w:color="43C0B9"/>
            </w:tcBorders>
            <w:shd w:val="clear" w:color="auto" w:fill="43C0B9"/>
          </w:tcPr>
          <w:p>
            <w:pPr>
              <w:spacing w:after="0"/>
              <w:rPr>
                <w:sz w:val="14"/>
                <w:szCs w:val="14"/>
                <w:color w:val="auto"/>
              </w:rPr>
            </w:pPr>
          </w:p>
        </w:tc>
        <w:tc>
          <w:tcPr>
            <w:tcW w:w="1440" w:type="dxa"/>
            <w:vAlign w:val="bottom"/>
            <w:tcBorders>
              <w:bottom w:val="single" w:sz="8" w:color="43C0B9"/>
            </w:tcBorders>
            <w:gridSpan w:val="2"/>
            <w:shd w:val="clear" w:color="auto" w:fill="43C0B9"/>
          </w:tcPr>
          <w:p>
            <w:pPr>
              <w:jc w:val="right"/>
              <w:ind w:right="138"/>
              <w:spacing w:after="0"/>
              <w:rPr>
                <w:sz w:val="20"/>
                <w:szCs w:val="20"/>
                <w:color w:val="auto"/>
              </w:rPr>
            </w:pPr>
            <w:r>
              <w:rPr>
                <w:rFonts w:ascii="Calibri" w:cs="Calibri" w:eastAsia="Calibri" w:hAnsi="Calibri"/>
                <w:sz w:val="12"/>
                <w:szCs w:val="12"/>
                <w:b w:val="1"/>
                <w:bCs w:val="1"/>
                <w:color w:val="FFFFFF"/>
              </w:rPr>
              <w:t>investees</w:t>
            </w:r>
          </w:p>
        </w:tc>
        <w:tc>
          <w:tcPr>
            <w:tcW w:w="1360" w:type="dxa"/>
            <w:vAlign w:val="bottom"/>
            <w:tcBorders>
              <w:bottom w:val="single" w:sz="8" w:color="43C0B9"/>
            </w:tcBorders>
            <w:gridSpan w:val="2"/>
            <w:shd w:val="clear" w:color="auto" w:fill="43C0B9"/>
          </w:tcPr>
          <w:p>
            <w:pPr>
              <w:jc w:val="right"/>
              <w:ind w:right="78"/>
              <w:spacing w:after="0"/>
              <w:rPr>
                <w:sz w:val="20"/>
                <w:szCs w:val="20"/>
                <w:color w:val="auto"/>
              </w:rPr>
            </w:pPr>
            <w:r>
              <w:rPr>
                <w:rFonts w:ascii="Calibri" w:cs="Calibri" w:eastAsia="Calibri" w:hAnsi="Calibri"/>
                <w:sz w:val="12"/>
                <w:szCs w:val="12"/>
                <w:b w:val="1"/>
                <w:bCs w:val="1"/>
                <w:color w:val="FFFFFF"/>
              </w:rPr>
              <w:t>accrued expenses</w:t>
            </w:r>
          </w:p>
        </w:tc>
        <w:tc>
          <w:tcPr>
            <w:tcW w:w="1980" w:type="dxa"/>
            <w:vAlign w:val="bottom"/>
            <w:tcBorders>
              <w:bottom w:val="single" w:sz="8" w:color="43C0B9"/>
            </w:tcBorders>
            <w:gridSpan w:val="3"/>
            <w:shd w:val="clear" w:color="auto" w:fill="43C0B9"/>
          </w:tcPr>
          <w:p>
            <w:pPr>
              <w:jc w:val="right"/>
              <w:ind w:right="478"/>
              <w:spacing w:after="0"/>
              <w:rPr>
                <w:sz w:val="20"/>
                <w:szCs w:val="20"/>
                <w:color w:val="auto"/>
              </w:rPr>
            </w:pPr>
            <w:r>
              <w:rPr>
                <w:rFonts w:ascii="Calibri" w:cs="Calibri" w:eastAsia="Calibri" w:hAnsi="Calibri"/>
                <w:sz w:val="12"/>
                <w:szCs w:val="12"/>
                <w:b w:val="1"/>
                <w:bCs w:val="1"/>
                <w:color w:val="FFFFFF"/>
              </w:rPr>
              <w:t>Accounts receivable</w:t>
            </w:r>
          </w:p>
        </w:tc>
        <w:tc>
          <w:tcPr>
            <w:tcW w:w="360" w:type="dxa"/>
            <w:vAlign w:val="bottom"/>
            <w:tcBorders>
              <w:bottom w:val="single" w:sz="8" w:color="43C0B9"/>
            </w:tcBorders>
            <w:shd w:val="clear" w:color="auto" w:fill="43C0B9"/>
          </w:tcPr>
          <w:p>
            <w:pPr>
              <w:spacing w:after="0"/>
              <w:rPr>
                <w:sz w:val="14"/>
                <w:szCs w:val="14"/>
                <w:color w:val="auto"/>
              </w:rPr>
            </w:pPr>
          </w:p>
        </w:tc>
        <w:tc>
          <w:tcPr>
            <w:tcW w:w="820" w:type="dxa"/>
            <w:vAlign w:val="bottom"/>
            <w:tcBorders>
              <w:bottom w:val="single" w:sz="8" w:color="43C0B9"/>
            </w:tcBorders>
            <w:shd w:val="clear" w:color="auto" w:fill="43C0B9"/>
          </w:tcPr>
          <w:p>
            <w:pPr>
              <w:jc w:val="right"/>
              <w:ind w:right="238"/>
              <w:spacing w:after="0"/>
              <w:rPr>
                <w:sz w:val="20"/>
                <w:szCs w:val="20"/>
                <w:color w:val="auto"/>
              </w:rPr>
            </w:pPr>
            <w:r>
              <w:rPr>
                <w:rFonts w:ascii="Calibri" w:cs="Calibri" w:eastAsia="Calibri" w:hAnsi="Calibri"/>
                <w:sz w:val="12"/>
                <w:szCs w:val="12"/>
                <w:b w:val="1"/>
                <w:bCs w:val="1"/>
                <w:color w:val="FFFFFF"/>
              </w:rPr>
              <w:t>investees</w:t>
            </w:r>
          </w:p>
        </w:tc>
        <w:tc>
          <w:tcPr>
            <w:tcW w:w="160" w:type="dxa"/>
            <w:vAlign w:val="bottom"/>
            <w:tcBorders>
              <w:bottom w:val="single" w:sz="8" w:color="43C0B9"/>
            </w:tcBorders>
            <w:shd w:val="clear" w:color="auto" w:fill="43C0B9"/>
          </w:tcPr>
          <w:p>
            <w:pPr>
              <w:spacing w:after="0"/>
              <w:rPr>
                <w:sz w:val="14"/>
                <w:szCs w:val="14"/>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accrued expenses</w:t>
            </w:r>
          </w:p>
        </w:tc>
      </w:tr>
      <w:tr>
        <w:trPr>
          <w:trHeight w:val="181"/>
        </w:trPr>
        <w:tc>
          <w:tcPr>
            <w:tcW w:w="17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b w:val="1"/>
                <w:bCs w:val="1"/>
                <w:color w:val="auto"/>
              </w:rPr>
              <w:t>Equity method investees:</w:t>
            </w:r>
          </w:p>
        </w:tc>
        <w:tc>
          <w:tcPr>
            <w:tcW w:w="34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spacing w:after="0"/>
              <w:rPr>
                <w:sz w:val="15"/>
                <w:szCs w:val="15"/>
                <w:color w:val="auto"/>
              </w:rPr>
            </w:pPr>
          </w:p>
        </w:tc>
        <w:tc>
          <w:tcPr>
            <w:tcW w:w="48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r>
      <w:tr>
        <w:trPr>
          <w:trHeight w:val="164"/>
        </w:trPr>
        <w:tc>
          <w:tcPr>
            <w:tcW w:w="1740" w:type="dxa"/>
            <w:vAlign w:val="bottom"/>
          </w:tcPr>
          <w:p>
            <w:pPr>
              <w:ind w:left="140"/>
              <w:spacing w:after="0"/>
              <w:rPr>
                <w:sz w:val="20"/>
                <w:szCs w:val="20"/>
                <w:color w:val="auto"/>
              </w:rPr>
            </w:pPr>
            <w:r>
              <w:rPr>
                <w:rFonts w:ascii="Calibri" w:cs="Calibri" w:eastAsia="Calibri" w:hAnsi="Calibri"/>
                <w:sz w:val="12"/>
                <w:szCs w:val="12"/>
                <w:color w:val="auto"/>
              </w:rPr>
              <w:t>Henry Avocado</w:t>
            </w:r>
          </w:p>
        </w:tc>
        <w:tc>
          <w:tcPr>
            <w:tcW w:w="340" w:type="dxa"/>
            <w:vAlign w:val="bottom"/>
          </w:tcPr>
          <w:p>
            <w:pPr>
              <w:spacing w:after="0"/>
              <w:rPr>
                <w:sz w:val="14"/>
                <w:szCs w:val="14"/>
                <w:color w:val="auto"/>
              </w:rPr>
            </w:pPr>
          </w:p>
        </w:tc>
        <w:tc>
          <w:tcPr>
            <w:tcW w:w="780" w:type="dxa"/>
            <w:vAlign w:val="bottom"/>
          </w:tcPr>
          <w:p>
            <w:pPr>
              <w:jc w:val="right"/>
              <w:ind w:right="78"/>
              <w:spacing w:after="0"/>
              <w:rPr>
                <w:sz w:val="20"/>
                <w:szCs w:val="20"/>
                <w:color w:val="auto"/>
              </w:rPr>
            </w:pPr>
            <w:r>
              <w:rPr>
                <w:rFonts w:ascii="Calibri" w:cs="Calibri" w:eastAsia="Calibri" w:hAnsi="Calibri"/>
                <w:sz w:val="12"/>
                <w:szCs w:val="12"/>
                <w:color w:val="auto"/>
              </w:rPr>
              <w:t>$</w:t>
            </w:r>
          </w:p>
        </w:tc>
        <w:tc>
          <w:tcPr>
            <w:tcW w:w="280" w:type="dxa"/>
            <w:vAlign w:val="bottom"/>
          </w:tcPr>
          <w:p>
            <w:pPr>
              <w:spacing w:after="0"/>
              <w:rPr>
                <w:sz w:val="14"/>
                <w:szCs w:val="14"/>
                <w:color w:val="auto"/>
              </w:rPr>
            </w:pPr>
          </w:p>
        </w:tc>
        <w:tc>
          <w:tcPr>
            <w:tcW w:w="88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alibri" w:cs="Calibri" w:eastAsia="Calibri" w:hAnsi="Calibri"/>
                <w:sz w:val="12"/>
                <w:szCs w:val="12"/>
                <w:color w:val="auto"/>
              </w:rPr>
              <w:t>—   $</w:t>
            </w:r>
          </w:p>
        </w:tc>
        <w:tc>
          <w:tcPr>
            <w:tcW w:w="880" w:type="dxa"/>
            <w:vAlign w:val="bottom"/>
          </w:tcPr>
          <w:p>
            <w:pPr>
              <w:spacing w:after="0"/>
              <w:rPr>
                <w:sz w:val="14"/>
                <w:szCs w:val="14"/>
                <w:color w:val="auto"/>
              </w:rPr>
            </w:pPr>
          </w:p>
        </w:tc>
        <w:tc>
          <w:tcPr>
            <w:tcW w:w="480" w:type="dxa"/>
            <w:vAlign w:val="bottom"/>
          </w:tcPr>
          <w:p>
            <w:pPr>
              <w:jc w:val="right"/>
              <w:ind w:right="118"/>
              <w:spacing w:after="0"/>
              <w:rPr>
                <w:sz w:val="20"/>
                <w:szCs w:val="20"/>
                <w:color w:val="auto"/>
              </w:rPr>
            </w:pPr>
            <w:r>
              <w:rPr>
                <w:rFonts w:ascii="Calibri" w:cs="Calibri" w:eastAsia="Calibri" w:hAnsi="Calibri"/>
                <w:sz w:val="12"/>
                <w:szCs w:val="12"/>
                <w:color w:val="auto"/>
              </w:rPr>
              <w:t>0.2</w:t>
            </w:r>
          </w:p>
        </w:tc>
        <w:tc>
          <w:tcPr>
            <w:tcW w:w="800" w:type="dxa"/>
            <w:vAlign w:val="bottom"/>
          </w:tcPr>
          <w:p>
            <w:pPr>
              <w:jc w:val="right"/>
              <w:ind w:right="538"/>
              <w:spacing w:after="0"/>
              <w:rPr>
                <w:sz w:val="20"/>
                <w:szCs w:val="20"/>
                <w:color w:val="auto"/>
              </w:rPr>
            </w:pPr>
            <w:r>
              <w:rPr>
                <w:rFonts w:ascii="Calibri" w:cs="Calibri" w:eastAsia="Calibri" w:hAnsi="Calibri"/>
                <w:sz w:val="12"/>
                <w:szCs w:val="12"/>
                <w:color w:val="auto"/>
              </w:rPr>
              <w:t>$</w:t>
            </w:r>
          </w:p>
        </w:tc>
        <w:tc>
          <w:tcPr>
            <w:tcW w:w="340" w:type="dxa"/>
            <w:vAlign w:val="bottom"/>
          </w:tcPr>
          <w:p>
            <w:pPr>
              <w:spacing w:after="0"/>
              <w:rPr>
                <w:sz w:val="14"/>
                <w:szCs w:val="14"/>
                <w:color w:val="auto"/>
              </w:rPr>
            </w:pPr>
          </w:p>
        </w:tc>
        <w:tc>
          <w:tcPr>
            <w:tcW w:w="840" w:type="dxa"/>
            <w:vAlign w:val="bottom"/>
          </w:tcPr>
          <w:p>
            <w:pPr>
              <w:jc w:val="right"/>
              <w:ind w:right="298"/>
              <w:spacing w:after="0"/>
              <w:rPr>
                <w:sz w:val="20"/>
                <w:szCs w:val="20"/>
                <w:color w:val="auto"/>
              </w:rPr>
            </w:pPr>
            <w:r>
              <w:rPr>
                <w:rFonts w:ascii="Calibri" w:cs="Calibri" w:eastAsia="Calibri" w:hAnsi="Calibri"/>
                <w:sz w:val="12"/>
                <w:szCs w:val="12"/>
                <w:color w:val="auto"/>
              </w:rPr>
              <w:t>—   $</w:t>
            </w:r>
          </w:p>
        </w:tc>
        <w:tc>
          <w:tcPr>
            <w:tcW w:w="360" w:type="dxa"/>
            <w:vAlign w:val="bottom"/>
          </w:tcPr>
          <w:p>
            <w:pPr>
              <w:spacing w:after="0"/>
              <w:rPr>
                <w:sz w:val="14"/>
                <w:szCs w:val="14"/>
                <w:color w:val="auto"/>
              </w:rPr>
            </w:pPr>
          </w:p>
        </w:tc>
        <w:tc>
          <w:tcPr>
            <w:tcW w:w="820" w:type="dxa"/>
            <w:vAlign w:val="bottom"/>
          </w:tcPr>
          <w:p>
            <w:pPr>
              <w:jc w:val="right"/>
              <w:ind w:right="58"/>
              <w:spacing w:after="0"/>
              <w:rPr>
                <w:sz w:val="20"/>
                <w:szCs w:val="20"/>
                <w:color w:val="auto"/>
              </w:rPr>
            </w:pPr>
            <w:r>
              <w:rPr>
                <w:rFonts w:ascii="Calibri" w:cs="Calibri" w:eastAsia="Calibri" w:hAnsi="Calibri"/>
                <w:sz w:val="12"/>
                <w:szCs w:val="12"/>
                <w:color w:val="auto"/>
              </w:rPr>
              <w:t>—   $</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2"/>
                <w:szCs w:val="12"/>
                <w:color w:val="auto"/>
              </w:rPr>
              <w:t>—</w:t>
            </w:r>
          </w:p>
        </w:tc>
      </w:tr>
      <w:tr>
        <w:trPr>
          <w:trHeight w:val="37"/>
        </w:trPr>
        <w:tc>
          <w:tcPr>
            <w:tcW w:w="1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81"/>
        </w:trPr>
        <w:tc>
          <w:tcPr>
            <w:tcW w:w="1740" w:type="dxa"/>
            <w:vAlign w:val="bottom"/>
            <w:tcBorders>
              <w:bottom w:val="single" w:sz="8" w:color="DBDBDB"/>
            </w:tcBorders>
            <w:shd w:val="clear" w:color="auto" w:fill="DBDBDB"/>
          </w:tcPr>
          <w:p>
            <w:pPr>
              <w:ind w:left="140"/>
              <w:spacing w:after="0"/>
              <w:rPr>
                <w:sz w:val="20"/>
                <w:szCs w:val="20"/>
                <w:color w:val="auto"/>
              </w:rPr>
            </w:pPr>
            <w:r>
              <w:rPr>
                <w:rFonts w:ascii="Calibri" w:cs="Calibri" w:eastAsia="Calibri" w:hAnsi="Calibri"/>
                <w:sz w:val="12"/>
                <w:szCs w:val="12"/>
                <w:color w:val="auto"/>
              </w:rPr>
              <w:t>Mr. Avocado</w:t>
            </w:r>
          </w:p>
        </w:tc>
        <w:tc>
          <w:tcPr>
            <w:tcW w:w="34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0.2</w:t>
            </w:r>
          </w:p>
        </w:tc>
        <w:tc>
          <w:tcPr>
            <w:tcW w:w="12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jc w:val="right"/>
              <w:ind w:right="178"/>
              <w:spacing w:after="0"/>
              <w:rPr>
                <w:sz w:val="20"/>
                <w:szCs w:val="20"/>
                <w:color w:val="auto"/>
              </w:rPr>
            </w:pPr>
            <w:r>
              <w:rPr>
                <w:rFonts w:ascii="Calibri" w:cs="Calibri" w:eastAsia="Calibri" w:hAnsi="Calibri"/>
                <w:sz w:val="12"/>
                <w:szCs w:val="12"/>
                <w:color w:val="auto"/>
              </w:rPr>
              <w:t>—</w:t>
            </w:r>
          </w:p>
        </w:tc>
        <w:tc>
          <w:tcPr>
            <w:tcW w:w="880" w:type="dxa"/>
            <w:vAlign w:val="bottom"/>
            <w:tcBorders>
              <w:bottom w:val="single" w:sz="8" w:color="DBDBDB"/>
            </w:tcBorders>
            <w:shd w:val="clear" w:color="auto" w:fill="DBDBDB"/>
          </w:tcPr>
          <w:p>
            <w:pPr>
              <w:spacing w:after="0"/>
              <w:rPr>
                <w:sz w:val="15"/>
                <w:szCs w:val="15"/>
                <w:color w:val="auto"/>
              </w:rPr>
            </w:pPr>
          </w:p>
        </w:tc>
        <w:tc>
          <w:tcPr>
            <w:tcW w:w="480" w:type="dxa"/>
            <w:vAlign w:val="bottom"/>
            <w:tcBorders>
              <w:bottom w:val="single" w:sz="8" w:color="DBDBDB"/>
            </w:tcBorders>
            <w:shd w:val="clear" w:color="auto" w:fill="DBDBDB"/>
          </w:tcPr>
          <w:p>
            <w:pPr>
              <w:jc w:val="right"/>
              <w:ind w:right="118"/>
              <w:spacing w:after="0"/>
              <w:rPr>
                <w:sz w:val="20"/>
                <w:szCs w:val="20"/>
                <w:color w:val="auto"/>
              </w:rPr>
            </w:pPr>
            <w:r>
              <w:rPr>
                <w:rFonts w:ascii="Calibri" w:cs="Calibri" w:eastAsia="Calibri" w:hAnsi="Calibri"/>
                <w:sz w:val="12"/>
                <w:szCs w:val="12"/>
                <w:color w:val="auto"/>
              </w:rPr>
              <w:t>—</w:t>
            </w:r>
          </w:p>
        </w:tc>
        <w:tc>
          <w:tcPr>
            <w:tcW w:w="80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ind w:right="498"/>
              <w:spacing w:after="0"/>
              <w:rPr>
                <w:sz w:val="20"/>
                <w:szCs w:val="20"/>
                <w:color w:val="auto"/>
              </w:rPr>
            </w:pPr>
            <w:r>
              <w:rPr>
                <w:rFonts w:ascii="Calibri" w:cs="Calibri" w:eastAsia="Calibri" w:hAnsi="Calibri"/>
                <w:sz w:val="12"/>
                <w:szCs w:val="12"/>
                <w:color w:val="auto"/>
              </w:rPr>
              <w:t>1.3</w:t>
            </w:r>
          </w:p>
        </w:tc>
        <w:tc>
          <w:tcPr>
            <w:tcW w:w="36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ind w:right="27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r>
      <w:tr>
        <w:trPr>
          <w:trHeight w:val="201"/>
        </w:trPr>
        <w:tc>
          <w:tcPr>
            <w:tcW w:w="1740" w:type="dxa"/>
            <w:vAlign w:val="bottom"/>
          </w:tcPr>
          <w:p>
            <w:pPr>
              <w:ind w:left="140"/>
              <w:spacing w:after="0"/>
              <w:rPr>
                <w:sz w:val="20"/>
                <w:szCs w:val="20"/>
                <w:color w:val="auto"/>
              </w:rPr>
            </w:pPr>
            <w:r>
              <w:rPr>
                <w:rFonts w:ascii="Calibri" w:cs="Calibri" w:eastAsia="Calibri" w:hAnsi="Calibri"/>
                <w:sz w:val="12"/>
                <w:szCs w:val="12"/>
                <w:color w:val="auto"/>
              </w:rPr>
              <w:t>Moruga</w:t>
            </w:r>
            <w:r>
              <w:rPr>
                <w:rFonts w:ascii="Calibri" w:cs="Calibri" w:eastAsia="Calibri" w:hAnsi="Calibri"/>
                <w:sz w:val="16"/>
                <w:szCs w:val="16"/>
                <w:color w:val="auto"/>
                <w:vertAlign w:val="superscript"/>
              </w:rPr>
              <w:t>(1)</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ind w:right="178"/>
              <w:spacing w:after="0"/>
              <w:rPr>
                <w:sz w:val="20"/>
                <w:szCs w:val="20"/>
                <w:color w:val="auto"/>
              </w:rPr>
            </w:pPr>
            <w:r>
              <w:rPr>
                <w:rFonts w:ascii="Calibri" w:cs="Calibri" w:eastAsia="Calibri" w:hAnsi="Calibri"/>
                <w:sz w:val="12"/>
                <w:szCs w:val="12"/>
                <w:color w:val="auto"/>
              </w:rPr>
              <w:t>1.9</w:t>
            </w:r>
          </w:p>
        </w:tc>
        <w:tc>
          <w:tcPr>
            <w:tcW w:w="880" w:type="dxa"/>
            <w:vAlign w:val="bottom"/>
          </w:tcPr>
          <w:p>
            <w:pPr>
              <w:spacing w:after="0"/>
              <w:rPr>
                <w:sz w:val="17"/>
                <w:szCs w:val="17"/>
                <w:color w:val="auto"/>
              </w:rPr>
            </w:pPr>
          </w:p>
        </w:tc>
        <w:tc>
          <w:tcPr>
            <w:tcW w:w="480" w:type="dxa"/>
            <w:vAlign w:val="bottom"/>
          </w:tcPr>
          <w:p>
            <w:pPr>
              <w:jc w:val="right"/>
              <w:ind w:right="118"/>
              <w:spacing w:after="0"/>
              <w:rPr>
                <w:sz w:val="20"/>
                <w:szCs w:val="20"/>
                <w:color w:val="auto"/>
              </w:rPr>
            </w:pPr>
            <w:r>
              <w:rPr>
                <w:rFonts w:ascii="Calibri" w:cs="Calibri" w:eastAsia="Calibri" w:hAnsi="Calibri"/>
                <w:sz w:val="12"/>
                <w:szCs w:val="12"/>
                <w:color w:val="auto"/>
              </w:rPr>
              <w:t>—</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498"/>
              <w:spacing w:after="0"/>
              <w:rPr>
                <w:sz w:val="20"/>
                <w:szCs w:val="20"/>
                <w:color w:val="auto"/>
              </w:rPr>
            </w:pPr>
            <w:r>
              <w:rPr>
                <w:rFonts w:ascii="Calibri" w:cs="Calibri" w:eastAsia="Calibri" w:hAnsi="Calibri"/>
                <w:sz w:val="12"/>
                <w:szCs w:val="12"/>
                <w:color w:val="auto"/>
              </w:rPr>
              <w:t>3.9</w:t>
            </w:r>
          </w:p>
        </w:tc>
        <w:tc>
          <w:tcPr>
            <w:tcW w:w="360" w:type="dxa"/>
            <w:vAlign w:val="bottom"/>
          </w:tcPr>
          <w:p>
            <w:pPr>
              <w:spacing w:after="0"/>
              <w:rPr>
                <w:sz w:val="17"/>
                <w:szCs w:val="17"/>
                <w:color w:val="auto"/>
              </w:rPr>
            </w:pPr>
          </w:p>
        </w:tc>
        <w:tc>
          <w:tcPr>
            <w:tcW w:w="820" w:type="dxa"/>
            <w:vAlign w:val="bottom"/>
          </w:tcPr>
          <w:p>
            <w:pPr>
              <w:jc w:val="right"/>
              <w:ind w:right="278"/>
              <w:spacing w:after="0"/>
              <w:rPr>
                <w:sz w:val="20"/>
                <w:szCs w:val="20"/>
                <w:color w:val="auto"/>
              </w:rPr>
            </w:pPr>
            <w:r>
              <w:rPr>
                <w:rFonts w:ascii="Calibri" w:cs="Calibri" w:eastAsia="Calibri" w:hAnsi="Calibri"/>
                <w:sz w:val="12"/>
                <w:szCs w:val="12"/>
                <w:color w:val="auto"/>
              </w:rPr>
              <w:t>3.0</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2"/>
                <w:szCs w:val="12"/>
                <w:color w:val="auto"/>
              </w:rPr>
              <w:t>—</w:t>
            </w:r>
          </w:p>
        </w:tc>
      </w:tr>
      <w:tr>
        <w:trPr>
          <w:trHeight w:val="201"/>
        </w:trPr>
        <w:tc>
          <w:tcPr>
            <w:tcW w:w="174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Copaltas</w:t>
            </w:r>
            <w:r>
              <w:rPr>
                <w:rFonts w:ascii="Calibri" w:cs="Calibri" w:eastAsia="Calibri" w:hAnsi="Calibri"/>
                <w:sz w:val="16"/>
                <w:szCs w:val="16"/>
                <w:color w:val="auto"/>
                <w:vertAlign w:val="superscript"/>
              </w:rPr>
              <w:t>(2)</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2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178"/>
              <w:spacing w:after="0"/>
              <w:rPr>
                <w:sz w:val="20"/>
                <w:szCs w:val="20"/>
                <w:color w:val="auto"/>
              </w:rPr>
            </w:pPr>
            <w:r>
              <w:rPr>
                <w:rFonts w:ascii="Calibri" w:cs="Calibri" w:eastAsia="Calibri" w:hAnsi="Calibri"/>
                <w:sz w:val="12"/>
                <w:szCs w:val="12"/>
                <w:color w:val="auto"/>
              </w:rPr>
              <w:t>2.1</w:t>
            </w:r>
          </w:p>
        </w:tc>
        <w:tc>
          <w:tcPr>
            <w:tcW w:w="880" w:type="dxa"/>
            <w:vAlign w:val="bottom"/>
            <w:shd w:val="clear" w:color="auto" w:fill="DBDBDB"/>
          </w:tcPr>
          <w:p>
            <w:pPr>
              <w:spacing w:after="0"/>
              <w:rPr>
                <w:sz w:val="17"/>
                <w:szCs w:val="17"/>
                <w:color w:val="auto"/>
              </w:rPr>
            </w:pPr>
          </w:p>
        </w:tc>
        <w:tc>
          <w:tcPr>
            <w:tcW w:w="480" w:type="dxa"/>
            <w:vAlign w:val="bottom"/>
            <w:shd w:val="clear" w:color="auto" w:fill="DBDBDB"/>
          </w:tcPr>
          <w:p>
            <w:pPr>
              <w:jc w:val="right"/>
              <w:ind w:right="118"/>
              <w:spacing w:after="0"/>
              <w:rPr>
                <w:sz w:val="20"/>
                <w:szCs w:val="20"/>
                <w:color w:val="auto"/>
              </w:rPr>
            </w:pPr>
            <w:r>
              <w:rPr>
                <w:rFonts w:ascii="Calibri" w:cs="Calibri" w:eastAsia="Calibri" w:hAnsi="Calibri"/>
                <w:sz w:val="12"/>
                <w:szCs w:val="12"/>
                <w:color w:val="auto"/>
              </w:rPr>
              <w:t>—</w:t>
            </w:r>
          </w:p>
        </w:tc>
        <w:tc>
          <w:tcPr>
            <w:tcW w:w="8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498"/>
              <w:spacing w:after="0"/>
              <w:rPr>
                <w:sz w:val="20"/>
                <w:szCs w:val="20"/>
                <w:color w:val="auto"/>
              </w:rPr>
            </w:pPr>
            <w:r>
              <w:rPr>
                <w:rFonts w:ascii="Calibri" w:cs="Calibri" w:eastAsia="Calibri" w:hAnsi="Calibri"/>
                <w:sz w:val="12"/>
                <w:szCs w:val="12"/>
                <w:color w:val="auto"/>
              </w:rPr>
              <w:t>—</w:t>
            </w:r>
          </w:p>
        </w:tc>
        <w:tc>
          <w:tcPr>
            <w:tcW w:w="360" w:type="dxa"/>
            <w:vAlign w:val="bottom"/>
            <w:shd w:val="clear" w:color="auto" w:fill="DBDBDB"/>
          </w:tcPr>
          <w:p>
            <w:pPr>
              <w:spacing w:after="0"/>
              <w:rPr>
                <w:sz w:val="17"/>
                <w:szCs w:val="17"/>
                <w:color w:val="auto"/>
              </w:rPr>
            </w:pPr>
          </w:p>
        </w:tc>
        <w:tc>
          <w:tcPr>
            <w:tcW w:w="820" w:type="dxa"/>
            <w:vAlign w:val="bottom"/>
            <w:shd w:val="clear" w:color="auto" w:fill="DBDBDB"/>
          </w:tcPr>
          <w:p>
            <w:pPr>
              <w:jc w:val="right"/>
              <w:ind w:right="278"/>
              <w:spacing w:after="0"/>
              <w:rPr>
                <w:sz w:val="20"/>
                <w:szCs w:val="20"/>
                <w:color w:val="auto"/>
              </w:rPr>
            </w:pPr>
            <w:r>
              <w:rPr>
                <w:rFonts w:ascii="Calibri" w:cs="Calibri" w:eastAsia="Calibri" w:hAnsi="Calibri"/>
                <w:sz w:val="12"/>
                <w:szCs w:val="12"/>
                <w:color w:val="auto"/>
              </w:rPr>
              <w:t>2.1</w:t>
            </w: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r>
      <w:tr>
        <w:trPr>
          <w:trHeight w:val="164"/>
        </w:trPr>
        <w:tc>
          <w:tcPr>
            <w:tcW w:w="1740" w:type="dxa"/>
            <w:vAlign w:val="bottom"/>
          </w:tcPr>
          <w:p>
            <w:pPr>
              <w:ind w:left="20"/>
              <w:spacing w:after="0"/>
              <w:rPr>
                <w:sz w:val="20"/>
                <w:szCs w:val="20"/>
                <w:color w:val="auto"/>
              </w:rPr>
            </w:pPr>
            <w:r>
              <w:rPr>
                <w:rFonts w:ascii="Calibri" w:cs="Calibri" w:eastAsia="Calibri" w:hAnsi="Calibri"/>
                <w:sz w:val="12"/>
                <w:szCs w:val="12"/>
                <w:b w:val="1"/>
                <w:bCs w:val="1"/>
                <w:color w:val="auto"/>
              </w:rPr>
              <w:t>Other:</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7"/>
        </w:trPr>
        <w:tc>
          <w:tcPr>
            <w:tcW w:w="1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1"/>
        </w:trPr>
        <w:tc>
          <w:tcPr>
            <w:tcW w:w="174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Directors/Ofcers</w:t>
            </w:r>
            <w:r>
              <w:rPr>
                <w:rFonts w:ascii="Calibri" w:cs="Calibri" w:eastAsia="Calibri" w:hAnsi="Calibri"/>
                <w:sz w:val="16"/>
                <w:szCs w:val="16"/>
                <w:color w:val="auto"/>
                <w:vertAlign w:val="superscript"/>
              </w:rPr>
              <w:t>(3)</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0.1</w:t>
            </w:r>
          </w:p>
        </w:tc>
        <w:tc>
          <w:tcPr>
            <w:tcW w:w="12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178"/>
              <w:spacing w:after="0"/>
              <w:rPr>
                <w:sz w:val="20"/>
                <w:szCs w:val="20"/>
                <w:color w:val="auto"/>
              </w:rPr>
            </w:pPr>
            <w:r>
              <w:rPr>
                <w:rFonts w:ascii="Calibri" w:cs="Calibri" w:eastAsia="Calibri" w:hAnsi="Calibri"/>
                <w:sz w:val="12"/>
                <w:szCs w:val="12"/>
                <w:color w:val="auto"/>
              </w:rPr>
              <w:t>—</w:t>
            </w:r>
          </w:p>
        </w:tc>
        <w:tc>
          <w:tcPr>
            <w:tcW w:w="880" w:type="dxa"/>
            <w:vAlign w:val="bottom"/>
            <w:shd w:val="clear" w:color="auto" w:fill="DBDBDB"/>
          </w:tcPr>
          <w:p>
            <w:pPr>
              <w:spacing w:after="0"/>
              <w:rPr>
                <w:sz w:val="17"/>
                <w:szCs w:val="17"/>
                <w:color w:val="auto"/>
              </w:rPr>
            </w:pPr>
          </w:p>
        </w:tc>
        <w:tc>
          <w:tcPr>
            <w:tcW w:w="480" w:type="dxa"/>
            <w:vAlign w:val="bottom"/>
            <w:shd w:val="clear" w:color="auto" w:fill="DBDBDB"/>
          </w:tcPr>
          <w:p>
            <w:pPr>
              <w:jc w:val="right"/>
              <w:ind w:right="118"/>
              <w:spacing w:after="0"/>
              <w:rPr>
                <w:sz w:val="20"/>
                <w:szCs w:val="20"/>
                <w:color w:val="auto"/>
              </w:rPr>
            </w:pPr>
            <w:r>
              <w:rPr>
                <w:rFonts w:ascii="Calibri" w:cs="Calibri" w:eastAsia="Calibri" w:hAnsi="Calibri"/>
                <w:sz w:val="12"/>
                <w:szCs w:val="12"/>
                <w:color w:val="auto"/>
              </w:rPr>
              <w:t>0.8</w:t>
            </w:r>
          </w:p>
        </w:tc>
        <w:tc>
          <w:tcPr>
            <w:tcW w:w="8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498"/>
              <w:spacing w:after="0"/>
              <w:rPr>
                <w:sz w:val="20"/>
                <w:szCs w:val="20"/>
                <w:color w:val="auto"/>
              </w:rPr>
            </w:pPr>
            <w:r>
              <w:rPr>
                <w:rFonts w:ascii="Calibri" w:cs="Calibri" w:eastAsia="Calibri" w:hAnsi="Calibri"/>
                <w:sz w:val="12"/>
                <w:szCs w:val="12"/>
                <w:color w:val="auto"/>
              </w:rPr>
              <w:t>0.1</w:t>
            </w:r>
          </w:p>
        </w:tc>
        <w:tc>
          <w:tcPr>
            <w:tcW w:w="360" w:type="dxa"/>
            <w:vAlign w:val="bottom"/>
            <w:shd w:val="clear" w:color="auto" w:fill="DBDBDB"/>
          </w:tcPr>
          <w:p>
            <w:pPr>
              <w:spacing w:after="0"/>
              <w:rPr>
                <w:sz w:val="17"/>
                <w:szCs w:val="17"/>
                <w:color w:val="auto"/>
              </w:rPr>
            </w:pPr>
          </w:p>
        </w:tc>
        <w:tc>
          <w:tcPr>
            <w:tcW w:w="820" w:type="dxa"/>
            <w:vAlign w:val="bottom"/>
            <w:shd w:val="clear" w:color="auto" w:fill="DBDBDB"/>
          </w:tcPr>
          <w:p>
            <w:pPr>
              <w:jc w:val="right"/>
              <w:ind w:right="278"/>
              <w:spacing w:after="0"/>
              <w:rPr>
                <w:sz w:val="20"/>
                <w:szCs w:val="20"/>
                <w:color w:val="auto"/>
              </w:rPr>
            </w:pPr>
            <w:r>
              <w:rPr>
                <w:rFonts w:ascii="Calibri" w:cs="Calibri" w:eastAsia="Calibri" w:hAnsi="Calibri"/>
                <w:sz w:val="12"/>
                <w:szCs w:val="12"/>
                <w:color w:val="auto"/>
              </w:rPr>
              <w:t>—</w:t>
            </w: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r>
      <w:tr>
        <w:trPr>
          <w:trHeight w:val="201"/>
        </w:trPr>
        <w:tc>
          <w:tcPr>
            <w:tcW w:w="1740" w:type="dxa"/>
            <w:vAlign w:val="bottom"/>
            <w:tcBorders>
              <w:bottom w:val="single" w:sz="8" w:color="auto"/>
            </w:tcBorders>
          </w:tcPr>
          <w:p>
            <w:pPr>
              <w:ind w:left="140"/>
              <w:spacing w:after="0"/>
              <w:rPr>
                <w:sz w:val="20"/>
                <w:szCs w:val="20"/>
                <w:color w:val="auto"/>
              </w:rPr>
            </w:pPr>
            <w:r>
              <w:rPr>
                <w:rFonts w:ascii="Calibri" w:cs="Calibri" w:eastAsia="Calibri" w:hAnsi="Calibri"/>
                <w:sz w:val="12"/>
                <w:szCs w:val="12"/>
                <w:color w:val="auto"/>
              </w:rPr>
              <w:t>Employees</w:t>
            </w:r>
            <w:r>
              <w:rPr>
                <w:rFonts w:ascii="Calibri" w:cs="Calibri" w:eastAsia="Calibri" w:hAnsi="Calibri"/>
                <w:sz w:val="16"/>
                <w:szCs w:val="16"/>
                <w:color w:val="auto"/>
                <w:vertAlign w:val="superscript"/>
              </w:rPr>
              <w:t>(4)</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78"/>
              <w:spacing w:after="0"/>
              <w:rPr>
                <w:sz w:val="20"/>
                <w:szCs w:val="20"/>
                <w:color w:val="auto"/>
              </w:rPr>
            </w:pPr>
            <w:r>
              <w:rPr>
                <w:rFonts w:ascii="Calibri" w:cs="Calibri" w:eastAsia="Calibri" w:hAnsi="Calibri"/>
                <w:sz w:val="12"/>
                <w:szCs w:val="12"/>
                <w:color w:val="auto"/>
              </w:rPr>
              <w:t>—</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18"/>
              <w:spacing w:after="0"/>
              <w:rPr>
                <w:sz w:val="20"/>
                <w:szCs w:val="20"/>
                <w:color w:val="auto"/>
              </w:rPr>
            </w:pPr>
            <w:r>
              <w:rPr>
                <w:rFonts w:ascii="Calibri" w:cs="Calibri" w:eastAsia="Calibri" w:hAnsi="Calibri"/>
                <w:sz w:val="12"/>
                <w:szCs w:val="12"/>
                <w:color w:val="auto"/>
              </w:rPr>
              <w:t>0.4</w:t>
            </w: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98"/>
              <w:spacing w:after="0"/>
              <w:rPr>
                <w:sz w:val="20"/>
                <w:szCs w:val="20"/>
                <w:color w:val="auto"/>
              </w:rPr>
            </w:pPr>
            <w:r>
              <w:rPr>
                <w:rFonts w:ascii="Calibri" w:cs="Calibri" w:eastAsia="Calibri" w:hAnsi="Calibri"/>
                <w:sz w:val="12"/>
                <w:szCs w:val="12"/>
                <w:color w:val="auto"/>
              </w:rPr>
              <w:t>—</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color w:val="auto"/>
              </w:rPr>
              <w:t>0.2</w:t>
            </w:r>
          </w:p>
        </w:tc>
      </w:tr>
      <w:tr>
        <w:trPr>
          <w:trHeight w:val="207"/>
        </w:trPr>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gridSpan w:val="7"/>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64"/>
        </w:trPr>
        <w:tc>
          <w:tcPr>
            <w:tcW w:w="1740" w:type="dxa"/>
            <w:vAlign w:val="bottom"/>
            <w:shd w:val="clear" w:color="auto" w:fill="43C0B9"/>
          </w:tcPr>
          <w:p>
            <w:pPr>
              <w:spacing w:after="0"/>
              <w:rPr>
                <w:sz w:val="14"/>
                <w:szCs w:val="14"/>
                <w:color w:val="auto"/>
              </w:rPr>
            </w:pPr>
          </w:p>
        </w:tc>
        <w:tc>
          <w:tcPr>
            <w:tcW w:w="340" w:type="dxa"/>
            <w:vAlign w:val="bottom"/>
            <w:shd w:val="clear" w:color="auto" w:fill="43C0B9"/>
          </w:tcPr>
          <w:p>
            <w:pPr>
              <w:spacing w:after="0"/>
              <w:rPr>
                <w:sz w:val="14"/>
                <w:szCs w:val="14"/>
                <w:color w:val="auto"/>
              </w:rPr>
            </w:pPr>
          </w:p>
        </w:tc>
        <w:tc>
          <w:tcPr>
            <w:tcW w:w="780" w:type="dxa"/>
            <w:vAlign w:val="bottom"/>
            <w:shd w:val="clear" w:color="auto" w:fill="43C0B9"/>
          </w:tcPr>
          <w:p>
            <w:pPr>
              <w:spacing w:after="0"/>
              <w:rPr>
                <w:sz w:val="14"/>
                <w:szCs w:val="14"/>
                <w:color w:val="auto"/>
              </w:rPr>
            </w:pPr>
          </w:p>
        </w:tc>
        <w:tc>
          <w:tcPr>
            <w:tcW w:w="280" w:type="dxa"/>
            <w:vAlign w:val="bottom"/>
            <w:shd w:val="clear" w:color="auto" w:fill="43C0B9"/>
          </w:tcPr>
          <w:p>
            <w:pPr>
              <w:spacing w:after="0"/>
              <w:rPr>
                <w:sz w:val="14"/>
                <w:szCs w:val="14"/>
                <w:color w:val="auto"/>
              </w:rPr>
            </w:pPr>
          </w:p>
        </w:tc>
        <w:tc>
          <w:tcPr>
            <w:tcW w:w="880" w:type="dxa"/>
            <w:vAlign w:val="bottom"/>
            <w:shd w:val="clear" w:color="auto" w:fill="43C0B9"/>
          </w:tcPr>
          <w:p>
            <w:pPr>
              <w:spacing w:after="0"/>
              <w:rPr>
                <w:sz w:val="14"/>
                <w:szCs w:val="14"/>
                <w:color w:val="auto"/>
              </w:rPr>
            </w:pPr>
          </w:p>
        </w:tc>
        <w:tc>
          <w:tcPr>
            <w:tcW w:w="120" w:type="dxa"/>
            <w:vAlign w:val="bottom"/>
            <w:shd w:val="clear" w:color="auto" w:fill="43C0B9"/>
          </w:tcPr>
          <w:p>
            <w:pPr>
              <w:spacing w:after="0"/>
              <w:rPr>
                <w:sz w:val="14"/>
                <w:szCs w:val="14"/>
                <w:color w:val="auto"/>
              </w:rPr>
            </w:pPr>
          </w:p>
        </w:tc>
        <w:tc>
          <w:tcPr>
            <w:tcW w:w="4780" w:type="dxa"/>
            <w:vAlign w:val="bottom"/>
            <w:gridSpan w:val="7"/>
            <w:shd w:val="clear" w:color="auto" w:fill="43C0B9"/>
          </w:tcPr>
          <w:p>
            <w:pPr>
              <w:jc w:val="right"/>
              <w:ind w:right="578"/>
              <w:spacing w:after="0"/>
              <w:rPr>
                <w:sz w:val="20"/>
                <w:szCs w:val="20"/>
                <w:color w:val="auto"/>
              </w:rPr>
            </w:pPr>
            <w:r>
              <w:rPr>
                <w:rFonts w:ascii="Calibri" w:cs="Calibri" w:eastAsia="Calibri" w:hAnsi="Calibri"/>
                <w:sz w:val="12"/>
                <w:szCs w:val="12"/>
                <w:b w:val="1"/>
                <w:bCs w:val="1"/>
                <w:color w:val="FFFFFF"/>
              </w:rPr>
              <w:t>Condensed Consolidated Statements of Comprehensive Income (Loss)</w:t>
            </w:r>
          </w:p>
        </w:tc>
        <w:tc>
          <w:tcPr>
            <w:tcW w:w="360" w:type="dxa"/>
            <w:vAlign w:val="bottom"/>
            <w:shd w:val="clear" w:color="auto" w:fill="43C0B9"/>
          </w:tcPr>
          <w:p>
            <w:pPr>
              <w:spacing w:after="0"/>
              <w:rPr>
                <w:sz w:val="14"/>
                <w:szCs w:val="14"/>
                <w:color w:val="auto"/>
              </w:rPr>
            </w:pPr>
          </w:p>
        </w:tc>
        <w:tc>
          <w:tcPr>
            <w:tcW w:w="820" w:type="dxa"/>
            <w:vAlign w:val="bottom"/>
            <w:shd w:val="clear" w:color="auto" w:fill="43C0B9"/>
          </w:tcPr>
          <w:p>
            <w:pPr>
              <w:spacing w:after="0"/>
              <w:rPr>
                <w:sz w:val="14"/>
                <w:szCs w:val="14"/>
                <w:color w:val="auto"/>
              </w:rPr>
            </w:pPr>
          </w:p>
        </w:tc>
        <w:tc>
          <w:tcPr>
            <w:tcW w:w="160" w:type="dxa"/>
            <w:vAlign w:val="bottom"/>
            <w:shd w:val="clear" w:color="auto" w:fill="43C0B9"/>
          </w:tcPr>
          <w:p>
            <w:pPr>
              <w:spacing w:after="0"/>
              <w:rPr>
                <w:sz w:val="14"/>
                <w:szCs w:val="14"/>
                <w:color w:val="auto"/>
              </w:rPr>
            </w:pPr>
          </w:p>
        </w:tc>
        <w:tc>
          <w:tcPr>
            <w:tcW w:w="980" w:type="dxa"/>
            <w:vAlign w:val="bottom"/>
            <w:shd w:val="clear" w:color="auto" w:fill="43C0B9"/>
          </w:tcPr>
          <w:p>
            <w:pPr>
              <w:spacing w:after="0"/>
              <w:rPr>
                <w:sz w:val="14"/>
                <w:szCs w:val="14"/>
                <w:color w:val="auto"/>
              </w:rPr>
            </w:pPr>
          </w:p>
        </w:tc>
      </w:tr>
      <w:tr>
        <w:trPr>
          <w:trHeight w:val="214"/>
        </w:trPr>
        <w:tc>
          <w:tcPr>
            <w:tcW w:w="1740" w:type="dxa"/>
            <w:vAlign w:val="bottom"/>
            <w:shd w:val="clear" w:color="auto" w:fill="43C0B9"/>
          </w:tcPr>
          <w:p>
            <w:pPr>
              <w:spacing w:after="0"/>
              <w:rPr>
                <w:sz w:val="18"/>
                <w:szCs w:val="18"/>
                <w:color w:val="auto"/>
              </w:rPr>
            </w:pPr>
          </w:p>
        </w:tc>
        <w:tc>
          <w:tcPr>
            <w:tcW w:w="340" w:type="dxa"/>
            <w:vAlign w:val="bottom"/>
            <w:shd w:val="clear" w:color="auto" w:fill="43C0B9"/>
          </w:tcPr>
          <w:p>
            <w:pPr>
              <w:spacing w:after="0"/>
              <w:rPr>
                <w:sz w:val="18"/>
                <w:szCs w:val="18"/>
                <w:color w:val="auto"/>
              </w:rPr>
            </w:pPr>
          </w:p>
        </w:tc>
        <w:tc>
          <w:tcPr>
            <w:tcW w:w="780" w:type="dxa"/>
            <w:vAlign w:val="bottom"/>
            <w:shd w:val="clear" w:color="auto" w:fill="43C0B9"/>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2020" w:type="dxa"/>
            <w:vAlign w:val="bottom"/>
            <w:gridSpan w:val="3"/>
            <w:shd w:val="clear" w:color="auto" w:fill="43C0B9"/>
          </w:tcPr>
          <w:p>
            <w:pPr>
              <w:jc w:val="center"/>
              <w:ind w:right="158"/>
              <w:spacing w:after="0"/>
              <w:rPr>
                <w:sz w:val="20"/>
                <w:szCs w:val="20"/>
                <w:color w:val="auto"/>
              </w:rPr>
            </w:pPr>
            <w:r>
              <w:rPr>
                <w:rFonts w:ascii="Calibri" w:cs="Calibri" w:eastAsia="Calibri" w:hAnsi="Calibri"/>
                <w:sz w:val="12"/>
                <w:szCs w:val="12"/>
                <w:b w:val="1"/>
                <w:bCs w:val="1"/>
                <w:color w:val="FFFFFF"/>
              </w:rPr>
              <w:t>Three Months Ended</w:t>
            </w:r>
          </w:p>
        </w:tc>
        <w:tc>
          <w:tcPr>
            <w:tcW w:w="420" w:type="dxa"/>
            <w:vAlign w:val="bottom"/>
            <w:shd w:val="clear" w:color="auto" w:fill="43C0B9"/>
          </w:tcPr>
          <w:p>
            <w:pPr>
              <w:spacing w:after="0"/>
              <w:rPr>
                <w:sz w:val="18"/>
                <w:szCs w:val="18"/>
                <w:color w:val="auto"/>
              </w:rPr>
            </w:pPr>
          </w:p>
        </w:tc>
        <w:tc>
          <w:tcPr>
            <w:tcW w:w="880" w:type="dxa"/>
            <w:vAlign w:val="bottom"/>
            <w:shd w:val="clear" w:color="auto" w:fill="43C0B9"/>
          </w:tcPr>
          <w:p>
            <w:pPr>
              <w:spacing w:after="0"/>
              <w:rPr>
                <w:sz w:val="18"/>
                <w:szCs w:val="18"/>
                <w:color w:val="auto"/>
              </w:rPr>
            </w:pPr>
          </w:p>
        </w:tc>
        <w:tc>
          <w:tcPr>
            <w:tcW w:w="480" w:type="dxa"/>
            <w:vAlign w:val="bottom"/>
            <w:shd w:val="clear" w:color="auto" w:fill="43C0B9"/>
          </w:tcPr>
          <w:p>
            <w:pPr>
              <w:spacing w:after="0"/>
              <w:rPr>
                <w:sz w:val="18"/>
                <w:szCs w:val="18"/>
                <w:color w:val="auto"/>
              </w:rPr>
            </w:pPr>
          </w:p>
        </w:tc>
        <w:tc>
          <w:tcPr>
            <w:tcW w:w="800" w:type="dxa"/>
            <w:vAlign w:val="bottom"/>
            <w:shd w:val="clear" w:color="auto" w:fill="43C0B9"/>
          </w:tcPr>
          <w:p>
            <w:pPr>
              <w:spacing w:after="0"/>
              <w:rPr>
                <w:sz w:val="18"/>
                <w:szCs w:val="18"/>
                <w:color w:val="auto"/>
              </w:rPr>
            </w:pPr>
          </w:p>
        </w:tc>
        <w:tc>
          <w:tcPr>
            <w:tcW w:w="340" w:type="dxa"/>
            <w:vAlign w:val="bottom"/>
            <w:shd w:val="clear" w:color="auto" w:fill="43C0B9"/>
          </w:tcPr>
          <w:p>
            <w:pPr>
              <w:spacing w:after="0"/>
              <w:rPr>
                <w:sz w:val="18"/>
                <w:szCs w:val="18"/>
                <w:color w:val="auto"/>
              </w:rPr>
            </w:pPr>
          </w:p>
        </w:tc>
        <w:tc>
          <w:tcPr>
            <w:tcW w:w="2020" w:type="dxa"/>
            <w:vAlign w:val="bottom"/>
            <w:gridSpan w:val="3"/>
            <w:shd w:val="clear" w:color="auto" w:fill="43C0B9"/>
          </w:tcPr>
          <w:p>
            <w:pPr>
              <w:jc w:val="center"/>
              <w:ind w:right="278"/>
              <w:spacing w:after="0"/>
              <w:rPr>
                <w:sz w:val="20"/>
                <w:szCs w:val="20"/>
                <w:color w:val="auto"/>
              </w:rPr>
            </w:pPr>
            <w:r>
              <w:rPr>
                <w:rFonts w:ascii="Calibri" w:cs="Calibri" w:eastAsia="Calibri" w:hAnsi="Calibri"/>
                <w:sz w:val="12"/>
                <w:szCs w:val="12"/>
                <w:b w:val="1"/>
                <w:bCs w:val="1"/>
                <w:color w:val="FFFFFF"/>
              </w:rPr>
              <w:t>Six Months Ended</w:t>
            </w:r>
          </w:p>
        </w:tc>
        <w:tc>
          <w:tcPr>
            <w:tcW w:w="160" w:type="dxa"/>
            <w:vAlign w:val="bottom"/>
            <w:shd w:val="clear" w:color="auto" w:fill="43C0B9"/>
          </w:tcPr>
          <w:p>
            <w:pPr>
              <w:spacing w:after="0"/>
              <w:rPr>
                <w:sz w:val="18"/>
                <w:szCs w:val="18"/>
                <w:color w:val="auto"/>
              </w:rPr>
            </w:pPr>
          </w:p>
        </w:tc>
        <w:tc>
          <w:tcPr>
            <w:tcW w:w="980" w:type="dxa"/>
            <w:vAlign w:val="bottom"/>
            <w:shd w:val="clear" w:color="auto" w:fill="43C0B9"/>
          </w:tcPr>
          <w:p>
            <w:pPr>
              <w:spacing w:after="0"/>
              <w:rPr>
                <w:sz w:val="18"/>
                <w:szCs w:val="18"/>
                <w:color w:val="auto"/>
              </w:rPr>
            </w:pPr>
          </w:p>
        </w:tc>
      </w:tr>
      <w:tr>
        <w:trPr>
          <w:trHeight w:val="148"/>
        </w:trPr>
        <w:tc>
          <w:tcPr>
            <w:tcW w:w="1740" w:type="dxa"/>
            <w:vAlign w:val="bottom"/>
            <w:shd w:val="clear" w:color="auto" w:fill="43C0B9"/>
          </w:tcPr>
          <w:p>
            <w:pPr>
              <w:spacing w:after="0"/>
              <w:rPr>
                <w:sz w:val="12"/>
                <w:szCs w:val="12"/>
                <w:color w:val="auto"/>
              </w:rPr>
            </w:pPr>
          </w:p>
        </w:tc>
        <w:tc>
          <w:tcPr>
            <w:tcW w:w="340" w:type="dxa"/>
            <w:vAlign w:val="bottom"/>
            <w:shd w:val="clear" w:color="auto" w:fill="43C0B9"/>
          </w:tcPr>
          <w:p>
            <w:pPr>
              <w:spacing w:after="0"/>
              <w:rPr>
                <w:sz w:val="12"/>
                <w:szCs w:val="12"/>
                <w:color w:val="auto"/>
              </w:rPr>
            </w:pPr>
          </w:p>
        </w:tc>
        <w:tc>
          <w:tcPr>
            <w:tcW w:w="780" w:type="dxa"/>
            <w:vAlign w:val="bottom"/>
            <w:shd w:val="clear" w:color="auto" w:fill="43C0B9"/>
          </w:tcPr>
          <w:p>
            <w:pPr>
              <w:spacing w:after="0"/>
              <w:rPr>
                <w:sz w:val="12"/>
                <w:szCs w:val="12"/>
                <w:color w:val="auto"/>
              </w:rPr>
            </w:pPr>
          </w:p>
        </w:tc>
        <w:tc>
          <w:tcPr>
            <w:tcW w:w="280" w:type="dxa"/>
            <w:vAlign w:val="bottom"/>
            <w:shd w:val="clear" w:color="auto" w:fill="43C0B9"/>
          </w:tcPr>
          <w:p>
            <w:pPr>
              <w:spacing w:after="0"/>
              <w:rPr>
                <w:sz w:val="12"/>
                <w:szCs w:val="12"/>
                <w:color w:val="auto"/>
              </w:rPr>
            </w:pPr>
          </w:p>
        </w:tc>
        <w:tc>
          <w:tcPr>
            <w:tcW w:w="2020" w:type="dxa"/>
            <w:vAlign w:val="bottom"/>
            <w:gridSpan w:val="3"/>
            <w:shd w:val="clear" w:color="auto" w:fill="43C0B9"/>
          </w:tcPr>
          <w:p>
            <w:pPr>
              <w:jc w:val="center"/>
              <w:ind w:right="158"/>
              <w:spacing w:after="0"/>
              <w:rPr>
                <w:sz w:val="20"/>
                <w:szCs w:val="20"/>
                <w:color w:val="auto"/>
              </w:rPr>
            </w:pPr>
            <w:r>
              <w:rPr>
                <w:rFonts w:ascii="Calibri" w:cs="Calibri" w:eastAsia="Calibri" w:hAnsi="Calibri"/>
                <w:sz w:val="12"/>
                <w:szCs w:val="12"/>
                <w:b w:val="1"/>
                <w:bCs w:val="1"/>
                <w:color w:val="FFFFFF"/>
              </w:rPr>
              <w:t>April 30, 2022</w:t>
            </w:r>
          </w:p>
        </w:tc>
        <w:tc>
          <w:tcPr>
            <w:tcW w:w="420" w:type="dxa"/>
            <w:vAlign w:val="bottom"/>
            <w:shd w:val="clear" w:color="auto" w:fill="43C0B9"/>
          </w:tcPr>
          <w:p>
            <w:pPr>
              <w:spacing w:after="0"/>
              <w:rPr>
                <w:sz w:val="12"/>
                <w:szCs w:val="12"/>
                <w:color w:val="auto"/>
              </w:rPr>
            </w:pPr>
          </w:p>
        </w:tc>
        <w:tc>
          <w:tcPr>
            <w:tcW w:w="880" w:type="dxa"/>
            <w:vAlign w:val="bottom"/>
            <w:shd w:val="clear" w:color="auto" w:fill="43C0B9"/>
          </w:tcPr>
          <w:p>
            <w:pPr>
              <w:spacing w:after="0"/>
              <w:rPr>
                <w:sz w:val="12"/>
                <w:szCs w:val="12"/>
                <w:color w:val="auto"/>
              </w:rPr>
            </w:pPr>
          </w:p>
        </w:tc>
        <w:tc>
          <w:tcPr>
            <w:tcW w:w="480" w:type="dxa"/>
            <w:vAlign w:val="bottom"/>
            <w:shd w:val="clear" w:color="auto" w:fill="43C0B9"/>
          </w:tcPr>
          <w:p>
            <w:pPr>
              <w:spacing w:after="0"/>
              <w:rPr>
                <w:sz w:val="12"/>
                <w:szCs w:val="12"/>
                <w:color w:val="auto"/>
              </w:rPr>
            </w:pPr>
          </w:p>
        </w:tc>
        <w:tc>
          <w:tcPr>
            <w:tcW w:w="800" w:type="dxa"/>
            <w:vAlign w:val="bottom"/>
            <w:shd w:val="clear" w:color="auto" w:fill="43C0B9"/>
          </w:tcPr>
          <w:p>
            <w:pPr>
              <w:spacing w:after="0"/>
              <w:rPr>
                <w:sz w:val="12"/>
                <w:szCs w:val="12"/>
                <w:color w:val="auto"/>
              </w:rPr>
            </w:pPr>
          </w:p>
        </w:tc>
        <w:tc>
          <w:tcPr>
            <w:tcW w:w="340" w:type="dxa"/>
            <w:vAlign w:val="bottom"/>
            <w:shd w:val="clear" w:color="auto" w:fill="43C0B9"/>
          </w:tcPr>
          <w:p>
            <w:pPr>
              <w:spacing w:after="0"/>
              <w:rPr>
                <w:sz w:val="12"/>
                <w:szCs w:val="12"/>
                <w:color w:val="auto"/>
              </w:rPr>
            </w:pPr>
          </w:p>
        </w:tc>
        <w:tc>
          <w:tcPr>
            <w:tcW w:w="1200" w:type="dxa"/>
            <w:vAlign w:val="bottom"/>
            <w:gridSpan w:val="2"/>
            <w:shd w:val="clear" w:color="auto" w:fill="43C0B9"/>
          </w:tcPr>
          <w:p>
            <w:pPr>
              <w:jc w:val="center"/>
              <w:ind w:left="418"/>
              <w:spacing w:after="0"/>
              <w:rPr>
                <w:sz w:val="20"/>
                <w:szCs w:val="20"/>
                <w:color w:val="auto"/>
              </w:rPr>
            </w:pPr>
            <w:r>
              <w:rPr>
                <w:rFonts w:ascii="Calibri" w:cs="Calibri" w:eastAsia="Calibri" w:hAnsi="Calibri"/>
                <w:sz w:val="12"/>
                <w:szCs w:val="12"/>
                <w:b w:val="1"/>
                <w:bCs w:val="1"/>
                <w:color w:val="FFFFFF"/>
              </w:rPr>
              <w:t>April 30, 2022</w:t>
            </w:r>
          </w:p>
        </w:tc>
        <w:tc>
          <w:tcPr>
            <w:tcW w:w="820" w:type="dxa"/>
            <w:vAlign w:val="bottom"/>
            <w:shd w:val="clear" w:color="auto" w:fill="43C0B9"/>
          </w:tcPr>
          <w:p>
            <w:pPr>
              <w:spacing w:after="0"/>
              <w:rPr>
                <w:sz w:val="12"/>
                <w:szCs w:val="12"/>
                <w:color w:val="auto"/>
              </w:rPr>
            </w:pPr>
          </w:p>
        </w:tc>
        <w:tc>
          <w:tcPr>
            <w:tcW w:w="160" w:type="dxa"/>
            <w:vAlign w:val="bottom"/>
            <w:shd w:val="clear" w:color="auto" w:fill="43C0B9"/>
          </w:tcPr>
          <w:p>
            <w:pPr>
              <w:spacing w:after="0"/>
              <w:rPr>
                <w:sz w:val="12"/>
                <w:szCs w:val="12"/>
                <w:color w:val="auto"/>
              </w:rPr>
            </w:pPr>
          </w:p>
        </w:tc>
        <w:tc>
          <w:tcPr>
            <w:tcW w:w="980" w:type="dxa"/>
            <w:vAlign w:val="bottom"/>
            <w:shd w:val="clear" w:color="auto" w:fill="43C0B9"/>
          </w:tcPr>
          <w:p>
            <w:pPr>
              <w:spacing w:after="0"/>
              <w:rPr>
                <w:sz w:val="12"/>
                <w:szCs w:val="12"/>
                <w:color w:val="auto"/>
              </w:rPr>
            </w:pPr>
          </w:p>
        </w:tc>
      </w:tr>
      <w:tr>
        <w:trPr>
          <w:trHeight w:val="214"/>
        </w:trPr>
        <w:tc>
          <w:tcPr>
            <w:tcW w:w="1740" w:type="dxa"/>
            <w:vAlign w:val="bottom"/>
            <w:shd w:val="clear" w:color="auto" w:fill="43C0B9"/>
          </w:tcPr>
          <w:p>
            <w:pPr>
              <w:spacing w:after="0"/>
              <w:rPr>
                <w:sz w:val="18"/>
                <w:szCs w:val="18"/>
                <w:color w:val="auto"/>
              </w:rPr>
            </w:pPr>
          </w:p>
        </w:tc>
        <w:tc>
          <w:tcPr>
            <w:tcW w:w="340" w:type="dxa"/>
            <w:vAlign w:val="bottom"/>
            <w:shd w:val="clear" w:color="auto" w:fill="43C0B9"/>
          </w:tcPr>
          <w:p>
            <w:pPr>
              <w:spacing w:after="0"/>
              <w:rPr>
                <w:sz w:val="18"/>
                <w:szCs w:val="18"/>
                <w:color w:val="auto"/>
              </w:rPr>
            </w:pPr>
          </w:p>
        </w:tc>
        <w:tc>
          <w:tcPr>
            <w:tcW w:w="780" w:type="dxa"/>
            <w:vAlign w:val="bottom"/>
            <w:shd w:val="clear" w:color="auto" w:fill="43C0B9"/>
          </w:tcPr>
          <w:p>
            <w:pPr>
              <w:spacing w:after="0"/>
              <w:rPr>
                <w:sz w:val="18"/>
                <w:szCs w:val="18"/>
                <w:color w:val="auto"/>
              </w:rPr>
            </w:pPr>
          </w:p>
        </w:tc>
        <w:tc>
          <w:tcPr>
            <w:tcW w:w="280" w:type="dxa"/>
            <w:vAlign w:val="bottom"/>
            <w:shd w:val="clear" w:color="auto" w:fill="43C0B9"/>
          </w:tcPr>
          <w:p>
            <w:pPr>
              <w:spacing w:after="0"/>
              <w:rPr>
                <w:sz w:val="18"/>
                <w:szCs w:val="18"/>
                <w:color w:val="auto"/>
              </w:rPr>
            </w:pPr>
          </w:p>
        </w:tc>
        <w:tc>
          <w:tcPr>
            <w:tcW w:w="880" w:type="dxa"/>
            <w:vAlign w:val="bottom"/>
            <w:shd w:val="clear" w:color="auto" w:fill="43C0B9"/>
          </w:tcPr>
          <w:p>
            <w:pPr>
              <w:spacing w:after="0"/>
              <w:rPr>
                <w:sz w:val="18"/>
                <w:szCs w:val="18"/>
                <w:color w:val="auto"/>
              </w:rPr>
            </w:pPr>
          </w:p>
        </w:tc>
        <w:tc>
          <w:tcPr>
            <w:tcW w:w="120" w:type="dxa"/>
            <w:vAlign w:val="bottom"/>
            <w:shd w:val="clear" w:color="auto" w:fill="43C0B9"/>
          </w:tcPr>
          <w:p>
            <w:pPr>
              <w:spacing w:after="0"/>
              <w:rPr>
                <w:sz w:val="18"/>
                <w:szCs w:val="18"/>
                <w:color w:val="auto"/>
              </w:rPr>
            </w:pPr>
          </w:p>
        </w:tc>
        <w:tc>
          <w:tcPr>
            <w:tcW w:w="1020" w:type="dxa"/>
            <w:vAlign w:val="bottom"/>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Selling, general and</w:t>
            </w:r>
          </w:p>
        </w:tc>
        <w:tc>
          <w:tcPr>
            <w:tcW w:w="420" w:type="dxa"/>
            <w:vAlign w:val="bottom"/>
            <w:shd w:val="clear" w:color="auto" w:fill="43C0B9"/>
          </w:tcPr>
          <w:p>
            <w:pPr>
              <w:spacing w:after="0"/>
              <w:rPr>
                <w:sz w:val="18"/>
                <w:szCs w:val="18"/>
                <w:color w:val="auto"/>
              </w:rPr>
            </w:pPr>
          </w:p>
        </w:tc>
        <w:tc>
          <w:tcPr>
            <w:tcW w:w="880" w:type="dxa"/>
            <w:vAlign w:val="bottom"/>
            <w:shd w:val="clear" w:color="auto" w:fill="43C0B9"/>
          </w:tcPr>
          <w:p>
            <w:pPr>
              <w:spacing w:after="0"/>
              <w:rPr>
                <w:sz w:val="18"/>
                <w:szCs w:val="18"/>
                <w:color w:val="auto"/>
              </w:rPr>
            </w:pPr>
          </w:p>
        </w:tc>
        <w:tc>
          <w:tcPr>
            <w:tcW w:w="480" w:type="dxa"/>
            <w:vAlign w:val="bottom"/>
            <w:shd w:val="clear" w:color="auto" w:fill="43C0B9"/>
          </w:tcPr>
          <w:p>
            <w:pPr>
              <w:spacing w:after="0"/>
              <w:rPr>
                <w:sz w:val="18"/>
                <w:szCs w:val="18"/>
                <w:color w:val="auto"/>
              </w:rPr>
            </w:pPr>
          </w:p>
        </w:tc>
        <w:tc>
          <w:tcPr>
            <w:tcW w:w="800" w:type="dxa"/>
            <w:vAlign w:val="bottom"/>
            <w:shd w:val="clear" w:color="auto" w:fill="43C0B9"/>
          </w:tcPr>
          <w:p>
            <w:pPr>
              <w:spacing w:after="0"/>
              <w:rPr>
                <w:sz w:val="18"/>
                <w:szCs w:val="18"/>
                <w:color w:val="auto"/>
              </w:rPr>
            </w:pPr>
          </w:p>
        </w:tc>
        <w:tc>
          <w:tcPr>
            <w:tcW w:w="340" w:type="dxa"/>
            <w:vAlign w:val="bottom"/>
            <w:shd w:val="clear" w:color="auto" w:fill="43C0B9"/>
          </w:tcPr>
          <w:p>
            <w:pPr>
              <w:spacing w:after="0"/>
              <w:rPr>
                <w:sz w:val="18"/>
                <w:szCs w:val="18"/>
                <w:color w:val="auto"/>
              </w:rPr>
            </w:pPr>
          </w:p>
        </w:tc>
        <w:tc>
          <w:tcPr>
            <w:tcW w:w="840" w:type="dxa"/>
            <w:vAlign w:val="bottom"/>
            <w:shd w:val="clear" w:color="auto" w:fill="43C0B9"/>
          </w:tcPr>
          <w:p>
            <w:pPr>
              <w:spacing w:after="0"/>
              <w:rPr>
                <w:sz w:val="18"/>
                <w:szCs w:val="18"/>
                <w:color w:val="auto"/>
              </w:rPr>
            </w:pPr>
          </w:p>
        </w:tc>
        <w:tc>
          <w:tcPr>
            <w:tcW w:w="1180" w:type="dxa"/>
            <w:vAlign w:val="bottom"/>
            <w:gridSpan w:val="2"/>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Selling, general and</w:t>
            </w:r>
          </w:p>
        </w:tc>
        <w:tc>
          <w:tcPr>
            <w:tcW w:w="160" w:type="dxa"/>
            <w:vAlign w:val="bottom"/>
            <w:shd w:val="clear" w:color="auto" w:fill="43C0B9"/>
          </w:tcPr>
          <w:p>
            <w:pPr>
              <w:spacing w:after="0"/>
              <w:rPr>
                <w:sz w:val="18"/>
                <w:szCs w:val="18"/>
                <w:color w:val="auto"/>
              </w:rPr>
            </w:pPr>
          </w:p>
        </w:tc>
        <w:tc>
          <w:tcPr>
            <w:tcW w:w="980" w:type="dxa"/>
            <w:vAlign w:val="bottom"/>
            <w:shd w:val="clear" w:color="auto" w:fill="43C0B9"/>
          </w:tcPr>
          <w:p>
            <w:pPr>
              <w:spacing w:after="0"/>
              <w:rPr>
                <w:sz w:val="18"/>
                <w:szCs w:val="18"/>
                <w:color w:val="auto"/>
              </w:rPr>
            </w:pPr>
          </w:p>
        </w:tc>
      </w:tr>
      <w:tr>
        <w:trPr>
          <w:trHeight w:val="147"/>
        </w:trPr>
        <w:tc>
          <w:tcPr>
            <w:tcW w:w="1740" w:type="dxa"/>
            <w:vAlign w:val="bottom"/>
            <w:shd w:val="clear" w:color="auto" w:fill="43C0B9"/>
          </w:tcPr>
          <w:p>
            <w:pPr>
              <w:spacing w:after="0"/>
              <w:rPr>
                <w:sz w:val="12"/>
                <w:szCs w:val="12"/>
                <w:color w:val="auto"/>
              </w:rPr>
            </w:pPr>
          </w:p>
        </w:tc>
        <w:tc>
          <w:tcPr>
            <w:tcW w:w="340" w:type="dxa"/>
            <w:vAlign w:val="bottom"/>
            <w:shd w:val="clear" w:color="auto" w:fill="43C0B9"/>
          </w:tcPr>
          <w:p>
            <w:pPr>
              <w:spacing w:after="0"/>
              <w:rPr>
                <w:sz w:val="12"/>
                <w:szCs w:val="12"/>
                <w:color w:val="auto"/>
              </w:rPr>
            </w:pPr>
          </w:p>
        </w:tc>
        <w:tc>
          <w:tcPr>
            <w:tcW w:w="780" w:type="dxa"/>
            <w:vAlign w:val="bottom"/>
            <w:shd w:val="clear" w:color="auto" w:fill="43C0B9"/>
          </w:tcPr>
          <w:p>
            <w:pPr>
              <w:spacing w:after="0"/>
              <w:rPr>
                <w:sz w:val="12"/>
                <w:szCs w:val="12"/>
                <w:color w:val="auto"/>
              </w:rPr>
            </w:pPr>
          </w:p>
        </w:tc>
        <w:tc>
          <w:tcPr>
            <w:tcW w:w="280" w:type="dxa"/>
            <w:vAlign w:val="bottom"/>
            <w:shd w:val="clear" w:color="auto" w:fill="43C0B9"/>
          </w:tcPr>
          <w:p>
            <w:pPr>
              <w:spacing w:after="0"/>
              <w:rPr>
                <w:sz w:val="12"/>
                <w:szCs w:val="12"/>
                <w:color w:val="auto"/>
              </w:rPr>
            </w:pPr>
          </w:p>
        </w:tc>
        <w:tc>
          <w:tcPr>
            <w:tcW w:w="880" w:type="dxa"/>
            <w:vAlign w:val="bottom"/>
            <w:shd w:val="clear" w:color="auto" w:fill="43C0B9"/>
          </w:tcPr>
          <w:p>
            <w:pPr>
              <w:spacing w:after="0"/>
              <w:rPr>
                <w:sz w:val="12"/>
                <w:szCs w:val="12"/>
                <w:color w:val="auto"/>
              </w:rPr>
            </w:pPr>
          </w:p>
        </w:tc>
        <w:tc>
          <w:tcPr>
            <w:tcW w:w="120" w:type="dxa"/>
            <w:vAlign w:val="bottom"/>
            <w:shd w:val="clear" w:color="auto" w:fill="43C0B9"/>
          </w:tcPr>
          <w:p>
            <w:pPr>
              <w:spacing w:after="0"/>
              <w:rPr>
                <w:sz w:val="12"/>
                <w:szCs w:val="12"/>
                <w:color w:val="auto"/>
              </w:rPr>
            </w:pPr>
          </w:p>
        </w:tc>
        <w:tc>
          <w:tcPr>
            <w:tcW w:w="1020" w:type="dxa"/>
            <w:vAlign w:val="bottom"/>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administratve</w:t>
            </w:r>
          </w:p>
        </w:tc>
        <w:tc>
          <w:tcPr>
            <w:tcW w:w="420" w:type="dxa"/>
            <w:vAlign w:val="bottom"/>
            <w:shd w:val="clear" w:color="auto" w:fill="43C0B9"/>
          </w:tcPr>
          <w:p>
            <w:pPr>
              <w:spacing w:after="0"/>
              <w:rPr>
                <w:sz w:val="12"/>
                <w:szCs w:val="12"/>
                <w:color w:val="auto"/>
              </w:rPr>
            </w:pPr>
          </w:p>
        </w:tc>
        <w:tc>
          <w:tcPr>
            <w:tcW w:w="880" w:type="dxa"/>
            <w:vAlign w:val="bottom"/>
            <w:shd w:val="clear" w:color="auto" w:fill="43C0B9"/>
          </w:tcPr>
          <w:p>
            <w:pPr>
              <w:jc w:val="right"/>
              <w:ind w:right="78"/>
              <w:spacing w:after="0"/>
              <w:rPr>
                <w:sz w:val="20"/>
                <w:szCs w:val="20"/>
                <w:color w:val="auto"/>
              </w:rPr>
            </w:pPr>
            <w:r>
              <w:rPr>
                <w:rFonts w:ascii="Calibri" w:cs="Calibri" w:eastAsia="Calibri" w:hAnsi="Calibri"/>
                <w:sz w:val="12"/>
                <w:szCs w:val="12"/>
                <w:b w:val="1"/>
                <w:bCs w:val="1"/>
                <w:color w:val="FFFFFF"/>
              </w:rPr>
              <w:t>Other income</w:t>
            </w:r>
          </w:p>
        </w:tc>
        <w:tc>
          <w:tcPr>
            <w:tcW w:w="480" w:type="dxa"/>
            <w:vAlign w:val="bottom"/>
            <w:shd w:val="clear" w:color="auto" w:fill="43C0B9"/>
          </w:tcPr>
          <w:p>
            <w:pPr>
              <w:spacing w:after="0"/>
              <w:rPr>
                <w:sz w:val="12"/>
                <w:szCs w:val="12"/>
                <w:color w:val="auto"/>
              </w:rPr>
            </w:pPr>
          </w:p>
        </w:tc>
        <w:tc>
          <w:tcPr>
            <w:tcW w:w="800" w:type="dxa"/>
            <w:vAlign w:val="bottom"/>
            <w:shd w:val="clear" w:color="auto" w:fill="43C0B9"/>
          </w:tcPr>
          <w:p>
            <w:pPr>
              <w:spacing w:after="0"/>
              <w:rPr>
                <w:sz w:val="12"/>
                <w:szCs w:val="12"/>
                <w:color w:val="auto"/>
              </w:rPr>
            </w:pPr>
          </w:p>
        </w:tc>
        <w:tc>
          <w:tcPr>
            <w:tcW w:w="340" w:type="dxa"/>
            <w:vAlign w:val="bottom"/>
            <w:shd w:val="clear" w:color="auto" w:fill="43C0B9"/>
          </w:tcPr>
          <w:p>
            <w:pPr>
              <w:spacing w:after="0"/>
              <w:rPr>
                <w:sz w:val="12"/>
                <w:szCs w:val="12"/>
                <w:color w:val="auto"/>
              </w:rPr>
            </w:pPr>
          </w:p>
        </w:tc>
        <w:tc>
          <w:tcPr>
            <w:tcW w:w="840" w:type="dxa"/>
            <w:vAlign w:val="bottom"/>
            <w:shd w:val="clear" w:color="auto" w:fill="43C0B9"/>
          </w:tcPr>
          <w:p>
            <w:pPr>
              <w:spacing w:after="0"/>
              <w:rPr>
                <w:sz w:val="12"/>
                <w:szCs w:val="12"/>
                <w:color w:val="auto"/>
              </w:rPr>
            </w:pPr>
          </w:p>
        </w:tc>
        <w:tc>
          <w:tcPr>
            <w:tcW w:w="360" w:type="dxa"/>
            <w:vAlign w:val="bottom"/>
            <w:shd w:val="clear" w:color="auto" w:fill="43C0B9"/>
          </w:tcPr>
          <w:p>
            <w:pPr>
              <w:spacing w:after="0"/>
              <w:rPr>
                <w:sz w:val="12"/>
                <w:szCs w:val="12"/>
                <w:color w:val="auto"/>
              </w:rPr>
            </w:pPr>
          </w:p>
        </w:tc>
        <w:tc>
          <w:tcPr>
            <w:tcW w:w="820" w:type="dxa"/>
            <w:vAlign w:val="bottom"/>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administratve</w:t>
            </w:r>
          </w:p>
        </w:tc>
        <w:tc>
          <w:tcPr>
            <w:tcW w:w="160" w:type="dxa"/>
            <w:vAlign w:val="bottom"/>
            <w:shd w:val="clear" w:color="auto" w:fill="43C0B9"/>
          </w:tcPr>
          <w:p>
            <w:pPr>
              <w:spacing w:after="0"/>
              <w:rPr>
                <w:sz w:val="12"/>
                <w:szCs w:val="12"/>
                <w:color w:val="auto"/>
              </w:rPr>
            </w:pPr>
          </w:p>
        </w:tc>
        <w:tc>
          <w:tcPr>
            <w:tcW w:w="980" w:type="dxa"/>
            <w:vAlign w:val="bottom"/>
            <w:shd w:val="clear" w:color="auto" w:fill="43C0B9"/>
          </w:tcPr>
          <w:p>
            <w:pPr>
              <w:spacing w:after="0"/>
              <w:rPr>
                <w:sz w:val="12"/>
                <w:szCs w:val="12"/>
                <w:color w:val="auto"/>
              </w:rPr>
            </w:pPr>
          </w:p>
        </w:tc>
      </w:tr>
      <w:tr>
        <w:trPr>
          <w:trHeight w:val="178"/>
        </w:trPr>
        <w:tc>
          <w:tcPr>
            <w:tcW w:w="17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2"/>
                <w:szCs w:val="12"/>
                <w:b w:val="1"/>
                <w:bCs w:val="1"/>
                <w:color w:val="FFFFFF"/>
              </w:rPr>
              <w:t>(In millions)</w:t>
            </w:r>
          </w:p>
        </w:tc>
        <w:tc>
          <w:tcPr>
            <w:tcW w:w="340" w:type="dxa"/>
            <w:vAlign w:val="bottom"/>
            <w:tcBorders>
              <w:bottom w:val="single" w:sz="8" w:color="43C0B9"/>
            </w:tcBorders>
            <w:shd w:val="clear" w:color="auto" w:fill="43C0B9"/>
          </w:tcPr>
          <w:p>
            <w:pPr>
              <w:spacing w:after="0"/>
              <w:rPr>
                <w:sz w:val="15"/>
                <w:szCs w:val="15"/>
                <w:color w:val="auto"/>
              </w:rPr>
            </w:pPr>
          </w:p>
        </w:tc>
        <w:tc>
          <w:tcPr>
            <w:tcW w:w="78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Net sales</w:t>
            </w:r>
          </w:p>
        </w:tc>
        <w:tc>
          <w:tcPr>
            <w:tcW w:w="280" w:type="dxa"/>
            <w:vAlign w:val="bottom"/>
            <w:tcBorders>
              <w:bottom w:val="single" w:sz="8" w:color="43C0B9"/>
            </w:tcBorders>
            <w:shd w:val="clear" w:color="auto" w:fill="43C0B9"/>
          </w:tcPr>
          <w:p>
            <w:pPr>
              <w:spacing w:after="0"/>
              <w:rPr>
                <w:sz w:val="15"/>
                <w:szCs w:val="15"/>
                <w:color w:val="auto"/>
              </w:rPr>
            </w:pPr>
          </w:p>
        </w:tc>
        <w:tc>
          <w:tcPr>
            <w:tcW w:w="88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Cost of sales</w:t>
            </w:r>
          </w:p>
        </w:tc>
        <w:tc>
          <w:tcPr>
            <w:tcW w:w="120" w:type="dxa"/>
            <w:vAlign w:val="bottom"/>
            <w:tcBorders>
              <w:bottom w:val="single" w:sz="8" w:color="43C0B9"/>
            </w:tcBorders>
            <w:shd w:val="clear" w:color="auto" w:fill="43C0B9"/>
          </w:tcPr>
          <w:p>
            <w:pPr>
              <w:spacing w:after="0"/>
              <w:rPr>
                <w:sz w:val="15"/>
                <w:szCs w:val="15"/>
                <w:color w:val="auto"/>
              </w:rPr>
            </w:pPr>
          </w:p>
        </w:tc>
        <w:tc>
          <w:tcPr>
            <w:tcW w:w="102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expenses</w:t>
            </w:r>
          </w:p>
        </w:tc>
        <w:tc>
          <w:tcPr>
            <w:tcW w:w="420" w:type="dxa"/>
            <w:vAlign w:val="bottom"/>
            <w:tcBorders>
              <w:bottom w:val="single" w:sz="8" w:color="43C0B9"/>
            </w:tcBorders>
            <w:shd w:val="clear" w:color="auto" w:fill="43C0B9"/>
          </w:tcPr>
          <w:p>
            <w:pPr>
              <w:spacing w:after="0"/>
              <w:rPr>
                <w:sz w:val="15"/>
                <w:szCs w:val="15"/>
                <w:color w:val="auto"/>
              </w:rPr>
            </w:pPr>
          </w:p>
        </w:tc>
        <w:tc>
          <w:tcPr>
            <w:tcW w:w="880" w:type="dxa"/>
            <w:vAlign w:val="bottom"/>
            <w:tcBorders>
              <w:bottom w:val="single" w:sz="8" w:color="43C0B9"/>
            </w:tcBorders>
            <w:shd w:val="clear" w:color="auto" w:fill="43C0B9"/>
          </w:tcPr>
          <w:p>
            <w:pPr>
              <w:jc w:val="right"/>
              <w:ind w:right="78"/>
              <w:spacing w:after="0"/>
              <w:rPr>
                <w:sz w:val="20"/>
                <w:szCs w:val="20"/>
                <w:color w:val="auto"/>
              </w:rPr>
            </w:pPr>
            <w:r>
              <w:rPr>
                <w:rFonts w:ascii="Calibri" w:cs="Calibri" w:eastAsia="Calibri" w:hAnsi="Calibri"/>
                <w:sz w:val="12"/>
                <w:szCs w:val="12"/>
                <w:b w:val="1"/>
                <w:bCs w:val="1"/>
                <w:color w:val="FFFFFF"/>
              </w:rPr>
              <w:t>(expense)</w:t>
            </w:r>
          </w:p>
        </w:tc>
        <w:tc>
          <w:tcPr>
            <w:tcW w:w="480" w:type="dxa"/>
            <w:vAlign w:val="bottom"/>
            <w:tcBorders>
              <w:bottom w:val="single" w:sz="8" w:color="43C0B9"/>
            </w:tcBorders>
            <w:shd w:val="clear" w:color="auto" w:fill="43C0B9"/>
          </w:tcPr>
          <w:p>
            <w:pPr>
              <w:spacing w:after="0"/>
              <w:rPr>
                <w:sz w:val="15"/>
                <w:szCs w:val="15"/>
                <w:color w:val="auto"/>
              </w:rPr>
            </w:pPr>
          </w:p>
        </w:tc>
        <w:tc>
          <w:tcPr>
            <w:tcW w:w="80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Net sales</w:t>
            </w:r>
          </w:p>
        </w:tc>
        <w:tc>
          <w:tcPr>
            <w:tcW w:w="340" w:type="dxa"/>
            <w:vAlign w:val="bottom"/>
            <w:tcBorders>
              <w:bottom w:val="single" w:sz="8" w:color="43C0B9"/>
            </w:tcBorders>
            <w:shd w:val="clear" w:color="auto" w:fill="43C0B9"/>
          </w:tcPr>
          <w:p>
            <w:pPr>
              <w:spacing w:after="0"/>
              <w:rPr>
                <w:sz w:val="15"/>
                <w:szCs w:val="15"/>
                <w:color w:val="auto"/>
              </w:rPr>
            </w:pPr>
          </w:p>
        </w:tc>
        <w:tc>
          <w:tcPr>
            <w:tcW w:w="84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Cost of sales</w:t>
            </w:r>
          </w:p>
        </w:tc>
        <w:tc>
          <w:tcPr>
            <w:tcW w:w="360" w:type="dxa"/>
            <w:vAlign w:val="bottom"/>
            <w:tcBorders>
              <w:bottom w:val="single" w:sz="8" w:color="43C0B9"/>
            </w:tcBorders>
            <w:shd w:val="clear" w:color="auto" w:fill="43C0B9"/>
          </w:tcPr>
          <w:p>
            <w:pPr>
              <w:spacing w:after="0"/>
              <w:rPr>
                <w:sz w:val="15"/>
                <w:szCs w:val="15"/>
                <w:color w:val="auto"/>
              </w:rPr>
            </w:pPr>
          </w:p>
        </w:tc>
        <w:tc>
          <w:tcPr>
            <w:tcW w:w="82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expenses</w:t>
            </w:r>
          </w:p>
        </w:tc>
        <w:tc>
          <w:tcPr>
            <w:tcW w:w="16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2"/>
                <w:szCs w:val="12"/>
                <w:b w:val="1"/>
                <w:bCs w:val="1"/>
                <w:color w:val="FFFFFF"/>
              </w:rPr>
              <w:t>Other income</w:t>
            </w:r>
          </w:p>
        </w:tc>
      </w:tr>
      <w:tr>
        <w:trPr>
          <w:trHeight w:val="181"/>
        </w:trPr>
        <w:tc>
          <w:tcPr>
            <w:tcW w:w="17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b w:val="1"/>
                <w:bCs w:val="1"/>
                <w:color w:val="auto"/>
              </w:rPr>
              <w:t>Equity method investees:</w:t>
            </w:r>
          </w:p>
        </w:tc>
        <w:tc>
          <w:tcPr>
            <w:tcW w:w="34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spacing w:after="0"/>
              <w:rPr>
                <w:sz w:val="15"/>
                <w:szCs w:val="15"/>
                <w:color w:val="auto"/>
              </w:rPr>
            </w:pPr>
          </w:p>
        </w:tc>
        <w:tc>
          <w:tcPr>
            <w:tcW w:w="48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r>
      <w:tr>
        <w:trPr>
          <w:trHeight w:val="164"/>
        </w:trPr>
        <w:tc>
          <w:tcPr>
            <w:tcW w:w="1740" w:type="dxa"/>
            <w:vAlign w:val="bottom"/>
          </w:tcPr>
          <w:p>
            <w:pPr>
              <w:ind w:left="140"/>
              <w:spacing w:after="0"/>
              <w:rPr>
                <w:sz w:val="20"/>
                <w:szCs w:val="20"/>
                <w:color w:val="auto"/>
              </w:rPr>
            </w:pPr>
            <w:r>
              <w:rPr>
                <w:rFonts w:ascii="Calibri" w:cs="Calibri" w:eastAsia="Calibri" w:hAnsi="Calibri"/>
                <w:sz w:val="12"/>
                <w:szCs w:val="12"/>
                <w:color w:val="auto"/>
              </w:rPr>
              <w:t>Henry Avocado</w:t>
            </w:r>
          </w:p>
        </w:tc>
        <w:tc>
          <w:tcPr>
            <w:tcW w:w="340" w:type="dxa"/>
            <w:vAlign w:val="bottom"/>
          </w:tcPr>
          <w:p>
            <w:pPr>
              <w:jc w:val="right"/>
              <w:ind w:right="198"/>
              <w:spacing w:after="0"/>
              <w:rPr>
                <w:sz w:val="20"/>
                <w:szCs w:val="20"/>
                <w:color w:val="auto"/>
              </w:rPr>
            </w:pPr>
            <w:r>
              <w:rPr>
                <w:rFonts w:ascii="Calibri" w:cs="Calibri" w:eastAsia="Calibri" w:hAnsi="Calibri"/>
                <w:sz w:val="12"/>
                <w:szCs w:val="12"/>
                <w:color w:val="auto"/>
                <w:w w:val="97"/>
              </w:rPr>
              <w:t>$</w:t>
            </w:r>
          </w:p>
        </w:tc>
        <w:tc>
          <w:tcPr>
            <w:tcW w:w="78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280" w:type="dxa"/>
            <w:vAlign w:val="bottom"/>
          </w:tcPr>
          <w:p>
            <w:pPr>
              <w:jc w:val="right"/>
              <w:ind w:right="98"/>
              <w:spacing w:after="0"/>
              <w:rPr>
                <w:sz w:val="20"/>
                <w:szCs w:val="20"/>
                <w:color w:val="auto"/>
              </w:rPr>
            </w:pPr>
            <w:r>
              <w:rPr>
                <w:rFonts w:ascii="Calibri" w:cs="Calibri" w:eastAsia="Calibri" w:hAnsi="Calibri"/>
                <w:sz w:val="12"/>
                <w:szCs w:val="12"/>
                <w:color w:val="auto"/>
              </w:rPr>
              <w:t>$</w:t>
            </w:r>
          </w:p>
        </w:tc>
        <w:tc>
          <w:tcPr>
            <w:tcW w:w="880" w:type="dxa"/>
            <w:vAlign w:val="bottom"/>
          </w:tcPr>
          <w:p>
            <w:pPr>
              <w:jc w:val="right"/>
              <w:ind w:right="38"/>
              <w:spacing w:after="0"/>
              <w:rPr>
                <w:sz w:val="20"/>
                <w:szCs w:val="20"/>
                <w:color w:val="auto"/>
              </w:rPr>
            </w:pPr>
            <w:r>
              <w:rPr>
                <w:rFonts w:ascii="Calibri" w:cs="Calibri" w:eastAsia="Calibri" w:hAnsi="Calibri"/>
                <w:sz w:val="12"/>
                <w:szCs w:val="12"/>
                <w:color w:val="auto"/>
              </w:rPr>
              <w:t>0.3</w:t>
            </w:r>
          </w:p>
        </w:tc>
        <w:tc>
          <w:tcPr>
            <w:tcW w:w="1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0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420" w:type="dxa"/>
            <w:vAlign w:val="bottom"/>
          </w:tcPr>
          <w:p>
            <w:pPr>
              <w:jc w:val="right"/>
              <w:ind w:right="178"/>
              <w:spacing w:after="0"/>
              <w:rPr>
                <w:sz w:val="20"/>
                <w:szCs w:val="20"/>
                <w:color w:val="auto"/>
              </w:rPr>
            </w:pPr>
            <w:r>
              <w:rPr>
                <w:rFonts w:ascii="Calibri" w:cs="Calibri" w:eastAsia="Calibri" w:hAnsi="Calibri"/>
                <w:sz w:val="12"/>
                <w:szCs w:val="12"/>
                <w:color w:val="auto"/>
              </w:rPr>
              <w:t>$</w:t>
            </w:r>
          </w:p>
        </w:tc>
        <w:tc>
          <w:tcPr>
            <w:tcW w:w="880" w:type="dxa"/>
            <w:vAlign w:val="bottom"/>
          </w:tcPr>
          <w:p>
            <w:pPr>
              <w:jc w:val="right"/>
              <w:ind w:right="98"/>
              <w:spacing w:after="0"/>
              <w:rPr>
                <w:sz w:val="20"/>
                <w:szCs w:val="20"/>
                <w:color w:val="auto"/>
              </w:rPr>
            </w:pPr>
            <w:r>
              <w:rPr>
                <w:rFonts w:ascii="Calibri" w:cs="Calibri" w:eastAsia="Calibri" w:hAnsi="Calibri"/>
                <w:sz w:val="12"/>
                <w:szCs w:val="12"/>
                <w:color w:val="auto"/>
              </w:rPr>
              <w:t>—</w:t>
            </w:r>
          </w:p>
        </w:tc>
        <w:tc>
          <w:tcPr>
            <w:tcW w:w="480" w:type="dxa"/>
            <w:vAlign w:val="bottom"/>
          </w:tcPr>
          <w:p>
            <w:pPr>
              <w:jc w:val="right"/>
              <w:ind w:right="198"/>
              <w:spacing w:after="0"/>
              <w:rPr>
                <w:sz w:val="20"/>
                <w:szCs w:val="20"/>
                <w:color w:val="auto"/>
              </w:rPr>
            </w:pPr>
            <w:r>
              <w:rPr>
                <w:rFonts w:ascii="Calibri" w:cs="Calibri" w:eastAsia="Calibri" w:hAnsi="Calibri"/>
                <w:sz w:val="12"/>
                <w:szCs w:val="12"/>
                <w:color w:val="auto"/>
              </w:rPr>
              <w:t>$</w:t>
            </w:r>
          </w:p>
        </w:tc>
        <w:tc>
          <w:tcPr>
            <w:tcW w:w="80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340" w:type="dxa"/>
            <w:vAlign w:val="bottom"/>
          </w:tcPr>
          <w:p>
            <w:pPr>
              <w:jc w:val="right"/>
              <w:ind w:right="158"/>
              <w:spacing w:after="0"/>
              <w:rPr>
                <w:sz w:val="20"/>
                <w:szCs w:val="20"/>
                <w:color w:val="auto"/>
              </w:rPr>
            </w:pPr>
            <w:r>
              <w:rPr>
                <w:rFonts w:ascii="Calibri" w:cs="Calibri" w:eastAsia="Calibri" w:hAnsi="Calibri"/>
                <w:sz w:val="12"/>
                <w:szCs w:val="12"/>
                <w:color w:val="auto"/>
              </w:rPr>
              <w:t>$</w:t>
            </w:r>
          </w:p>
        </w:tc>
        <w:tc>
          <w:tcPr>
            <w:tcW w:w="840" w:type="dxa"/>
            <w:vAlign w:val="bottom"/>
          </w:tcPr>
          <w:p>
            <w:pPr>
              <w:jc w:val="right"/>
              <w:ind w:right="38"/>
              <w:spacing w:after="0"/>
              <w:rPr>
                <w:sz w:val="20"/>
                <w:szCs w:val="20"/>
                <w:color w:val="auto"/>
              </w:rPr>
            </w:pPr>
            <w:r>
              <w:rPr>
                <w:rFonts w:ascii="Calibri" w:cs="Calibri" w:eastAsia="Calibri" w:hAnsi="Calibri"/>
                <w:sz w:val="12"/>
                <w:szCs w:val="12"/>
                <w:color w:val="auto"/>
              </w:rPr>
              <w:t>0.5</w:t>
            </w:r>
          </w:p>
        </w:tc>
        <w:tc>
          <w:tcPr>
            <w:tcW w:w="360" w:type="dxa"/>
            <w:vAlign w:val="bottom"/>
          </w:tcPr>
          <w:p>
            <w:pPr>
              <w:jc w:val="right"/>
              <w:ind w:right="178"/>
              <w:spacing w:after="0"/>
              <w:rPr>
                <w:sz w:val="20"/>
                <w:szCs w:val="20"/>
                <w:color w:val="auto"/>
              </w:rPr>
            </w:pPr>
            <w:r>
              <w:rPr>
                <w:rFonts w:ascii="Calibri" w:cs="Calibri" w:eastAsia="Calibri" w:hAnsi="Calibri"/>
                <w:sz w:val="12"/>
                <w:szCs w:val="12"/>
                <w:color w:val="auto"/>
              </w:rPr>
              <w:t>$</w:t>
            </w:r>
          </w:p>
        </w:tc>
        <w:tc>
          <w:tcPr>
            <w:tcW w:w="82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980" w:type="dxa"/>
            <w:vAlign w:val="bottom"/>
          </w:tcPr>
          <w:p>
            <w:pPr>
              <w:jc w:val="right"/>
              <w:spacing w:after="0"/>
              <w:rPr>
                <w:sz w:val="20"/>
                <w:szCs w:val="20"/>
                <w:color w:val="auto"/>
              </w:rPr>
            </w:pPr>
            <w:r>
              <w:rPr>
                <w:rFonts w:ascii="Calibri" w:cs="Calibri" w:eastAsia="Calibri" w:hAnsi="Calibri"/>
                <w:sz w:val="12"/>
                <w:szCs w:val="12"/>
                <w:color w:val="auto"/>
              </w:rPr>
              <w:t>—</w:t>
            </w:r>
          </w:p>
        </w:tc>
      </w:tr>
      <w:tr>
        <w:trPr>
          <w:trHeight w:val="37"/>
        </w:trPr>
        <w:tc>
          <w:tcPr>
            <w:tcW w:w="1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81"/>
        </w:trPr>
        <w:tc>
          <w:tcPr>
            <w:tcW w:w="1740" w:type="dxa"/>
            <w:vAlign w:val="bottom"/>
            <w:tcBorders>
              <w:bottom w:val="single" w:sz="8" w:color="DBDBDB"/>
            </w:tcBorders>
            <w:shd w:val="clear" w:color="auto" w:fill="DBDBDB"/>
          </w:tcPr>
          <w:p>
            <w:pPr>
              <w:ind w:left="140"/>
              <w:spacing w:after="0"/>
              <w:rPr>
                <w:sz w:val="20"/>
                <w:szCs w:val="20"/>
                <w:color w:val="auto"/>
              </w:rPr>
            </w:pPr>
            <w:r>
              <w:rPr>
                <w:rFonts w:ascii="Calibri" w:cs="Calibri" w:eastAsia="Calibri" w:hAnsi="Calibri"/>
                <w:sz w:val="12"/>
                <w:szCs w:val="12"/>
                <w:color w:val="auto"/>
              </w:rPr>
              <w:t>Mr. Avocado</w:t>
            </w:r>
          </w:p>
        </w:tc>
        <w:tc>
          <w:tcPr>
            <w:tcW w:w="34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0.1</w:t>
            </w:r>
          </w:p>
        </w:tc>
        <w:tc>
          <w:tcPr>
            <w:tcW w:w="2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4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ind w:right="98"/>
              <w:spacing w:after="0"/>
              <w:rPr>
                <w:sz w:val="20"/>
                <w:szCs w:val="20"/>
                <w:color w:val="auto"/>
              </w:rPr>
            </w:pPr>
            <w:r>
              <w:rPr>
                <w:rFonts w:ascii="Calibri" w:cs="Calibri" w:eastAsia="Calibri" w:hAnsi="Calibri"/>
                <w:sz w:val="12"/>
                <w:szCs w:val="12"/>
                <w:color w:val="auto"/>
              </w:rPr>
              <w:t>—</w:t>
            </w:r>
          </w:p>
        </w:tc>
        <w:tc>
          <w:tcPr>
            <w:tcW w:w="48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0.5</w:t>
            </w:r>
          </w:p>
        </w:tc>
        <w:tc>
          <w:tcPr>
            <w:tcW w:w="34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36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2"/>
                <w:szCs w:val="12"/>
                <w:color w:val="auto"/>
              </w:rPr>
              <w:t>—</w:t>
            </w:r>
          </w:p>
        </w:tc>
      </w:tr>
      <w:tr>
        <w:trPr>
          <w:trHeight w:val="201"/>
        </w:trPr>
        <w:tc>
          <w:tcPr>
            <w:tcW w:w="1740" w:type="dxa"/>
            <w:vAlign w:val="bottom"/>
          </w:tcPr>
          <w:p>
            <w:pPr>
              <w:ind w:left="140"/>
              <w:spacing w:after="0"/>
              <w:rPr>
                <w:sz w:val="20"/>
                <w:szCs w:val="20"/>
                <w:color w:val="auto"/>
              </w:rPr>
            </w:pPr>
            <w:r>
              <w:rPr>
                <w:rFonts w:ascii="Calibri" w:cs="Calibri" w:eastAsia="Calibri" w:hAnsi="Calibri"/>
                <w:sz w:val="12"/>
                <w:szCs w:val="12"/>
                <w:color w:val="auto"/>
              </w:rPr>
              <w:t>Moruga</w:t>
            </w:r>
            <w:r>
              <w:rPr>
                <w:rFonts w:ascii="Calibri" w:cs="Calibri" w:eastAsia="Calibri" w:hAnsi="Calibri"/>
                <w:sz w:val="16"/>
                <w:szCs w:val="16"/>
                <w:color w:val="auto"/>
                <w:vertAlign w:val="superscript"/>
              </w:rPr>
              <w:t>(1)</w:t>
            </w:r>
          </w:p>
        </w:tc>
        <w:tc>
          <w:tcPr>
            <w:tcW w:w="34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Calibri" w:cs="Calibri" w:eastAsia="Calibri" w:hAnsi="Calibri"/>
                <w:sz w:val="12"/>
                <w:szCs w:val="12"/>
                <w:color w:val="auto"/>
              </w:rPr>
              <w:t>0.7</w:t>
            </w:r>
          </w:p>
        </w:tc>
        <w:tc>
          <w:tcPr>
            <w:tcW w:w="280" w:type="dxa"/>
            <w:vAlign w:val="bottom"/>
          </w:tcPr>
          <w:p>
            <w:pPr>
              <w:spacing w:after="0"/>
              <w:rPr>
                <w:sz w:val="17"/>
                <w:szCs w:val="17"/>
                <w:color w:val="auto"/>
              </w:rPr>
            </w:pPr>
          </w:p>
        </w:tc>
        <w:tc>
          <w:tcPr>
            <w:tcW w:w="88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420" w:type="dxa"/>
            <w:vAlign w:val="bottom"/>
          </w:tcPr>
          <w:p>
            <w:pPr>
              <w:spacing w:after="0"/>
              <w:rPr>
                <w:sz w:val="17"/>
                <w:szCs w:val="17"/>
                <w:color w:val="auto"/>
              </w:rPr>
            </w:pPr>
          </w:p>
        </w:tc>
        <w:tc>
          <w:tcPr>
            <w:tcW w:w="880" w:type="dxa"/>
            <w:vAlign w:val="bottom"/>
          </w:tcPr>
          <w:p>
            <w:pPr>
              <w:jc w:val="right"/>
              <w:ind w:right="98"/>
              <w:spacing w:after="0"/>
              <w:rPr>
                <w:sz w:val="20"/>
                <w:szCs w:val="20"/>
                <w:color w:val="auto"/>
              </w:rPr>
            </w:pPr>
            <w:r>
              <w:rPr>
                <w:rFonts w:ascii="Calibri" w:cs="Calibri" w:eastAsia="Calibri" w:hAnsi="Calibri"/>
                <w:sz w:val="12"/>
                <w:szCs w:val="12"/>
                <w:color w:val="auto"/>
              </w:rPr>
              <w:t>—</w:t>
            </w:r>
          </w:p>
        </w:tc>
        <w:tc>
          <w:tcPr>
            <w:tcW w:w="48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Calibri" w:cs="Calibri" w:eastAsia="Calibri" w:hAnsi="Calibri"/>
                <w:sz w:val="12"/>
                <w:szCs w:val="12"/>
                <w:color w:val="auto"/>
              </w:rPr>
              <w:t>4.1</w:t>
            </w:r>
          </w:p>
        </w:tc>
        <w:tc>
          <w:tcPr>
            <w:tcW w:w="34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36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2"/>
                <w:szCs w:val="12"/>
                <w:color w:val="auto"/>
              </w:rPr>
              <w:t>0.4</w:t>
            </w:r>
          </w:p>
        </w:tc>
      </w:tr>
      <w:tr>
        <w:trPr>
          <w:trHeight w:val="201"/>
        </w:trPr>
        <w:tc>
          <w:tcPr>
            <w:tcW w:w="174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Copaltas</w:t>
            </w:r>
            <w:r>
              <w:rPr>
                <w:rFonts w:ascii="Calibri" w:cs="Calibri" w:eastAsia="Calibri" w:hAnsi="Calibri"/>
                <w:sz w:val="16"/>
                <w:szCs w:val="16"/>
                <w:color w:val="auto"/>
                <w:vertAlign w:val="superscript"/>
              </w:rPr>
              <w:t>(2)</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42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98"/>
              <w:spacing w:after="0"/>
              <w:rPr>
                <w:sz w:val="20"/>
                <w:szCs w:val="20"/>
                <w:color w:val="auto"/>
              </w:rPr>
            </w:pPr>
            <w:r>
              <w:rPr>
                <w:rFonts w:ascii="Calibri" w:cs="Calibri" w:eastAsia="Calibri" w:hAnsi="Calibri"/>
                <w:sz w:val="12"/>
                <w:szCs w:val="12"/>
                <w:color w:val="auto"/>
              </w:rPr>
              <w:t>0.1</w:t>
            </w:r>
          </w:p>
        </w:tc>
        <w:tc>
          <w:tcPr>
            <w:tcW w:w="4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360" w:type="dxa"/>
            <w:vAlign w:val="bottom"/>
            <w:shd w:val="clear" w:color="auto" w:fill="DBDBDB"/>
          </w:tcPr>
          <w:p>
            <w:pPr>
              <w:spacing w:after="0"/>
              <w:rPr>
                <w:sz w:val="17"/>
                <w:szCs w:val="17"/>
                <w:color w:val="auto"/>
              </w:rPr>
            </w:pPr>
          </w:p>
        </w:tc>
        <w:tc>
          <w:tcPr>
            <w:tcW w:w="82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0.1</w:t>
            </w:r>
          </w:p>
        </w:tc>
      </w:tr>
      <w:tr>
        <w:trPr>
          <w:trHeight w:val="164"/>
        </w:trPr>
        <w:tc>
          <w:tcPr>
            <w:tcW w:w="1740" w:type="dxa"/>
            <w:vAlign w:val="bottom"/>
          </w:tcPr>
          <w:p>
            <w:pPr>
              <w:ind w:left="20"/>
              <w:spacing w:after="0"/>
              <w:rPr>
                <w:sz w:val="20"/>
                <w:szCs w:val="20"/>
                <w:color w:val="auto"/>
              </w:rPr>
            </w:pPr>
            <w:r>
              <w:rPr>
                <w:rFonts w:ascii="Calibri" w:cs="Calibri" w:eastAsia="Calibri" w:hAnsi="Calibri"/>
                <w:sz w:val="12"/>
                <w:szCs w:val="12"/>
                <w:b w:val="1"/>
                <w:bCs w:val="1"/>
                <w:color w:val="auto"/>
              </w:rPr>
              <w:t>Other:</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7"/>
        </w:trPr>
        <w:tc>
          <w:tcPr>
            <w:tcW w:w="1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1"/>
        </w:trPr>
        <w:tc>
          <w:tcPr>
            <w:tcW w:w="174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Directors/Ofcers</w:t>
            </w:r>
            <w:r>
              <w:rPr>
                <w:rFonts w:ascii="Calibri" w:cs="Calibri" w:eastAsia="Calibri" w:hAnsi="Calibri"/>
                <w:sz w:val="16"/>
                <w:szCs w:val="16"/>
                <w:color w:val="auto"/>
                <w:vertAlign w:val="superscript"/>
              </w:rPr>
              <w:t>(3)</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0.3</w:t>
            </w: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2.2</w:t>
            </w:r>
          </w:p>
        </w:tc>
        <w:tc>
          <w:tcPr>
            <w:tcW w:w="1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42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98"/>
              <w:spacing w:after="0"/>
              <w:rPr>
                <w:sz w:val="20"/>
                <w:szCs w:val="20"/>
                <w:color w:val="auto"/>
              </w:rPr>
            </w:pPr>
            <w:r>
              <w:rPr>
                <w:rFonts w:ascii="Calibri" w:cs="Calibri" w:eastAsia="Calibri" w:hAnsi="Calibri"/>
                <w:sz w:val="12"/>
                <w:szCs w:val="12"/>
                <w:color w:val="auto"/>
              </w:rPr>
              <w:t>—</w:t>
            </w:r>
          </w:p>
        </w:tc>
        <w:tc>
          <w:tcPr>
            <w:tcW w:w="48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0.7</w:t>
            </w:r>
          </w:p>
        </w:tc>
        <w:tc>
          <w:tcPr>
            <w:tcW w:w="34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2.3</w:t>
            </w:r>
          </w:p>
        </w:tc>
        <w:tc>
          <w:tcPr>
            <w:tcW w:w="360" w:type="dxa"/>
            <w:vAlign w:val="bottom"/>
            <w:shd w:val="clear" w:color="auto" w:fill="DBDBDB"/>
          </w:tcPr>
          <w:p>
            <w:pPr>
              <w:spacing w:after="0"/>
              <w:rPr>
                <w:sz w:val="17"/>
                <w:szCs w:val="17"/>
                <w:color w:val="auto"/>
              </w:rPr>
            </w:pPr>
          </w:p>
        </w:tc>
        <w:tc>
          <w:tcPr>
            <w:tcW w:w="82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r>
      <w:tr>
        <w:trPr>
          <w:trHeight w:val="201"/>
        </w:trPr>
        <w:tc>
          <w:tcPr>
            <w:tcW w:w="1740" w:type="dxa"/>
            <w:vAlign w:val="bottom"/>
          </w:tcPr>
          <w:p>
            <w:pPr>
              <w:ind w:left="140"/>
              <w:spacing w:after="0"/>
              <w:rPr>
                <w:sz w:val="20"/>
                <w:szCs w:val="20"/>
                <w:color w:val="auto"/>
              </w:rPr>
            </w:pPr>
            <w:r>
              <w:rPr>
                <w:rFonts w:ascii="Calibri" w:cs="Calibri" w:eastAsia="Calibri" w:hAnsi="Calibri"/>
                <w:sz w:val="12"/>
                <w:szCs w:val="12"/>
                <w:color w:val="auto"/>
              </w:rPr>
              <w:t>Employees</w:t>
            </w:r>
            <w:r>
              <w:rPr>
                <w:rFonts w:ascii="Calibri" w:cs="Calibri" w:eastAsia="Calibri" w:hAnsi="Calibri"/>
                <w:sz w:val="16"/>
                <w:szCs w:val="16"/>
                <w:color w:val="auto"/>
                <w:vertAlign w:val="superscript"/>
              </w:rPr>
              <w:t>(4)</w:t>
            </w:r>
          </w:p>
        </w:tc>
        <w:tc>
          <w:tcPr>
            <w:tcW w:w="34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280" w:type="dxa"/>
            <w:vAlign w:val="bottom"/>
          </w:tcPr>
          <w:p>
            <w:pPr>
              <w:spacing w:after="0"/>
              <w:rPr>
                <w:sz w:val="17"/>
                <w:szCs w:val="17"/>
                <w:color w:val="auto"/>
              </w:rPr>
            </w:pPr>
          </w:p>
        </w:tc>
        <w:tc>
          <w:tcPr>
            <w:tcW w:w="880" w:type="dxa"/>
            <w:vAlign w:val="bottom"/>
          </w:tcPr>
          <w:p>
            <w:pPr>
              <w:jc w:val="right"/>
              <w:ind w:right="38"/>
              <w:spacing w:after="0"/>
              <w:rPr>
                <w:sz w:val="20"/>
                <w:szCs w:val="20"/>
                <w:color w:val="auto"/>
              </w:rPr>
            </w:pPr>
            <w:r>
              <w:rPr>
                <w:rFonts w:ascii="Calibri" w:cs="Calibri" w:eastAsia="Calibri" w:hAnsi="Calibri"/>
                <w:sz w:val="12"/>
                <w:szCs w:val="12"/>
                <w:color w:val="auto"/>
              </w:rPr>
              <w:t>2.4</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420" w:type="dxa"/>
            <w:vAlign w:val="bottom"/>
          </w:tcPr>
          <w:p>
            <w:pPr>
              <w:spacing w:after="0"/>
              <w:rPr>
                <w:sz w:val="17"/>
                <w:szCs w:val="17"/>
                <w:color w:val="auto"/>
              </w:rPr>
            </w:pPr>
          </w:p>
        </w:tc>
        <w:tc>
          <w:tcPr>
            <w:tcW w:w="880" w:type="dxa"/>
            <w:vAlign w:val="bottom"/>
          </w:tcPr>
          <w:p>
            <w:pPr>
              <w:jc w:val="right"/>
              <w:ind w:right="98"/>
              <w:spacing w:after="0"/>
              <w:rPr>
                <w:sz w:val="20"/>
                <w:szCs w:val="20"/>
                <w:color w:val="auto"/>
              </w:rPr>
            </w:pPr>
            <w:r>
              <w:rPr>
                <w:rFonts w:ascii="Calibri" w:cs="Calibri" w:eastAsia="Calibri" w:hAnsi="Calibri"/>
                <w:sz w:val="12"/>
                <w:szCs w:val="12"/>
                <w:color w:val="auto"/>
              </w:rPr>
              <w:t>—</w:t>
            </w:r>
          </w:p>
        </w:tc>
        <w:tc>
          <w:tcPr>
            <w:tcW w:w="48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34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Calibri" w:cs="Calibri" w:eastAsia="Calibri" w:hAnsi="Calibri"/>
                <w:sz w:val="12"/>
                <w:szCs w:val="12"/>
                <w:color w:val="auto"/>
              </w:rPr>
              <w:t>4.1</w:t>
            </w:r>
          </w:p>
        </w:tc>
        <w:tc>
          <w:tcPr>
            <w:tcW w:w="36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2"/>
                <w:szCs w:val="12"/>
                <w:color w:val="auto"/>
              </w:rPr>
              <w:t>—</w:t>
            </w:r>
          </w:p>
        </w:tc>
      </w:tr>
      <w:tr>
        <w:trPr>
          <w:trHeight w:val="163"/>
        </w:trPr>
        <w:tc>
          <w:tcPr>
            <w:tcW w:w="1740" w:type="dxa"/>
            <w:vAlign w:val="bottom"/>
            <w:shd w:val="clear" w:color="auto" w:fill="43C0B9"/>
          </w:tcPr>
          <w:p>
            <w:pPr>
              <w:spacing w:after="0"/>
              <w:rPr>
                <w:sz w:val="14"/>
                <w:szCs w:val="14"/>
                <w:color w:val="auto"/>
              </w:rPr>
            </w:pPr>
          </w:p>
        </w:tc>
        <w:tc>
          <w:tcPr>
            <w:tcW w:w="340" w:type="dxa"/>
            <w:vAlign w:val="bottom"/>
            <w:shd w:val="clear" w:color="auto" w:fill="43C0B9"/>
          </w:tcPr>
          <w:p>
            <w:pPr>
              <w:spacing w:after="0"/>
              <w:rPr>
                <w:sz w:val="14"/>
                <w:szCs w:val="14"/>
                <w:color w:val="auto"/>
              </w:rPr>
            </w:pPr>
          </w:p>
        </w:tc>
        <w:tc>
          <w:tcPr>
            <w:tcW w:w="780" w:type="dxa"/>
            <w:vAlign w:val="bottom"/>
            <w:shd w:val="clear" w:color="auto" w:fill="43C0B9"/>
          </w:tcPr>
          <w:p>
            <w:pPr>
              <w:spacing w:after="0"/>
              <w:rPr>
                <w:sz w:val="14"/>
                <w:szCs w:val="14"/>
                <w:color w:val="auto"/>
              </w:rPr>
            </w:pPr>
          </w:p>
        </w:tc>
        <w:tc>
          <w:tcPr>
            <w:tcW w:w="280" w:type="dxa"/>
            <w:vAlign w:val="bottom"/>
            <w:shd w:val="clear" w:color="auto" w:fill="43C0B9"/>
          </w:tcPr>
          <w:p>
            <w:pPr>
              <w:spacing w:after="0"/>
              <w:rPr>
                <w:sz w:val="14"/>
                <w:szCs w:val="14"/>
                <w:color w:val="auto"/>
              </w:rPr>
            </w:pPr>
          </w:p>
        </w:tc>
        <w:tc>
          <w:tcPr>
            <w:tcW w:w="2020" w:type="dxa"/>
            <w:vAlign w:val="bottom"/>
            <w:gridSpan w:val="3"/>
            <w:shd w:val="clear" w:color="auto" w:fill="43C0B9"/>
          </w:tcPr>
          <w:p>
            <w:pPr>
              <w:jc w:val="center"/>
              <w:ind w:right="158"/>
              <w:spacing w:after="0"/>
              <w:rPr>
                <w:sz w:val="20"/>
                <w:szCs w:val="20"/>
                <w:color w:val="auto"/>
              </w:rPr>
            </w:pPr>
            <w:r>
              <w:rPr>
                <w:rFonts w:ascii="Calibri" w:cs="Calibri" w:eastAsia="Calibri" w:hAnsi="Calibri"/>
                <w:sz w:val="12"/>
                <w:szCs w:val="12"/>
                <w:b w:val="1"/>
                <w:bCs w:val="1"/>
                <w:color w:val="FFFFFF"/>
              </w:rPr>
              <w:t>Three Months Ended</w:t>
            </w:r>
          </w:p>
        </w:tc>
        <w:tc>
          <w:tcPr>
            <w:tcW w:w="420" w:type="dxa"/>
            <w:vAlign w:val="bottom"/>
            <w:shd w:val="clear" w:color="auto" w:fill="43C0B9"/>
          </w:tcPr>
          <w:p>
            <w:pPr>
              <w:spacing w:after="0"/>
              <w:rPr>
                <w:sz w:val="14"/>
                <w:szCs w:val="14"/>
                <w:color w:val="auto"/>
              </w:rPr>
            </w:pPr>
          </w:p>
        </w:tc>
        <w:tc>
          <w:tcPr>
            <w:tcW w:w="880" w:type="dxa"/>
            <w:vAlign w:val="bottom"/>
            <w:shd w:val="clear" w:color="auto" w:fill="43C0B9"/>
          </w:tcPr>
          <w:p>
            <w:pPr>
              <w:spacing w:after="0"/>
              <w:rPr>
                <w:sz w:val="14"/>
                <w:szCs w:val="14"/>
                <w:color w:val="auto"/>
              </w:rPr>
            </w:pPr>
          </w:p>
        </w:tc>
        <w:tc>
          <w:tcPr>
            <w:tcW w:w="480" w:type="dxa"/>
            <w:vAlign w:val="bottom"/>
            <w:shd w:val="clear" w:color="auto" w:fill="43C0B9"/>
          </w:tcPr>
          <w:p>
            <w:pPr>
              <w:spacing w:after="0"/>
              <w:rPr>
                <w:sz w:val="14"/>
                <w:szCs w:val="14"/>
                <w:color w:val="auto"/>
              </w:rPr>
            </w:pPr>
          </w:p>
        </w:tc>
        <w:tc>
          <w:tcPr>
            <w:tcW w:w="800" w:type="dxa"/>
            <w:vAlign w:val="bottom"/>
            <w:shd w:val="clear" w:color="auto" w:fill="43C0B9"/>
          </w:tcPr>
          <w:p>
            <w:pPr>
              <w:spacing w:after="0"/>
              <w:rPr>
                <w:sz w:val="14"/>
                <w:szCs w:val="14"/>
                <w:color w:val="auto"/>
              </w:rPr>
            </w:pPr>
          </w:p>
        </w:tc>
        <w:tc>
          <w:tcPr>
            <w:tcW w:w="340" w:type="dxa"/>
            <w:vAlign w:val="bottom"/>
            <w:shd w:val="clear" w:color="auto" w:fill="43C0B9"/>
          </w:tcPr>
          <w:p>
            <w:pPr>
              <w:spacing w:after="0"/>
              <w:rPr>
                <w:sz w:val="14"/>
                <w:szCs w:val="14"/>
                <w:color w:val="auto"/>
              </w:rPr>
            </w:pPr>
          </w:p>
        </w:tc>
        <w:tc>
          <w:tcPr>
            <w:tcW w:w="2020" w:type="dxa"/>
            <w:vAlign w:val="bottom"/>
            <w:gridSpan w:val="3"/>
            <w:shd w:val="clear" w:color="auto" w:fill="43C0B9"/>
          </w:tcPr>
          <w:p>
            <w:pPr>
              <w:jc w:val="center"/>
              <w:ind w:right="278"/>
              <w:spacing w:after="0"/>
              <w:rPr>
                <w:sz w:val="20"/>
                <w:szCs w:val="20"/>
                <w:color w:val="auto"/>
              </w:rPr>
            </w:pPr>
            <w:r>
              <w:rPr>
                <w:rFonts w:ascii="Calibri" w:cs="Calibri" w:eastAsia="Calibri" w:hAnsi="Calibri"/>
                <w:sz w:val="12"/>
                <w:szCs w:val="12"/>
                <w:b w:val="1"/>
                <w:bCs w:val="1"/>
                <w:color w:val="FFFFFF"/>
              </w:rPr>
              <w:t>Six Months Ended</w:t>
            </w:r>
          </w:p>
        </w:tc>
        <w:tc>
          <w:tcPr>
            <w:tcW w:w="160" w:type="dxa"/>
            <w:vAlign w:val="bottom"/>
            <w:shd w:val="clear" w:color="auto" w:fill="43C0B9"/>
          </w:tcPr>
          <w:p>
            <w:pPr>
              <w:spacing w:after="0"/>
              <w:rPr>
                <w:sz w:val="14"/>
                <w:szCs w:val="14"/>
                <w:color w:val="auto"/>
              </w:rPr>
            </w:pPr>
          </w:p>
        </w:tc>
        <w:tc>
          <w:tcPr>
            <w:tcW w:w="980" w:type="dxa"/>
            <w:vAlign w:val="bottom"/>
            <w:shd w:val="clear" w:color="auto" w:fill="43C0B9"/>
          </w:tcPr>
          <w:p>
            <w:pPr>
              <w:spacing w:after="0"/>
              <w:rPr>
                <w:sz w:val="14"/>
                <w:szCs w:val="14"/>
                <w:color w:val="auto"/>
              </w:rPr>
            </w:pPr>
          </w:p>
        </w:tc>
      </w:tr>
      <w:tr>
        <w:trPr>
          <w:trHeight w:val="164"/>
        </w:trPr>
        <w:tc>
          <w:tcPr>
            <w:tcW w:w="1740" w:type="dxa"/>
            <w:vAlign w:val="bottom"/>
            <w:tcBorders>
              <w:bottom w:val="single" w:sz="8" w:color="43C0B9"/>
            </w:tcBorders>
            <w:shd w:val="clear" w:color="auto" w:fill="43C0B9"/>
          </w:tcPr>
          <w:p>
            <w:pPr>
              <w:spacing w:after="0"/>
              <w:rPr>
                <w:sz w:val="14"/>
                <w:szCs w:val="14"/>
                <w:color w:val="auto"/>
              </w:rPr>
            </w:pPr>
          </w:p>
        </w:tc>
        <w:tc>
          <w:tcPr>
            <w:tcW w:w="340" w:type="dxa"/>
            <w:vAlign w:val="bottom"/>
            <w:tcBorders>
              <w:bottom w:val="single" w:sz="8" w:color="43C0B9"/>
            </w:tcBorders>
            <w:shd w:val="clear" w:color="auto" w:fill="43C0B9"/>
          </w:tcPr>
          <w:p>
            <w:pPr>
              <w:spacing w:after="0"/>
              <w:rPr>
                <w:sz w:val="14"/>
                <w:szCs w:val="14"/>
                <w:color w:val="auto"/>
              </w:rPr>
            </w:pPr>
          </w:p>
        </w:tc>
        <w:tc>
          <w:tcPr>
            <w:tcW w:w="780" w:type="dxa"/>
            <w:vAlign w:val="bottom"/>
            <w:tcBorders>
              <w:bottom w:val="single" w:sz="8" w:color="43C0B9"/>
            </w:tcBorders>
            <w:shd w:val="clear" w:color="auto" w:fill="43C0B9"/>
          </w:tcPr>
          <w:p>
            <w:pPr>
              <w:spacing w:after="0"/>
              <w:rPr>
                <w:sz w:val="14"/>
                <w:szCs w:val="14"/>
                <w:color w:val="auto"/>
              </w:rPr>
            </w:pPr>
          </w:p>
        </w:tc>
        <w:tc>
          <w:tcPr>
            <w:tcW w:w="280" w:type="dxa"/>
            <w:vAlign w:val="bottom"/>
            <w:tcBorders>
              <w:bottom w:val="single" w:sz="8" w:color="43C0B9"/>
            </w:tcBorders>
            <w:shd w:val="clear" w:color="auto" w:fill="43C0B9"/>
          </w:tcPr>
          <w:p>
            <w:pPr>
              <w:spacing w:after="0"/>
              <w:rPr>
                <w:sz w:val="14"/>
                <w:szCs w:val="14"/>
                <w:color w:val="auto"/>
              </w:rPr>
            </w:pPr>
          </w:p>
        </w:tc>
        <w:tc>
          <w:tcPr>
            <w:tcW w:w="2020" w:type="dxa"/>
            <w:vAlign w:val="bottom"/>
            <w:tcBorders>
              <w:bottom w:val="single" w:sz="8" w:color="43C0B9"/>
            </w:tcBorders>
            <w:gridSpan w:val="3"/>
            <w:shd w:val="clear" w:color="auto" w:fill="43C0B9"/>
          </w:tcPr>
          <w:p>
            <w:pPr>
              <w:jc w:val="center"/>
              <w:ind w:right="158"/>
              <w:spacing w:after="0"/>
              <w:rPr>
                <w:sz w:val="20"/>
                <w:szCs w:val="20"/>
                <w:color w:val="auto"/>
              </w:rPr>
            </w:pPr>
            <w:r>
              <w:rPr>
                <w:rFonts w:ascii="Calibri" w:cs="Calibri" w:eastAsia="Calibri" w:hAnsi="Calibri"/>
                <w:sz w:val="12"/>
                <w:szCs w:val="12"/>
                <w:b w:val="1"/>
                <w:bCs w:val="1"/>
                <w:color w:val="FFFFFF"/>
              </w:rPr>
              <w:t>April 30, 2021</w:t>
            </w:r>
          </w:p>
        </w:tc>
        <w:tc>
          <w:tcPr>
            <w:tcW w:w="420" w:type="dxa"/>
            <w:vAlign w:val="bottom"/>
            <w:tcBorders>
              <w:bottom w:val="single" w:sz="8" w:color="43C0B9"/>
            </w:tcBorders>
            <w:shd w:val="clear" w:color="auto" w:fill="43C0B9"/>
          </w:tcPr>
          <w:p>
            <w:pPr>
              <w:spacing w:after="0"/>
              <w:rPr>
                <w:sz w:val="14"/>
                <w:szCs w:val="14"/>
                <w:color w:val="auto"/>
              </w:rPr>
            </w:pPr>
          </w:p>
        </w:tc>
        <w:tc>
          <w:tcPr>
            <w:tcW w:w="880" w:type="dxa"/>
            <w:vAlign w:val="bottom"/>
            <w:tcBorders>
              <w:bottom w:val="single" w:sz="8" w:color="43C0B9"/>
            </w:tcBorders>
            <w:shd w:val="clear" w:color="auto" w:fill="43C0B9"/>
          </w:tcPr>
          <w:p>
            <w:pPr>
              <w:spacing w:after="0"/>
              <w:rPr>
                <w:sz w:val="14"/>
                <w:szCs w:val="14"/>
                <w:color w:val="auto"/>
              </w:rPr>
            </w:pPr>
          </w:p>
        </w:tc>
        <w:tc>
          <w:tcPr>
            <w:tcW w:w="480" w:type="dxa"/>
            <w:vAlign w:val="bottom"/>
            <w:tcBorders>
              <w:bottom w:val="single" w:sz="8" w:color="43C0B9"/>
            </w:tcBorders>
            <w:shd w:val="clear" w:color="auto" w:fill="43C0B9"/>
          </w:tcPr>
          <w:p>
            <w:pPr>
              <w:spacing w:after="0"/>
              <w:rPr>
                <w:sz w:val="14"/>
                <w:szCs w:val="14"/>
                <w:color w:val="auto"/>
              </w:rPr>
            </w:pPr>
          </w:p>
        </w:tc>
        <w:tc>
          <w:tcPr>
            <w:tcW w:w="800" w:type="dxa"/>
            <w:vAlign w:val="bottom"/>
            <w:tcBorders>
              <w:bottom w:val="single" w:sz="8" w:color="43C0B9"/>
            </w:tcBorders>
            <w:shd w:val="clear" w:color="auto" w:fill="43C0B9"/>
          </w:tcPr>
          <w:p>
            <w:pPr>
              <w:spacing w:after="0"/>
              <w:rPr>
                <w:sz w:val="14"/>
                <w:szCs w:val="14"/>
                <w:color w:val="auto"/>
              </w:rPr>
            </w:pPr>
          </w:p>
        </w:tc>
        <w:tc>
          <w:tcPr>
            <w:tcW w:w="340" w:type="dxa"/>
            <w:vAlign w:val="bottom"/>
            <w:tcBorders>
              <w:bottom w:val="single" w:sz="8" w:color="43C0B9"/>
            </w:tcBorders>
            <w:shd w:val="clear" w:color="auto" w:fill="43C0B9"/>
          </w:tcPr>
          <w:p>
            <w:pPr>
              <w:spacing w:after="0"/>
              <w:rPr>
                <w:sz w:val="14"/>
                <w:szCs w:val="14"/>
                <w:color w:val="auto"/>
              </w:rPr>
            </w:pPr>
          </w:p>
        </w:tc>
        <w:tc>
          <w:tcPr>
            <w:tcW w:w="1200" w:type="dxa"/>
            <w:vAlign w:val="bottom"/>
            <w:tcBorders>
              <w:bottom w:val="single" w:sz="8" w:color="43C0B9"/>
            </w:tcBorders>
            <w:gridSpan w:val="2"/>
            <w:shd w:val="clear" w:color="auto" w:fill="43C0B9"/>
          </w:tcPr>
          <w:p>
            <w:pPr>
              <w:jc w:val="center"/>
              <w:ind w:left="418"/>
              <w:spacing w:after="0"/>
              <w:rPr>
                <w:sz w:val="20"/>
                <w:szCs w:val="20"/>
                <w:color w:val="auto"/>
              </w:rPr>
            </w:pPr>
            <w:r>
              <w:rPr>
                <w:rFonts w:ascii="Calibri" w:cs="Calibri" w:eastAsia="Calibri" w:hAnsi="Calibri"/>
                <w:sz w:val="12"/>
                <w:szCs w:val="12"/>
                <w:b w:val="1"/>
                <w:bCs w:val="1"/>
                <w:color w:val="FFFFFF"/>
              </w:rPr>
              <w:t>April 30, 2021</w:t>
            </w:r>
          </w:p>
        </w:tc>
        <w:tc>
          <w:tcPr>
            <w:tcW w:w="820" w:type="dxa"/>
            <w:vAlign w:val="bottom"/>
            <w:tcBorders>
              <w:bottom w:val="single" w:sz="8" w:color="43C0B9"/>
            </w:tcBorders>
            <w:shd w:val="clear" w:color="auto" w:fill="43C0B9"/>
          </w:tcPr>
          <w:p>
            <w:pPr>
              <w:spacing w:after="0"/>
              <w:rPr>
                <w:sz w:val="14"/>
                <w:szCs w:val="14"/>
                <w:color w:val="auto"/>
              </w:rPr>
            </w:pPr>
          </w:p>
        </w:tc>
        <w:tc>
          <w:tcPr>
            <w:tcW w:w="160" w:type="dxa"/>
            <w:vAlign w:val="bottom"/>
            <w:tcBorders>
              <w:bottom w:val="single" w:sz="8" w:color="43C0B9"/>
            </w:tcBorders>
            <w:shd w:val="clear" w:color="auto" w:fill="43C0B9"/>
          </w:tcPr>
          <w:p>
            <w:pPr>
              <w:spacing w:after="0"/>
              <w:rPr>
                <w:sz w:val="14"/>
                <w:szCs w:val="14"/>
                <w:color w:val="auto"/>
              </w:rPr>
            </w:pPr>
          </w:p>
        </w:tc>
        <w:tc>
          <w:tcPr>
            <w:tcW w:w="980" w:type="dxa"/>
            <w:vAlign w:val="bottom"/>
            <w:tcBorders>
              <w:bottom w:val="single" w:sz="8" w:color="43C0B9"/>
            </w:tcBorders>
            <w:shd w:val="clear" w:color="auto" w:fill="43C0B9"/>
          </w:tcPr>
          <w:p>
            <w:pPr>
              <w:spacing w:after="0"/>
              <w:rPr>
                <w:sz w:val="14"/>
                <w:szCs w:val="14"/>
                <w:color w:val="auto"/>
              </w:rPr>
            </w:pPr>
          </w:p>
        </w:tc>
      </w:tr>
      <w:tr>
        <w:trPr>
          <w:trHeight w:val="181"/>
        </w:trPr>
        <w:tc>
          <w:tcPr>
            <w:tcW w:w="17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2"/>
                <w:szCs w:val="12"/>
                <w:b w:val="1"/>
                <w:bCs w:val="1"/>
                <w:color w:val="auto"/>
              </w:rPr>
              <w:t>Equity method investees:</w:t>
            </w:r>
          </w:p>
        </w:tc>
        <w:tc>
          <w:tcPr>
            <w:tcW w:w="34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spacing w:after="0"/>
              <w:rPr>
                <w:sz w:val="15"/>
                <w:szCs w:val="15"/>
                <w:color w:val="auto"/>
              </w:rPr>
            </w:pPr>
          </w:p>
        </w:tc>
        <w:tc>
          <w:tcPr>
            <w:tcW w:w="48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r>
      <w:tr>
        <w:trPr>
          <w:trHeight w:val="164"/>
        </w:trPr>
        <w:tc>
          <w:tcPr>
            <w:tcW w:w="1740" w:type="dxa"/>
            <w:vAlign w:val="bottom"/>
          </w:tcPr>
          <w:p>
            <w:pPr>
              <w:ind w:left="140"/>
              <w:spacing w:after="0"/>
              <w:rPr>
                <w:sz w:val="20"/>
                <w:szCs w:val="20"/>
                <w:color w:val="auto"/>
              </w:rPr>
            </w:pPr>
            <w:r>
              <w:rPr>
                <w:rFonts w:ascii="Calibri" w:cs="Calibri" w:eastAsia="Calibri" w:hAnsi="Calibri"/>
                <w:sz w:val="12"/>
                <w:szCs w:val="12"/>
                <w:color w:val="auto"/>
              </w:rPr>
              <w:t>Mr. Avocado</w:t>
            </w:r>
          </w:p>
        </w:tc>
        <w:tc>
          <w:tcPr>
            <w:tcW w:w="340" w:type="dxa"/>
            <w:vAlign w:val="bottom"/>
          </w:tcPr>
          <w:p>
            <w:pPr>
              <w:jc w:val="right"/>
              <w:ind w:right="198"/>
              <w:spacing w:after="0"/>
              <w:rPr>
                <w:sz w:val="20"/>
                <w:szCs w:val="20"/>
                <w:color w:val="auto"/>
              </w:rPr>
            </w:pPr>
            <w:r>
              <w:rPr>
                <w:rFonts w:ascii="Calibri" w:cs="Calibri" w:eastAsia="Calibri" w:hAnsi="Calibri"/>
                <w:sz w:val="12"/>
                <w:szCs w:val="12"/>
                <w:color w:val="auto"/>
                <w:w w:val="97"/>
              </w:rPr>
              <w:t>$</w:t>
            </w:r>
          </w:p>
        </w:tc>
        <w:tc>
          <w:tcPr>
            <w:tcW w:w="780" w:type="dxa"/>
            <w:vAlign w:val="bottom"/>
          </w:tcPr>
          <w:p>
            <w:pPr>
              <w:jc w:val="right"/>
              <w:ind w:right="38"/>
              <w:spacing w:after="0"/>
              <w:rPr>
                <w:sz w:val="20"/>
                <w:szCs w:val="20"/>
                <w:color w:val="auto"/>
              </w:rPr>
            </w:pPr>
            <w:r>
              <w:rPr>
                <w:rFonts w:ascii="Calibri" w:cs="Calibri" w:eastAsia="Calibri" w:hAnsi="Calibri"/>
                <w:sz w:val="12"/>
                <w:szCs w:val="12"/>
                <w:color w:val="auto"/>
              </w:rPr>
              <w:t>0.8</w:t>
            </w:r>
          </w:p>
        </w:tc>
        <w:tc>
          <w:tcPr>
            <w:tcW w:w="280" w:type="dxa"/>
            <w:vAlign w:val="bottom"/>
          </w:tcPr>
          <w:p>
            <w:pPr>
              <w:jc w:val="right"/>
              <w:ind w:right="98"/>
              <w:spacing w:after="0"/>
              <w:rPr>
                <w:sz w:val="20"/>
                <w:szCs w:val="20"/>
                <w:color w:val="auto"/>
              </w:rPr>
            </w:pPr>
            <w:r>
              <w:rPr>
                <w:rFonts w:ascii="Calibri" w:cs="Calibri" w:eastAsia="Calibri" w:hAnsi="Calibri"/>
                <w:sz w:val="12"/>
                <w:szCs w:val="12"/>
                <w:color w:val="auto"/>
              </w:rPr>
              <w:t>$</w:t>
            </w:r>
          </w:p>
        </w:tc>
        <w:tc>
          <w:tcPr>
            <w:tcW w:w="88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1020" w:type="dxa"/>
            <w:vAlign w:val="bottom"/>
          </w:tcPr>
          <w:p>
            <w:pPr>
              <w:jc w:val="right"/>
              <w:spacing w:after="0"/>
              <w:rPr>
                <w:sz w:val="20"/>
                <w:szCs w:val="20"/>
                <w:color w:val="auto"/>
              </w:rPr>
            </w:pPr>
            <w:r>
              <w:rPr>
                <w:rFonts w:ascii="Calibri" w:cs="Calibri" w:eastAsia="Calibri" w:hAnsi="Calibri"/>
                <w:sz w:val="12"/>
                <w:szCs w:val="12"/>
                <w:color w:val="auto"/>
              </w:rPr>
              <w:t>—</w:t>
            </w:r>
          </w:p>
        </w:tc>
        <w:tc>
          <w:tcPr>
            <w:tcW w:w="420" w:type="dxa"/>
            <w:vAlign w:val="bottom"/>
          </w:tcPr>
          <w:p>
            <w:pPr>
              <w:jc w:val="right"/>
              <w:ind w:right="178"/>
              <w:spacing w:after="0"/>
              <w:rPr>
                <w:sz w:val="20"/>
                <w:szCs w:val="20"/>
                <w:color w:val="auto"/>
              </w:rPr>
            </w:pPr>
            <w:r>
              <w:rPr>
                <w:rFonts w:ascii="Calibri" w:cs="Calibri" w:eastAsia="Calibri" w:hAnsi="Calibri"/>
                <w:sz w:val="12"/>
                <w:szCs w:val="12"/>
                <w:color w:val="auto"/>
              </w:rPr>
              <w:t>$</w:t>
            </w:r>
          </w:p>
        </w:tc>
        <w:tc>
          <w:tcPr>
            <w:tcW w:w="880" w:type="dxa"/>
            <w:vAlign w:val="bottom"/>
          </w:tcPr>
          <w:p>
            <w:pPr>
              <w:jc w:val="right"/>
              <w:ind w:right="98"/>
              <w:spacing w:after="0"/>
              <w:rPr>
                <w:sz w:val="20"/>
                <w:szCs w:val="20"/>
                <w:color w:val="auto"/>
              </w:rPr>
            </w:pPr>
            <w:r>
              <w:rPr>
                <w:rFonts w:ascii="Calibri" w:cs="Calibri" w:eastAsia="Calibri" w:hAnsi="Calibri"/>
                <w:sz w:val="12"/>
                <w:szCs w:val="12"/>
                <w:color w:val="auto"/>
              </w:rPr>
              <w:t>—</w:t>
            </w:r>
          </w:p>
        </w:tc>
        <w:tc>
          <w:tcPr>
            <w:tcW w:w="480" w:type="dxa"/>
            <w:vAlign w:val="bottom"/>
          </w:tcPr>
          <w:p>
            <w:pPr>
              <w:jc w:val="right"/>
              <w:ind w:right="198"/>
              <w:spacing w:after="0"/>
              <w:rPr>
                <w:sz w:val="20"/>
                <w:szCs w:val="20"/>
                <w:color w:val="auto"/>
              </w:rPr>
            </w:pPr>
            <w:r>
              <w:rPr>
                <w:rFonts w:ascii="Calibri" w:cs="Calibri" w:eastAsia="Calibri" w:hAnsi="Calibri"/>
                <w:sz w:val="12"/>
                <w:szCs w:val="12"/>
                <w:color w:val="auto"/>
              </w:rPr>
              <w:t>$</w:t>
            </w:r>
          </w:p>
        </w:tc>
        <w:tc>
          <w:tcPr>
            <w:tcW w:w="800" w:type="dxa"/>
            <w:vAlign w:val="bottom"/>
          </w:tcPr>
          <w:p>
            <w:pPr>
              <w:jc w:val="right"/>
              <w:ind w:right="38"/>
              <w:spacing w:after="0"/>
              <w:rPr>
                <w:sz w:val="20"/>
                <w:szCs w:val="20"/>
                <w:color w:val="auto"/>
              </w:rPr>
            </w:pPr>
            <w:r>
              <w:rPr>
                <w:rFonts w:ascii="Calibri" w:cs="Calibri" w:eastAsia="Calibri" w:hAnsi="Calibri"/>
                <w:sz w:val="12"/>
                <w:szCs w:val="12"/>
                <w:color w:val="auto"/>
              </w:rPr>
              <w:t>1.9</w:t>
            </w:r>
          </w:p>
        </w:tc>
        <w:tc>
          <w:tcPr>
            <w:tcW w:w="340" w:type="dxa"/>
            <w:vAlign w:val="bottom"/>
          </w:tcPr>
          <w:p>
            <w:pPr>
              <w:jc w:val="right"/>
              <w:ind w:right="158"/>
              <w:spacing w:after="0"/>
              <w:rPr>
                <w:sz w:val="20"/>
                <w:szCs w:val="20"/>
                <w:color w:val="auto"/>
              </w:rPr>
            </w:pPr>
            <w:r>
              <w:rPr>
                <w:rFonts w:ascii="Calibri" w:cs="Calibri" w:eastAsia="Calibri" w:hAnsi="Calibri"/>
                <w:sz w:val="12"/>
                <w:szCs w:val="12"/>
                <w:color w:val="auto"/>
              </w:rPr>
              <w:t>$</w:t>
            </w:r>
          </w:p>
        </w:tc>
        <w:tc>
          <w:tcPr>
            <w:tcW w:w="84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360" w:type="dxa"/>
            <w:vAlign w:val="bottom"/>
          </w:tcPr>
          <w:p>
            <w:pPr>
              <w:jc w:val="right"/>
              <w:ind w:right="178"/>
              <w:spacing w:after="0"/>
              <w:rPr>
                <w:sz w:val="20"/>
                <w:szCs w:val="20"/>
                <w:color w:val="auto"/>
              </w:rPr>
            </w:pPr>
            <w:r>
              <w:rPr>
                <w:rFonts w:ascii="Calibri" w:cs="Calibri" w:eastAsia="Calibri" w:hAnsi="Calibri"/>
                <w:sz w:val="12"/>
                <w:szCs w:val="12"/>
                <w:color w:val="auto"/>
              </w:rPr>
              <w:t>$</w:t>
            </w:r>
          </w:p>
        </w:tc>
        <w:tc>
          <w:tcPr>
            <w:tcW w:w="820" w:type="dxa"/>
            <w:vAlign w:val="bottom"/>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Pr>
          <w:p>
            <w:pPr>
              <w:jc w:val="right"/>
              <w:spacing w:after="0"/>
              <w:rPr>
                <w:sz w:val="20"/>
                <w:szCs w:val="20"/>
                <w:color w:val="auto"/>
              </w:rPr>
            </w:pPr>
            <w:r>
              <w:rPr>
                <w:rFonts w:ascii="Calibri" w:cs="Calibri" w:eastAsia="Calibri" w:hAnsi="Calibri"/>
                <w:sz w:val="12"/>
                <w:szCs w:val="12"/>
                <w:color w:val="auto"/>
              </w:rPr>
              <w:t>$</w:t>
            </w:r>
          </w:p>
        </w:tc>
        <w:tc>
          <w:tcPr>
            <w:tcW w:w="980" w:type="dxa"/>
            <w:vAlign w:val="bottom"/>
          </w:tcPr>
          <w:p>
            <w:pPr>
              <w:jc w:val="right"/>
              <w:spacing w:after="0"/>
              <w:rPr>
                <w:sz w:val="20"/>
                <w:szCs w:val="20"/>
                <w:color w:val="auto"/>
              </w:rPr>
            </w:pPr>
            <w:r>
              <w:rPr>
                <w:rFonts w:ascii="Calibri" w:cs="Calibri" w:eastAsia="Calibri" w:hAnsi="Calibri"/>
                <w:sz w:val="12"/>
                <w:szCs w:val="12"/>
                <w:color w:val="auto"/>
              </w:rPr>
              <w:t>—</w:t>
            </w:r>
          </w:p>
        </w:tc>
      </w:tr>
      <w:tr>
        <w:trPr>
          <w:trHeight w:val="37"/>
        </w:trPr>
        <w:tc>
          <w:tcPr>
            <w:tcW w:w="1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1"/>
        </w:trPr>
        <w:tc>
          <w:tcPr>
            <w:tcW w:w="174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Moruga</w:t>
            </w:r>
            <w:r>
              <w:rPr>
                <w:rFonts w:ascii="Calibri" w:cs="Calibri" w:eastAsia="Calibri" w:hAnsi="Calibri"/>
                <w:sz w:val="16"/>
                <w:szCs w:val="16"/>
                <w:color w:val="auto"/>
                <w:vertAlign w:val="superscript"/>
              </w:rPr>
              <w:t>(1)</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0.1</w:t>
            </w: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c>
          <w:tcPr>
            <w:tcW w:w="42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98"/>
              <w:spacing w:after="0"/>
              <w:rPr>
                <w:sz w:val="20"/>
                <w:szCs w:val="20"/>
                <w:color w:val="auto"/>
              </w:rPr>
            </w:pPr>
            <w:r>
              <w:rPr>
                <w:rFonts w:ascii="Calibri" w:cs="Calibri" w:eastAsia="Calibri" w:hAnsi="Calibri"/>
                <w:sz w:val="12"/>
                <w:szCs w:val="12"/>
                <w:color w:val="auto"/>
              </w:rPr>
              <w:t>0.1</w:t>
            </w:r>
          </w:p>
        </w:tc>
        <w:tc>
          <w:tcPr>
            <w:tcW w:w="48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2.6</w:t>
            </w:r>
          </w:p>
        </w:tc>
        <w:tc>
          <w:tcPr>
            <w:tcW w:w="34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360" w:type="dxa"/>
            <w:vAlign w:val="bottom"/>
            <w:shd w:val="clear" w:color="auto" w:fill="DBDBDB"/>
          </w:tcPr>
          <w:p>
            <w:pPr>
              <w:spacing w:after="0"/>
              <w:rPr>
                <w:sz w:val="17"/>
                <w:szCs w:val="17"/>
                <w:color w:val="auto"/>
              </w:rPr>
            </w:pPr>
          </w:p>
        </w:tc>
        <w:tc>
          <w:tcPr>
            <w:tcW w:w="82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0.1</w:t>
            </w:r>
          </w:p>
        </w:tc>
      </w:tr>
      <w:tr>
        <w:trPr>
          <w:trHeight w:val="164"/>
        </w:trPr>
        <w:tc>
          <w:tcPr>
            <w:tcW w:w="1740" w:type="dxa"/>
            <w:vAlign w:val="bottom"/>
          </w:tcPr>
          <w:p>
            <w:pPr>
              <w:ind w:left="20"/>
              <w:spacing w:after="0"/>
              <w:rPr>
                <w:sz w:val="20"/>
                <w:szCs w:val="20"/>
                <w:color w:val="auto"/>
              </w:rPr>
            </w:pPr>
            <w:r>
              <w:rPr>
                <w:rFonts w:ascii="Calibri" w:cs="Calibri" w:eastAsia="Calibri" w:hAnsi="Calibri"/>
                <w:sz w:val="12"/>
                <w:szCs w:val="12"/>
                <w:b w:val="1"/>
                <w:bCs w:val="1"/>
                <w:color w:val="auto"/>
              </w:rPr>
              <w:t>Other:</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7"/>
        </w:trPr>
        <w:tc>
          <w:tcPr>
            <w:tcW w:w="1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1"/>
        </w:trPr>
        <w:tc>
          <w:tcPr>
            <w:tcW w:w="1740" w:type="dxa"/>
            <w:vAlign w:val="bottom"/>
            <w:shd w:val="clear" w:color="auto" w:fill="DBDBDB"/>
          </w:tcPr>
          <w:p>
            <w:pPr>
              <w:ind w:left="140"/>
              <w:spacing w:after="0"/>
              <w:rPr>
                <w:sz w:val="20"/>
                <w:szCs w:val="20"/>
                <w:color w:val="auto"/>
              </w:rPr>
            </w:pPr>
            <w:r>
              <w:rPr>
                <w:rFonts w:ascii="Calibri" w:cs="Calibri" w:eastAsia="Calibri" w:hAnsi="Calibri"/>
                <w:sz w:val="12"/>
                <w:szCs w:val="12"/>
                <w:color w:val="auto"/>
              </w:rPr>
              <w:t>Directors/Ofcers</w:t>
            </w:r>
            <w:r>
              <w:rPr>
                <w:rFonts w:ascii="Calibri" w:cs="Calibri" w:eastAsia="Calibri" w:hAnsi="Calibri"/>
                <w:sz w:val="16"/>
                <w:szCs w:val="16"/>
                <w:color w:val="auto"/>
                <w:vertAlign w:val="superscript"/>
              </w:rPr>
              <w:t>(3)</w:t>
            </w:r>
          </w:p>
        </w:tc>
        <w:tc>
          <w:tcPr>
            <w:tcW w:w="34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1.0</w:t>
            </w: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1.4</w:t>
            </w:r>
          </w:p>
        </w:tc>
        <w:tc>
          <w:tcPr>
            <w:tcW w:w="12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0.1</w:t>
            </w:r>
          </w:p>
        </w:tc>
        <w:tc>
          <w:tcPr>
            <w:tcW w:w="420" w:type="dxa"/>
            <w:vAlign w:val="bottom"/>
            <w:shd w:val="clear" w:color="auto" w:fill="DBDBDB"/>
          </w:tcPr>
          <w:p>
            <w:pPr>
              <w:spacing w:after="0"/>
              <w:rPr>
                <w:sz w:val="17"/>
                <w:szCs w:val="17"/>
                <w:color w:val="auto"/>
              </w:rPr>
            </w:pPr>
          </w:p>
        </w:tc>
        <w:tc>
          <w:tcPr>
            <w:tcW w:w="880" w:type="dxa"/>
            <w:vAlign w:val="bottom"/>
            <w:shd w:val="clear" w:color="auto" w:fill="DBDBDB"/>
          </w:tcPr>
          <w:p>
            <w:pPr>
              <w:jc w:val="right"/>
              <w:ind w:right="98"/>
              <w:spacing w:after="0"/>
              <w:rPr>
                <w:sz w:val="20"/>
                <w:szCs w:val="20"/>
                <w:color w:val="auto"/>
              </w:rPr>
            </w:pPr>
            <w:r>
              <w:rPr>
                <w:rFonts w:ascii="Calibri" w:cs="Calibri" w:eastAsia="Calibri" w:hAnsi="Calibri"/>
                <w:sz w:val="12"/>
                <w:szCs w:val="12"/>
                <w:color w:val="auto"/>
              </w:rPr>
              <w:t>—</w:t>
            </w:r>
          </w:p>
        </w:tc>
        <w:tc>
          <w:tcPr>
            <w:tcW w:w="48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1.6</w:t>
            </w:r>
          </w:p>
        </w:tc>
        <w:tc>
          <w:tcPr>
            <w:tcW w:w="34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1.4</w:t>
            </w:r>
          </w:p>
        </w:tc>
        <w:tc>
          <w:tcPr>
            <w:tcW w:w="360" w:type="dxa"/>
            <w:vAlign w:val="bottom"/>
            <w:shd w:val="clear" w:color="auto" w:fill="DBDBDB"/>
          </w:tcPr>
          <w:p>
            <w:pPr>
              <w:spacing w:after="0"/>
              <w:rPr>
                <w:sz w:val="17"/>
                <w:szCs w:val="17"/>
                <w:color w:val="auto"/>
              </w:rPr>
            </w:pPr>
          </w:p>
        </w:tc>
        <w:tc>
          <w:tcPr>
            <w:tcW w:w="820" w:type="dxa"/>
            <w:vAlign w:val="bottom"/>
            <w:shd w:val="clear" w:color="auto" w:fill="DBDBDB"/>
          </w:tcPr>
          <w:p>
            <w:pPr>
              <w:jc w:val="right"/>
              <w:ind w:right="38"/>
              <w:spacing w:after="0"/>
              <w:rPr>
                <w:sz w:val="20"/>
                <w:szCs w:val="20"/>
                <w:color w:val="auto"/>
              </w:rPr>
            </w:pPr>
            <w:r>
              <w:rPr>
                <w:rFonts w:ascii="Calibri" w:cs="Calibri" w:eastAsia="Calibri" w:hAnsi="Calibri"/>
                <w:sz w:val="12"/>
                <w:szCs w:val="12"/>
                <w:color w:val="auto"/>
              </w:rPr>
              <w:t>0.1</w:t>
            </w: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2"/>
                <w:szCs w:val="12"/>
                <w:color w:val="auto"/>
              </w:rPr>
              <w:t>—</w:t>
            </w:r>
          </w:p>
        </w:tc>
      </w:tr>
      <w:tr>
        <w:trPr>
          <w:trHeight w:val="201"/>
        </w:trPr>
        <w:tc>
          <w:tcPr>
            <w:tcW w:w="1740" w:type="dxa"/>
            <w:vAlign w:val="bottom"/>
            <w:tcBorders>
              <w:bottom w:val="single" w:sz="8" w:color="auto"/>
            </w:tcBorders>
          </w:tcPr>
          <w:p>
            <w:pPr>
              <w:ind w:left="140"/>
              <w:spacing w:after="0"/>
              <w:rPr>
                <w:sz w:val="20"/>
                <w:szCs w:val="20"/>
                <w:color w:val="auto"/>
              </w:rPr>
            </w:pPr>
            <w:r>
              <w:rPr>
                <w:rFonts w:ascii="Calibri" w:cs="Calibri" w:eastAsia="Calibri" w:hAnsi="Calibri"/>
                <w:sz w:val="12"/>
                <w:szCs w:val="12"/>
                <w:color w:val="auto"/>
              </w:rPr>
              <w:t>Employees</w:t>
            </w:r>
            <w:r>
              <w:rPr>
                <w:rFonts w:ascii="Calibri" w:cs="Calibri" w:eastAsia="Calibri" w:hAnsi="Calibri"/>
                <w:sz w:val="16"/>
                <w:szCs w:val="16"/>
                <w:color w:val="auto"/>
                <w:vertAlign w:val="superscript"/>
              </w:rPr>
              <w:t>(4)</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Calibri" w:cs="Calibri" w:eastAsia="Calibri" w:hAnsi="Calibri"/>
                <w:sz w:val="12"/>
                <w:szCs w:val="12"/>
                <w:color w:val="auto"/>
              </w:rPr>
              <w:t>—</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
              <w:spacing w:after="0"/>
              <w:rPr>
                <w:sz w:val="20"/>
                <w:szCs w:val="20"/>
                <w:color w:val="auto"/>
              </w:rPr>
            </w:pPr>
            <w:r>
              <w:rPr>
                <w:rFonts w:ascii="Calibri" w:cs="Calibri" w:eastAsia="Calibri" w:hAnsi="Calibri"/>
                <w:sz w:val="12"/>
                <w:szCs w:val="12"/>
                <w:color w:val="auto"/>
              </w:rPr>
              <w:t>3.0</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color w:val="auto"/>
              </w:rPr>
              <w:t>—</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8"/>
              <w:spacing w:after="0"/>
              <w:rPr>
                <w:sz w:val="20"/>
                <w:szCs w:val="20"/>
                <w:color w:val="auto"/>
              </w:rPr>
            </w:pPr>
            <w:r>
              <w:rPr>
                <w:rFonts w:ascii="Calibri" w:cs="Calibri" w:eastAsia="Calibri" w:hAnsi="Calibri"/>
                <w:sz w:val="12"/>
                <w:szCs w:val="12"/>
                <w:color w:val="auto"/>
              </w:rPr>
              <w:t>—</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Calibri" w:cs="Calibri" w:eastAsia="Calibri" w:hAnsi="Calibri"/>
                <w:sz w:val="12"/>
                <w:szCs w:val="12"/>
                <w:color w:val="auto"/>
              </w:rPr>
              <w:t>—</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
              <w:spacing w:after="0"/>
              <w:rPr>
                <w:sz w:val="20"/>
                <w:szCs w:val="20"/>
                <w:color w:val="auto"/>
              </w:rPr>
            </w:pPr>
            <w:r>
              <w:rPr>
                <w:rFonts w:ascii="Calibri" w:cs="Calibri" w:eastAsia="Calibri" w:hAnsi="Calibri"/>
                <w:sz w:val="12"/>
                <w:szCs w:val="12"/>
                <w:color w:val="auto"/>
              </w:rPr>
              <w:t>6.0</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8"/>
              <w:spacing w:after="0"/>
              <w:rPr>
                <w:sz w:val="20"/>
                <w:szCs w:val="20"/>
                <w:color w:val="auto"/>
              </w:rPr>
            </w:pPr>
            <w:r>
              <w:rPr>
                <w:rFonts w:ascii="Calibri" w:cs="Calibri" w:eastAsia="Calibri" w:hAnsi="Calibri"/>
                <w:sz w:val="12"/>
                <w:szCs w:val="12"/>
                <w:color w:val="auto"/>
              </w:rPr>
              <w: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-4092575</wp:posOffset>
            </wp:positionV>
            <wp:extent cx="5460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-4228465</wp:posOffset>
            </wp:positionV>
            <wp:extent cx="5460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60365" cy="825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-2343150</wp:posOffset>
            </wp:positionV>
            <wp:extent cx="60382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8215" cy="825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-2572385</wp:posOffset>
            </wp:positionV>
            <wp:extent cx="60382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8215" cy="8255"/>
                    </a:xfrm>
                    <a:prstGeom prst="rect">
                      <a:avLst/>
                    </a:prstGeom>
                    <a:noFill/>
                  </pic:spPr>
                </pic:pic>
              </a:graphicData>
            </a:graphic>
          </wp:anchor>
        </w:drawing>
      </w:r>
    </w:p>
    <w:p>
      <w:pPr>
        <w:spacing w:after="0" w:line="36" w:lineRule="exact"/>
        <w:rPr>
          <w:sz w:val="20"/>
          <w:szCs w:val="20"/>
          <w:color w:val="auto"/>
        </w:rPr>
      </w:pPr>
    </w:p>
    <w:p>
      <w:pPr>
        <w:ind w:left="160" w:right="560" w:hanging="153"/>
        <w:spacing w:after="0" w:line="206" w:lineRule="auto"/>
        <w:tabs>
          <w:tab w:leader="none" w:pos="156" w:val="left"/>
        </w:tabs>
        <w:numPr>
          <w:ilvl w:val="0"/>
          <w:numId w:val="10"/>
        </w:numPr>
        <w:rPr>
          <w:rFonts w:ascii="Calibri" w:cs="Calibri" w:eastAsia="Calibri" w:hAnsi="Calibri"/>
          <w:sz w:val="16"/>
          <w:szCs w:val="16"/>
          <w:color w:val="auto"/>
          <w:vertAlign w:val="superscript"/>
        </w:rPr>
      </w:pPr>
      <w:r>
        <w:rPr>
          <w:rFonts w:ascii="Calibri" w:cs="Calibri" w:eastAsia="Calibri" w:hAnsi="Calibri"/>
          <w:sz w:val="12"/>
          <w:szCs w:val="12"/>
          <w:color w:val="auto"/>
        </w:rPr>
        <w:t>The Company has provided loans to Moruga Inc. S.A.C. to support growth and expansion projects, bearing interest at 6.5%, due December 31, 2023. The Company also provides packing and cooling services for blueberries and leases owned land to Blueberries Peru S.A.C., a wholly owned subsidiary of Moruga, in Peru.</w:t>
      </w:r>
    </w:p>
    <w:p>
      <w:pPr>
        <w:spacing w:after="0" w:line="6" w:lineRule="exact"/>
        <w:rPr>
          <w:rFonts w:ascii="Calibri" w:cs="Calibri" w:eastAsia="Calibri" w:hAnsi="Calibri"/>
          <w:sz w:val="16"/>
          <w:szCs w:val="16"/>
          <w:color w:val="auto"/>
          <w:vertAlign w:val="superscript"/>
        </w:rPr>
      </w:pPr>
    </w:p>
    <w:p>
      <w:pPr>
        <w:ind w:left="160" w:hanging="153"/>
        <w:spacing w:after="0"/>
        <w:tabs>
          <w:tab w:leader="none" w:pos="160" w:val="left"/>
        </w:tabs>
        <w:numPr>
          <w:ilvl w:val="0"/>
          <w:numId w:val="10"/>
        </w:numPr>
        <w:rPr>
          <w:rFonts w:ascii="Calibri" w:cs="Calibri" w:eastAsia="Calibri" w:hAnsi="Calibri"/>
          <w:sz w:val="16"/>
          <w:szCs w:val="16"/>
          <w:color w:val="auto"/>
          <w:vertAlign w:val="superscript"/>
        </w:rPr>
      </w:pPr>
      <w:r>
        <w:rPr>
          <w:rFonts w:ascii="Calibri" w:cs="Calibri" w:eastAsia="Calibri" w:hAnsi="Calibri"/>
          <w:sz w:val="12"/>
          <w:szCs w:val="12"/>
          <w:color w:val="auto"/>
        </w:rPr>
        <w:t>The Company has provided loans to Copaltas to support growth and expansion projects, bearing interest at 6.66%. The notes outstanding as of April 30, 2022 have an amended due date of August 31, 2022.</w:t>
      </w:r>
    </w:p>
    <w:p>
      <w:pPr>
        <w:spacing w:after="0" w:line="66" w:lineRule="exact"/>
        <w:rPr>
          <w:rFonts w:ascii="Calibri" w:cs="Calibri" w:eastAsia="Calibri" w:hAnsi="Calibri"/>
          <w:sz w:val="16"/>
          <w:szCs w:val="16"/>
          <w:color w:val="auto"/>
          <w:vertAlign w:val="superscript"/>
        </w:rPr>
      </w:pPr>
    </w:p>
    <w:p>
      <w:pPr>
        <w:ind w:left="160" w:right="80" w:hanging="153"/>
        <w:spacing w:after="0" w:line="217" w:lineRule="auto"/>
        <w:tabs>
          <w:tab w:leader="none" w:pos="156" w:val="left"/>
        </w:tabs>
        <w:numPr>
          <w:ilvl w:val="0"/>
          <w:numId w:val="10"/>
        </w:numPr>
        <w:rPr>
          <w:rFonts w:ascii="Calibri" w:cs="Calibri" w:eastAsia="Calibri" w:hAnsi="Calibri"/>
          <w:sz w:val="16"/>
          <w:szCs w:val="16"/>
          <w:color w:val="auto"/>
          <w:vertAlign w:val="superscript"/>
        </w:rPr>
      </w:pPr>
      <w:r>
        <w:rPr>
          <w:rFonts w:ascii="Calibri" w:cs="Calibri" w:eastAsia="Calibri" w:hAnsi="Calibri"/>
          <w:sz w:val="12"/>
          <w:szCs w:val="12"/>
          <w:color w:val="auto"/>
        </w:rPr>
        <w:t>The Company purchases from and sells avocados to, and provides logistcs services to, a small number of enttes having full or partal ownership by some of our directors/ofcers. These transactons are made under substantally similar terms as with other growers and customers. The Company had a consultng agreement with a director to advise on business operatons, as well as to analyze opportunites for fresh avocado farming and packing facilites in South and Central America, that was terminated in June 2021.</w:t>
      </w:r>
    </w:p>
    <w:p>
      <w:pPr>
        <w:spacing w:after="0" w:line="53" w:lineRule="exact"/>
        <w:rPr>
          <w:rFonts w:ascii="Calibri" w:cs="Calibri" w:eastAsia="Calibri" w:hAnsi="Calibri"/>
          <w:sz w:val="16"/>
          <w:szCs w:val="16"/>
          <w:color w:val="auto"/>
          <w:vertAlign w:val="superscript"/>
        </w:rPr>
      </w:pPr>
    </w:p>
    <w:p>
      <w:pPr>
        <w:ind w:left="160" w:right="60" w:hanging="153"/>
        <w:spacing w:after="0" w:line="206" w:lineRule="auto"/>
        <w:tabs>
          <w:tab w:leader="none" w:pos="156" w:val="left"/>
        </w:tabs>
        <w:numPr>
          <w:ilvl w:val="0"/>
          <w:numId w:val="10"/>
        </w:numPr>
        <w:rPr>
          <w:rFonts w:ascii="Calibri" w:cs="Calibri" w:eastAsia="Calibri" w:hAnsi="Calibri"/>
          <w:sz w:val="16"/>
          <w:szCs w:val="16"/>
          <w:color w:val="auto"/>
          <w:vertAlign w:val="superscript"/>
        </w:rPr>
      </w:pPr>
      <w:r>
        <w:rPr>
          <w:rFonts w:ascii="Calibri" w:cs="Calibri" w:eastAsia="Calibri" w:hAnsi="Calibri"/>
          <w:sz w:val="12"/>
          <w:szCs w:val="12"/>
          <w:color w:val="auto"/>
        </w:rPr>
        <w:t>The Company utlizes a small number of transportaton vendors in Mexico having full or partal ownership by some of our employees. The Company also purchases avocados from a small number of enttes having full or partal ownership by some employees. These transactons are made under substantally similar terms as with other transportaton carriers and growers.</w:t>
      </w:r>
    </w:p>
    <w:p>
      <w:pPr>
        <w:spacing w:after="0" w:line="190" w:lineRule="exact"/>
        <w:rPr>
          <w:sz w:val="20"/>
          <w:szCs w:val="20"/>
          <w:color w:val="auto"/>
        </w:rPr>
      </w:pPr>
    </w:p>
    <w:p>
      <w:pPr>
        <w:ind w:left="500" w:hanging="493"/>
        <w:spacing w:after="0"/>
        <w:tabs>
          <w:tab w:leader="none" w:pos="50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Segment Informaton</w:t>
      </w:r>
    </w:p>
    <w:p>
      <w:pPr>
        <w:spacing w:after="0" w:line="228" w:lineRule="exact"/>
        <w:rPr>
          <w:sz w:val="20"/>
          <w:szCs w:val="20"/>
          <w:color w:val="auto"/>
        </w:rPr>
      </w:pPr>
    </w:p>
    <w:p>
      <w:pPr>
        <w:ind w:right="80" w:firstLine="642"/>
        <w:spacing w:after="0" w:line="235" w:lineRule="auto"/>
        <w:rPr>
          <w:sz w:val="20"/>
          <w:szCs w:val="20"/>
          <w:color w:val="auto"/>
        </w:rPr>
      </w:pPr>
      <w:r>
        <w:rPr>
          <w:rFonts w:ascii="Calibri" w:cs="Calibri" w:eastAsia="Calibri" w:hAnsi="Calibri"/>
          <w:sz w:val="16"/>
          <w:szCs w:val="16"/>
          <w:color w:val="auto"/>
        </w:rPr>
        <w:t>We have two operatng segments which are also reportng segments. Our reportng segments are presented based on how informaton is used by our CEO, who is the chief operatng decision maker, to measure performance and allocate resources. These reportng segments are Marketng and Distributon and Internatonal Farming. Our Marketng and Distributon reportng segment sources fruit from growers and then distributes the fruit through our global distributon network. Our Internatonal Farming segment owns and operates orchards from which substantally all fruit produced is sold to our Marketng and Distributon segment. The Internatonal Farming segment’s farming actvites range from cultvatng early-stage plantngs to harvestng from mature trees, and it also earns service revenues for packing and processing for producers of other crops during the avocado of-harvest season. The Internatonal Farming segment is principally located in Peru, with smaller operatons emerging in other areas of Latn America.</w:t>
      </w:r>
    </w:p>
    <w:p>
      <w:pPr>
        <w:spacing w:after="0" w:line="226" w:lineRule="exact"/>
        <w:rPr>
          <w:sz w:val="20"/>
          <w:szCs w:val="20"/>
          <w:color w:val="auto"/>
        </w:rPr>
      </w:pPr>
    </w:p>
    <w:p>
      <w:pPr>
        <w:jc w:val="both"/>
        <w:ind w:right="20" w:firstLine="642"/>
        <w:spacing w:after="0" w:line="237" w:lineRule="auto"/>
        <w:rPr>
          <w:sz w:val="20"/>
          <w:szCs w:val="20"/>
          <w:color w:val="auto"/>
        </w:rPr>
      </w:pPr>
      <w:r>
        <w:rPr>
          <w:rFonts w:ascii="Calibri" w:cs="Calibri" w:eastAsia="Calibri" w:hAnsi="Calibri"/>
          <w:sz w:val="16"/>
          <w:szCs w:val="16"/>
          <w:color w:val="auto"/>
        </w:rPr>
        <w:t>The CEO evaluates and monitors segment performance primarily through segment sales and segment adjusted earnings before interest expense, income taxes and depreciaton and amortzaton (“adjusted EBITDA”). We believe that adjusted EBITDA by segment provides useful informaton for analyzing the underlying business results as well as allowing investors a means to evaluate the fnancial results of each reportable</w:t>
      </w:r>
    </w:p>
    <w:p>
      <w:pPr>
        <w:sectPr>
          <w:pgSz w:w="11900" w:h="16838" w:orient="portrait"/>
          <w:cols w:equalWidth="0" w:num="1">
            <w:col w:w="11240"/>
          </w:cols>
          <w:pgMar w:left="320" w:top="164"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type w:val="continuous"/>
        </w:sectPr>
      </w:pPr>
    </w:p>
    <w:bookmarkStart w:id="13" w:name="page14"/>
    <w:bookmarkEnd w:id="13"/>
    <w:p>
      <w:pPr>
        <w:jc w:val="center"/>
        <w:spacing w:after="0"/>
        <w:rPr>
          <w:sz w:val="20"/>
          <w:szCs w:val="20"/>
          <w:color w:val="auto"/>
        </w:rPr>
      </w:pPr>
      <w:r>
        <w:rPr>
          <w:rFonts w:ascii="Calibri" w:cs="Calibri" w:eastAsia="Calibri" w:hAnsi="Calibri"/>
          <w:sz w:val="25"/>
          <w:szCs w:val="25"/>
          <w:b w:val="1"/>
          <w:bCs w:val="1"/>
          <w:color w:val="43C0B9"/>
        </w:rPr>
        <w:t>MISSION PRODUCE, INC.</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42" w:lineRule="auto"/>
        <w:rPr>
          <w:sz w:val="20"/>
          <w:szCs w:val="20"/>
          <w:color w:val="auto"/>
        </w:rPr>
      </w:pPr>
      <w:r>
        <w:rPr>
          <w:rFonts w:ascii="Calibri" w:cs="Calibri" w:eastAsia="Calibri" w:hAnsi="Calibri"/>
          <w:sz w:val="16"/>
          <w:szCs w:val="16"/>
          <w:color w:val="auto"/>
        </w:rPr>
        <w:t>segment in relaton to the Company as a whole. These measures are not in accordance with, nor are they a substtute for or superior to, the comparable GAAP fnancial measures.</w:t>
      </w:r>
    </w:p>
    <w:p>
      <w:pPr>
        <w:spacing w:after="0" w:line="208" w:lineRule="exact"/>
        <w:rPr>
          <w:sz w:val="20"/>
          <w:szCs w:val="20"/>
          <w:color w:val="auto"/>
        </w:rPr>
      </w:pPr>
    </w:p>
    <w:p>
      <w:pPr>
        <w:ind w:right="60" w:firstLine="642"/>
        <w:spacing w:after="0" w:line="235" w:lineRule="auto"/>
        <w:rPr>
          <w:sz w:val="20"/>
          <w:szCs w:val="20"/>
          <w:color w:val="auto"/>
        </w:rPr>
      </w:pPr>
      <w:r>
        <w:rPr>
          <w:rFonts w:ascii="Calibri" w:cs="Calibri" w:eastAsia="Calibri" w:hAnsi="Calibri"/>
          <w:sz w:val="16"/>
          <w:szCs w:val="16"/>
          <w:color w:val="auto"/>
        </w:rPr>
        <w:t>Adjusted EBITDA refers to net income (loss), before interest expense, income taxes, depreciaton and amortzaton expense, stock-based compensaton expense, other income (expense), and income (loss) from equity method investees, further adjusted by asset impairment and disposals, net of insurance recoveries, farming costs for nonproductve orchards (which represents land lease costs), noncapitalizable ERP implementaton costs, transacton costs, material legal setlements, and any special, non-recurring, or one-tme items such as impairments that are excluded from the results the CEO reviews uses to assess segment performance and results.</w:t>
      </w:r>
    </w:p>
    <w:p>
      <w:pPr>
        <w:spacing w:after="0" w:line="208"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Net sales from each of our reportable segments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shd w:val="clear" w:color="auto" w:fill="43C0B9"/>
          </w:tcPr>
          <w:p>
            <w:pPr>
              <w:spacing w:after="0"/>
              <w:rPr>
                <w:sz w:val="15"/>
                <w:szCs w:val="15"/>
                <w:color w:val="auto"/>
              </w:rPr>
            </w:pPr>
          </w:p>
        </w:tc>
        <w:tc>
          <w:tcPr>
            <w:tcW w:w="200" w:type="dxa"/>
            <w:vAlign w:val="bottom"/>
            <w:shd w:val="clear" w:color="auto" w:fill="43C0B9"/>
          </w:tcPr>
          <w:p>
            <w:pPr>
              <w:spacing w:after="0"/>
              <w:rPr>
                <w:sz w:val="15"/>
                <w:szCs w:val="15"/>
                <w:color w:val="auto"/>
              </w:rPr>
            </w:pPr>
          </w:p>
        </w:tc>
        <w:tc>
          <w:tcPr>
            <w:tcW w:w="98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Marketng and</w:t>
            </w:r>
          </w:p>
        </w:tc>
        <w:tc>
          <w:tcPr>
            <w:tcW w:w="240" w:type="dxa"/>
            <w:vAlign w:val="bottom"/>
            <w:shd w:val="clear" w:color="auto" w:fill="43C0B9"/>
          </w:tcPr>
          <w:p>
            <w:pPr>
              <w:spacing w:after="0"/>
              <w:rPr>
                <w:sz w:val="15"/>
                <w:szCs w:val="15"/>
                <w:color w:val="auto"/>
              </w:rPr>
            </w:pPr>
          </w:p>
        </w:tc>
        <w:tc>
          <w:tcPr>
            <w:tcW w:w="96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Internatonal</w:t>
            </w:r>
          </w:p>
        </w:tc>
        <w:tc>
          <w:tcPr>
            <w:tcW w:w="400" w:type="dxa"/>
            <w:vAlign w:val="bottom"/>
            <w:shd w:val="clear" w:color="auto" w:fill="43C0B9"/>
          </w:tcPr>
          <w:p>
            <w:pPr>
              <w:spacing w:after="0"/>
              <w:rPr>
                <w:sz w:val="15"/>
                <w:szCs w:val="15"/>
                <w:color w:val="auto"/>
              </w:rPr>
            </w:pPr>
          </w:p>
        </w:tc>
        <w:tc>
          <w:tcPr>
            <w:tcW w:w="920" w:type="dxa"/>
            <w:vAlign w:val="bottom"/>
            <w:shd w:val="clear" w:color="auto" w:fill="43C0B9"/>
          </w:tcPr>
          <w:p>
            <w:pPr>
              <w:spacing w:after="0"/>
              <w:rPr>
                <w:sz w:val="15"/>
                <w:szCs w:val="15"/>
                <w:color w:val="auto"/>
              </w:rPr>
            </w:pPr>
          </w:p>
        </w:tc>
        <w:tc>
          <w:tcPr>
            <w:tcW w:w="340" w:type="dxa"/>
            <w:vAlign w:val="bottom"/>
            <w:shd w:val="clear" w:color="auto" w:fill="43C0B9"/>
          </w:tcPr>
          <w:p>
            <w:pPr>
              <w:spacing w:after="0"/>
              <w:rPr>
                <w:sz w:val="15"/>
                <w:szCs w:val="15"/>
                <w:color w:val="auto"/>
              </w:rPr>
            </w:pPr>
          </w:p>
        </w:tc>
        <w:tc>
          <w:tcPr>
            <w:tcW w:w="98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Marketng and</w:t>
            </w:r>
          </w:p>
        </w:tc>
        <w:tc>
          <w:tcPr>
            <w:tcW w:w="240" w:type="dxa"/>
            <w:vAlign w:val="bottom"/>
            <w:shd w:val="clear" w:color="auto" w:fill="43C0B9"/>
          </w:tcPr>
          <w:p>
            <w:pPr>
              <w:spacing w:after="0"/>
              <w:rPr>
                <w:sz w:val="15"/>
                <w:szCs w:val="15"/>
                <w:color w:val="auto"/>
              </w:rPr>
            </w:pPr>
          </w:p>
        </w:tc>
        <w:tc>
          <w:tcPr>
            <w:tcW w:w="96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Internatonal</w:t>
            </w:r>
          </w:p>
        </w:tc>
        <w:tc>
          <w:tcPr>
            <w:tcW w:w="440" w:type="dxa"/>
            <w:vAlign w:val="bottom"/>
            <w:shd w:val="clear" w:color="auto" w:fill="43C0B9"/>
          </w:tcPr>
          <w:p>
            <w:pPr>
              <w:spacing w:after="0"/>
              <w:rPr>
                <w:sz w:val="15"/>
                <w:szCs w:val="15"/>
                <w:color w:val="auto"/>
              </w:rPr>
            </w:pPr>
          </w:p>
        </w:tc>
        <w:tc>
          <w:tcPr>
            <w:tcW w:w="740" w:type="dxa"/>
            <w:vAlign w:val="bottom"/>
            <w:shd w:val="clear" w:color="auto" w:fill="43C0B9"/>
          </w:tcPr>
          <w:p>
            <w:pPr>
              <w:spacing w:after="0"/>
              <w:rPr>
                <w:sz w:val="15"/>
                <w:szCs w:val="15"/>
                <w:color w:val="auto"/>
              </w:rPr>
            </w:pPr>
          </w:p>
        </w:tc>
      </w:tr>
      <w:tr>
        <w:trPr>
          <w:trHeight w:val="169"/>
        </w:trPr>
        <w:tc>
          <w:tcPr>
            <w:tcW w:w="3840" w:type="dxa"/>
            <w:vAlign w:val="bottom"/>
            <w:shd w:val="clear" w:color="auto" w:fill="43C0B9"/>
          </w:tcPr>
          <w:p>
            <w:pPr>
              <w:spacing w:after="0"/>
              <w:rPr>
                <w:sz w:val="14"/>
                <w:szCs w:val="14"/>
                <w:color w:val="auto"/>
              </w:rPr>
            </w:pPr>
          </w:p>
        </w:tc>
        <w:tc>
          <w:tcPr>
            <w:tcW w:w="200" w:type="dxa"/>
            <w:vAlign w:val="bottom"/>
            <w:shd w:val="clear" w:color="auto" w:fill="43C0B9"/>
          </w:tcPr>
          <w:p>
            <w:pPr>
              <w:spacing w:after="0"/>
              <w:rPr>
                <w:sz w:val="14"/>
                <w:szCs w:val="14"/>
                <w:color w:val="auto"/>
              </w:rPr>
            </w:pPr>
          </w:p>
        </w:tc>
        <w:tc>
          <w:tcPr>
            <w:tcW w:w="980" w:type="dxa"/>
            <w:vAlign w:val="bottom"/>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Distributon</w:t>
            </w:r>
          </w:p>
        </w:tc>
        <w:tc>
          <w:tcPr>
            <w:tcW w:w="240" w:type="dxa"/>
            <w:vAlign w:val="bottom"/>
            <w:shd w:val="clear" w:color="auto" w:fill="43C0B9"/>
          </w:tcPr>
          <w:p>
            <w:pPr>
              <w:spacing w:after="0"/>
              <w:rPr>
                <w:sz w:val="14"/>
                <w:szCs w:val="14"/>
                <w:color w:val="auto"/>
              </w:rPr>
            </w:pPr>
          </w:p>
        </w:tc>
        <w:tc>
          <w:tcPr>
            <w:tcW w:w="960" w:type="dxa"/>
            <w:vAlign w:val="bottom"/>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Farming</w:t>
            </w:r>
          </w:p>
        </w:tc>
        <w:tc>
          <w:tcPr>
            <w:tcW w:w="400" w:type="dxa"/>
            <w:vAlign w:val="bottom"/>
            <w:shd w:val="clear" w:color="auto" w:fill="43C0B9"/>
          </w:tcPr>
          <w:p>
            <w:pPr>
              <w:spacing w:after="0"/>
              <w:rPr>
                <w:sz w:val="14"/>
                <w:szCs w:val="14"/>
                <w:color w:val="auto"/>
              </w:rPr>
            </w:pPr>
          </w:p>
        </w:tc>
        <w:tc>
          <w:tcPr>
            <w:tcW w:w="920" w:type="dxa"/>
            <w:vAlign w:val="bottom"/>
            <w:shd w:val="clear" w:color="auto" w:fill="43C0B9"/>
          </w:tcPr>
          <w:p>
            <w:pPr>
              <w:jc w:val="right"/>
              <w:ind w:right="89"/>
              <w:spacing w:after="0" w:line="169" w:lineRule="exact"/>
              <w:rPr>
                <w:sz w:val="20"/>
                <w:szCs w:val="20"/>
                <w:color w:val="auto"/>
              </w:rPr>
            </w:pPr>
            <w:r>
              <w:rPr>
                <w:rFonts w:ascii="Calibri" w:cs="Calibri" w:eastAsia="Calibri" w:hAnsi="Calibri"/>
                <w:sz w:val="14"/>
                <w:szCs w:val="14"/>
                <w:b w:val="1"/>
                <w:bCs w:val="1"/>
                <w:color w:val="FFFFFF"/>
              </w:rPr>
              <w:t>Total</w:t>
            </w:r>
          </w:p>
        </w:tc>
        <w:tc>
          <w:tcPr>
            <w:tcW w:w="340" w:type="dxa"/>
            <w:vAlign w:val="bottom"/>
            <w:shd w:val="clear" w:color="auto" w:fill="43C0B9"/>
          </w:tcPr>
          <w:p>
            <w:pPr>
              <w:spacing w:after="0"/>
              <w:rPr>
                <w:sz w:val="14"/>
                <w:szCs w:val="14"/>
                <w:color w:val="auto"/>
              </w:rPr>
            </w:pPr>
          </w:p>
        </w:tc>
        <w:tc>
          <w:tcPr>
            <w:tcW w:w="980" w:type="dxa"/>
            <w:vAlign w:val="bottom"/>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Distributon</w:t>
            </w:r>
          </w:p>
        </w:tc>
        <w:tc>
          <w:tcPr>
            <w:tcW w:w="240" w:type="dxa"/>
            <w:vAlign w:val="bottom"/>
            <w:shd w:val="clear" w:color="auto" w:fill="43C0B9"/>
          </w:tcPr>
          <w:p>
            <w:pPr>
              <w:spacing w:after="0"/>
              <w:rPr>
                <w:sz w:val="14"/>
                <w:szCs w:val="14"/>
                <w:color w:val="auto"/>
              </w:rPr>
            </w:pPr>
          </w:p>
        </w:tc>
        <w:tc>
          <w:tcPr>
            <w:tcW w:w="960" w:type="dxa"/>
            <w:vAlign w:val="bottom"/>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Farming</w:t>
            </w:r>
          </w:p>
        </w:tc>
        <w:tc>
          <w:tcPr>
            <w:tcW w:w="440" w:type="dxa"/>
            <w:vAlign w:val="bottom"/>
            <w:shd w:val="clear" w:color="auto" w:fill="43C0B9"/>
          </w:tcPr>
          <w:p>
            <w:pPr>
              <w:spacing w:after="0"/>
              <w:rPr>
                <w:sz w:val="14"/>
                <w:szCs w:val="14"/>
                <w:color w:val="auto"/>
              </w:rPr>
            </w:pPr>
          </w:p>
        </w:tc>
        <w:tc>
          <w:tcPr>
            <w:tcW w:w="740" w:type="dxa"/>
            <w:vAlign w:val="bottom"/>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Total</w:t>
            </w:r>
          </w:p>
        </w:tc>
      </w:tr>
      <w:tr>
        <w:trPr>
          <w:trHeight w:val="241"/>
        </w:trPr>
        <w:tc>
          <w:tcPr>
            <w:tcW w:w="3840" w:type="dxa"/>
            <w:vAlign w:val="bottom"/>
            <w:shd w:val="clear" w:color="auto" w:fill="43C0B9"/>
          </w:tcPr>
          <w:p>
            <w:pPr>
              <w:spacing w:after="0"/>
              <w:rPr>
                <w:sz w:val="20"/>
                <w:szCs w:val="20"/>
                <w:color w:val="auto"/>
              </w:rPr>
            </w:pPr>
          </w:p>
        </w:tc>
        <w:tc>
          <w:tcPr>
            <w:tcW w:w="200" w:type="dxa"/>
            <w:vAlign w:val="bottom"/>
            <w:shd w:val="clear" w:color="auto" w:fill="43C0B9"/>
          </w:tcPr>
          <w:p>
            <w:pPr>
              <w:spacing w:after="0"/>
              <w:rPr>
                <w:sz w:val="20"/>
                <w:szCs w:val="20"/>
                <w:color w:val="auto"/>
              </w:rPr>
            </w:pPr>
          </w:p>
        </w:tc>
        <w:tc>
          <w:tcPr>
            <w:tcW w:w="980" w:type="dxa"/>
            <w:vAlign w:val="bottom"/>
            <w:shd w:val="clear" w:color="auto" w:fill="43C0B9"/>
          </w:tcPr>
          <w:p>
            <w:pPr>
              <w:spacing w:after="0"/>
              <w:rPr>
                <w:sz w:val="20"/>
                <w:szCs w:val="20"/>
                <w:color w:val="auto"/>
              </w:rPr>
            </w:pPr>
          </w:p>
        </w:tc>
        <w:tc>
          <w:tcPr>
            <w:tcW w:w="240" w:type="dxa"/>
            <w:vAlign w:val="bottom"/>
            <w:shd w:val="clear" w:color="auto" w:fill="43C0B9"/>
          </w:tcPr>
          <w:p>
            <w:pPr>
              <w:spacing w:after="0"/>
              <w:rPr>
                <w:sz w:val="20"/>
                <w:szCs w:val="20"/>
                <w:color w:val="auto"/>
              </w:rPr>
            </w:pPr>
          </w:p>
        </w:tc>
        <w:tc>
          <w:tcPr>
            <w:tcW w:w="960" w:type="dxa"/>
            <w:vAlign w:val="bottom"/>
            <w:shd w:val="clear" w:color="auto" w:fill="43C0B9"/>
          </w:tcPr>
          <w:p>
            <w:pPr>
              <w:spacing w:after="0"/>
              <w:rPr>
                <w:sz w:val="20"/>
                <w:szCs w:val="20"/>
                <w:color w:val="auto"/>
              </w:rPr>
            </w:pPr>
          </w:p>
        </w:tc>
        <w:tc>
          <w:tcPr>
            <w:tcW w:w="400" w:type="dxa"/>
            <w:vAlign w:val="bottom"/>
            <w:shd w:val="clear" w:color="auto" w:fill="43C0B9"/>
          </w:tcPr>
          <w:p>
            <w:pPr>
              <w:spacing w:after="0"/>
              <w:rPr>
                <w:sz w:val="20"/>
                <w:szCs w:val="20"/>
                <w:color w:val="auto"/>
              </w:rPr>
            </w:pPr>
          </w:p>
        </w:tc>
        <w:tc>
          <w:tcPr>
            <w:tcW w:w="2240" w:type="dxa"/>
            <w:vAlign w:val="bottom"/>
            <w:gridSpan w:val="3"/>
            <w:shd w:val="clear" w:color="auto" w:fill="43C0B9"/>
          </w:tcPr>
          <w:p>
            <w:pPr>
              <w:jc w:val="center"/>
              <w:ind w:right="329"/>
              <w:spacing w:after="0"/>
              <w:rPr>
                <w:sz w:val="20"/>
                <w:szCs w:val="20"/>
                <w:color w:val="auto"/>
              </w:rPr>
            </w:pPr>
            <w:r>
              <w:rPr>
                <w:rFonts w:ascii="Calibri" w:cs="Calibri" w:eastAsia="Calibri" w:hAnsi="Calibri"/>
                <w:sz w:val="14"/>
                <w:szCs w:val="14"/>
                <w:b w:val="1"/>
                <w:bCs w:val="1"/>
                <w:color w:val="FFFFFF"/>
              </w:rPr>
              <w:t>Three Months Ended</w:t>
            </w:r>
          </w:p>
        </w:tc>
        <w:tc>
          <w:tcPr>
            <w:tcW w:w="240" w:type="dxa"/>
            <w:vAlign w:val="bottom"/>
            <w:shd w:val="clear" w:color="auto" w:fill="43C0B9"/>
          </w:tcPr>
          <w:p>
            <w:pPr>
              <w:spacing w:after="0"/>
              <w:rPr>
                <w:sz w:val="20"/>
                <w:szCs w:val="20"/>
                <w:color w:val="auto"/>
              </w:rPr>
            </w:pPr>
          </w:p>
        </w:tc>
        <w:tc>
          <w:tcPr>
            <w:tcW w:w="960" w:type="dxa"/>
            <w:vAlign w:val="bottom"/>
            <w:shd w:val="clear" w:color="auto" w:fill="43C0B9"/>
          </w:tcPr>
          <w:p>
            <w:pPr>
              <w:spacing w:after="0"/>
              <w:rPr>
                <w:sz w:val="20"/>
                <w:szCs w:val="20"/>
                <w:color w:val="auto"/>
              </w:rPr>
            </w:pPr>
          </w:p>
        </w:tc>
        <w:tc>
          <w:tcPr>
            <w:tcW w:w="440" w:type="dxa"/>
            <w:vAlign w:val="bottom"/>
            <w:shd w:val="clear" w:color="auto" w:fill="43C0B9"/>
          </w:tcPr>
          <w:p>
            <w:pPr>
              <w:spacing w:after="0"/>
              <w:rPr>
                <w:sz w:val="20"/>
                <w:szCs w:val="20"/>
                <w:color w:val="auto"/>
              </w:rPr>
            </w:pPr>
          </w:p>
        </w:tc>
        <w:tc>
          <w:tcPr>
            <w:tcW w:w="740" w:type="dxa"/>
            <w:vAlign w:val="bottom"/>
            <w:shd w:val="clear" w:color="auto" w:fill="43C0B9"/>
          </w:tcPr>
          <w:p>
            <w:pPr>
              <w:spacing w:after="0"/>
              <w:rPr>
                <w:sz w:val="20"/>
                <w:szCs w:val="20"/>
                <w:color w:val="auto"/>
              </w:rPr>
            </w:pPr>
          </w:p>
        </w:tc>
      </w:tr>
      <w:tr>
        <w:trPr>
          <w:trHeight w:val="174"/>
        </w:trPr>
        <w:tc>
          <w:tcPr>
            <w:tcW w:w="3840" w:type="dxa"/>
            <w:vAlign w:val="bottom"/>
            <w:shd w:val="clear" w:color="auto" w:fill="43C0B9"/>
          </w:tcPr>
          <w:p>
            <w:pPr>
              <w:spacing w:after="0"/>
              <w:rPr>
                <w:sz w:val="15"/>
                <w:szCs w:val="15"/>
                <w:color w:val="auto"/>
              </w:rPr>
            </w:pPr>
          </w:p>
        </w:tc>
        <w:tc>
          <w:tcPr>
            <w:tcW w:w="200" w:type="dxa"/>
            <w:vAlign w:val="bottom"/>
            <w:shd w:val="clear" w:color="auto" w:fill="43C0B9"/>
          </w:tcPr>
          <w:p>
            <w:pPr>
              <w:spacing w:after="0"/>
              <w:rPr>
                <w:sz w:val="15"/>
                <w:szCs w:val="15"/>
                <w:color w:val="auto"/>
              </w:rPr>
            </w:pPr>
          </w:p>
        </w:tc>
        <w:tc>
          <w:tcPr>
            <w:tcW w:w="980" w:type="dxa"/>
            <w:vAlign w:val="bottom"/>
            <w:shd w:val="clear" w:color="auto" w:fill="43C0B9"/>
          </w:tcPr>
          <w:p>
            <w:pPr>
              <w:spacing w:after="0"/>
              <w:rPr>
                <w:sz w:val="15"/>
                <w:szCs w:val="15"/>
                <w:color w:val="auto"/>
              </w:rPr>
            </w:pPr>
          </w:p>
        </w:tc>
        <w:tc>
          <w:tcPr>
            <w:tcW w:w="240" w:type="dxa"/>
            <w:vAlign w:val="bottom"/>
            <w:shd w:val="clear" w:color="auto" w:fill="43C0B9"/>
          </w:tcPr>
          <w:p>
            <w:pPr>
              <w:spacing w:after="0"/>
              <w:rPr>
                <w:sz w:val="15"/>
                <w:szCs w:val="15"/>
                <w:color w:val="auto"/>
              </w:rPr>
            </w:pPr>
          </w:p>
        </w:tc>
        <w:tc>
          <w:tcPr>
            <w:tcW w:w="960" w:type="dxa"/>
            <w:vAlign w:val="bottom"/>
            <w:shd w:val="clear" w:color="auto" w:fill="43C0B9"/>
          </w:tcPr>
          <w:p>
            <w:pPr>
              <w:spacing w:after="0"/>
              <w:rPr>
                <w:sz w:val="15"/>
                <w:szCs w:val="15"/>
                <w:color w:val="auto"/>
              </w:rPr>
            </w:pPr>
          </w:p>
        </w:tc>
        <w:tc>
          <w:tcPr>
            <w:tcW w:w="400" w:type="dxa"/>
            <w:vAlign w:val="bottom"/>
            <w:shd w:val="clear" w:color="auto" w:fill="43C0B9"/>
          </w:tcPr>
          <w:p>
            <w:pPr>
              <w:spacing w:after="0"/>
              <w:rPr>
                <w:sz w:val="15"/>
                <w:szCs w:val="15"/>
                <w:color w:val="auto"/>
              </w:rPr>
            </w:pPr>
          </w:p>
        </w:tc>
        <w:tc>
          <w:tcPr>
            <w:tcW w:w="1260" w:type="dxa"/>
            <w:vAlign w:val="bottom"/>
            <w:gridSpan w:val="2"/>
            <w:shd w:val="clear" w:color="auto" w:fill="43C0B9"/>
          </w:tcPr>
          <w:p>
            <w:pPr>
              <w:jc w:val="center"/>
              <w:ind w:left="489"/>
              <w:spacing w:after="0"/>
              <w:rPr>
                <w:sz w:val="20"/>
                <w:szCs w:val="20"/>
                <w:color w:val="auto"/>
              </w:rPr>
            </w:pPr>
            <w:r>
              <w:rPr>
                <w:rFonts w:ascii="Calibri" w:cs="Calibri" w:eastAsia="Calibri" w:hAnsi="Calibri"/>
                <w:sz w:val="14"/>
                <w:szCs w:val="14"/>
                <w:b w:val="1"/>
                <w:bCs w:val="1"/>
                <w:color w:val="FFFFFF"/>
              </w:rPr>
              <w:t>April 30,</w:t>
            </w:r>
          </w:p>
        </w:tc>
        <w:tc>
          <w:tcPr>
            <w:tcW w:w="980" w:type="dxa"/>
            <w:vAlign w:val="bottom"/>
            <w:shd w:val="clear" w:color="auto" w:fill="43C0B9"/>
          </w:tcPr>
          <w:p>
            <w:pPr>
              <w:spacing w:after="0"/>
              <w:rPr>
                <w:sz w:val="15"/>
                <w:szCs w:val="15"/>
                <w:color w:val="auto"/>
              </w:rPr>
            </w:pPr>
          </w:p>
        </w:tc>
        <w:tc>
          <w:tcPr>
            <w:tcW w:w="240" w:type="dxa"/>
            <w:vAlign w:val="bottom"/>
            <w:shd w:val="clear" w:color="auto" w:fill="43C0B9"/>
          </w:tcPr>
          <w:p>
            <w:pPr>
              <w:spacing w:after="0"/>
              <w:rPr>
                <w:sz w:val="15"/>
                <w:szCs w:val="15"/>
                <w:color w:val="auto"/>
              </w:rPr>
            </w:pPr>
          </w:p>
        </w:tc>
        <w:tc>
          <w:tcPr>
            <w:tcW w:w="960" w:type="dxa"/>
            <w:vAlign w:val="bottom"/>
            <w:shd w:val="clear" w:color="auto" w:fill="43C0B9"/>
          </w:tcPr>
          <w:p>
            <w:pPr>
              <w:spacing w:after="0"/>
              <w:rPr>
                <w:sz w:val="15"/>
                <w:szCs w:val="15"/>
                <w:color w:val="auto"/>
              </w:rPr>
            </w:pPr>
          </w:p>
        </w:tc>
        <w:tc>
          <w:tcPr>
            <w:tcW w:w="440" w:type="dxa"/>
            <w:vAlign w:val="bottom"/>
            <w:shd w:val="clear" w:color="auto" w:fill="43C0B9"/>
          </w:tcPr>
          <w:p>
            <w:pPr>
              <w:spacing w:after="0"/>
              <w:rPr>
                <w:sz w:val="15"/>
                <w:szCs w:val="15"/>
                <w:color w:val="auto"/>
              </w:rPr>
            </w:pPr>
          </w:p>
        </w:tc>
        <w:tc>
          <w:tcPr>
            <w:tcW w:w="740" w:type="dxa"/>
            <w:vAlign w:val="bottom"/>
            <w:shd w:val="clear" w:color="auto" w:fill="43C0B9"/>
          </w:tcPr>
          <w:p>
            <w:pPr>
              <w:spacing w:after="0"/>
              <w:rPr>
                <w:sz w:val="15"/>
                <w:szCs w:val="15"/>
                <w:color w:val="auto"/>
              </w:rPr>
            </w:pPr>
          </w:p>
        </w:tc>
      </w:tr>
      <w:tr>
        <w:trPr>
          <w:trHeight w:val="280"/>
        </w:trPr>
        <w:tc>
          <w:tcPr>
            <w:tcW w:w="38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200" w:type="dxa"/>
            <w:vAlign w:val="bottom"/>
            <w:tcBorders>
              <w:bottom w:val="single" w:sz="8" w:color="43C0B9"/>
            </w:tcBorders>
            <w:shd w:val="clear" w:color="auto" w:fill="43C0B9"/>
          </w:tcPr>
          <w:p>
            <w:pPr>
              <w:spacing w:after="0"/>
              <w:rPr>
                <w:sz w:val="24"/>
                <w:szCs w:val="24"/>
                <w:color w:val="auto"/>
              </w:rPr>
            </w:pPr>
          </w:p>
        </w:tc>
        <w:tc>
          <w:tcPr>
            <w:tcW w:w="980" w:type="dxa"/>
            <w:vAlign w:val="bottom"/>
            <w:tcBorders>
              <w:bottom w:val="single" w:sz="8" w:color="43C0B9"/>
            </w:tcBorders>
            <w:shd w:val="clear" w:color="auto" w:fill="43C0B9"/>
          </w:tcPr>
          <w:p>
            <w:pPr>
              <w:spacing w:after="0"/>
              <w:rPr>
                <w:sz w:val="24"/>
                <w:szCs w:val="24"/>
                <w:color w:val="auto"/>
              </w:rPr>
            </w:pPr>
          </w:p>
        </w:tc>
        <w:tc>
          <w:tcPr>
            <w:tcW w:w="240" w:type="dxa"/>
            <w:vAlign w:val="bottom"/>
            <w:tcBorders>
              <w:bottom w:val="single" w:sz="8" w:color="43C0B9"/>
            </w:tcBorders>
            <w:shd w:val="clear" w:color="auto" w:fill="43C0B9"/>
          </w:tcPr>
          <w:p>
            <w:pPr>
              <w:spacing w:after="0"/>
              <w:rPr>
                <w:sz w:val="24"/>
                <w:szCs w:val="24"/>
                <w:color w:val="auto"/>
              </w:rPr>
            </w:pPr>
          </w:p>
        </w:tc>
        <w:tc>
          <w:tcPr>
            <w:tcW w:w="960" w:type="dxa"/>
            <w:vAlign w:val="bottom"/>
            <w:tcBorders>
              <w:bottom w:val="single" w:sz="8" w:color="43C0B9"/>
            </w:tcBorders>
            <w:shd w:val="clear" w:color="auto" w:fill="43C0B9"/>
          </w:tcPr>
          <w:p>
            <w:pPr>
              <w:jc w:val="right"/>
              <w:ind w:right="389"/>
              <w:spacing w:after="0"/>
              <w:rPr>
                <w:sz w:val="20"/>
                <w:szCs w:val="20"/>
                <w:color w:val="auto"/>
              </w:rPr>
            </w:pPr>
            <w:r>
              <w:rPr>
                <w:rFonts w:ascii="Calibri" w:cs="Calibri" w:eastAsia="Calibri" w:hAnsi="Calibri"/>
                <w:sz w:val="14"/>
                <w:szCs w:val="14"/>
                <w:b w:val="1"/>
                <w:bCs w:val="1"/>
                <w:color w:val="FFFFFF"/>
              </w:rPr>
              <w:t>2022</w:t>
            </w:r>
          </w:p>
        </w:tc>
        <w:tc>
          <w:tcPr>
            <w:tcW w:w="400" w:type="dxa"/>
            <w:vAlign w:val="bottom"/>
            <w:tcBorders>
              <w:bottom w:val="single" w:sz="8" w:color="43C0B9"/>
            </w:tcBorders>
            <w:shd w:val="clear" w:color="auto" w:fill="43C0B9"/>
          </w:tcPr>
          <w:p>
            <w:pPr>
              <w:spacing w:after="0"/>
              <w:rPr>
                <w:sz w:val="24"/>
                <w:szCs w:val="24"/>
                <w:color w:val="auto"/>
              </w:rPr>
            </w:pPr>
          </w:p>
        </w:tc>
        <w:tc>
          <w:tcPr>
            <w:tcW w:w="920" w:type="dxa"/>
            <w:vAlign w:val="bottom"/>
            <w:tcBorders>
              <w:bottom w:val="single" w:sz="8" w:color="43C0B9"/>
            </w:tcBorders>
            <w:shd w:val="clear" w:color="auto" w:fill="43C0B9"/>
          </w:tcPr>
          <w:p>
            <w:pPr>
              <w:spacing w:after="0"/>
              <w:rPr>
                <w:sz w:val="24"/>
                <w:szCs w:val="24"/>
                <w:color w:val="auto"/>
              </w:rPr>
            </w:pPr>
          </w:p>
        </w:tc>
        <w:tc>
          <w:tcPr>
            <w:tcW w:w="340" w:type="dxa"/>
            <w:vAlign w:val="bottom"/>
            <w:tcBorders>
              <w:bottom w:val="single" w:sz="8" w:color="43C0B9"/>
            </w:tcBorders>
            <w:shd w:val="clear" w:color="auto" w:fill="43C0B9"/>
          </w:tcPr>
          <w:p>
            <w:pPr>
              <w:spacing w:after="0"/>
              <w:rPr>
                <w:sz w:val="24"/>
                <w:szCs w:val="24"/>
                <w:color w:val="auto"/>
              </w:rPr>
            </w:pPr>
          </w:p>
        </w:tc>
        <w:tc>
          <w:tcPr>
            <w:tcW w:w="980" w:type="dxa"/>
            <w:vAlign w:val="bottom"/>
            <w:tcBorders>
              <w:bottom w:val="single" w:sz="8" w:color="43C0B9"/>
            </w:tcBorders>
            <w:shd w:val="clear" w:color="auto" w:fill="43C0B9"/>
          </w:tcPr>
          <w:p>
            <w:pPr>
              <w:spacing w:after="0"/>
              <w:rPr>
                <w:sz w:val="24"/>
                <w:szCs w:val="24"/>
                <w:color w:val="auto"/>
              </w:rPr>
            </w:pPr>
          </w:p>
        </w:tc>
        <w:tc>
          <w:tcPr>
            <w:tcW w:w="240" w:type="dxa"/>
            <w:vAlign w:val="bottom"/>
            <w:tcBorders>
              <w:bottom w:val="single" w:sz="8" w:color="43C0B9"/>
            </w:tcBorders>
            <w:shd w:val="clear" w:color="auto" w:fill="43C0B9"/>
          </w:tcPr>
          <w:p>
            <w:pPr>
              <w:spacing w:after="0"/>
              <w:rPr>
                <w:sz w:val="24"/>
                <w:szCs w:val="24"/>
                <w:color w:val="auto"/>
              </w:rPr>
            </w:pPr>
          </w:p>
        </w:tc>
        <w:tc>
          <w:tcPr>
            <w:tcW w:w="960" w:type="dxa"/>
            <w:vAlign w:val="bottom"/>
            <w:tcBorders>
              <w:bottom w:val="single" w:sz="8" w:color="43C0B9"/>
            </w:tcBorders>
            <w:shd w:val="clear" w:color="auto" w:fill="43C0B9"/>
          </w:tcPr>
          <w:p>
            <w:pPr>
              <w:jc w:val="right"/>
              <w:ind w:right="389"/>
              <w:spacing w:after="0"/>
              <w:rPr>
                <w:sz w:val="20"/>
                <w:szCs w:val="20"/>
                <w:color w:val="auto"/>
              </w:rPr>
            </w:pPr>
            <w:r>
              <w:rPr>
                <w:rFonts w:ascii="Calibri" w:cs="Calibri" w:eastAsia="Calibri" w:hAnsi="Calibri"/>
                <w:sz w:val="14"/>
                <w:szCs w:val="14"/>
                <w:b w:val="1"/>
                <w:bCs w:val="1"/>
                <w:color w:val="FFFFFF"/>
              </w:rPr>
              <w:t>2021</w:t>
            </w:r>
          </w:p>
        </w:tc>
        <w:tc>
          <w:tcPr>
            <w:tcW w:w="44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spacing w:after="0"/>
              <w:rPr>
                <w:sz w:val="24"/>
                <w:szCs w:val="24"/>
                <w:color w:val="auto"/>
              </w:rPr>
            </w:pPr>
          </w:p>
        </w:tc>
      </w:tr>
      <w:tr>
        <w:trPr>
          <w:trHeight w:val="207"/>
        </w:trPr>
        <w:tc>
          <w:tcPr>
            <w:tcW w:w="38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Third party sales</w:t>
            </w:r>
          </w:p>
        </w:tc>
        <w:tc>
          <w:tcPr>
            <w:tcW w:w="2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273.7</w:t>
            </w:r>
          </w:p>
        </w:tc>
        <w:tc>
          <w:tcPr>
            <w:tcW w:w="24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9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4.4</w:t>
            </w:r>
          </w:p>
        </w:tc>
        <w:tc>
          <w:tcPr>
            <w:tcW w:w="400" w:type="dxa"/>
            <w:vAlign w:val="bottom"/>
            <w:tcBorders>
              <w:bottom w:val="single" w:sz="8" w:color="DBDBDB"/>
            </w:tcBorders>
            <w:shd w:val="clear" w:color="auto" w:fill="DBDBDB"/>
          </w:tcPr>
          <w:p>
            <w:pPr>
              <w:jc w:val="right"/>
              <w:ind w:right="249"/>
              <w:spacing w:after="0" w:line="169"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DBDBDB"/>
            </w:tcBorders>
            <w:shd w:val="clear" w:color="auto" w:fill="DBDBDB"/>
          </w:tcPr>
          <w:p>
            <w:pPr>
              <w:jc w:val="right"/>
              <w:ind w:right="129"/>
              <w:spacing w:after="0" w:line="169" w:lineRule="exact"/>
              <w:rPr>
                <w:sz w:val="20"/>
                <w:szCs w:val="20"/>
                <w:color w:val="auto"/>
              </w:rPr>
            </w:pPr>
            <w:r>
              <w:rPr>
                <w:rFonts w:ascii="Calibri" w:cs="Calibri" w:eastAsia="Calibri" w:hAnsi="Calibri"/>
                <w:sz w:val="14"/>
                <w:szCs w:val="14"/>
                <w:color w:val="auto"/>
              </w:rPr>
              <w:t>278.1</w:t>
            </w:r>
          </w:p>
        </w:tc>
        <w:tc>
          <w:tcPr>
            <w:tcW w:w="34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232.4</w:t>
            </w:r>
          </w:p>
        </w:tc>
        <w:tc>
          <w:tcPr>
            <w:tcW w:w="24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960" w:type="dxa"/>
            <w:vAlign w:val="bottom"/>
            <w:tcBorders>
              <w:bottom w:val="single" w:sz="8" w:color="DBDBDB"/>
            </w:tcBorders>
            <w:shd w:val="clear" w:color="auto" w:fill="DBDBDB"/>
          </w:tcPr>
          <w:p>
            <w:pPr>
              <w:jc w:val="center"/>
              <w:ind w:left="589"/>
              <w:spacing w:after="0" w:line="169" w:lineRule="exact"/>
              <w:rPr>
                <w:sz w:val="20"/>
                <w:szCs w:val="20"/>
                <w:color w:val="auto"/>
              </w:rPr>
            </w:pPr>
            <w:r>
              <w:rPr>
                <w:rFonts w:ascii="Calibri" w:cs="Calibri" w:eastAsia="Calibri" w:hAnsi="Calibri"/>
                <w:sz w:val="14"/>
                <w:szCs w:val="14"/>
                <w:color w:val="auto"/>
              </w:rPr>
              <w:t>2.3</w:t>
            </w:r>
          </w:p>
        </w:tc>
        <w:tc>
          <w:tcPr>
            <w:tcW w:w="440" w:type="dxa"/>
            <w:vAlign w:val="bottom"/>
            <w:tcBorders>
              <w:bottom w:val="single" w:sz="8" w:color="DBDBDB"/>
            </w:tcBorders>
            <w:shd w:val="clear" w:color="auto" w:fill="DBDBDB"/>
          </w:tcPr>
          <w:p>
            <w:pPr>
              <w:jc w:val="right"/>
              <w:ind w:right="289"/>
              <w:spacing w:after="0" w:line="169" w:lineRule="exact"/>
              <w:rPr>
                <w:sz w:val="20"/>
                <w:szCs w:val="20"/>
                <w:color w:val="auto"/>
              </w:rPr>
            </w:pPr>
            <w:r>
              <w:rPr>
                <w:rFonts w:ascii="Calibri" w:cs="Calibri" w:eastAsia="Calibri" w:hAnsi="Calibri"/>
                <w:sz w:val="14"/>
                <w:szCs w:val="14"/>
                <w:color w:val="auto"/>
                <w:w w:val="83"/>
              </w:rPr>
              <w:t>$</w:t>
            </w: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234.7</w:t>
            </w:r>
          </w:p>
        </w:tc>
      </w:tr>
      <w:tr>
        <w:trPr>
          <w:trHeight w:val="169"/>
        </w:trPr>
        <w:tc>
          <w:tcPr>
            <w:tcW w:w="3840" w:type="dxa"/>
            <w:vAlign w:val="bottom"/>
          </w:tcPr>
          <w:p>
            <w:pPr>
              <w:ind w:left="20"/>
              <w:spacing w:after="0" w:line="169" w:lineRule="exact"/>
              <w:rPr>
                <w:sz w:val="20"/>
                <w:szCs w:val="20"/>
                <w:color w:val="auto"/>
              </w:rPr>
            </w:pPr>
            <w:r>
              <w:rPr>
                <w:rFonts w:ascii="Calibri" w:cs="Calibri" w:eastAsia="Calibri" w:hAnsi="Calibri"/>
                <w:sz w:val="14"/>
                <w:szCs w:val="14"/>
                <w:color w:val="auto"/>
              </w:rPr>
              <w:t>Afliated sales</w:t>
            </w:r>
          </w:p>
        </w:tc>
        <w:tc>
          <w:tcPr>
            <w:tcW w:w="2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Calibri" w:cs="Calibri" w:eastAsia="Calibri" w:hAnsi="Calibri"/>
                <w:sz w:val="14"/>
                <w:szCs w:val="14"/>
                <w:color w:val="auto"/>
              </w:rPr>
              <w:t>2.6</w:t>
            </w:r>
          </w:p>
        </w:tc>
        <w:tc>
          <w:tcPr>
            <w:tcW w:w="400" w:type="dxa"/>
            <w:vAlign w:val="bottom"/>
          </w:tcPr>
          <w:p>
            <w:pPr>
              <w:spacing w:after="0"/>
              <w:rPr>
                <w:sz w:val="14"/>
                <w:szCs w:val="14"/>
                <w:color w:val="auto"/>
              </w:rPr>
            </w:pPr>
          </w:p>
        </w:tc>
        <w:tc>
          <w:tcPr>
            <w:tcW w:w="920" w:type="dxa"/>
            <w:vAlign w:val="bottom"/>
          </w:tcPr>
          <w:p>
            <w:pPr>
              <w:jc w:val="right"/>
              <w:ind w:right="129"/>
              <w:spacing w:after="0" w:line="169" w:lineRule="exact"/>
              <w:rPr>
                <w:sz w:val="20"/>
                <w:szCs w:val="20"/>
                <w:color w:val="auto"/>
              </w:rPr>
            </w:pPr>
            <w:r>
              <w:rPr>
                <w:rFonts w:ascii="Calibri" w:cs="Calibri" w:eastAsia="Calibri" w:hAnsi="Calibri"/>
                <w:sz w:val="14"/>
                <w:szCs w:val="14"/>
                <w:color w:val="auto"/>
              </w:rPr>
              <w:t>2.6</w:t>
            </w:r>
          </w:p>
        </w:tc>
        <w:tc>
          <w:tcPr>
            <w:tcW w:w="34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960" w:type="dxa"/>
            <w:vAlign w:val="bottom"/>
          </w:tcPr>
          <w:p>
            <w:pPr>
              <w:jc w:val="center"/>
              <w:ind w:left="589"/>
              <w:spacing w:after="0" w:line="169" w:lineRule="exact"/>
              <w:rPr>
                <w:sz w:val="20"/>
                <w:szCs w:val="20"/>
                <w:color w:val="auto"/>
              </w:rPr>
            </w:pPr>
            <w:r>
              <w:rPr>
                <w:rFonts w:ascii="Calibri" w:cs="Calibri" w:eastAsia="Calibri" w:hAnsi="Calibri"/>
                <w:sz w:val="14"/>
                <w:szCs w:val="14"/>
                <w:color w:val="auto"/>
              </w:rPr>
              <w:t>2.0</w:t>
            </w:r>
          </w:p>
        </w:tc>
        <w:tc>
          <w:tcPr>
            <w:tcW w:w="44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2.0</w:t>
            </w:r>
          </w:p>
        </w:tc>
      </w:tr>
      <w:tr>
        <w:trPr>
          <w:trHeight w:val="58"/>
        </w:trPr>
        <w:tc>
          <w:tcPr>
            <w:tcW w:w="3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01"/>
        </w:trPr>
        <w:tc>
          <w:tcPr>
            <w:tcW w:w="38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segment sales</w:t>
            </w:r>
          </w:p>
        </w:tc>
        <w:tc>
          <w:tcPr>
            <w:tcW w:w="20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273.7</w:t>
            </w:r>
          </w:p>
        </w:tc>
        <w:tc>
          <w:tcPr>
            <w:tcW w:w="24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7.0</w:t>
            </w:r>
          </w:p>
        </w:tc>
        <w:tc>
          <w:tcPr>
            <w:tcW w:w="40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129"/>
              <w:spacing w:after="0" w:line="162" w:lineRule="exact"/>
              <w:rPr>
                <w:sz w:val="20"/>
                <w:szCs w:val="20"/>
                <w:color w:val="auto"/>
              </w:rPr>
            </w:pPr>
            <w:r>
              <w:rPr>
                <w:rFonts w:ascii="Calibri" w:cs="Calibri" w:eastAsia="Calibri" w:hAnsi="Calibri"/>
                <w:sz w:val="14"/>
                <w:szCs w:val="14"/>
                <w:color w:val="auto"/>
              </w:rPr>
              <w:t>280.7</w:t>
            </w:r>
          </w:p>
        </w:tc>
        <w:tc>
          <w:tcPr>
            <w:tcW w:w="34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232.4</w:t>
            </w:r>
          </w:p>
        </w:tc>
        <w:tc>
          <w:tcPr>
            <w:tcW w:w="24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center"/>
              <w:ind w:left="589"/>
              <w:spacing w:after="0" w:line="162" w:lineRule="exact"/>
              <w:rPr>
                <w:sz w:val="20"/>
                <w:szCs w:val="20"/>
                <w:color w:val="auto"/>
              </w:rPr>
            </w:pPr>
            <w:r>
              <w:rPr>
                <w:rFonts w:ascii="Calibri" w:cs="Calibri" w:eastAsia="Calibri" w:hAnsi="Calibri"/>
                <w:sz w:val="14"/>
                <w:szCs w:val="14"/>
                <w:color w:val="auto"/>
              </w:rPr>
              <w:t>4.3</w:t>
            </w:r>
          </w:p>
        </w:tc>
        <w:tc>
          <w:tcPr>
            <w:tcW w:w="44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236.7</w:t>
            </w:r>
          </w:p>
        </w:tc>
      </w:tr>
      <w:tr>
        <w:trPr>
          <w:trHeight w:val="169"/>
        </w:trPr>
        <w:tc>
          <w:tcPr>
            <w:tcW w:w="3840" w:type="dxa"/>
            <w:vAlign w:val="bottom"/>
          </w:tcPr>
          <w:p>
            <w:pPr>
              <w:ind w:left="20"/>
              <w:spacing w:after="0" w:line="169" w:lineRule="exact"/>
              <w:rPr>
                <w:sz w:val="20"/>
                <w:szCs w:val="20"/>
                <w:color w:val="auto"/>
              </w:rPr>
            </w:pPr>
            <w:r>
              <w:rPr>
                <w:rFonts w:ascii="Calibri" w:cs="Calibri" w:eastAsia="Calibri" w:hAnsi="Calibri"/>
                <w:sz w:val="14"/>
                <w:szCs w:val="14"/>
                <w:color w:val="auto"/>
              </w:rPr>
              <w:t>Intercompany eliminatons</w:t>
            </w:r>
          </w:p>
        </w:tc>
        <w:tc>
          <w:tcPr>
            <w:tcW w:w="2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Calibri" w:cs="Calibri" w:eastAsia="Calibri" w:hAnsi="Calibri"/>
                <w:sz w:val="14"/>
                <w:szCs w:val="14"/>
                <w:color w:val="auto"/>
              </w:rPr>
              <w:t>(2.6)</w:t>
            </w:r>
          </w:p>
        </w:tc>
        <w:tc>
          <w:tcPr>
            <w:tcW w:w="400" w:type="dxa"/>
            <w:vAlign w:val="bottom"/>
          </w:tcPr>
          <w:p>
            <w:pPr>
              <w:spacing w:after="0"/>
              <w:rPr>
                <w:sz w:val="14"/>
                <w:szCs w:val="14"/>
                <w:color w:val="auto"/>
              </w:rPr>
            </w:pPr>
          </w:p>
        </w:tc>
        <w:tc>
          <w:tcPr>
            <w:tcW w:w="92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(2.6)</w:t>
            </w:r>
          </w:p>
        </w:tc>
        <w:tc>
          <w:tcPr>
            <w:tcW w:w="34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960" w:type="dxa"/>
            <w:vAlign w:val="bottom"/>
          </w:tcPr>
          <w:p>
            <w:pPr>
              <w:jc w:val="center"/>
              <w:ind w:left="549"/>
              <w:spacing w:after="0" w:line="169" w:lineRule="exact"/>
              <w:rPr>
                <w:sz w:val="20"/>
                <w:szCs w:val="20"/>
                <w:color w:val="auto"/>
              </w:rPr>
            </w:pPr>
            <w:r>
              <w:rPr>
                <w:rFonts w:ascii="Calibri" w:cs="Calibri" w:eastAsia="Calibri" w:hAnsi="Calibri"/>
                <w:sz w:val="14"/>
                <w:szCs w:val="14"/>
                <w:color w:val="auto"/>
                <w:w w:val="99"/>
              </w:rPr>
              <w:t>(2.0)</w:t>
            </w:r>
          </w:p>
        </w:tc>
        <w:tc>
          <w:tcPr>
            <w:tcW w:w="44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(2.0)</w:t>
            </w:r>
          </w:p>
        </w:tc>
      </w:tr>
      <w:tr>
        <w:trPr>
          <w:trHeight w:val="58"/>
        </w:trPr>
        <w:tc>
          <w:tcPr>
            <w:tcW w:w="3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26"/>
        </w:trPr>
        <w:tc>
          <w:tcPr>
            <w:tcW w:w="38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2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273.7</w:t>
            </w:r>
          </w:p>
        </w:tc>
        <w:tc>
          <w:tcPr>
            <w:tcW w:w="2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4.4</w:t>
            </w:r>
          </w:p>
        </w:tc>
        <w:tc>
          <w:tcPr>
            <w:tcW w:w="400" w:type="dxa"/>
            <w:vAlign w:val="bottom"/>
            <w:tcBorders>
              <w:bottom w:val="single" w:sz="8" w:color="DBDBDB"/>
            </w:tcBorders>
            <w:shd w:val="clear" w:color="auto" w:fill="DBDBDB"/>
          </w:tcPr>
          <w:p>
            <w:pPr>
              <w:jc w:val="right"/>
              <w:ind w:right="249"/>
              <w:spacing w:after="0" w:line="162"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DBDBDB"/>
            </w:tcBorders>
            <w:shd w:val="clear" w:color="auto" w:fill="DBDBDB"/>
          </w:tcPr>
          <w:p>
            <w:pPr>
              <w:jc w:val="right"/>
              <w:ind w:right="129"/>
              <w:spacing w:after="0" w:line="162" w:lineRule="exact"/>
              <w:rPr>
                <w:sz w:val="20"/>
                <w:szCs w:val="20"/>
                <w:color w:val="auto"/>
              </w:rPr>
            </w:pPr>
            <w:r>
              <w:rPr>
                <w:rFonts w:ascii="Calibri" w:cs="Calibri" w:eastAsia="Calibri" w:hAnsi="Calibri"/>
                <w:sz w:val="14"/>
                <w:szCs w:val="14"/>
                <w:color w:val="auto"/>
              </w:rPr>
              <w:t>278.1</w:t>
            </w:r>
          </w:p>
        </w:tc>
        <w:tc>
          <w:tcPr>
            <w:tcW w:w="3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232.4</w:t>
            </w:r>
          </w:p>
        </w:tc>
        <w:tc>
          <w:tcPr>
            <w:tcW w:w="2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60" w:type="dxa"/>
            <w:vAlign w:val="bottom"/>
            <w:tcBorders>
              <w:bottom w:val="single" w:sz="8" w:color="DBDBDB"/>
            </w:tcBorders>
            <w:shd w:val="clear" w:color="auto" w:fill="DBDBDB"/>
          </w:tcPr>
          <w:p>
            <w:pPr>
              <w:jc w:val="center"/>
              <w:ind w:left="589"/>
              <w:spacing w:after="0" w:line="162" w:lineRule="exact"/>
              <w:rPr>
                <w:sz w:val="20"/>
                <w:szCs w:val="20"/>
                <w:color w:val="auto"/>
              </w:rPr>
            </w:pPr>
            <w:r>
              <w:rPr>
                <w:rFonts w:ascii="Calibri" w:cs="Calibri" w:eastAsia="Calibri" w:hAnsi="Calibri"/>
                <w:sz w:val="14"/>
                <w:szCs w:val="14"/>
                <w:color w:val="auto"/>
              </w:rPr>
              <w:t>2.3</w:t>
            </w:r>
          </w:p>
        </w:tc>
        <w:tc>
          <w:tcPr>
            <w:tcW w:w="440" w:type="dxa"/>
            <w:vAlign w:val="bottom"/>
            <w:tcBorders>
              <w:bottom w:val="single" w:sz="8" w:color="DBDBDB"/>
            </w:tcBorders>
            <w:shd w:val="clear" w:color="auto" w:fill="DBDBDB"/>
          </w:tcPr>
          <w:p>
            <w:pPr>
              <w:jc w:val="right"/>
              <w:ind w:right="289"/>
              <w:spacing w:after="0" w:line="162" w:lineRule="exact"/>
              <w:rPr>
                <w:sz w:val="20"/>
                <w:szCs w:val="20"/>
                <w:color w:val="auto"/>
              </w:rPr>
            </w:pPr>
            <w:r>
              <w:rPr>
                <w:rFonts w:ascii="Calibri" w:cs="Calibri" w:eastAsia="Calibri" w:hAnsi="Calibri"/>
                <w:sz w:val="14"/>
                <w:szCs w:val="14"/>
                <w:color w:val="auto"/>
                <w:w w:val="83"/>
              </w:rPr>
              <w:t>$</w:t>
            </w: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234.7</w:t>
            </w:r>
          </w:p>
        </w:tc>
      </w:tr>
      <w:tr>
        <w:trPr>
          <w:trHeight w:val="162"/>
        </w:trPr>
        <w:tc>
          <w:tcPr>
            <w:tcW w:w="3840" w:type="dxa"/>
            <w:vAlign w:val="bottom"/>
            <w:tcBorders>
              <w:top w:val="single" w:sz="8" w:color="auto"/>
            </w:tcBorders>
            <w:shd w:val="clear" w:color="auto" w:fill="43C0B9"/>
          </w:tcPr>
          <w:p>
            <w:pPr>
              <w:spacing w:after="0"/>
              <w:rPr>
                <w:sz w:val="14"/>
                <w:szCs w:val="14"/>
                <w:color w:val="auto"/>
              </w:rPr>
            </w:pPr>
          </w:p>
        </w:tc>
        <w:tc>
          <w:tcPr>
            <w:tcW w:w="200" w:type="dxa"/>
            <w:vAlign w:val="bottom"/>
            <w:tcBorders>
              <w:top w:val="single" w:sz="8" w:color="auto"/>
            </w:tcBorders>
            <w:shd w:val="clear" w:color="auto" w:fill="43C0B9"/>
          </w:tcPr>
          <w:p>
            <w:pPr>
              <w:spacing w:after="0"/>
              <w:rPr>
                <w:sz w:val="14"/>
                <w:szCs w:val="14"/>
                <w:color w:val="auto"/>
              </w:rPr>
            </w:pPr>
          </w:p>
        </w:tc>
        <w:tc>
          <w:tcPr>
            <w:tcW w:w="980" w:type="dxa"/>
            <w:vAlign w:val="bottom"/>
            <w:tcBorders>
              <w:top w:val="single" w:sz="8" w:color="auto"/>
            </w:tcBorders>
            <w:shd w:val="clear" w:color="auto" w:fill="43C0B9"/>
          </w:tcPr>
          <w:p>
            <w:pPr>
              <w:spacing w:after="0"/>
              <w:rPr>
                <w:sz w:val="14"/>
                <w:szCs w:val="14"/>
                <w:color w:val="auto"/>
              </w:rPr>
            </w:pPr>
          </w:p>
        </w:tc>
        <w:tc>
          <w:tcPr>
            <w:tcW w:w="240" w:type="dxa"/>
            <w:vAlign w:val="bottom"/>
            <w:tcBorders>
              <w:top w:val="single" w:sz="8" w:color="auto"/>
            </w:tcBorders>
            <w:shd w:val="clear" w:color="auto" w:fill="43C0B9"/>
          </w:tcPr>
          <w:p>
            <w:pPr>
              <w:spacing w:after="0"/>
              <w:rPr>
                <w:sz w:val="14"/>
                <w:szCs w:val="14"/>
                <w:color w:val="auto"/>
              </w:rPr>
            </w:pPr>
          </w:p>
        </w:tc>
        <w:tc>
          <w:tcPr>
            <w:tcW w:w="960" w:type="dxa"/>
            <w:vAlign w:val="bottom"/>
            <w:tcBorders>
              <w:top w:val="single" w:sz="8" w:color="auto"/>
            </w:tcBorders>
            <w:shd w:val="clear" w:color="auto" w:fill="43C0B9"/>
          </w:tcPr>
          <w:p>
            <w:pPr>
              <w:spacing w:after="0"/>
              <w:rPr>
                <w:sz w:val="14"/>
                <w:szCs w:val="14"/>
                <w:color w:val="auto"/>
              </w:rPr>
            </w:pPr>
          </w:p>
        </w:tc>
        <w:tc>
          <w:tcPr>
            <w:tcW w:w="400" w:type="dxa"/>
            <w:vAlign w:val="bottom"/>
            <w:tcBorders>
              <w:top w:val="single" w:sz="8" w:color="auto"/>
            </w:tcBorders>
            <w:shd w:val="clear" w:color="auto" w:fill="43C0B9"/>
          </w:tcPr>
          <w:p>
            <w:pPr>
              <w:spacing w:after="0"/>
              <w:rPr>
                <w:sz w:val="14"/>
                <w:szCs w:val="14"/>
                <w:color w:val="auto"/>
              </w:rPr>
            </w:pPr>
          </w:p>
        </w:tc>
        <w:tc>
          <w:tcPr>
            <w:tcW w:w="2240" w:type="dxa"/>
            <w:vAlign w:val="bottom"/>
            <w:tcBorders>
              <w:top w:val="single" w:sz="8" w:color="auto"/>
            </w:tcBorders>
            <w:gridSpan w:val="3"/>
            <w:shd w:val="clear" w:color="auto" w:fill="43C0B9"/>
          </w:tcPr>
          <w:p>
            <w:pPr>
              <w:jc w:val="center"/>
              <w:ind w:right="349"/>
              <w:spacing w:after="0" w:line="162" w:lineRule="exact"/>
              <w:rPr>
                <w:sz w:val="20"/>
                <w:szCs w:val="20"/>
                <w:color w:val="auto"/>
              </w:rPr>
            </w:pPr>
            <w:r>
              <w:rPr>
                <w:rFonts w:ascii="Calibri" w:cs="Calibri" w:eastAsia="Calibri" w:hAnsi="Calibri"/>
                <w:sz w:val="14"/>
                <w:szCs w:val="14"/>
                <w:b w:val="1"/>
                <w:bCs w:val="1"/>
                <w:color w:val="FFFFFF"/>
              </w:rPr>
              <w:t>Six Months Ended</w:t>
            </w:r>
          </w:p>
        </w:tc>
        <w:tc>
          <w:tcPr>
            <w:tcW w:w="240" w:type="dxa"/>
            <w:vAlign w:val="bottom"/>
            <w:tcBorders>
              <w:top w:val="single" w:sz="8" w:color="auto"/>
            </w:tcBorders>
            <w:shd w:val="clear" w:color="auto" w:fill="43C0B9"/>
          </w:tcPr>
          <w:p>
            <w:pPr>
              <w:spacing w:after="0"/>
              <w:rPr>
                <w:sz w:val="14"/>
                <w:szCs w:val="14"/>
                <w:color w:val="auto"/>
              </w:rPr>
            </w:pPr>
          </w:p>
        </w:tc>
        <w:tc>
          <w:tcPr>
            <w:tcW w:w="960" w:type="dxa"/>
            <w:vAlign w:val="bottom"/>
            <w:tcBorders>
              <w:top w:val="single" w:sz="8" w:color="auto"/>
            </w:tcBorders>
            <w:shd w:val="clear" w:color="auto" w:fill="43C0B9"/>
          </w:tcPr>
          <w:p>
            <w:pPr>
              <w:spacing w:after="0"/>
              <w:rPr>
                <w:sz w:val="14"/>
                <w:szCs w:val="14"/>
                <w:color w:val="auto"/>
              </w:rPr>
            </w:pPr>
          </w:p>
        </w:tc>
        <w:tc>
          <w:tcPr>
            <w:tcW w:w="440" w:type="dxa"/>
            <w:vAlign w:val="bottom"/>
            <w:tcBorders>
              <w:top w:val="single" w:sz="8" w:color="auto"/>
            </w:tcBorders>
            <w:shd w:val="clear" w:color="auto" w:fill="43C0B9"/>
          </w:tcPr>
          <w:p>
            <w:pPr>
              <w:spacing w:after="0"/>
              <w:rPr>
                <w:sz w:val="14"/>
                <w:szCs w:val="14"/>
                <w:color w:val="auto"/>
              </w:rPr>
            </w:pPr>
          </w:p>
        </w:tc>
        <w:tc>
          <w:tcPr>
            <w:tcW w:w="740" w:type="dxa"/>
            <w:vAlign w:val="bottom"/>
            <w:tcBorders>
              <w:top w:val="single" w:sz="8" w:color="auto"/>
            </w:tcBorders>
            <w:shd w:val="clear" w:color="auto" w:fill="43C0B9"/>
          </w:tcPr>
          <w:p>
            <w:pPr>
              <w:spacing w:after="0"/>
              <w:rPr>
                <w:sz w:val="14"/>
                <w:szCs w:val="14"/>
                <w:color w:val="auto"/>
              </w:rPr>
            </w:pPr>
          </w:p>
        </w:tc>
      </w:tr>
      <w:tr>
        <w:trPr>
          <w:trHeight w:val="173"/>
        </w:trPr>
        <w:tc>
          <w:tcPr>
            <w:tcW w:w="3840" w:type="dxa"/>
            <w:vAlign w:val="bottom"/>
            <w:shd w:val="clear" w:color="auto" w:fill="43C0B9"/>
          </w:tcPr>
          <w:p>
            <w:pPr>
              <w:spacing w:after="0"/>
              <w:rPr>
                <w:sz w:val="15"/>
                <w:szCs w:val="15"/>
                <w:color w:val="auto"/>
              </w:rPr>
            </w:pPr>
          </w:p>
        </w:tc>
        <w:tc>
          <w:tcPr>
            <w:tcW w:w="200" w:type="dxa"/>
            <w:vAlign w:val="bottom"/>
            <w:shd w:val="clear" w:color="auto" w:fill="43C0B9"/>
          </w:tcPr>
          <w:p>
            <w:pPr>
              <w:spacing w:after="0"/>
              <w:rPr>
                <w:sz w:val="15"/>
                <w:szCs w:val="15"/>
                <w:color w:val="auto"/>
              </w:rPr>
            </w:pPr>
          </w:p>
        </w:tc>
        <w:tc>
          <w:tcPr>
            <w:tcW w:w="980" w:type="dxa"/>
            <w:vAlign w:val="bottom"/>
            <w:shd w:val="clear" w:color="auto" w:fill="43C0B9"/>
          </w:tcPr>
          <w:p>
            <w:pPr>
              <w:spacing w:after="0"/>
              <w:rPr>
                <w:sz w:val="15"/>
                <w:szCs w:val="15"/>
                <w:color w:val="auto"/>
              </w:rPr>
            </w:pPr>
          </w:p>
        </w:tc>
        <w:tc>
          <w:tcPr>
            <w:tcW w:w="240" w:type="dxa"/>
            <w:vAlign w:val="bottom"/>
            <w:shd w:val="clear" w:color="auto" w:fill="43C0B9"/>
          </w:tcPr>
          <w:p>
            <w:pPr>
              <w:spacing w:after="0"/>
              <w:rPr>
                <w:sz w:val="15"/>
                <w:szCs w:val="15"/>
                <w:color w:val="auto"/>
              </w:rPr>
            </w:pPr>
          </w:p>
        </w:tc>
        <w:tc>
          <w:tcPr>
            <w:tcW w:w="960" w:type="dxa"/>
            <w:vAlign w:val="bottom"/>
            <w:shd w:val="clear" w:color="auto" w:fill="43C0B9"/>
          </w:tcPr>
          <w:p>
            <w:pPr>
              <w:spacing w:after="0"/>
              <w:rPr>
                <w:sz w:val="15"/>
                <w:szCs w:val="15"/>
                <w:color w:val="auto"/>
              </w:rPr>
            </w:pPr>
          </w:p>
        </w:tc>
        <w:tc>
          <w:tcPr>
            <w:tcW w:w="400" w:type="dxa"/>
            <w:vAlign w:val="bottom"/>
            <w:shd w:val="clear" w:color="auto" w:fill="43C0B9"/>
          </w:tcPr>
          <w:p>
            <w:pPr>
              <w:spacing w:after="0"/>
              <w:rPr>
                <w:sz w:val="15"/>
                <w:szCs w:val="15"/>
                <w:color w:val="auto"/>
              </w:rPr>
            </w:pPr>
          </w:p>
        </w:tc>
        <w:tc>
          <w:tcPr>
            <w:tcW w:w="1260" w:type="dxa"/>
            <w:vAlign w:val="bottom"/>
            <w:gridSpan w:val="2"/>
            <w:shd w:val="clear" w:color="auto" w:fill="43C0B9"/>
          </w:tcPr>
          <w:p>
            <w:pPr>
              <w:jc w:val="center"/>
              <w:ind w:left="489"/>
              <w:spacing w:after="0"/>
              <w:rPr>
                <w:sz w:val="20"/>
                <w:szCs w:val="20"/>
                <w:color w:val="auto"/>
              </w:rPr>
            </w:pPr>
            <w:r>
              <w:rPr>
                <w:rFonts w:ascii="Calibri" w:cs="Calibri" w:eastAsia="Calibri" w:hAnsi="Calibri"/>
                <w:sz w:val="14"/>
                <w:szCs w:val="14"/>
                <w:b w:val="1"/>
                <w:bCs w:val="1"/>
                <w:color w:val="FFFFFF"/>
              </w:rPr>
              <w:t>April 30,</w:t>
            </w:r>
          </w:p>
        </w:tc>
        <w:tc>
          <w:tcPr>
            <w:tcW w:w="980" w:type="dxa"/>
            <w:vAlign w:val="bottom"/>
            <w:shd w:val="clear" w:color="auto" w:fill="43C0B9"/>
          </w:tcPr>
          <w:p>
            <w:pPr>
              <w:spacing w:after="0"/>
              <w:rPr>
                <w:sz w:val="15"/>
                <w:szCs w:val="15"/>
                <w:color w:val="auto"/>
              </w:rPr>
            </w:pPr>
          </w:p>
        </w:tc>
        <w:tc>
          <w:tcPr>
            <w:tcW w:w="240" w:type="dxa"/>
            <w:vAlign w:val="bottom"/>
            <w:shd w:val="clear" w:color="auto" w:fill="43C0B9"/>
          </w:tcPr>
          <w:p>
            <w:pPr>
              <w:spacing w:after="0"/>
              <w:rPr>
                <w:sz w:val="15"/>
                <w:szCs w:val="15"/>
                <w:color w:val="auto"/>
              </w:rPr>
            </w:pPr>
          </w:p>
        </w:tc>
        <w:tc>
          <w:tcPr>
            <w:tcW w:w="960" w:type="dxa"/>
            <w:vAlign w:val="bottom"/>
            <w:shd w:val="clear" w:color="auto" w:fill="43C0B9"/>
          </w:tcPr>
          <w:p>
            <w:pPr>
              <w:spacing w:after="0"/>
              <w:rPr>
                <w:sz w:val="15"/>
                <w:szCs w:val="15"/>
                <w:color w:val="auto"/>
              </w:rPr>
            </w:pPr>
          </w:p>
        </w:tc>
        <w:tc>
          <w:tcPr>
            <w:tcW w:w="440" w:type="dxa"/>
            <w:vAlign w:val="bottom"/>
            <w:shd w:val="clear" w:color="auto" w:fill="43C0B9"/>
          </w:tcPr>
          <w:p>
            <w:pPr>
              <w:spacing w:after="0"/>
              <w:rPr>
                <w:sz w:val="15"/>
                <w:szCs w:val="15"/>
                <w:color w:val="auto"/>
              </w:rPr>
            </w:pPr>
          </w:p>
        </w:tc>
        <w:tc>
          <w:tcPr>
            <w:tcW w:w="740" w:type="dxa"/>
            <w:vAlign w:val="bottom"/>
            <w:shd w:val="clear" w:color="auto" w:fill="43C0B9"/>
          </w:tcPr>
          <w:p>
            <w:pPr>
              <w:spacing w:after="0"/>
              <w:rPr>
                <w:sz w:val="15"/>
                <w:szCs w:val="15"/>
                <w:color w:val="auto"/>
              </w:rPr>
            </w:pPr>
          </w:p>
        </w:tc>
      </w:tr>
      <w:tr>
        <w:trPr>
          <w:trHeight w:val="280"/>
        </w:trPr>
        <w:tc>
          <w:tcPr>
            <w:tcW w:w="3840" w:type="dxa"/>
            <w:vAlign w:val="bottom"/>
            <w:tcBorders>
              <w:bottom w:val="single" w:sz="8" w:color="43C0B9"/>
            </w:tcBorders>
            <w:shd w:val="clear" w:color="auto" w:fill="43C0B9"/>
          </w:tcPr>
          <w:p>
            <w:pPr>
              <w:spacing w:after="0"/>
              <w:rPr>
                <w:sz w:val="24"/>
                <w:szCs w:val="24"/>
                <w:color w:val="auto"/>
              </w:rPr>
            </w:pPr>
          </w:p>
        </w:tc>
        <w:tc>
          <w:tcPr>
            <w:tcW w:w="200" w:type="dxa"/>
            <w:vAlign w:val="bottom"/>
            <w:tcBorders>
              <w:bottom w:val="single" w:sz="8" w:color="43C0B9"/>
            </w:tcBorders>
            <w:shd w:val="clear" w:color="auto" w:fill="43C0B9"/>
          </w:tcPr>
          <w:p>
            <w:pPr>
              <w:spacing w:after="0"/>
              <w:rPr>
                <w:sz w:val="24"/>
                <w:szCs w:val="24"/>
                <w:color w:val="auto"/>
              </w:rPr>
            </w:pPr>
          </w:p>
        </w:tc>
        <w:tc>
          <w:tcPr>
            <w:tcW w:w="980" w:type="dxa"/>
            <w:vAlign w:val="bottom"/>
            <w:tcBorders>
              <w:bottom w:val="single" w:sz="8" w:color="43C0B9"/>
            </w:tcBorders>
            <w:shd w:val="clear" w:color="auto" w:fill="43C0B9"/>
          </w:tcPr>
          <w:p>
            <w:pPr>
              <w:spacing w:after="0"/>
              <w:rPr>
                <w:sz w:val="24"/>
                <w:szCs w:val="24"/>
                <w:color w:val="auto"/>
              </w:rPr>
            </w:pPr>
          </w:p>
        </w:tc>
        <w:tc>
          <w:tcPr>
            <w:tcW w:w="240" w:type="dxa"/>
            <w:vAlign w:val="bottom"/>
            <w:tcBorders>
              <w:bottom w:val="single" w:sz="8" w:color="43C0B9"/>
            </w:tcBorders>
            <w:shd w:val="clear" w:color="auto" w:fill="43C0B9"/>
          </w:tcPr>
          <w:p>
            <w:pPr>
              <w:spacing w:after="0"/>
              <w:rPr>
                <w:sz w:val="24"/>
                <w:szCs w:val="24"/>
                <w:color w:val="auto"/>
              </w:rPr>
            </w:pPr>
          </w:p>
        </w:tc>
        <w:tc>
          <w:tcPr>
            <w:tcW w:w="960" w:type="dxa"/>
            <w:vAlign w:val="bottom"/>
            <w:tcBorders>
              <w:bottom w:val="single" w:sz="8" w:color="43C0B9"/>
            </w:tcBorders>
            <w:shd w:val="clear" w:color="auto" w:fill="43C0B9"/>
          </w:tcPr>
          <w:p>
            <w:pPr>
              <w:jc w:val="right"/>
              <w:ind w:right="389"/>
              <w:spacing w:after="0"/>
              <w:rPr>
                <w:sz w:val="20"/>
                <w:szCs w:val="20"/>
                <w:color w:val="auto"/>
              </w:rPr>
            </w:pPr>
            <w:r>
              <w:rPr>
                <w:rFonts w:ascii="Calibri" w:cs="Calibri" w:eastAsia="Calibri" w:hAnsi="Calibri"/>
                <w:sz w:val="14"/>
                <w:szCs w:val="14"/>
                <w:b w:val="1"/>
                <w:bCs w:val="1"/>
                <w:color w:val="FFFFFF"/>
              </w:rPr>
              <w:t>2022</w:t>
            </w:r>
          </w:p>
        </w:tc>
        <w:tc>
          <w:tcPr>
            <w:tcW w:w="400" w:type="dxa"/>
            <w:vAlign w:val="bottom"/>
            <w:tcBorders>
              <w:bottom w:val="single" w:sz="8" w:color="43C0B9"/>
            </w:tcBorders>
            <w:shd w:val="clear" w:color="auto" w:fill="43C0B9"/>
          </w:tcPr>
          <w:p>
            <w:pPr>
              <w:spacing w:after="0"/>
              <w:rPr>
                <w:sz w:val="24"/>
                <w:szCs w:val="24"/>
                <w:color w:val="auto"/>
              </w:rPr>
            </w:pPr>
          </w:p>
        </w:tc>
        <w:tc>
          <w:tcPr>
            <w:tcW w:w="920" w:type="dxa"/>
            <w:vAlign w:val="bottom"/>
            <w:tcBorders>
              <w:bottom w:val="single" w:sz="8" w:color="43C0B9"/>
            </w:tcBorders>
            <w:shd w:val="clear" w:color="auto" w:fill="43C0B9"/>
          </w:tcPr>
          <w:p>
            <w:pPr>
              <w:spacing w:after="0"/>
              <w:rPr>
                <w:sz w:val="24"/>
                <w:szCs w:val="24"/>
                <w:color w:val="auto"/>
              </w:rPr>
            </w:pPr>
          </w:p>
        </w:tc>
        <w:tc>
          <w:tcPr>
            <w:tcW w:w="340" w:type="dxa"/>
            <w:vAlign w:val="bottom"/>
            <w:tcBorders>
              <w:bottom w:val="single" w:sz="8" w:color="43C0B9"/>
            </w:tcBorders>
            <w:shd w:val="clear" w:color="auto" w:fill="43C0B9"/>
          </w:tcPr>
          <w:p>
            <w:pPr>
              <w:spacing w:after="0"/>
              <w:rPr>
                <w:sz w:val="24"/>
                <w:szCs w:val="24"/>
                <w:color w:val="auto"/>
              </w:rPr>
            </w:pPr>
          </w:p>
        </w:tc>
        <w:tc>
          <w:tcPr>
            <w:tcW w:w="980" w:type="dxa"/>
            <w:vAlign w:val="bottom"/>
            <w:tcBorders>
              <w:bottom w:val="single" w:sz="8" w:color="43C0B9"/>
            </w:tcBorders>
            <w:shd w:val="clear" w:color="auto" w:fill="43C0B9"/>
          </w:tcPr>
          <w:p>
            <w:pPr>
              <w:spacing w:after="0"/>
              <w:rPr>
                <w:sz w:val="24"/>
                <w:szCs w:val="24"/>
                <w:color w:val="auto"/>
              </w:rPr>
            </w:pPr>
          </w:p>
        </w:tc>
        <w:tc>
          <w:tcPr>
            <w:tcW w:w="240" w:type="dxa"/>
            <w:vAlign w:val="bottom"/>
            <w:tcBorders>
              <w:bottom w:val="single" w:sz="8" w:color="43C0B9"/>
            </w:tcBorders>
            <w:shd w:val="clear" w:color="auto" w:fill="43C0B9"/>
          </w:tcPr>
          <w:p>
            <w:pPr>
              <w:spacing w:after="0"/>
              <w:rPr>
                <w:sz w:val="24"/>
                <w:szCs w:val="24"/>
                <w:color w:val="auto"/>
              </w:rPr>
            </w:pPr>
          </w:p>
        </w:tc>
        <w:tc>
          <w:tcPr>
            <w:tcW w:w="960" w:type="dxa"/>
            <w:vAlign w:val="bottom"/>
            <w:tcBorders>
              <w:bottom w:val="single" w:sz="8" w:color="43C0B9"/>
            </w:tcBorders>
            <w:shd w:val="clear" w:color="auto" w:fill="43C0B9"/>
          </w:tcPr>
          <w:p>
            <w:pPr>
              <w:jc w:val="right"/>
              <w:ind w:right="389"/>
              <w:spacing w:after="0"/>
              <w:rPr>
                <w:sz w:val="20"/>
                <w:szCs w:val="20"/>
                <w:color w:val="auto"/>
              </w:rPr>
            </w:pPr>
            <w:r>
              <w:rPr>
                <w:rFonts w:ascii="Calibri" w:cs="Calibri" w:eastAsia="Calibri" w:hAnsi="Calibri"/>
                <w:sz w:val="14"/>
                <w:szCs w:val="14"/>
                <w:b w:val="1"/>
                <w:bCs w:val="1"/>
                <w:color w:val="FFFFFF"/>
              </w:rPr>
              <w:t>2021</w:t>
            </w:r>
          </w:p>
        </w:tc>
        <w:tc>
          <w:tcPr>
            <w:tcW w:w="44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spacing w:after="0"/>
              <w:rPr>
                <w:sz w:val="24"/>
                <w:szCs w:val="24"/>
                <w:color w:val="auto"/>
              </w:rPr>
            </w:pPr>
          </w:p>
        </w:tc>
      </w:tr>
      <w:tr>
        <w:trPr>
          <w:trHeight w:val="207"/>
        </w:trPr>
        <w:tc>
          <w:tcPr>
            <w:tcW w:w="38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Third party sales</w:t>
            </w:r>
          </w:p>
        </w:tc>
        <w:tc>
          <w:tcPr>
            <w:tcW w:w="2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486.0</w:t>
            </w:r>
          </w:p>
        </w:tc>
        <w:tc>
          <w:tcPr>
            <w:tcW w:w="24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9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8.7</w:t>
            </w:r>
          </w:p>
        </w:tc>
        <w:tc>
          <w:tcPr>
            <w:tcW w:w="400" w:type="dxa"/>
            <w:vAlign w:val="bottom"/>
            <w:tcBorders>
              <w:bottom w:val="single" w:sz="8" w:color="DBDBDB"/>
            </w:tcBorders>
            <w:shd w:val="clear" w:color="auto" w:fill="DBDBDB"/>
          </w:tcPr>
          <w:p>
            <w:pPr>
              <w:jc w:val="right"/>
              <w:ind w:right="249"/>
              <w:spacing w:after="0" w:line="169"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DBDBDB"/>
            </w:tcBorders>
            <w:shd w:val="clear" w:color="auto" w:fill="DBDBDB"/>
          </w:tcPr>
          <w:p>
            <w:pPr>
              <w:jc w:val="right"/>
              <w:ind w:right="129"/>
              <w:spacing w:after="0" w:line="169" w:lineRule="exact"/>
              <w:rPr>
                <w:sz w:val="20"/>
                <w:szCs w:val="20"/>
                <w:color w:val="auto"/>
              </w:rPr>
            </w:pPr>
            <w:r>
              <w:rPr>
                <w:rFonts w:ascii="Calibri" w:cs="Calibri" w:eastAsia="Calibri" w:hAnsi="Calibri"/>
                <w:sz w:val="14"/>
                <w:szCs w:val="14"/>
                <w:color w:val="auto"/>
              </w:rPr>
              <w:t>494.7</w:t>
            </w:r>
          </w:p>
        </w:tc>
        <w:tc>
          <w:tcPr>
            <w:tcW w:w="34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402.0</w:t>
            </w:r>
          </w:p>
        </w:tc>
        <w:tc>
          <w:tcPr>
            <w:tcW w:w="24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960" w:type="dxa"/>
            <w:vAlign w:val="bottom"/>
            <w:tcBorders>
              <w:bottom w:val="single" w:sz="8" w:color="DBDBDB"/>
            </w:tcBorders>
            <w:shd w:val="clear" w:color="auto" w:fill="DBDBDB"/>
          </w:tcPr>
          <w:p>
            <w:pPr>
              <w:jc w:val="center"/>
              <w:ind w:left="589"/>
              <w:spacing w:after="0" w:line="169" w:lineRule="exact"/>
              <w:rPr>
                <w:sz w:val="20"/>
                <w:szCs w:val="20"/>
                <w:color w:val="auto"/>
              </w:rPr>
            </w:pPr>
            <w:r>
              <w:rPr>
                <w:rFonts w:ascii="Calibri" w:cs="Calibri" w:eastAsia="Calibri" w:hAnsi="Calibri"/>
                <w:sz w:val="14"/>
                <w:szCs w:val="14"/>
                <w:color w:val="auto"/>
              </w:rPr>
              <w:t>5.9</w:t>
            </w:r>
          </w:p>
        </w:tc>
        <w:tc>
          <w:tcPr>
            <w:tcW w:w="440" w:type="dxa"/>
            <w:vAlign w:val="bottom"/>
            <w:tcBorders>
              <w:bottom w:val="single" w:sz="8" w:color="DBDBDB"/>
            </w:tcBorders>
            <w:shd w:val="clear" w:color="auto" w:fill="DBDBDB"/>
          </w:tcPr>
          <w:p>
            <w:pPr>
              <w:jc w:val="right"/>
              <w:ind w:right="289"/>
              <w:spacing w:after="0" w:line="169" w:lineRule="exact"/>
              <w:rPr>
                <w:sz w:val="20"/>
                <w:szCs w:val="20"/>
                <w:color w:val="auto"/>
              </w:rPr>
            </w:pPr>
            <w:r>
              <w:rPr>
                <w:rFonts w:ascii="Calibri" w:cs="Calibri" w:eastAsia="Calibri" w:hAnsi="Calibri"/>
                <w:sz w:val="14"/>
                <w:szCs w:val="14"/>
                <w:color w:val="auto"/>
                <w:w w:val="83"/>
              </w:rPr>
              <w:t>$</w:t>
            </w: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407.9</w:t>
            </w:r>
          </w:p>
        </w:tc>
      </w:tr>
      <w:tr>
        <w:trPr>
          <w:trHeight w:val="169"/>
        </w:trPr>
        <w:tc>
          <w:tcPr>
            <w:tcW w:w="3840" w:type="dxa"/>
            <w:vAlign w:val="bottom"/>
          </w:tcPr>
          <w:p>
            <w:pPr>
              <w:ind w:left="20"/>
              <w:spacing w:after="0" w:line="169" w:lineRule="exact"/>
              <w:rPr>
                <w:sz w:val="20"/>
                <w:szCs w:val="20"/>
                <w:color w:val="auto"/>
              </w:rPr>
            </w:pPr>
            <w:r>
              <w:rPr>
                <w:rFonts w:ascii="Calibri" w:cs="Calibri" w:eastAsia="Calibri" w:hAnsi="Calibri"/>
                <w:sz w:val="14"/>
                <w:szCs w:val="14"/>
                <w:color w:val="auto"/>
              </w:rPr>
              <w:t>Afliated sales</w:t>
            </w:r>
          </w:p>
        </w:tc>
        <w:tc>
          <w:tcPr>
            <w:tcW w:w="2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Calibri" w:cs="Calibri" w:eastAsia="Calibri" w:hAnsi="Calibri"/>
                <w:sz w:val="14"/>
                <w:szCs w:val="14"/>
                <w:color w:val="auto"/>
              </w:rPr>
              <w:t>1.6</w:t>
            </w:r>
          </w:p>
        </w:tc>
        <w:tc>
          <w:tcPr>
            <w:tcW w:w="400" w:type="dxa"/>
            <w:vAlign w:val="bottom"/>
          </w:tcPr>
          <w:p>
            <w:pPr>
              <w:spacing w:after="0"/>
              <w:rPr>
                <w:sz w:val="14"/>
                <w:szCs w:val="14"/>
                <w:color w:val="auto"/>
              </w:rPr>
            </w:pPr>
          </w:p>
        </w:tc>
        <w:tc>
          <w:tcPr>
            <w:tcW w:w="920" w:type="dxa"/>
            <w:vAlign w:val="bottom"/>
          </w:tcPr>
          <w:p>
            <w:pPr>
              <w:jc w:val="right"/>
              <w:ind w:right="129"/>
              <w:spacing w:after="0" w:line="169" w:lineRule="exact"/>
              <w:rPr>
                <w:sz w:val="20"/>
                <w:szCs w:val="20"/>
                <w:color w:val="auto"/>
              </w:rPr>
            </w:pPr>
            <w:r>
              <w:rPr>
                <w:rFonts w:ascii="Calibri" w:cs="Calibri" w:eastAsia="Calibri" w:hAnsi="Calibri"/>
                <w:sz w:val="14"/>
                <w:szCs w:val="14"/>
                <w:color w:val="auto"/>
              </w:rPr>
              <w:t>1.6</w:t>
            </w:r>
          </w:p>
        </w:tc>
        <w:tc>
          <w:tcPr>
            <w:tcW w:w="34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960" w:type="dxa"/>
            <w:vAlign w:val="bottom"/>
          </w:tcPr>
          <w:p>
            <w:pPr>
              <w:jc w:val="center"/>
              <w:ind w:left="589"/>
              <w:spacing w:after="0" w:line="169" w:lineRule="exact"/>
              <w:rPr>
                <w:sz w:val="20"/>
                <w:szCs w:val="20"/>
                <w:color w:val="auto"/>
              </w:rPr>
            </w:pPr>
            <w:r>
              <w:rPr>
                <w:rFonts w:ascii="Calibri" w:cs="Calibri" w:eastAsia="Calibri" w:hAnsi="Calibri"/>
                <w:sz w:val="14"/>
                <w:szCs w:val="14"/>
                <w:color w:val="auto"/>
              </w:rPr>
              <w:t>2.2</w:t>
            </w:r>
          </w:p>
        </w:tc>
        <w:tc>
          <w:tcPr>
            <w:tcW w:w="44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2.2</w:t>
            </w:r>
          </w:p>
        </w:tc>
      </w:tr>
      <w:tr>
        <w:trPr>
          <w:trHeight w:val="58"/>
        </w:trPr>
        <w:tc>
          <w:tcPr>
            <w:tcW w:w="3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01"/>
        </w:trPr>
        <w:tc>
          <w:tcPr>
            <w:tcW w:w="38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segment sales</w:t>
            </w:r>
          </w:p>
        </w:tc>
        <w:tc>
          <w:tcPr>
            <w:tcW w:w="20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486.0</w:t>
            </w:r>
          </w:p>
        </w:tc>
        <w:tc>
          <w:tcPr>
            <w:tcW w:w="24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10.3</w:t>
            </w:r>
          </w:p>
        </w:tc>
        <w:tc>
          <w:tcPr>
            <w:tcW w:w="40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129"/>
              <w:spacing w:after="0" w:line="162" w:lineRule="exact"/>
              <w:rPr>
                <w:sz w:val="20"/>
                <w:szCs w:val="20"/>
                <w:color w:val="auto"/>
              </w:rPr>
            </w:pPr>
            <w:r>
              <w:rPr>
                <w:rFonts w:ascii="Calibri" w:cs="Calibri" w:eastAsia="Calibri" w:hAnsi="Calibri"/>
                <w:sz w:val="14"/>
                <w:szCs w:val="14"/>
                <w:color w:val="auto"/>
              </w:rPr>
              <w:t>496.3</w:t>
            </w:r>
          </w:p>
        </w:tc>
        <w:tc>
          <w:tcPr>
            <w:tcW w:w="34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402.0</w:t>
            </w:r>
          </w:p>
        </w:tc>
        <w:tc>
          <w:tcPr>
            <w:tcW w:w="24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center"/>
              <w:ind w:left="589"/>
              <w:spacing w:after="0" w:line="162" w:lineRule="exact"/>
              <w:rPr>
                <w:sz w:val="20"/>
                <w:szCs w:val="20"/>
                <w:color w:val="auto"/>
              </w:rPr>
            </w:pPr>
            <w:r>
              <w:rPr>
                <w:rFonts w:ascii="Calibri" w:cs="Calibri" w:eastAsia="Calibri" w:hAnsi="Calibri"/>
                <w:sz w:val="14"/>
                <w:szCs w:val="14"/>
                <w:color w:val="auto"/>
              </w:rPr>
              <w:t>8.1</w:t>
            </w:r>
          </w:p>
        </w:tc>
        <w:tc>
          <w:tcPr>
            <w:tcW w:w="44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410.1</w:t>
            </w:r>
          </w:p>
        </w:tc>
      </w:tr>
      <w:tr>
        <w:trPr>
          <w:trHeight w:val="169"/>
        </w:trPr>
        <w:tc>
          <w:tcPr>
            <w:tcW w:w="3840" w:type="dxa"/>
            <w:vAlign w:val="bottom"/>
          </w:tcPr>
          <w:p>
            <w:pPr>
              <w:ind w:left="20"/>
              <w:spacing w:after="0" w:line="169" w:lineRule="exact"/>
              <w:rPr>
                <w:sz w:val="20"/>
                <w:szCs w:val="20"/>
                <w:color w:val="auto"/>
              </w:rPr>
            </w:pPr>
            <w:r>
              <w:rPr>
                <w:rFonts w:ascii="Calibri" w:cs="Calibri" w:eastAsia="Calibri" w:hAnsi="Calibri"/>
                <w:sz w:val="14"/>
                <w:szCs w:val="14"/>
                <w:color w:val="auto"/>
              </w:rPr>
              <w:t>Intercompany eliminatons</w:t>
            </w:r>
          </w:p>
        </w:tc>
        <w:tc>
          <w:tcPr>
            <w:tcW w:w="2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Calibri" w:cs="Calibri" w:eastAsia="Calibri" w:hAnsi="Calibri"/>
                <w:sz w:val="14"/>
                <w:szCs w:val="14"/>
                <w:color w:val="auto"/>
              </w:rPr>
              <w:t>(1.6)</w:t>
            </w:r>
          </w:p>
        </w:tc>
        <w:tc>
          <w:tcPr>
            <w:tcW w:w="400" w:type="dxa"/>
            <w:vAlign w:val="bottom"/>
          </w:tcPr>
          <w:p>
            <w:pPr>
              <w:spacing w:after="0"/>
              <w:rPr>
                <w:sz w:val="14"/>
                <w:szCs w:val="14"/>
                <w:color w:val="auto"/>
              </w:rPr>
            </w:pPr>
          </w:p>
        </w:tc>
        <w:tc>
          <w:tcPr>
            <w:tcW w:w="92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(1.6)</w:t>
            </w:r>
          </w:p>
        </w:tc>
        <w:tc>
          <w:tcPr>
            <w:tcW w:w="34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960" w:type="dxa"/>
            <w:vAlign w:val="bottom"/>
          </w:tcPr>
          <w:p>
            <w:pPr>
              <w:jc w:val="center"/>
              <w:ind w:left="549"/>
              <w:spacing w:after="0" w:line="169" w:lineRule="exact"/>
              <w:rPr>
                <w:sz w:val="20"/>
                <w:szCs w:val="20"/>
                <w:color w:val="auto"/>
              </w:rPr>
            </w:pPr>
            <w:r>
              <w:rPr>
                <w:rFonts w:ascii="Calibri" w:cs="Calibri" w:eastAsia="Calibri" w:hAnsi="Calibri"/>
                <w:sz w:val="14"/>
                <w:szCs w:val="14"/>
                <w:color w:val="auto"/>
                <w:w w:val="99"/>
              </w:rPr>
              <w:t>(2.2)</w:t>
            </w:r>
          </w:p>
        </w:tc>
        <w:tc>
          <w:tcPr>
            <w:tcW w:w="44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(2.2)</w:t>
            </w:r>
          </w:p>
        </w:tc>
      </w:tr>
      <w:tr>
        <w:trPr>
          <w:trHeight w:val="58"/>
        </w:trPr>
        <w:tc>
          <w:tcPr>
            <w:tcW w:w="3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01"/>
        </w:trPr>
        <w:tc>
          <w:tcPr>
            <w:tcW w:w="38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2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486.0</w:t>
            </w:r>
          </w:p>
        </w:tc>
        <w:tc>
          <w:tcPr>
            <w:tcW w:w="2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8.7</w:t>
            </w:r>
          </w:p>
        </w:tc>
        <w:tc>
          <w:tcPr>
            <w:tcW w:w="400" w:type="dxa"/>
            <w:vAlign w:val="bottom"/>
            <w:tcBorders>
              <w:bottom w:val="single" w:sz="8" w:color="DBDBDB"/>
            </w:tcBorders>
            <w:shd w:val="clear" w:color="auto" w:fill="DBDBDB"/>
          </w:tcPr>
          <w:p>
            <w:pPr>
              <w:jc w:val="right"/>
              <w:ind w:right="249"/>
              <w:spacing w:after="0" w:line="162"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DBDBDB"/>
            </w:tcBorders>
            <w:shd w:val="clear" w:color="auto" w:fill="DBDBDB"/>
          </w:tcPr>
          <w:p>
            <w:pPr>
              <w:jc w:val="right"/>
              <w:ind w:right="129"/>
              <w:spacing w:after="0" w:line="162" w:lineRule="exact"/>
              <w:rPr>
                <w:sz w:val="20"/>
                <w:szCs w:val="20"/>
                <w:color w:val="auto"/>
              </w:rPr>
            </w:pPr>
            <w:r>
              <w:rPr>
                <w:rFonts w:ascii="Calibri" w:cs="Calibri" w:eastAsia="Calibri" w:hAnsi="Calibri"/>
                <w:sz w:val="14"/>
                <w:szCs w:val="14"/>
                <w:color w:val="auto"/>
              </w:rPr>
              <w:t>494.7</w:t>
            </w:r>
          </w:p>
        </w:tc>
        <w:tc>
          <w:tcPr>
            <w:tcW w:w="34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402.0</w:t>
            </w:r>
          </w:p>
        </w:tc>
        <w:tc>
          <w:tcPr>
            <w:tcW w:w="240" w:type="dxa"/>
            <w:vAlign w:val="bottom"/>
            <w:tcBorders>
              <w:bottom w:val="single" w:sz="8" w:color="DBDBDB"/>
            </w:tcBorders>
            <w:shd w:val="clear" w:color="auto" w:fill="DBDBDB"/>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60" w:type="dxa"/>
            <w:vAlign w:val="bottom"/>
            <w:tcBorders>
              <w:bottom w:val="single" w:sz="8" w:color="DBDBDB"/>
            </w:tcBorders>
            <w:shd w:val="clear" w:color="auto" w:fill="DBDBDB"/>
          </w:tcPr>
          <w:p>
            <w:pPr>
              <w:jc w:val="center"/>
              <w:ind w:left="589"/>
              <w:spacing w:after="0" w:line="162" w:lineRule="exact"/>
              <w:rPr>
                <w:sz w:val="20"/>
                <w:szCs w:val="20"/>
                <w:color w:val="auto"/>
              </w:rPr>
            </w:pPr>
            <w:r>
              <w:rPr>
                <w:rFonts w:ascii="Calibri" w:cs="Calibri" w:eastAsia="Calibri" w:hAnsi="Calibri"/>
                <w:sz w:val="14"/>
                <w:szCs w:val="14"/>
                <w:color w:val="auto"/>
              </w:rPr>
              <w:t>5.9</w:t>
            </w:r>
          </w:p>
        </w:tc>
        <w:tc>
          <w:tcPr>
            <w:tcW w:w="440" w:type="dxa"/>
            <w:vAlign w:val="bottom"/>
            <w:tcBorders>
              <w:bottom w:val="single" w:sz="8" w:color="DBDBDB"/>
            </w:tcBorders>
            <w:shd w:val="clear" w:color="auto" w:fill="DBDBDB"/>
          </w:tcPr>
          <w:p>
            <w:pPr>
              <w:jc w:val="right"/>
              <w:ind w:right="289"/>
              <w:spacing w:after="0" w:line="162" w:lineRule="exact"/>
              <w:rPr>
                <w:sz w:val="20"/>
                <w:szCs w:val="20"/>
                <w:color w:val="auto"/>
              </w:rPr>
            </w:pPr>
            <w:r>
              <w:rPr>
                <w:rFonts w:ascii="Calibri" w:cs="Calibri" w:eastAsia="Calibri" w:hAnsi="Calibri"/>
                <w:sz w:val="14"/>
                <w:szCs w:val="14"/>
                <w:color w:val="auto"/>
                <w:w w:val="83"/>
              </w:rPr>
              <w:t>$</w:t>
            </w: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407.9</w:t>
            </w:r>
          </w:p>
        </w:tc>
      </w:tr>
      <w:tr>
        <w:trPr>
          <w:trHeight w:val="20"/>
        </w:trPr>
        <w:tc>
          <w:tcPr>
            <w:tcW w:w="3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-899795</wp:posOffset>
            </wp:positionV>
            <wp:extent cx="47047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04715" cy="8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-2054225</wp:posOffset>
            </wp:positionV>
            <wp:extent cx="47047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04715" cy="8255"/>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-2317750</wp:posOffset>
            </wp:positionV>
            <wp:extent cx="47047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04715" cy="8255"/>
                    </a:xfrm>
                    <a:prstGeom prst="rect">
                      <a:avLst/>
                    </a:prstGeom>
                    <a:noFill/>
                  </pic:spPr>
                </pic:pic>
              </a:graphicData>
            </a:graphic>
          </wp:anchor>
        </w:drawing>
      </w:r>
    </w:p>
    <w:p>
      <w:pPr>
        <w:spacing w:after="0" w:line="266"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Adjusted EBITDA for each of our reportng segments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shd w:val="clear" w:color="auto" w:fill="43C0B9"/>
          </w:tcPr>
          <w:p>
            <w:pPr>
              <w:spacing w:after="0"/>
              <w:rPr>
                <w:sz w:val="15"/>
                <w:szCs w:val="15"/>
                <w:color w:val="auto"/>
              </w:rPr>
            </w:pPr>
          </w:p>
        </w:tc>
        <w:tc>
          <w:tcPr>
            <w:tcW w:w="560" w:type="dxa"/>
            <w:vAlign w:val="bottom"/>
            <w:shd w:val="clear" w:color="auto" w:fill="43C0B9"/>
          </w:tcPr>
          <w:p>
            <w:pPr>
              <w:spacing w:after="0"/>
              <w:rPr>
                <w:sz w:val="15"/>
                <w:szCs w:val="15"/>
                <w:color w:val="auto"/>
              </w:rPr>
            </w:pPr>
          </w:p>
        </w:tc>
        <w:tc>
          <w:tcPr>
            <w:tcW w:w="1960" w:type="dxa"/>
            <w:vAlign w:val="bottom"/>
            <w:gridSpan w:val="2"/>
            <w:shd w:val="clear" w:color="auto" w:fill="43C0B9"/>
          </w:tcPr>
          <w:p>
            <w:pPr>
              <w:jc w:val="right"/>
              <w:ind w:right="209"/>
              <w:spacing w:after="0"/>
              <w:rPr>
                <w:sz w:val="20"/>
                <w:szCs w:val="20"/>
                <w:color w:val="auto"/>
              </w:rPr>
            </w:pPr>
            <w:r>
              <w:rPr>
                <w:rFonts w:ascii="Calibri" w:cs="Calibri" w:eastAsia="Calibri" w:hAnsi="Calibri"/>
                <w:sz w:val="14"/>
                <w:szCs w:val="14"/>
                <w:b w:val="1"/>
                <w:bCs w:val="1"/>
                <w:color w:val="FFFFFF"/>
              </w:rPr>
              <w:t>Three Months Ended</w:t>
            </w:r>
          </w:p>
        </w:tc>
        <w:tc>
          <w:tcPr>
            <w:tcW w:w="760" w:type="dxa"/>
            <w:vAlign w:val="bottom"/>
            <w:shd w:val="clear" w:color="auto" w:fill="43C0B9"/>
          </w:tcPr>
          <w:p>
            <w:pPr>
              <w:spacing w:after="0"/>
              <w:rPr>
                <w:sz w:val="15"/>
                <w:szCs w:val="15"/>
                <w:color w:val="auto"/>
              </w:rPr>
            </w:pPr>
          </w:p>
        </w:tc>
        <w:tc>
          <w:tcPr>
            <w:tcW w:w="680" w:type="dxa"/>
            <w:vAlign w:val="bottom"/>
            <w:shd w:val="clear" w:color="auto" w:fill="43C0B9"/>
          </w:tcPr>
          <w:p>
            <w:pPr>
              <w:spacing w:after="0"/>
              <w:rPr>
                <w:sz w:val="15"/>
                <w:szCs w:val="15"/>
                <w:color w:val="auto"/>
              </w:rPr>
            </w:pPr>
          </w:p>
        </w:tc>
        <w:tc>
          <w:tcPr>
            <w:tcW w:w="1900" w:type="dxa"/>
            <w:vAlign w:val="bottom"/>
            <w:gridSpan w:val="2"/>
            <w:shd w:val="clear" w:color="auto" w:fill="43C0B9"/>
          </w:tcPr>
          <w:p>
            <w:pPr>
              <w:jc w:val="right"/>
              <w:ind w:right="269"/>
              <w:spacing w:after="0"/>
              <w:rPr>
                <w:sz w:val="20"/>
                <w:szCs w:val="20"/>
                <w:color w:val="auto"/>
              </w:rPr>
            </w:pPr>
            <w:r>
              <w:rPr>
                <w:rFonts w:ascii="Calibri" w:cs="Calibri" w:eastAsia="Calibri" w:hAnsi="Calibri"/>
                <w:sz w:val="14"/>
                <w:szCs w:val="14"/>
                <w:b w:val="1"/>
                <w:bCs w:val="1"/>
                <w:color w:val="FFFFFF"/>
              </w:rPr>
              <w:t>Six Months Ended</w:t>
            </w:r>
          </w:p>
        </w:tc>
        <w:tc>
          <w:tcPr>
            <w:tcW w:w="740" w:type="dxa"/>
            <w:vAlign w:val="bottom"/>
            <w:shd w:val="clear" w:color="auto" w:fill="43C0B9"/>
          </w:tcPr>
          <w:p>
            <w:pPr>
              <w:spacing w:after="0"/>
              <w:rPr>
                <w:sz w:val="15"/>
                <w:szCs w:val="15"/>
                <w:color w:val="auto"/>
              </w:rPr>
            </w:pPr>
          </w:p>
        </w:tc>
      </w:tr>
      <w:tr>
        <w:trPr>
          <w:trHeight w:val="169"/>
        </w:trPr>
        <w:tc>
          <w:tcPr>
            <w:tcW w:w="46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1960" w:type="dxa"/>
            <w:vAlign w:val="bottom"/>
            <w:gridSpan w:val="2"/>
            <w:shd w:val="clear" w:color="auto" w:fill="43C0B9"/>
          </w:tcPr>
          <w:p>
            <w:pPr>
              <w:jc w:val="right"/>
              <w:ind w:right="589"/>
              <w:spacing w:after="0" w:line="169" w:lineRule="exact"/>
              <w:rPr>
                <w:sz w:val="20"/>
                <w:szCs w:val="20"/>
                <w:color w:val="auto"/>
              </w:rPr>
            </w:pPr>
            <w:r>
              <w:rPr>
                <w:rFonts w:ascii="Calibri" w:cs="Calibri" w:eastAsia="Calibri" w:hAnsi="Calibri"/>
                <w:sz w:val="14"/>
                <w:szCs w:val="14"/>
                <w:b w:val="1"/>
                <w:bCs w:val="1"/>
                <w:color w:val="FFFFFF"/>
              </w:rPr>
              <w:t>April 30,</w:t>
            </w:r>
          </w:p>
        </w:tc>
        <w:tc>
          <w:tcPr>
            <w:tcW w:w="760" w:type="dxa"/>
            <w:vAlign w:val="bottom"/>
            <w:shd w:val="clear" w:color="auto" w:fill="43C0B9"/>
          </w:tcPr>
          <w:p>
            <w:pPr>
              <w:spacing w:after="0"/>
              <w:rPr>
                <w:sz w:val="14"/>
                <w:szCs w:val="14"/>
                <w:color w:val="auto"/>
              </w:rPr>
            </w:pPr>
          </w:p>
        </w:tc>
        <w:tc>
          <w:tcPr>
            <w:tcW w:w="680" w:type="dxa"/>
            <w:vAlign w:val="bottom"/>
            <w:shd w:val="clear" w:color="auto" w:fill="43C0B9"/>
          </w:tcPr>
          <w:p>
            <w:pPr>
              <w:spacing w:after="0"/>
              <w:rPr>
                <w:sz w:val="14"/>
                <w:szCs w:val="14"/>
                <w:color w:val="auto"/>
              </w:rPr>
            </w:pPr>
          </w:p>
        </w:tc>
        <w:tc>
          <w:tcPr>
            <w:tcW w:w="1900" w:type="dxa"/>
            <w:vAlign w:val="bottom"/>
            <w:gridSpan w:val="2"/>
            <w:shd w:val="clear" w:color="auto" w:fill="43C0B9"/>
          </w:tcPr>
          <w:p>
            <w:pPr>
              <w:jc w:val="right"/>
              <w:ind w:right="549"/>
              <w:spacing w:after="0" w:line="169" w:lineRule="exact"/>
              <w:rPr>
                <w:sz w:val="20"/>
                <w:szCs w:val="20"/>
                <w:color w:val="auto"/>
              </w:rPr>
            </w:pPr>
            <w:r>
              <w:rPr>
                <w:rFonts w:ascii="Calibri" w:cs="Calibri" w:eastAsia="Calibri" w:hAnsi="Calibri"/>
                <w:sz w:val="14"/>
                <w:szCs w:val="14"/>
                <w:b w:val="1"/>
                <w:bCs w:val="1"/>
                <w:color w:val="FFFFFF"/>
              </w:rPr>
              <w:t>April 30,</w:t>
            </w:r>
          </w:p>
        </w:tc>
        <w:tc>
          <w:tcPr>
            <w:tcW w:w="740" w:type="dxa"/>
            <w:vAlign w:val="bottom"/>
            <w:shd w:val="clear" w:color="auto" w:fill="43C0B9"/>
          </w:tcPr>
          <w:p>
            <w:pPr>
              <w:spacing w:after="0"/>
              <w:rPr>
                <w:sz w:val="14"/>
                <w:szCs w:val="14"/>
                <w:color w:val="auto"/>
              </w:rPr>
            </w:pPr>
          </w:p>
        </w:tc>
      </w:tr>
      <w:tr>
        <w:trPr>
          <w:trHeight w:val="280"/>
        </w:trPr>
        <w:tc>
          <w:tcPr>
            <w:tcW w:w="46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56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920" w:type="dxa"/>
            <w:vAlign w:val="bottom"/>
            <w:tcBorders>
              <w:bottom w:val="single" w:sz="8" w:color="43C0B9"/>
            </w:tcBorders>
            <w:shd w:val="clear" w:color="auto" w:fill="43C0B9"/>
          </w:tcPr>
          <w:p>
            <w:pPr>
              <w:spacing w:after="0"/>
              <w:rPr>
                <w:sz w:val="24"/>
                <w:szCs w:val="24"/>
                <w:color w:val="auto"/>
              </w:rPr>
            </w:pPr>
          </w:p>
        </w:tc>
        <w:tc>
          <w:tcPr>
            <w:tcW w:w="760" w:type="dxa"/>
            <w:vAlign w:val="bottom"/>
            <w:tcBorders>
              <w:bottom w:val="single" w:sz="8" w:color="43C0B9"/>
            </w:tcBorders>
            <w:shd w:val="clear" w:color="auto" w:fill="43C0B9"/>
          </w:tcPr>
          <w:p>
            <w:pPr>
              <w:jc w:val="right"/>
              <w:ind w:right="109"/>
              <w:spacing w:after="0"/>
              <w:rPr>
                <w:sz w:val="20"/>
                <w:szCs w:val="20"/>
                <w:color w:val="auto"/>
              </w:rPr>
            </w:pPr>
            <w:r>
              <w:rPr>
                <w:rFonts w:ascii="Calibri" w:cs="Calibri" w:eastAsia="Calibri" w:hAnsi="Calibri"/>
                <w:sz w:val="14"/>
                <w:szCs w:val="14"/>
                <w:b w:val="1"/>
                <w:bCs w:val="1"/>
                <w:color w:val="FFFFFF"/>
              </w:rPr>
              <w:t>2021</w:t>
            </w:r>
          </w:p>
        </w:tc>
        <w:tc>
          <w:tcPr>
            <w:tcW w:w="680" w:type="dxa"/>
            <w:vAlign w:val="bottom"/>
            <w:tcBorders>
              <w:bottom w:val="single" w:sz="8" w:color="43C0B9"/>
            </w:tcBorders>
            <w:shd w:val="clear" w:color="auto" w:fill="43C0B9"/>
          </w:tcPr>
          <w:p>
            <w:pPr>
              <w:spacing w:after="0"/>
              <w:rPr>
                <w:sz w:val="24"/>
                <w:szCs w:val="24"/>
                <w:color w:val="auto"/>
              </w:rPr>
            </w:pPr>
          </w:p>
        </w:tc>
        <w:tc>
          <w:tcPr>
            <w:tcW w:w="102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88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Marketng and Distributon adjusted EBITDA</w:t>
            </w:r>
          </w:p>
        </w:tc>
        <w:tc>
          <w:tcPr>
            <w:tcW w:w="560" w:type="dxa"/>
            <w:vAlign w:val="bottom"/>
            <w:tcBorders>
              <w:bottom w:val="single" w:sz="8" w:color="DBDBDB"/>
            </w:tcBorders>
            <w:shd w:val="clear" w:color="auto" w:fill="DBDBDB"/>
          </w:tcPr>
          <w:p>
            <w:pPr>
              <w:jc w:val="right"/>
              <w:ind w:right="38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11.7</w:t>
            </w:r>
          </w:p>
        </w:tc>
        <w:tc>
          <w:tcPr>
            <w:tcW w:w="920" w:type="dxa"/>
            <w:vAlign w:val="bottom"/>
            <w:tcBorders>
              <w:bottom w:val="single" w:sz="8" w:color="DBDBDB"/>
            </w:tcBorders>
            <w:shd w:val="clear" w:color="auto" w:fill="DBDBDB"/>
          </w:tcPr>
          <w:p>
            <w:pPr>
              <w:jc w:val="right"/>
              <w:ind w:right="70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16.2</w:t>
            </w:r>
          </w:p>
        </w:tc>
        <w:tc>
          <w:tcPr>
            <w:tcW w:w="680" w:type="dxa"/>
            <w:vAlign w:val="bottom"/>
            <w:tcBorders>
              <w:bottom w:val="single" w:sz="8" w:color="DBDBDB"/>
            </w:tcBorders>
            <w:shd w:val="clear" w:color="auto" w:fill="DBDBDB"/>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4.0</w:t>
            </w:r>
          </w:p>
        </w:tc>
        <w:tc>
          <w:tcPr>
            <w:tcW w:w="880" w:type="dxa"/>
            <w:vAlign w:val="bottom"/>
            <w:tcBorders>
              <w:bottom w:val="single" w:sz="8" w:color="DBDBDB"/>
            </w:tcBorders>
            <w:shd w:val="clear" w:color="auto" w:fill="DBDBDB"/>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29.9</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Internatonal Farming adjusted EBITDA</w:t>
            </w:r>
          </w:p>
        </w:tc>
        <w:tc>
          <w:tcPr>
            <w:tcW w:w="5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(2.5)</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0.1</w:t>
            </w:r>
          </w:p>
        </w:tc>
        <w:tc>
          <w:tcPr>
            <w:tcW w:w="6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(5.2)</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(1.1)</w:t>
            </w:r>
          </w:p>
        </w:tc>
      </w:tr>
      <w:tr>
        <w:trPr>
          <w:trHeight w:val="58"/>
        </w:trPr>
        <w:tc>
          <w:tcPr>
            <w:tcW w:w="46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26"/>
        </w:trPr>
        <w:tc>
          <w:tcPr>
            <w:tcW w:w="46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reportable segment adjusted EBITDA</w:t>
            </w:r>
          </w:p>
        </w:tc>
        <w:tc>
          <w:tcPr>
            <w:tcW w:w="56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9.2</w:t>
            </w:r>
          </w:p>
        </w:tc>
        <w:tc>
          <w:tcPr>
            <w:tcW w:w="9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16.3</w:t>
            </w:r>
          </w:p>
        </w:tc>
        <w:tc>
          <w:tcPr>
            <w:tcW w:w="6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(1.2)</w:t>
            </w:r>
          </w:p>
        </w:tc>
        <w:tc>
          <w:tcPr>
            <w:tcW w:w="88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28.8</w:t>
            </w:r>
          </w:p>
        </w:tc>
      </w:tr>
      <w:tr>
        <w:trPr>
          <w:trHeight w:val="162"/>
        </w:trPr>
        <w:tc>
          <w:tcPr>
            <w:tcW w:w="464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income (loss)</w:t>
            </w:r>
          </w:p>
        </w:tc>
        <w:tc>
          <w:tcPr>
            <w:tcW w:w="5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9"/>
              <w:spacing w:after="0" w:line="162" w:lineRule="exact"/>
              <w:rPr>
                <w:sz w:val="20"/>
                <w:szCs w:val="20"/>
                <w:color w:val="auto"/>
              </w:rPr>
            </w:pPr>
            <w:r>
              <w:rPr>
                <w:rFonts w:ascii="Calibri" w:cs="Calibri" w:eastAsia="Calibri" w:hAnsi="Calibri"/>
                <w:sz w:val="14"/>
                <w:szCs w:val="14"/>
                <w:color w:val="auto"/>
              </w:rPr>
              <w:t>2.4</w:t>
            </w:r>
          </w:p>
        </w:tc>
        <w:tc>
          <w:tcPr>
            <w:tcW w:w="9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7.4</w:t>
            </w:r>
          </w:p>
        </w:tc>
        <w:tc>
          <w:tcPr>
            <w:tcW w:w="6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(11.0)</w:t>
            </w:r>
          </w:p>
        </w:tc>
        <w:tc>
          <w:tcPr>
            <w:tcW w:w="8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9.6</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Interest expense</w:t>
            </w:r>
          </w:p>
        </w:tc>
        <w:tc>
          <w:tcPr>
            <w:tcW w:w="5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1.1</w:t>
            </w:r>
          </w:p>
        </w:tc>
        <w:tc>
          <w:tcPr>
            <w:tcW w:w="9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0.8</w:t>
            </w:r>
          </w:p>
        </w:tc>
        <w:tc>
          <w:tcPr>
            <w:tcW w:w="6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2.0</w:t>
            </w: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1.7</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Provision (beneft) for income taxes</w:t>
            </w:r>
          </w:p>
        </w:tc>
        <w:tc>
          <w:tcPr>
            <w:tcW w:w="560" w:type="dxa"/>
            <w:vAlign w:val="bottom"/>
          </w:tcPr>
          <w:p>
            <w:pPr>
              <w:spacing w:after="0"/>
              <w:rPr>
                <w:sz w:val="14"/>
                <w:szCs w:val="14"/>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0.8</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2.1</w:t>
            </w:r>
          </w:p>
        </w:tc>
        <w:tc>
          <w:tcPr>
            <w:tcW w:w="6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(1.7)</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9.4</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Depreciaton and amortzaton</w:t>
            </w:r>
          </w:p>
        </w:tc>
        <w:tc>
          <w:tcPr>
            <w:tcW w:w="5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5.6</w:t>
            </w:r>
          </w:p>
        </w:tc>
        <w:tc>
          <w:tcPr>
            <w:tcW w:w="9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4.0</w:t>
            </w:r>
          </w:p>
        </w:tc>
        <w:tc>
          <w:tcPr>
            <w:tcW w:w="6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10.1</w:t>
            </w: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7.6</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Equity method (income) loss</w:t>
            </w:r>
          </w:p>
        </w:tc>
        <w:tc>
          <w:tcPr>
            <w:tcW w:w="5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(0.3)</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0.2</w:t>
            </w:r>
          </w:p>
        </w:tc>
        <w:tc>
          <w:tcPr>
            <w:tcW w:w="6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(1.9)</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(2.1)</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Stock-based compensaton</w:t>
            </w:r>
          </w:p>
        </w:tc>
        <w:tc>
          <w:tcPr>
            <w:tcW w:w="5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0.9</w:t>
            </w:r>
          </w:p>
        </w:tc>
        <w:tc>
          <w:tcPr>
            <w:tcW w:w="9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0.7</w:t>
            </w:r>
          </w:p>
        </w:tc>
        <w:tc>
          <w:tcPr>
            <w:tcW w:w="6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1.7</w:t>
            </w: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Legal setlement</w:t>
            </w:r>
          </w:p>
        </w:tc>
        <w:tc>
          <w:tcPr>
            <w:tcW w:w="560" w:type="dxa"/>
            <w:vAlign w:val="bottom"/>
          </w:tcPr>
          <w:p>
            <w:pPr>
              <w:spacing w:after="0"/>
              <w:rPr>
                <w:sz w:val="14"/>
                <w:szCs w:val="14"/>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0.8</w:t>
            </w:r>
          </w:p>
        </w:tc>
        <w:tc>
          <w:tcPr>
            <w:tcW w:w="680" w:type="dxa"/>
            <w:vAlign w:val="bottom"/>
          </w:tcPr>
          <w:p>
            <w:pPr>
              <w:spacing w:after="0"/>
              <w:rPr>
                <w:sz w:val="14"/>
                <w:szCs w:val="14"/>
                <w:color w:val="auto"/>
              </w:rPr>
            </w:pPr>
          </w:p>
        </w:tc>
        <w:tc>
          <w:tcPr>
            <w:tcW w:w="10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0.8</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Asset impairment and disposals, net of insurance recoveries</w:t>
            </w:r>
          </w:p>
        </w:tc>
        <w:tc>
          <w:tcPr>
            <w:tcW w:w="5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(0.1)</w:t>
            </w:r>
          </w:p>
        </w:tc>
        <w:tc>
          <w:tcPr>
            <w:tcW w:w="9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Farming costs for nonproductve orchards</w:t>
            </w:r>
          </w:p>
        </w:tc>
        <w:tc>
          <w:tcPr>
            <w:tcW w:w="560" w:type="dxa"/>
            <w:vAlign w:val="bottom"/>
          </w:tcPr>
          <w:p>
            <w:pPr>
              <w:spacing w:after="0"/>
              <w:rPr>
                <w:sz w:val="14"/>
                <w:szCs w:val="14"/>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0.3</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Pr>
          <w:p>
            <w:pPr>
              <w:spacing w:after="0"/>
              <w:rPr>
                <w:sz w:val="14"/>
                <w:szCs w:val="14"/>
                <w:color w:val="auto"/>
              </w:rPr>
            </w:pPr>
          </w:p>
        </w:tc>
        <w:tc>
          <w:tcPr>
            <w:tcW w:w="10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0.8</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Noncapitalizable ERP implementaton costs</w:t>
            </w:r>
          </w:p>
        </w:tc>
        <w:tc>
          <w:tcPr>
            <w:tcW w:w="5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1.3</w:t>
            </w:r>
          </w:p>
        </w:tc>
        <w:tc>
          <w:tcPr>
            <w:tcW w:w="9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2.8</w:t>
            </w: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Transacton costs</w:t>
            </w:r>
          </w:p>
        </w:tc>
        <w:tc>
          <w:tcPr>
            <w:tcW w:w="560" w:type="dxa"/>
            <w:vAlign w:val="bottom"/>
          </w:tcPr>
          <w:p>
            <w:pPr>
              <w:spacing w:after="0"/>
              <w:rPr>
                <w:sz w:val="14"/>
                <w:szCs w:val="14"/>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0.1</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Pr>
          <w:p>
            <w:pPr>
              <w:spacing w:after="0"/>
              <w:rPr>
                <w:sz w:val="14"/>
                <w:szCs w:val="14"/>
                <w:color w:val="auto"/>
              </w:rPr>
            </w:pPr>
          </w:p>
        </w:tc>
        <w:tc>
          <w:tcPr>
            <w:tcW w:w="10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0.5</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32"/>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Other (income) expense</w:t>
            </w:r>
          </w:p>
        </w:tc>
        <w:tc>
          <w:tcPr>
            <w:tcW w:w="56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(2.9)</w:t>
            </w:r>
          </w:p>
        </w:tc>
        <w:tc>
          <w:tcPr>
            <w:tcW w:w="9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6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(4.5)</w:t>
            </w:r>
          </w:p>
        </w:tc>
        <w:tc>
          <w:tcPr>
            <w:tcW w:w="88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0.3</w:t>
            </w:r>
          </w:p>
        </w:tc>
      </w:tr>
      <w:tr>
        <w:trPr>
          <w:trHeight w:val="162"/>
        </w:trPr>
        <w:tc>
          <w:tcPr>
            <w:tcW w:w="464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Total adjusted EBITDA</w:t>
            </w:r>
          </w:p>
        </w:tc>
        <w:tc>
          <w:tcPr>
            <w:tcW w:w="560" w:type="dxa"/>
            <w:vAlign w:val="bottom"/>
            <w:tcBorders>
              <w:top w:val="single" w:sz="8" w:color="auto"/>
            </w:tcBorders>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top w:val="single" w:sz="8" w:color="auto"/>
            </w:tcBorders>
          </w:tcPr>
          <w:p>
            <w:pPr>
              <w:jc w:val="right"/>
              <w:ind w:right="9"/>
              <w:spacing w:after="0" w:line="162" w:lineRule="exact"/>
              <w:rPr>
                <w:sz w:val="20"/>
                <w:szCs w:val="20"/>
                <w:color w:val="auto"/>
              </w:rPr>
            </w:pPr>
            <w:r>
              <w:rPr>
                <w:rFonts w:ascii="Calibri" w:cs="Calibri" w:eastAsia="Calibri" w:hAnsi="Calibri"/>
                <w:sz w:val="14"/>
                <w:szCs w:val="14"/>
                <w:color w:val="auto"/>
              </w:rPr>
              <w:t>9.2</w:t>
            </w:r>
          </w:p>
        </w:tc>
        <w:tc>
          <w:tcPr>
            <w:tcW w:w="920" w:type="dxa"/>
            <w:vAlign w:val="bottom"/>
            <w:tcBorders>
              <w:top w:val="single" w:sz="8" w:color="auto"/>
            </w:tcBorders>
          </w:tcPr>
          <w:p>
            <w:pPr>
              <w:jc w:val="right"/>
              <w:ind w:right="709"/>
              <w:spacing w:after="0" w:line="162" w:lineRule="exact"/>
              <w:rPr>
                <w:sz w:val="20"/>
                <w:szCs w:val="20"/>
                <w:color w:val="auto"/>
              </w:rPr>
            </w:pPr>
            <w:r>
              <w:rPr>
                <w:rFonts w:ascii="Calibri" w:cs="Calibri" w:eastAsia="Calibri" w:hAnsi="Calibri"/>
                <w:sz w:val="14"/>
                <w:szCs w:val="14"/>
                <w:color w:val="auto"/>
              </w:rPr>
              <w:t>$</w:t>
            </w:r>
          </w:p>
        </w:tc>
        <w:tc>
          <w:tcPr>
            <w:tcW w:w="76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16.3</w:t>
            </w:r>
          </w:p>
        </w:tc>
        <w:tc>
          <w:tcPr>
            <w:tcW w:w="680" w:type="dxa"/>
            <w:vAlign w:val="bottom"/>
            <w:tcBorders>
              <w:top w:val="single" w:sz="8" w:color="auto"/>
            </w:tcBorders>
          </w:tcPr>
          <w:p>
            <w:pPr>
              <w:jc w:val="right"/>
              <w:ind w:right="429"/>
              <w:spacing w:after="0" w:line="162" w:lineRule="exact"/>
              <w:rPr>
                <w:sz w:val="20"/>
                <w:szCs w:val="20"/>
                <w:color w:val="auto"/>
              </w:rPr>
            </w:pPr>
            <w:r>
              <w:rPr>
                <w:rFonts w:ascii="Calibri" w:cs="Calibri" w:eastAsia="Calibri" w:hAnsi="Calibri"/>
                <w:sz w:val="14"/>
                <w:szCs w:val="14"/>
                <w:color w:val="auto"/>
              </w:rPr>
              <w:t>$</w:t>
            </w:r>
          </w:p>
        </w:tc>
        <w:tc>
          <w:tcPr>
            <w:tcW w:w="10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(1.2)</w:t>
            </w:r>
          </w:p>
        </w:tc>
        <w:tc>
          <w:tcPr>
            <w:tcW w:w="880" w:type="dxa"/>
            <w:vAlign w:val="bottom"/>
            <w:tcBorders>
              <w:top w:val="single" w:sz="8" w:color="auto"/>
            </w:tcBorders>
          </w:tcPr>
          <w:p>
            <w:pPr>
              <w:jc w:val="right"/>
              <w:ind w:right="669"/>
              <w:spacing w:after="0" w:line="162" w:lineRule="exact"/>
              <w:rPr>
                <w:sz w:val="20"/>
                <w:szCs w:val="20"/>
                <w:color w:val="auto"/>
              </w:rPr>
            </w:pPr>
            <w:r>
              <w:rPr>
                <w:rFonts w:ascii="Calibri" w:cs="Calibri" w:eastAsia="Calibri" w:hAnsi="Calibri"/>
                <w:sz w:val="14"/>
                <w:szCs w:val="14"/>
                <w:color w:val="auto"/>
              </w:rPr>
              <w:t>$</w:t>
            </w:r>
          </w:p>
        </w:tc>
        <w:tc>
          <w:tcPr>
            <w:tcW w:w="7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28.8</w:t>
            </w:r>
          </w:p>
        </w:tc>
      </w:tr>
      <w:tr>
        <w:trPr>
          <w:trHeight w:val="58"/>
        </w:trPr>
        <w:tc>
          <w:tcPr>
            <w:tcW w:w="46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-2496185</wp:posOffset>
            </wp:positionV>
            <wp:extent cx="41865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86555" cy="8255"/>
                    </a:xfrm>
                    <a:prstGeom prst="rect">
                      <a:avLst/>
                    </a:prstGeom>
                    <a:noFill/>
                  </pic:spPr>
                </pic:pic>
              </a:graphicData>
            </a:graphic>
          </wp:anchor>
        </w:drawing>
      </w:r>
    </w:p>
    <w:p>
      <w:pPr>
        <w:spacing w:after="0" w:line="269" w:lineRule="exact"/>
        <w:rPr>
          <w:sz w:val="20"/>
          <w:szCs w:val="20"/>
          <w:color w:val="auto"/>
        </w:rPr>
      </w:pPr>
    </w:p>
    <w:p>
      <w:pPr>
        <w:ind w:right="160" w:firstLine="642"/>
        <w:spacing w:after="0" w:line="233" w:lineRule="auto"/>
        <w:rPr>
          <w:sz w:val="20"/>
          <w:szCs w:val="20"/>
          <w:color w:val="auto"/>
        </w:rPr>
      </w:pPr>
      <w:r>
        <w:rPr>
          <w:rFonts w:ascii="Calibri" w:cs="Calibri" w:eastAsia="Calibri" w:hAnsi="Calibri"/>
          <w:sz w:val="16"/>
          <w:szCs w:val="16"/>
          <w:color w:val="auto"/>
        </w:rPr>
        <w:t>Net sales to customers outside the U.S. were $42.6 million and $53.2 million for the three months ended April 30, 2022 and 2021, respectvely, and $81.1 million and $100.4 million for the six months ended April 30, 2022 and 2021, respectvely.</w:t>
      </w:r>
    </w:p>
    <w:p>
      <w:pPr>
        <w:spacing w:after="0" w:line="206"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Our goodwill balance of $76.4 million as of April 30, 2022 and October 31, 2021 was wholly atributed to the Internatonal Farming segment.</w:t>
      </w:r>
    </w:p>
    <w:p>
      <w:pPr>
        <w:sectPr>
          <w:pgSz w:w="11900" w:h="16838" w:orient="portrait"/>
          <w:cols w:equalWidth="0" w:num="1">
            <w:col w:w="11240"/>
          </w:cols>
          <w:pgMar w:left="320" w:top="164"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type w:val="continuous"/>
        </w:sectPr>
      </w:pPr>
    </w:p>
    <w:bookmarkStart w:id="14" w:name="page15"/>
    <w:bookmarkEnd w:id="14"/>
    <w:p>
      <w:pPr>
        <w:jc w:val="center"/>
        <w:ind w:right="-119"/>
        <w:spacing w:after="0"/>
        <w:rPr>
          <w:sz w:val="20"/>
          <w:szCs w:val="20"/>
          <w:color w:val="auto"/>
        </w:rPr>
      </w:pPr>
      <w:r>
        <w:rPr>
          <w:rFonts w:ascii="Calibri" w:cs="Calibri" w:eastAsia="Calibri" w:hAnsi="Calibri"/>
          <w:sz w:val="25"/>
          <w:szCs w:val="25"/>
          <w:b w:val="1"/>
          <w:bCs w:val="1"/>
          <w:color w:val="43C0B9"/>
        </w:rPr>
        <w:t>MISSION PRODUCE, INC.</w:t>
      </w:r>
    </w:p>
    <w:p>
      <w:pPr>
        <w:spacing w:after="0" w:line="2" w:lineRule="exact"/>
        <w:rPr>
          <w:sz w:val="20"/>
          <w:szCs w:val="20"/>
          <w:color w:val="auto"/>
        </w:rPr>
      </w:pPr>
    </w:p>
    <w:p>
      <w:pPr>
        <w:jc w:val="center"/>
        <w:ind w:right="-119"/>
        <w:spacing w:after="0"/>
        <w:rPr>
          <w:sz w:val="20"/>
          <w:szCs w:val="20"/>
          <w:color w:val="auto"/>
        </w:rPr>
      </w:pPr>
      <w:r>
        <w:rPr>
          <w:rFonts w:ascii="Calibri" w:cs="Calibri" w:eastAsia="Calibri" w:hAnsi="Calibri"/>
          <w:sz w:val="25"/>
          <w:szCs w:val="25"/>
          <w:b w:val="1"/>
          <w:bCs w:val="1"/>
          <w:color w:val="43C0B9"/>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420" w:val="left"/>
        </w:tabs>
        <w:rPr>
          <w:sz w:val="20"/>
          <w:szCs w:val="20"/>
          <w:color w:val="auto"/>
        </w:rPr>
      </w:pPr>
      <w:r>
        <w:rPr>
          <w:rFonts w:ascii="Calibri" w:cs="Calibri" w:eastAsia="Calibri" w:hAnsi="Calibri"/>
          <w:sz w:val="20"/>
          <w:szCs w:val="20"/>
          <w:b w:val="1"/>
          <w:bCs w:val="1"/>
          <w:color w:val="auto"/>
        </w:rPr>
        <w:t>11.</w:t>
        <w:tab/>
        <w:t>Subsequent Events</w:t>
      </w:r>
    </w:p>
    <w:p>
      <w:pPr>
        <w:spacing w:after="0" w:line="22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Moruga Shareholders Agreement</w:t>
      </w:r>
    </w:p>
    <w:p>
      <w:pPr>
        <w:spacing w:after="0" w:line="209" w:lineRule="exact"/>
        <w:rPr>
          <w:sz w:val="20"/>
          <w:szCs w:val="20"/>
          <w:color w:val="auto"/>
        </w:rPr>
      </w:pPr>
    </w:p>
    <w:p>
      <w:pPr>
        <w:ind w:right="20" w:firstLine="642"/>
        <w:spacing w:after="0" w:line="235" w:lineRule="auto"/>
        <w:rPr>
          <w:sz w:val="20"/>
          <w:szCs w:val="20"/>
          <w:color w:val="auto"/>
        </w:rPr>
      </w:pPr>
      <w:r>
        <w:rPr>
          <w:rFonts w:ascii="Calibri" w:cs="Calibri" w:eastAsia="Calibri" w:hAnsi="Calibri"/>
          <w:sz w:val="16"/>
          <w:szCs w:val="16"/>
          <w:color w:val="auto"/>
        </w:rPr>
        <w:t>The Company owns a 60% equity ownership interest in Moruga, an entty which was established in 2014 when it began small-scale blueberry plantngs in Peru. Since incepton, Moruga has expanded to approximately 360 productve hectares. On May 1, 2022, the shareholders of Moruga amended and restated its shareholders agreement (“the amendment”), wherein certain supermajority requirements that previously prevented us as shareholders from having a controlling fnancial interest were removed. In connecton with the amendment, shareholders approved a new capital project to farm an additonal 600 hectares of blueberries. Blueberries produced will be marketed through a marketng agreement which gives exclusive marketng rights to a minority shareholder. The new capital project is antcipated to require a total investment of approximately $40 to $50 million. The capital investment will be funded by cash fow generated by Moruga and pro-rata shareholder contributons based on each shareholders’ respectve ownership interest.</w:t>
      </w:r>
    </w:p>
    <w:p>
      <w:pPr>
        <w:spacing w:after="0" w:line="226" w:lineRule="exact"/>
        <w:rPr>
          <w:sz w:val="20"/>
          <w:szCs w:val="20"/>
          <w:color w:val="auto"/>
        </w:rPr>
      </w:pPr>
    </w:p>
    <w:p>
      <w:pPr>
        <w:ind w:firstLine="642"/>
        <w:spacing w:after="0" w:line="234" w:lineRule="auto"/>
        <w:rPr>
          <w:sz w:val="20"/>
          <w:szCs w:val="20"/>
          <w:color w:val="auto"/>
        </w:rPr>
      </w:pPr>
      <w:r>
        <w:rPr>
          <w:rFonts w:ascii="Calibri" w:cs="Calibri" w:eastAsia="Calibri" w:hAnsi="Calibri"/>
          <w:sz w:val="16"/>
          <w:szCs w:val="16"/>
          <w:color w:val="auto"/>
        </w:rPr>
        <w:t>We have concluded that we will consolidate Moruga’s fnancial results with our fnancial results prospectvely from May 1, 2022. This is because we have concluded that as of the date the shareholders agreement was amended, Moruga is a variable interest entty, we have a variable interest in Moruga through our equity ownership interest, and we are the primary benefciary of Moruga. In connecton with the consolidaton of Moruga into our results, we also expect to record a remeasurement gain or loss on the diference between the fair value of our 60% equity investment in Moruga and its carrying value immediately prior to consolidatng. We are currently in the process of fnalizing the fair value report.</w:t>
      </w:r>
    </w:p>
    <w:p>
      <w:pPr>
        <w:spacing w:after="0" w:line="200" w:lineRule="exact"/>
        <w:rPr>
          <w:sz w:val="20"/>
          <w:szCs w:val="20"/>
          <w:color w:val="auto"/>
        </w:rPr>
      </w:pPr>
    </w:p>
    <w:p>
      <w:pPr>
        <w:spacing w:after="0" w:line="268"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164" w:right="459" w:bottom="1440" w:gutter="0" w:footer="0" w:header="0"/>
        </w:sectPr>
      </w:pPr>
    </w:p>
    <w:bookmarkStart w:id="15" w:name="page16"/>
    <w:bookmarkEnd w:id="15"/>
    <w:p>
      <w:pPr>
        <w:spacing w:after="0"/>
        <w:tabs>
          <w:tab w:leader="none" w:pos="960" w:val="left"/>
        </w:tabs>
        <w:rPr>
          <w:sz w:val="20"/>
          <w:szCs w:val="20"/>
          <w:color w:val="auto"/>
        </w:rPr>
      </w:pPr>
      <w:r>
        <w:rPr>
          <w:rFonts w:ascii="Calibri" w:cs="Calibri" w:eastAsia="Calibri" w:hAnsi="Calibri"/>
          <w:sz w:val="25"/>
          <w:szCs w:val="25"/>
          <w:b w:val="1"/>
          <w:bCs w:val="1"/>
          <w:color w:val="auto"/>
        </w:rPr>
        <w:t>Item 2.</w:t>
        <w:tab/>
        <w:t>Management’s Discussion and Analysis of Financial Conditon and Results of Operatons</w:t>
      </w:r>
    </w:p>
    <w:p>
      <w:pPr>
        <w:spacing w:after="0" w:line="227" w:lineRule="exact"/>
        <w:rPr>
          <w:sz w:val="20"/>
          <w:szCs w:val="20"/>
          <w:color w:val="auto"/>
        </w:rPr>
      </w:pPr>
    </w:p>
    <w:p>
      <w:pPr>
        <w:ind w:right="100" w:firstLine="642"/>
        <w:spacing w:after="0" w:line="235" w:lineRule="auto"/>
        <w:rPr>
          <w:sz w:val="20"/>
          <w:szCs w:val="20"/>
          <w:color w:val="auto"/>
        </w:rPr>
      </w:pPr>
      <w:r>
        <w:rPr>
          <w:rFonts w:ascii="Calibri" w:cs="Calibri" w:eastAsia="Calibri" w:hAnsi="Calibri"/>
          <w:sz w:val="16"/>
          <w:szCs w:val="16"/>
          <w:color w:val="auto"/>
        </w:rPr>
        <w:t>You should read the following discussion and analysis of our fnancial conditon and results of operatons together with our fnancial statements and related notes included elsewhere in this quarterly report. This discussion and analysis contains forward-looking statements based upon our current beliefs, plans and expectatons that involve risks, uncertaintes and assumptons. Our actual results may difer materially from those antcipated in these forward-looking statements as a result of various factors. Please refer to the secton of this report under the heading “Forward Looking Statements.”</w:t>
      </w: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Overview</w:t>
      </w:r>
    </w:p>
    <w:p>
      <w:pPr>
        <w:spacing w:after="0" w:line="214" w:lineRule="exact"/>
        <w:rPr>
          <w:sz w:val="20"/>
          <w:szCs w:val="20"/>
          <w:color w:val="auto"/>
        </w:rPr>
      </w:pPr>
    </w:p>
    <w:p>
      <w:pPr>
        <w:jc w:val="both"/>
        <w:ind w:right="100" w:firstLine="642"/>
        <w:spacing w:after="0" w:line="237" w:lineRule="auto"/>
        <w:rPr>
          <w:sz w:val="20"/>
          <w:szCs w:val="20"/>
          <w:color w:val="auto"/>
        </w:rPr>
      </w:pPr>
      <w:r>
        <w:rPr>
          <w:rFonts w:ascii="Calibri" w:cs="Calibri" w:eastAsia="Calibri" w:hAnsi="Calibri"/>
          <w:sz w:val="16"/>
          <w:szCs w:val="16"/>
          <w:color w:val="auto"/>
        </w:rPr>
        <w:t>We are a world leader in sourcing, producing and distributng fresh avocados, serving retail, wholesale and foodservice customers. We source, produce, pack and distribute avocados to our customers and provide value-added services including ripening, bagging, custom packing and logistcal management. In additon, we provide our customers with merchandising and promotonal support, insights on market trends and training designed to increase their retail avocado sales.</w:t>
      </w:r>
    </w:p>
    <w:p>
      <w:pPr>
        <w:spacing w:after="0" w:line="224" w:lineRule="exact"/>
        <w:rPr>
          <w:sz w:val="20"/>
          <w:szCs w:val="20"/>
          <w:color w:val="auto"/>
        </w:rPr>
      </w:pPr>
    </w:p>
    <w:p>
      <w:pPr>
        <w:ind w:right="20" w:firstLine="642"/>
        <w:spacing w:after="0" w:line="233" w:lineRule="auto"/>
        <w:rPr>
          <w:sz w:val="20"/>
          <w:szCs w:val="20"/>
          <w:color w:val="auto"/>
        </w:rPr>
      </w:pPr>
      <w:r>
        <w:rPr>
          <w:rFonts w:ascii="Calibri" w:cs="Calibri" w:eastAsia="Calibri" w:hAnsi="Calibri"/>
          <w:sz w:val="16"/>
          <w:szCs w:val="16"/>
          <w:color w:val="auto"/>
        </w:rPr>
        <w:t>We have two operatng segments, which are also reportng segments. These reportng segments are Marketng and Distributon and Internatonal Farming. Our Marketng and Distributon reportng segment sources fruit from growers and then distributes the fruit through our global distributon network. Our Internatonal Farming segment owns and operates orchards from which substantally all fruit produced is sold to our Marketng and Distributon segment. The Internatonal Farming segment’s farming actvites range from cultvatng early-stage plantngs to harvestng from mature trees, and it also earns service revenues for packing and processing for producers of other crops during the avocado of-harvest season. The Internatonal Farming segment is principally located in Peru, with smaller operatons emerging in other areas of Latn America.</w:t>
      </w:r>
    </w:p>
    <w:p>
      <w:pPr>
        <w:spacing w:after="0" w:line="22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ERP system implementaton</w:t>
      </w:r>
    </w:p>
    <w:p>
      <w:pPr>
        <w:spacing w:after="0" w:line="209" w:lineRule="exact"/>
        <w:rPr>
          <w:sz w:val="20"/>
          <w:szCs w:val="20"/>
          <w:color w:val="auto"/>
        </w:rPr>
      </w:pPr>
    </w:p>
    <w:p>
      <w:pPr>
        <w:ind w:right="80" w:firstLine="642"/>
        <w:spacing w:after="0" w:line="238" w:lineRule="auto"/>
        <w:rPr>
          <w:sz w:val="20"/>
          <w:szCs w:val="20"/>
          <w:color w:val="auto"/>
        </w:rPr>
      </w:pPr>
      <w:r>
        <w:rPr>
          <w:rFonts w:ascii="Calibri" w:cs="Calibri" w:eastAsia="Calibri" w:hAnsi="Calibri"/>
          <w:sz w:val="16"/>
          <w:szCs w:val="16"/>
          <w:color w:val="auto"/>
        </w:rPr>
        <w:t>On November 1, 2021, we implemented a new enterprise resource planning (“ERP”) system in our Marketng and Distributon segment to improve operatonal visibility and fnancial reportng capabilites. During implementaton, we encountered signifcant challenges which limited our ability to efectvely manage our business operatons, thereby impactng our proftability and fnancial results for the frst quarter of 2022. Our distributon centers and packing houses experienced problems with purchasing, receiving and shipping, which resulted in a high reliance on both third-party fruit and packaged fruit that we would have otherwise sourced directly in the feld and packed in our facilites. Other issues included delays in automated customer invoicing and inventory management issues. During the second quarter of 2022, these operatonal issues we experienced during the frst quarter were largely resolved. We contnue to work with our third-party implementaton frm to improve the system, and thus the fnancial impact during the second quarter was primarily limited to ongoing consultng costs.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Results of Operatons</w:t>
      </w:r>
    </w:p>
    <w:p>
      <w:pPr>
        <w:spacing w:after="0" w:line="228" w:lineRule="exact"/>
        <w:rPr>
          <w:sz w:val="20"/>
          <w:szCs w:val="20"/>
          <w:color w:val="auto"/>
        </w:rPr>
      </w:pPr>
    </w:p>
    <w:p>
      <w:pPr>
        <w:ind w:firstLine="642"/>
        <w:spacing w:after="0" w:line="235" w:lineRule="auto"/>
        <w:rPr>
          <w:sz w:val="20"/>
          <w:szCs w:val="20"/>
          <w:color w:val="auto"/>
        </w:rPr>
      </w:pPr>
      <w:r>
        <w:rPr>
          <w:rFonts w:ascii="Calibri" w:cs="Calibri" w:eastAsia="Calibri" w:hAnsi="Calibri"/>
          <w:sz w:val="16"/>
          <w:szCs w:val="16"/>
          <w:color w:val="auto"/>
        </w:rPr>
        <w:t>The operatng results of our businesses are signifcantly impacted by the price and volume of avocados we farm, source and distribute. In additon, our results have been, and will contnue to be, afected by quarterly and annual fuctuatons due to a number of factors, including but not limited to pests and disease, weather paterns, changes in demand by consumers, food safety advisories, the tming of the receipt, reducton, or cancellaton of signifcant customer orders, the gain or loss of signifcant customers, the availability, quality and price of raw materials, the utlizaton of capacity at our various locatons and general economic conditons.</w:t>
      </w:r>
    </w:p>
    <w:p>
      <w:pPr>
        <w:spacing w:after="0" w:line="211" w:lineRule="exact"/>
        <w:rPr>
          <w:sz w:val="20"/>
          <w:szCs w:val="20"/>
          <w:color w:val="auto"/>
        </w:rPr>
      </w:pPr>
    </w:p>
    <w:p>
      <w:pPr>
        <w:ind w:right="180" w:firstLine="642"/>
        <w:spacing w:after="0" w:line="236" w:lineRule="auto"/>
        <w:rPr>
          <w:sz w:val="20"/>
          <w:szCs w:val="20"/>
          <w:color w:val="auto"/>
        </w:rPr>
      </w:pPr>
      <w:r>
        <w:rPr>
          <w:rFonts w:ascii="Calibri" w:cs="Calibri" w:eastAsia="Calibri" w:hAnsi="Calibri"/>
          <w:sz w:val="16"/>
          <w:szCs w:val="16"/>
          <w:color w:val="auto"/>
        </w:rPr>
        <w:t>Our fnancial reportng currency is the U.S. dollar. The functonal currency of substantally all of our subsidiaries is the U.S. dollar and substantally all of our sales are denominated in U.S. dollars. A signifcant porton of our purchases of avocados are denominated in the Mexican Peso and a signifcant porton of our growing and harvestng costs are denominated in Peruvian Soles. Fluctuatons in the exchange rates between the U.S. dollar and these local currencies usually do not have a signifcant impact on our gross margin because the impact afects our pricing by comparable amounts. Our margin exposure to exchange rate fuctuatons is short-term in nature, as our sales price commitments are generally limited to less than one month and orders can primarily be serviced with procured inventory. Over longer periods of tme, we believe that the impact exchange rate fuctuatons will have on our cost of goods sold will largely be passed on to our customers in the form of higher or lower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6" w:name="page17"/>
    <w:bookmarkEnd w:id="16"/>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shd w:val="clear" w:color="auto" w:fill="43C0B9"/>
          </w:tcPr>
          <w:p>
            <w:pPr>
              <w:spacing w:after="0"/>
              <w:rPr>
                <w:sz w:val="15"/>
                <w:szCs w:val="15"/>
                <w:color w:val="auto"/>
              </w:rPr>
            </w:pPr>
          </w:p>
        </w:tc>
        <w:tc>
          <w:tcPr>
            <w:tcW w:w="380" w:type="dxa"/>
            <w:vAlign w:val="bottom"/>
            <w:shd w:val="clear" w:color="auto" w:fill="43C0B9"/>
          </w:tcPr>
          <w:p>
            <w:pPr>
              <w:spacing w:after="0"/>
              <w:rPr>
                <w:sz w:val="15"/>
                <w:szCs w:val="15"/>
                <w:color w:val="auto"/>
              </w:rPr>
            </w:pPr>
          </w:p>
        </w:tc>
        <w:tc>
          <w:tcPr>
            <w:tcW w:w="800" w:type="dxa"/>
            <w:vAlign w:val="bottom"/>
            <w:shd w:val="clear" w:color="auto" w:fill="43C0B9"/>
          </w:tcPr>
          <w:p>
            <w:pPr>
              <w:spacing w:after="0"/>
              <w:rPr>
                <w:sz w:val="15"/>
                <w:szCs w:val="15"/>
                <w:color w:val="auto"/>
              </w:rPr>
            </w:pPr>
          </w:p>
        </w:tc>
        <w:tc>
          <w:tcPr>
            <w:tcW w:w="1400" w:type="dxa"/>
            <w:vAlign w:val="bottom"/>
            <w:gridSpan w:val="2"/>
            <w:shd w:val="clear" w:color="auto" w:fill="43C0B9"/>
          </w:tcPr>
          <w:p>
            <w:pPr>
              <w:jc w:val="right"/>
              <w:ind w:right="29"/>
              <w:spacing w:after="0"/>
              <w:rPr>
                <w:sz w:val="20"/>
                <w:szCs w:val="20"/>
                <w:color w:val="auto"/>
              </w:rPr>
            </w:pPr>
            <w:r>
              <w:rPr>
                <w:rFonts w:ascii="Calibri" w:cs="Calibri" w:eastAsia="Calibri" w:hAnsi="Calibri"/>
                <w:sz w:val="14"/>
                <w:szCs w:val="14"/>
                <w:b w:val="1"/>
                <w:bCs w:val="1"/>
                <w:color w:val="FFFFFF"/>
              </w:rPr>
              <w:t>Three Months Ended</w:t>
            </w:r>
          </w:p>
        </w:tc>
        <w:tc>
          <w:tcPr>
            <w:tcW w:w="640" w:type="dxa"/>
            <w:vAlign w:val="bottom"/>
            <w:shd w:val="clear" w:color="auto" w:fill="43C0B9"/>
          </w:tcPr>
          <w:p>
            <w:pPr>
              <w:spacing w:after="0"/>
              <w:rPr>
                <w:sz w:val="15"/>
                <w:szCs w:val="15"/>
                <w:color w:val="auto"/>
              </w:rPr>
            </w:pPr>
          </w:p>
        </w:tc>
        <w:tc>
          <w:tcPr>
            <w:tcW w:w="680" w:type="dxa"/>
            <w:vAlign w:val="bottom"/>
            <w:shd w:val="clear" w:color="auto" w:fill="43C0B9"/>
          </w:tcPr>
          <w:p>
            <w:pPr>
              <w:spacing w:after="0"/>
              <w:rPr>
                <w:sz w:val="15"/>
                <w:szCs w:val="15"/>
                <w:color w:val="auto"/>
              </w:rPr>
            </w:pPr>
          </w:p>
        </w:tc>
        <w:tc>
          <w:tcPr>
            <w:tcW w:w="560" w:type="dxa"/>
            <w:vAlign w:val="bottom"/>
            <w:shd w:val="clear" w:color="auto" w:fill="43C0B9"/>
          </w:tcPr>
          <w:p>
            <w:pPr>
              <w:spacing w:after="0"/>
              <w:rPr>
                <w:sz w:val="15"/>
                <w:szCs w:val="15"/>
                <w:color w:val="auto"/>
              </w:rPr>
            </w:pPr>
          </w:p>
        </w:tc>
        <w:tc>
          <w:tcPr>
            <w:tcW w:w="900" w:type="dxa"/>
            <w:vAlign w:val="bottom"/>
            <w:shd w:val="clear" w:color="auto" w:fill="43C0B9"/>
          </w:tcPr>
          <w:p>
            <w:pPr>
              <w:spacing w:after="0"/>
              <w:rPr>
                <w:sz w:val="15"/>
                <w:szCs w:val="15"/>
                <w:color w:val="auto"/>
              </w:rPr>
            </w:pPr>
          </w:p>
        </w:tc>
        <w:tc>
          <w:tcPr>
            <w:tcW w:w="1360" w:type="dxa"/>
            <w:vAlign w:val="bottom"/>
            <w:gridSpan w:val="2"/>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Six Months Ended</w:t>
            </w:r>
          </w:p>
        </w:tc>
        <w:tc>
          <w:tcPr>
            <w:tcW w:w="760" w:type="dxa"/>
            <w:vAlign w:val="bottom"/>
            <w:shd w:val="clear" w:color="auto" w:fill="43C0B9"/>
          </w:tcPr>
          <w:p>
            <w:pPr>
              <w:spacing w:after="0"/>
              <w:rPr>
                <w:sz w:val="15"/>
                <w:szCs w:val="15"/>
                <w:color w:val="auto"/>
              </w:rPr>
            </w:pPr>
          </w:p>
        </w:tc>
        <w:tc>
          <w:tcPr>
            <w:tcW w:w="580" w:type="dxa"/>
            <w:vAlign w:val="bottom"/>
            <w:shd w:val="clear" w:color="auto" w:fill="43C0B9"/>
          </w:tcPr>
          <w:p>
            <w:pPr>
              <w:spacing w:after="0"/>
              <w:rPr>
                <w:sz w:val="15"/>
                <w:szCs w:val="15"/>
                <w:color w:val="auto"/>
              </w:rPr>
            </w:pPr>
          </w:p>
        </w:tc>
      </w:tr>
      <w:tr>
        <w:trPr>
          <w:trHeight w:val="169"/>
        </w:trPr>
        <w:tc>
          <w:tcPr>
            <w:tcW w:w="3180" w:type="dxa"/>
            <w:vAlign w:val="bottom"/>
            <w:shd w:val="clear" w:color="auto" w:fill="43C0B9"/>
          </w:tcPr>
          <w:p>
            <w:pPr>
              <w:spacing w:after="0"/>
              <w:rPr>
                <w:sz w:val="14"/>
                <w:szCs w:val="14"/>
                <w:color w:val="auto"/>
              </w:rPr>
            </w:pPr>
          </w:p>
        </w:tc>
        <w:tc>
          <w:tcPr>
            <w:tcW w:w="380" w:type="dxa"/>
            <w:vAlign w:val="bottom"/>
            <w:shd w:val="clear" w:color="auto" w:fill="43C0B9"/>
          </w:tcPr>
          <w:p>
            <w:pPr>
              <w:spacing w:after="0"/>
              <w:rPr>
                <w:sz w:val="14"/>
                <w:szCs w:val="14"/>
                <w:color w:val="auto"/>
              </w:rPr>
            </w:pPr>
          </w:p>
        </w:tc>
        <w:tc>
          <w:tcPr>
            <w:tcW w:w="800" w:type="dxa"/>
            <w:vAlign w:val="bottom"/>
            <w:shd w:val="clear" w:color="auto" w:fill="43C0B9"/>
          </w:tcPr>
          <w:p>
            <w:pPr>
              <w:spacing w:after="0"/>
              <w:rPr>
                <w:sz w:val="14"/>
                <w:szCs w:val="14"/>
                <w:color w:val="auto"/>
              </w:rPr>
            </w:pPr>
          </w:p>
        </w:tc>
        <w:tc>
          <w:tcPr>
            <w:tcW w:w="1400" w:type="dxa"/>
            <w:vAlign w:val="bottom"/>
            <w:gridSpan w:val="2"/>
            <w:shd w:val="clear" w:color="auto" w:fill="43C0B9"/>
          </w:tcPr>
          <w:p>
            <w:pPr>
              <w:jc w:val="right"/>
              <w:ind w:right="389"/>
              <w:spacing w:after="0" w:line="169" w:lineRule="exact"/>
              <w:rPr>
                <w:sz w:val="20"/>
                <w:szCs w:val="20"/>
                <w:color w:val="auto"/>
              </w:rPr>
            </w:pPr>
            <w:r>
              <w:rPr>
                <w:rFonts w:ascii="Calibri" w:cs="Calibri" w:eastAsia="Calibri" w:hAnsi="Calibri"/>
                <w:sz w:val="14"/>
                <w:szCs w:val="14"/>
                <w:b w:val="1"/>
                <w:bCs w:val="1"/>
                <w:color w:val="FFFFFF"/>
              </w:rPr>
              <w:t>April 30,</w:t>
            </w:r>
          </w:p>
        </w:tc>
        <w:tc>
          <w:tcPr>
            <w:tcW w:w="640" w:type="dxa"/>
            <w:vAlign w:val="bottom"/>
            <w:shd w:val="clear" w:color="auto" w:fill="43C0B9"/>
          </w:tcPr>
          <w:p>
            <w:pPr>
              <w:spacing w:after="0"/>
              <w:rPr>
                <w:sz w:val="14"/>
                <w:szCs w:val="14"/>
                <w:color w:val="auto"/>
              </w:rPr>
            </w:pPr>
          </w:p>
        </w:tc>
        <w:tc>
          <w:tcPr>
            <w:tcW w:w="68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900" w:type="dxa"/>
            <w:vAlign w:val="bottom"/>
            <w:shd w:val="clear" w:color="auto" w:fill="43C0B9"/>
          </w:tcPr>
          <w:p>
            <w:pPr>
              <w:spacing w:after="0"/>
              <w:rPr>
                <w:sz w:val="14"/>
                <w:szCs w:val="14"/>
                <w:color w:val="auto"/>
              </w:rPr>
            </w:pPr>
          </w:p>
        </w:tc>
        <w:tc>
          <w:tcPr>
            <w:tcW w:w="1360" w:type="dxa"/>
            <w:vAlign w:val="bottom"/>
            <w:gridSpan w:val="2"/>
            <w:shd w:val="clear" w:color="auto" w:fill="43C0B9"/>
          </w:tcPr>
          <w:p>
            <w:pPr>
              <w:jc w:val="right"/>
              <w:ind w:right="329"/>
              <w:spacing w:after="0" w:line="169" w:lineRule="exact"/>
              <w:rPr>
                <w:sz w:val="20"/>
                <w:szCs w:val="20"/>
                <w:color w:val="auto"/>
              </w:rPr>
            </w:pPr>
            <w:r>
              <w:rPr>
                <w:rFonts w:ascii="Calibri" w:cs="Calibri" w:eastAsia="Calibri" w:hAnsi="Calibri"/>
                <w:sz w:val="14"/>
                <w:szCs w:val="14"/>
                <w:b w:val="1"/>
                <w:bCs w:val="1"/>
                <w:color w:val="FFFFFF"/>
              </w:rPr>
              <w:t>April 30,</w:t>
            </w:r>
          </w:p>
        </w:tc>
        <w:tc>
          <w:tcPr>
            <w:tcW w:w="760" w:type="dxa"/>
            <w:vAlign w:val="bottom"/>
            <w:shd w:val="clear" w:color="auto" w:fill="43C0B9"/>
          </w:tcPr>
          <w:p>
            <w:pPr>
              <w:spacing w:after="0"/>
              <w:rPr>
                <w:sz w:val="14"/>
                <w:szCs w:val="14"/>
                <w:color w:val="auto"/>
              </w:rPr>
            </w:pPr>
          </w:p>
        </w:tc>
        <w:tc>
          <w:tcPr>
            <w:tcW w:w="580" w:type="dxa"/>
            <w:vAlign w:val="bottom"/>
            <w:shd w:val="clear" w:color="auto" w:fill="43C0B9"/>
          </w:tcPr>
          <w:p>
            <w:pPr>
              <w:spacing w:after="0"/>
              <w:rPr>
                <w:sz w:val="14"/>
                <w:szCs w:val="14"/>
                <w:color w:val="auto"/>
              </w:rPr>
            </w:pPr>
          </w:p>
        </w:tc>
      </w:tr>
      <w:tr>
        <w:trPr>
          <w:trHeight w:val="241"/>
        </w:trPr>
        <w:tc>
          <w:tcPr>
            <w:tcW w:w="3180" w:type="dxa"/>
            <w:vAlign w:val="bottom"/>
            <w:shd w:val="clear" w:color="auto" w:fill="43C0B9"/>
          </w:tcPr>
          <w:p>
            <w:pPr>
              <w:spacing w:after="0"/>
              <w:rPr>
                <w:sz w:val="20"/>
                <w:szCs w:val="20"/>
                <w:color w:val="auto"/>
              </w:rPr>
            </w:pPr>
          </w:p>
        </w:tc>
        <w:tc>
          <w:tcPr>
            <w:tcW w:w="380" w:type="dxa"/>
            <w:vAlign w:val="bottom"/>
            <w:shd w:val="clear" w:color="auto" w:fill="43C0B9"/>
          </w:tcPr>
          <w:p>
            <w:pPr>
              <w:spacing w:after="0"/>
              <w:rPr>
                <w:sz w:val="20"/>
                <w:szCs w:val="20"/>
                <w:color w:val="auto"/>
              </w:rPr>
            </w:pPr>
          </w:p>
        </w:tc>
        <w:tc>
          <w:tcPr>
            <w:tcW w:w="800" w:type="dxa"/>
            <w:vAlign w:val="bottom"/>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2022</w:t>
            </w:r>
          </w:p>
        </w:tc>
        <w:tc>
          <w:tcPr>
            <w:tcW w:w="720" w:type="dxa"/>
            <w:vAlign w:val="bottom"/>
            <w:shd w:val="clear" w:color="auto" w:fill="43C0B9"/>
          </w:tcPr>
          <w:p>
            <w:pPr>
              <w:spacing w:after="0"/>
              <w:rPr>
                <w:sz w:val="20"/>
                <w:szCs w:val="20"/>
                <w:color w:val="auto"/>
              </w:rPr>
            </w:pPr>
          </w:p>
        </w:tc>
        <w:tc>
          <w:tcPr>
            <w:tcW w:w="680" w:type="dxa"/>
            <w:vAlign w:val="bottom"/>
            <w:shd w:val="clear" w:color="auto" w:fill="43C0B9"/>
          </w:tcPr>
          <w:p>
            <w:pPr>
              <w:spacing w:after="0"/>
              <w:rPr>
                <w:sz w:val="20"/>
                <w:szCs w:val="20"/>
                <w:color w:val="auto"/>
              </w:rPr>
            </w:pPr>
          </w:p>
        </w:tc>
        <w:tc>
          <w:tcPr>
            <w:tcW w:w="640" w:type="dxa"/>
            <w:vAlign w:val="bottom"/>
            <w:shd w:val="clear" w:color="auto" w:fill="43C0B9"/>
          </w:tcPr>
          <w:p>
            <w:pPr>
              <w:jc w:val="right"/>
              <w:ind w:right="149"/>
              <w:spacing w:after="0"/>
              <w:rPr>
                <w:sz w:val="20"/>
                <w:szCs w:val="20"/>
                <w:color w:val="auto"/>
              </w:rPr>
            </w:pPr>
            <w:r>
              <w:rPr>
                <w:rFonts w:ascii="Calibri" w:cs="Calibri" w:eastAsia="Calibri" w:hAnsi="Calibri"/>
                <w:sz w:val="14"/>
                <w:szCs w:val="14"/>
                <w:b w:val="1"/>
                <w:bCs w:val="1"/>
                <w:color w:val="FFFFFF"/>
              </w:rPr>
              <w:t>2021</w:t>
            </w:r>
          </w:p>
        </w:tc>
        <w:tc>
          <w:tcPr>
            <w:tcW w:w="680" w:type="dxa"/>
            <w:vAlign w:val="bottom"/>
            <w:shd w:val="clear" w:color="auto" w:fill="43C0B9"/>
          </w:tcPr>
          <w:p>
            <w:pPr>
              <w:spacing w:after="0"/>
              <w:rPr>
                <w:sz w:val="20"/>
                <w:szCs w:val="20"/>
                <w:color w:val="auto"/>
              </w:rPr>
            </w:pPr>
          </w:p>
        </w:tc>
        <w:tc>
          <w:tcPr>
            <w:tcW w:w="560" w:type="dxa"/>
            <w:vAlign w:val="bottom"/>
            <w:shd w:val="clear" w:color="auto" w:fill="43C0B9"/>
          </w:tcPr>
          <w:p>
            <w:pPr>
              <w:spacing w:after="0"/>
              <w:rPr>
                <w:sz w:val="20"/>
                <w:szCs w:val="20"/>
                <w:color w:val="auto"/>
              </w:rPr>
            </w:pPr>
          </w:p>
        </w:tc>
        <w:tc>
          <w:tcPr>
            <w:tcW w:w="900" w:type="dxa"/>
            <w:vAlign w:val="bottom"/>
            <w:shd w:val="clear" w:color="auto" w:fill="43C0B9"/>
          </w:tcPr>
          <w:p>
            <w:pPr>
              <w:jc w:val="right"/>
              <w:ind w:right="129"/>
              <w:spacing w:after="0"/>
              <w:rPr>
                <w:sz w:val="20"/>
                <w:szCs w:val="20"/>
                <w:color w:val="auto"/>
              </w:rPr>
            </w:pPr>
            <w:r>
              <w:rPr>
                <w:rFonts w:ascii="Calibri" w:cs="Calibri" w:eastAsia="Calibri" w:hAnsi="Calibri"/>
                <w:sz w:val="14"/>
                <w:szCs w:val="14"/>
                <w:b w:val="1"/>
                <w:bCs w:val="1"/>
                <w:color w:val="FFFFFF"/>
              </w:rPr>
              <w:t>2022</w:t>
            </w:r>
          </w:p>
        </w:tc>
        <w:tc>
          <w:tcPr>
            <w:tcW w:w="700" w:type="dxa"/>
            <w:vAlign w:val="bottom"/>
            <w:shd w:val="clear" w:color="auto" w:fill="43C0B9"/>
          </w:tcPr>
          <w:p>
            <w:pPr>
              <w:spacing w:after="0"/>
              <w:rPr>
                <w:sz w:val="20"/>
                <w:szCs w:val="20"/>
                <w:color w:val="auto"/>
              </w:rPr>
            </w:pPr>
          </w:p>
        </w:tc>
        <w:tc>
          <w:tcPr>
            <w:tcW w:w="660" w:type="dxa"/>
            <w:vAlign w:val="bottom"/>
            <w:shd w:val="clear" w:color="auto" w:fill="43C0B9"/>
          </w:tcPr>
          <w:p>
            <w:pPr>
              <w:spacing w:after="0"/>
              <w:rPr>
                <w:sz w:val="20"/>
                <w:szCs w:val="20"/>
                <w:color w:val="auto"/>
              </w:rPr>
            </w:pPr>
          </w:p>
        </w:tc>
        <w:tc>
          <w:tcPr>
            <w:tcW w:w="760" w:type="dxa"/>
            <w:vAlign w:val="bottom"/>
            <w:shd w:val="clear" w:color="auto" w:fill="43C0B9"/>
          </w:tcPr>
          <w:p>
            <w:pPr>
              <w:jc w:val="right"/>
              <w:ind w:right="169"/>
              <w:spacing w:after="0"/>
              <w:rPr>
                <w:sz w:val="20"/>
                <w:szCs w:val="20"/>
                <w:color w:val="auto"/>
              </w:rPr>
            </w:pPr>
            <w:r>
              <w:rPr>
                <w:rFonts w:ascii="Calibri" w:cs="Calibri" w:eastAsia="Calibri" w:hAnsi="Calibri"/>
                <w:sz w:val="14"/>
                <w:szCs w:val="14"/>
                <w:b w:val="1"/>
                <w:bCs w:val="1"/>
                <w:color w:val="FFFFFF"/>
              </w:rPr>
              <w:t>2021</w:t>
            </w:r>
          </w:p>
        </w:tc>
        <w:tc>
          <w:tcPr>
            <w:tcW w:w="580" w:type="dxa"/>
            <w:vAlign w:val="bottom"/>
            <w:shd w:val="clear" w:color="auto" w:fill="43C0B9"/>
          </w:tcPr>
          <w:p>
            <w:pPr>
              <w:spacing w:after="0"/>
              <w:rPr>
                <w:sz w:val="20"/>
                <w:szCs w:val="20"/>
                <w:color w:val="auto"/>
              </w:rPr>
            </w:pPr>
          </w:p>
        </w:tc>
      </w:tr>
      <w:tr>
        <w:trPr>
          <w:trHeight w:val="280"/>
        </w:trPr>
        <w:tc>
          <w:tcPr>
            <w:tcW w:w="318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 except for percentages)</w:t>
            </w:r>
          </w:p>
        </w:tc>
        <w:tc>
          <w:tcPr>
            <w:tcW w:w="380" w:type="dxa"/>
            <w:vAlign w:val="bottom"/>
            <w:tcBorders>
              <w:bottom w:val="single" w:sz="8" w:color="43C0B9"/>
            </w:tcBorders>
            <w:shd w:val="clear" w:color="auto" w:fill="43C0B9"/>
          </w:tcPr>
          <w:p>
            <w:pPr>
              <w:spacing w:after="0"/>
              <w:rPr>
                <w:sz w:val="24"/>
                <w:szCs w:val="24"/>
                <w:color w:val="auto"/>
              </w:rPr>
            </w:pPr>
          </w:p>
        </w:tc>
        <w:tc>
          <w:tcPr>
            <w:tcW w:w="800" w:type="dxa"/>
            <w:vAlign w:val="bottom"/>
            <w:tcBorders>
              <w:bottom w:val="single" w:sz="8" w:color="43C0B9"/>
            </w:tcBorders>
            <w:shd w:val="clear" w:color="auto" w:fill="43C0B9"/>
          </w:tcPr>
          <w:p>
            <w:pPr>
              <w:jc w:val="right"/>
              <w:ind w:right="9"/>
              <w:spacing w:after="0"/>
              <w:rPr>
                <w:sz w:val="20"/>
                <w:szCs w:val="20"/>
                <w:color w:val="auto"/>
              </w:rPr>
            </w:pPr>
            <w:r>
              <w:rPr>
                <w:rFonts w:ascii="Calibri" w:cs="Calibri" w:eastAsia="Calibri" w:hAnsi="Calibri"/>
                <w:sz w:val="14"/>
                <w:szCs w:val="14"/>
                <w:b w:val="1"/>
                <w:bCs w:val="1"/>
                <w:color w:val="FFFFFF"/>
              </w:rPr>
              <w:t>Dollars</w:t>
            </w:r>
          </w:p>
        </w:tc>
        <w:tc>
          <w:tcPr>
            <w:tcW w:w="720" w:type="dxa"/>
            <w:vAlign w:val="bottom"/>
            <w:tcBorders>
              <w:bottom w:val="single" w:sz="8" w:color="43C0B9"/>
            </w:tcBorders>
            <w:shd w:val="clear" w:color="auto" w:fill="43C0B9"/>
          </w:tcPr>
          <w:p>
            <w:pPr>
              <w:jc w:val="right"/>
              <w:ind w:right="9"/>
              <w:spacing w:after="0"/>
              <w:rPr>
                <w:sz w:val="20"/>
                <w:szCs w:val="20"/>
                <w:color w:val="auto"/>
              </w:rPr>
            </w:pPr>
            <w:r>
              <w:rPr>
                <w:rFonts w:ascii="Calibri" w:cs="Calibri" w:eastAsia="Calibri" w:hAnsi="Calibri"/>
                <w:sz w:val="14"/>
                <w:szCs w:val="14"/>
                <w:b w:val="1"/>
                <w:bCs w:val="1"/>
                <w:color w:val="FFFFFF"/>
              </w:rPr>
              <w:t>%</w:t>
            </w:r>
          </w:p>
        </w:tc>
        <w:tc>
          <w:tcPr>
            <w:tcW w:w="680" w:type="dxa"/>
            <w:vAlign w:val="bottom"/>
            <w:tcBorders>
              <w:bottom w:val="single" w:sz="8" w:color="43C0B9"/>
            </w:tcBorders>
            <w:shd w:val="clear" w:color="auto" w:fill="43C0B9"/>
          </w:tcPr>
          <w:p>
            <w:pPr>
              <w:spacing w:after="0"/>
              <w:rPr>
                <w:sz w:val="24"/>
                <w:szCs w:val="24"/>
                <w:color w:val="auto"/>
              </w:rPr>
            </w:pPr>
          </w:p>
        </w:tc>
        <w:tc>
          <w:tcPr>
            <w:tcW w:w="640" w:type="dxa"/>
            <w:vAlign w:val="bottom"/>
            <w:tcBorders>
              <w:bottom w:val="single" w:sz="8" w:color="43C0B9"/>
            </w:tcBorders>
            <w:shd w:val="clear" w:color="auto" w:fill="43C0B9"/>
          </w:tcPr>
          <w:p>
            <w:pPr>
              <w:jc w:val="right"/>
              <w:ind w:right="69"/>
              <w:spacing w:after="0"/>
              <w:rPr>
                <w:sz w:val="20"/>
                <w:szCs w:val="20"/>
                <w:color w:val="auto"/>
              </w:rPr>
            </w:pPr>
            <w:r>
              <w:rPr>
                <w:rFonts w:ascii="Calibri" w:cs="Calibri" w:eastAsia="Calibri" w:hAnsi="Calibri"/>
                <w:sz w:val="14"/>
                <w:szCs w:val="14"/>
                <w:b w:val="1"/>
                <w:bCs w:val="1"/>
                <w:color w:val="FFFFFF"/>
              </w:rPr>
              <w:t>Dollars</w:t>
            </w:r>
          </w:p>
        </w:tc>
        <w:tc>
          <w:tcPr>
            <w:tcW w:w="680" w:type="dxa"/>
            <w:vAlign w:val="bottom"/>
            <w:tcBorders>
              <w:bottom w:val="single" w:sz="8" w:color="43C0B9"/>
            </w:tcBorders>
            <w:shd w:val="clear" w:color="auto" w:fill="43C0B9"/>
          </w:tcPr>
          <w:p>
            <w:pPr>
              <w:jc w:val="right"/>
              <w:ind w:right="109"/>
              <w:spacing w:after="0"/>
              <w:rPr>
                <w:sz w:val="20"/>
                <w:szCs w:val="20"/>
                <w:color w:val="auto"/>
              </w:rPr>
            </w:pPr>
            <w:r>
              <w:rPr>
                <w:rFonts w:ascii="Calibri" w:cs="Calibri" w:eastAsia="Calibri" w:hAnsi="Calibri"/>
                <w:sz w:val="14"/>
                <w:szCs w:val="14"/>
                <w:b w:val="1"/>
                <w:bCs w:val="1"/>
                <w:color w:val="FFFFFF"/>
              </w:rPr>
              <w:t>%</w:t>
            </w:r>
          </w:p>
        </w:tc>
        <w:tc>
          <w:tcPr>
            <w:tcW w:w="560" w:type="dxa"/>
            <w:vAlign w:val="bottom"/>
            <w:tcBorders>
              <w:bottom w:val="single" w:sz="8" w:color="43C0B9"/>
            </w:tcBorders>
            <w:shd w:val="clear" w:color="auto" w:fill="43C0B9"/>
          </w:tcPr>
          <w:p>
            <w:pPr>
              <w:spacing w:after="0"/>
              <w:rPr>
                <w:sz w:val="24"/>
                <w:szCs w:val="24"/>
                <w:color w:val="auto"/>
              </w:rPr>
            </w:pPr>
          </w:p>
        </w:tc>
        <w:tc>
          <w:tcPr>
            <w:tcW w:w="900" w:type="dxa"/>
            <w:vAlign w:val="bottom"/>
            <w:tcBorders>
              <w:bottom w:val="single" w:sz="8" w:color="43C0B9"/>
            </w:tcBorders>
            <w:shd w:val="clear" w:color="auto" w:fill="43C0B9"/>
          </w:tcPr>
          <w:p>
            <w:pPr>
              <w:jc w:val="right"/>
              <w:ind w:right="109"/>
              <w:spacing w:after="0"/>
              <w:rPr>
                <w:sz w:val="20"/>
                <w:szCs w:val="20"/>
                <w:color w:val="auto"/>
              </w:rPr>
            </w:pPr>
            <w:r>
              <w:rPr>
                <w:rFonts w:ascii="Calibri" w:cs="Calibri" w:eastAsia="Calibri" w:hAnsi="Calibri"/>
                <w:sz w:val="14"/>
                <w:szCs w:val="14"/>
                <w:b w:val="1"/>
                <w:bCs w:val="1"/>
                <w:color w:val="FFFFFF"/>
              </w:rPr>
              <w:t>Dollars</w:t>
            </w:r>
          </w:p>
        </w:tc>
        <w:tc>
          <w:tcPr>
            <w:tcW w:w="700" w:type="dxa"/>
            <w:vAlign w:val="bottom"/>
            <w:tcBorders>
              <w:bottom w:val="single" w:sz="8" w:color="43C0B9"/>
            </w:tcBorders>
            <w:shd w:val="clear" w:color="auto" w:fill="43C0B9"/>
          </w:tcPr>
          <w:p>
            <w:pPr>
              <w:jc w:val="right"/>
              <w:ind w:right="9"/>
              <w:spacing w:after="0"/>
              <w:rPr>
                <w:sz w:val="20"/>
                <w:szCs w:val="20"/>
                <w:color w:val="auto"/>
              </w:rPr>
            </w:pPr>
            <w:r>
              <w:rPr>
                <w:rFonts w:ascii="Calibri" w:cs="Calibri" w:eastAsia="Calibri" w:hAnsi="Calibri"/>
                <w:sz w:val="14"/>
                <w:szCs w:val="14"/>
                <w:b w:val="1"/>
                <w:bCs w:val="1"/>
                <w:color w:val="FFFFFF"/>
              </w:rPr>
              <w:t>%</w:t>
            </w:r>
          </w:p>
        </w:tc>
        <w:tc>
          <w:tcPr>
            <w:tcW w:w="660" w:type="dxa"/>
            <w:vAlign w:val="bottom"/>
            <w:tcBorders>
              <w:bottom w:val="single" w:sz="8" w:color="43C0B9"/>
            </w:tcBorders>
            <w:shd w:val="clear" w:color="auto" w:fill="43C0B9"/>
          </w:tcPr>
          <w:p>
            <w:pPr>
              <w:spacing w:after="0"/>
              <w:rPr>
                <w:sz w:val="24"/>
                <w:szCs w:val="24"/>
                <w:color w:val="auto"/>
              </w:rPr>
            </w:pPr>
          </w:p>
        </w:tc>
        <w:tc>
          <w:tcPr>
            <w:tcW w:w="760" w:type="dxa"/>
            <w:vAlign w:val="bottom"/>
            <w:tcBorders>
              <w:bottom w:val="single" w:sz="8" w:color="43C0B9"/>
            </w:tcBorders>
            <w:shd w:val="clear" w:color="auto" w:fill="43C0B9"/>
          </w:tcPr>
          <w:p>
            <w:pPr>
              <w:jc w:val="right"/>
              <w:ind w:right="149"/>
              <w:spacing w:after="0"/>
              <w:rPr>
                <w:sz w:val="20"/>
                <w:szCs w:val="20"/>
                <w:color w:val="auto"/>
              </w:rPr>
            </w:pPr>
            <w:r>
              <w:rPr>
                <w:rFonts w:ascii="Calibri" w:cs="Calibri" w:eastAsia="Calibri" w:hAnsi="Calibri"/>
                <w:sz w:val="14"/>
                <w:szCs w:val="14"/>
                <w:b w:val="1"/>
                <w:bCs w:val="1"/>
                <w:color w:val="FFFFFF"/>
              </w:rPr>
              <w:t>Dollars</w:t>
            </w:r>
          </w:p>
        </w:tc>
        <w:tc>
          <w:tcPr>
            <w:tcW w:w="58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w:t>
            </w:r>
          </w:p>
        </w:tc>
      </w:tr>
      <w:tr>
        <w:trPr>
          <w:trHeight w:val="207"/>
        </w:trPr>
        <w:tc>
          <w:tcPr>
            <w:tcW w:w="31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Net sales</w:t>
            </w:r>
          </w:p>
        </w:tc>
        <w:tc>
          <w:tcPr>
            <w:tcW w:w="380" w:type="dxa"/>
            <w:vAlign w:val="bottom"/>
            <w:tcBorders>
              <w:bottom w:val="single" w:sz="8" w:color="DBDBDB"/>
            </w:tcBorders>
            <w:shd w:val="clear" w:color="auto" w:fill="DBDBDB"/>
          </w:tcPr>
          <w:p>
            <w:pPr>
              <w:jc w:val="right"/>
              <w:ind w:right="229"/>
              <w:spacing w:after="0" w:line="169" w:lineRule="exact"/>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278.1</w:t>
            </w:r>
          </w:p>
        </w:tc>
        <w:tc>
          <w:tcPr>
            <w:tcW w:w="72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100 %</w:t>
            </w:r>
          </w:p>
        </w:tc>
        <w:tc>
          <w:tcPr>
            <w:tcW w:w="680" w:type="dxa"/>
            <w:vAlign w:val="bottom"/>
            <w:tcBorders>
              <w:bottom w:val="single" w:sz="8" w:color="DBDBDB"/>
            </w:tcBorders>
            <w:shd w:val="clear" w:color="auto" w:fill="DBDBDB"/>
          </w:tcPr>
          <w:p>
            <w:pPr>
              <w:jc w:val="right"/>
              <w:ind w:right="449"/>
              <w:spacing w:after="0" w:line="169"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234.7</w:t>
            </w:r>
          </w:p>
        </w:tc>
        <w:tc>
          <w:tcPr>
            <w:tcW w:w="68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100 %</w:t>
            </w:r>
          </w:p>
        </w:tc>
        <w:tc>
          <w:tcPr>
            <w:tcW w:w="560" w:type="dxa"/>
            <w:vAlign w:val="bottom"/>
            <w:tcBorders>
              <w:bottom w:val="single" w:sz="8" w:color="DBDBDB"/>
            </w:tcBorders>
            <w:shd w:val="clear" w:color="auto" w:fill="DBDBDB"/>
          </w:tcPr>
          <w:p>
            <w:pPr>
              <w:jc w:val="right"/>
              <w:ind w:right="229"/>
              <w:spacing w:after="0" w:line="169" w:lineRule="exact"/>
              <w:rPr>
                <w:sz w:val="20"/>
                <w:szCs w:val="20"/>
                <w:color w:val="auto"/>
              </w:rPr>
            </w:pPr>
            <w:r>
              <w:rPr>
                <w:rFonts w:ascii="Calibri" w:cs="Calibri" w:eastAsia="Calibri" w:hAnsi="Calibri"/>
                <w:sz w:val="14"/>
                <w:szCs w:val="14"/>
                <w:color w:val="auto"/>
              </w:rPr>
              <w:t>$</w:t>
            </w:r>
          </w:p>
        </w:tc>
        <w:tc>
          <w:tcPr>
            <w:tcW w:w="900" w:type="dxa"/>
            <w:vAlign w:val="bottom"/>
            <w:tcBorders>
              <w:bottom w:val="single" w:sz="8" w:color="DBDBDB"/>
            </w:tcBorders>
            <w:shd w:val="clear" w:color="auto" w:fill="DBDBDB"/>
          </w:tcPr>
          <w:p>
            <w:pPr>
              <w:jc w:val="right"/>
              <w:ind w:right="149"/>
              <w:spacing w:after="0" w:line="169" w:lineRule="exact"/>
              <w:rPr>
                <w:sz w:val="20"/>
                <w:szCs w:val="20"/>
                <w:color w:val="auto"/>
              </w:rPr>
            </w:pPr>
            <w:r>
              <w:rPr>
                <w:rFonts w:ascii="Calibri" w:cs="Calibri" w:eastAsia="Calibri" w:hAnsi="Calibri"/>
                <w:sz w:val="14"/>
                <w:szCs w:val="14"/>
                <w:color w:val="auto"/>
              </w:rPr>
              <w:t>494.7</w:t>
            </w:r>
          </w:p>
        </w:tc>
        <w:tc>
          <w:tcPr>
            <w:tcW w:w="70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100 %</w:t>
            </w:r>
          </w:p>
        </w:tc>
        <w:tc>
          <w:tcPr>
            <w:tcW w:w="660" w:type="dxa"/>
            <w:vAlign w:val="bottom"/>
            <w:tcBorders>
              <w:bottom w:val="single" w:sz="8" w:color="DBDBDB"/>
            </w:tcBorders>
            <w:shd w:val="clear" w:color="auto" w:fill="DBDBDB"/>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ind w:right="189"/>
              <w:spacing w:after="0" w:line="169" w:lineRule="exact"/>
              <w:rPr>
                <w:sz w:val="20"/>
                <w:szCs w:val="20"/>
                <w:color w:val="auto"/>
              </w:rPr>
            </w:pPr>
            <w:r>
              <w:rPr>
                <w:rFonts w:ascii="Calibri" w:cs="Calibri" w:eastAsia="Calibri" w:hAnsi="Calibri"/>
                <w:sz w:val="14"/>
                <w:szCs w:val="14"/>
                <w:color w:val="auto"/>
              </w:rPr>
              <w:t>407.9</w:t>
            </w:r>
          </w:p>
        </w:tc>
        <w:tc>
          <w:tcPr>
            <w:tcW w:w="5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100 %</w:t>
            </w:r>
          </w:p>
        </w:tc>
      </w:tr>
      <w:tr>
        <w:trPr>
          <w:trHeight w:val="169"/>
        </w:trPr>
        <w:tc>
          <w:tcPr>
            <w:tcW w:w="3180" w:type="dxa"/>
            <w:vAlign w:val="bottom"/>
          </w:tcPr>
          <w:p>
            <w:pPr>
              <w:ind w:left="20"/>
              <w:spacing w:after="0" w:line="169" w:lineRule="exact"/>
              <w:rPr>
                <w:sz w:val="20"/>
                <w:szCs w:val="20"/>
                <w:color w:val="auto"/>
              </w:rPr>
            </w:pPr>
            <w:r>
              <w:rPr>
                <w:rFonts w:ascii="Calibri" w:cs="Calibri" w:eastAsia="Calibri" w:hAnsi="Calibri"/>
                <w:sz w:val="14"/>
                <w:szCs w:val="14"/>
                <w:color w:val="auto"/>
              </w:rPr>
              <w:t>Cost of sales</w:t>
            </w:r>
          </w:p>
        </w:tc>
        <w:tc>
          <w:tcPr>
            <w:tcW w:w="380" w:type="dxa"/>
            <w:vAlign w:val="bottom"/>
          </w:tcPr>
          <w:p>
            <w:pPr>
              <w:spacing w:after="0"/>
              <w:rPr>
                <w:sz w:val="14"/>
                <w:szCs w:val="14"/>
                <w:color w:val="auto"/>
              </w:rPr>
            </w:pPr>
          </w:p>
        </w:tc>
        <w:tc>
          <w:tcPr>
            <w:tcW w:w="8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258.3</w:t>
            </w:r>
          </w:p>
        </w:tc>
        <w:tc>
          <w:tcPr>
            <w:tcW w:w="72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93 %</w:t>
            </w:r>
          </w:p>
        </w:tc>
        <w:tc>
          <w:tcPr>
            <w:tcW w:w="680" w:type="dxa"/>
            <w:vAlign w:val="bottom"/>
          </w:tcPr>
          <w:p>
            <w:pPr>
              <w:spacing w:after="0"/>
              <w:rPr>
                <w:sz w:val="14"/>
                <w:szCs w:val="14"/>
                <w:color w:val="auto"/>
              </w:rPr>
            </w:pPr>
          </w:p>
        </w:tc>
        <w:tc>
          <w:tcPr>
            <w:tcW w:w="64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207.6</w:t>
            </w:r>
          </w:p>
        </w:tc>
        <w:tc>
          <w:tcPr>
            <w:tcW w:w="68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88 %</w:t>
            </w:r>
          </w:p>
        </w:tc>
        <w:tc>
          <w:tcPr>
            <w:tcW w:w="560" w:type="dxa"/>
            <w:vAlign w:val="bottom"/>
          </w:tcPr>
          <w:p>
            <w:pPr>
              <w:spacing w:after="0"/>
              <w:rPr>
                <w:sz w:val="14"/>
                <w:szCs w:val="14"/>
                <w:color w:val="auto"/>
              </w:rPr>
            </w:pPr>
          </w:p>
        </w:tc>
        <w:tc>
          <w:tcPr>
            <w:tcW w:w="900" w:type="dxa"/>
            <w:vAlign w:val="bottom"/>
          </w:tcPr>
          <w:p>
            <w:pPr>
              <w:jc w:val="right"/>
              <w:ind w:right="149"/>
              <w:spacing w:after="0" w:line="169" w:lineRule="exact"/>
              <w:rPr>
                <w:sz w:val="20"/>
                <w:szCs w:val="20"/>
                <w:color w:val="auto"/>
              </w:rPr>
            </w:pPr>
            <w:r>
              <w:rPr>
                <w:rFonts w:ascii="Calibri" w:cs="Calibri" w:eastAsia="Calibri" w:hAnsi="Calibri"/>
                <w:sz w:val="14"/>
                <w:szCs w:val="14"/>
                <w:color w:val="auto"/>
              </w:rPr>
              <w:t>474.4</w:t>
            </w:r>
          </w:p>
        </w:tc>
        <w:tc>
          <w:tcPr>
            <w:tcW w:w="7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96 %</w:t>
            </w:r>
          </w:p>
        </w:tc>
        <w:tc>
          <w:tcPr>
            <w:tcW w:w="660" w:type="dxa"/>
            <w:vAlign w:val="bottom"/>
          </w:tcPr>
          <w:p>
            <w:pPr>
              <w:spacing w:after="0"/>
              <w:rPr>
                <w:sz w:val="14"/>
                <w:szCs w:val="14"/>
                <w:color w:val="auto"/>
              </w:rPr>
            </w:pPr>
          </w:p>
        </w:tc>
        <w:tc>
          <w:tcPr>
            <w:tcW w:w="760" w:type="dxa"/>
            <w:vAlign w:val="bottom"/>
          </w:tcPr>
          <w:p>
            <w:pPr>
              <w:jc w:val="right"/>
              <w:ind w:right="189"/>
              <w:spacing w:after="0" w:line="169" w:lineRule="exact"/>
              <w:rPr>
                <w:sz w:val="20"/>
                <w:szCs w:val="20"/>
                <w:color w:val="auto"/>
              </w:rPr>
            </w:pPr>
            <w:r>
              <w:rPr>
                <w:rFonts w:ascii="Calibri" w:cs="Calibri" w:eastAsia="Calibri" w:hAnsi="Calibri"/>
                <w:sz w:val="14"/>
                <w:szCs w:val="14"/>
                <w:color w:val="auto"/>
              </w:rPr>
              <w:t>358.1</w:t>
            </w:r>
          </w:p>
        </w:tc>
        <w:tc>
          <w:tcPr>
            <w:tcW w:w="580" w:type="dxa"/>
            <w:vAlign w:val="bottom"/>
          </w:tcPr>
          <w:p>
            <w:pPr>
              <w:jc w:val="right"/>
              <w:spacing w:after="0" w:line="169" w:lineRule="exact"/>
              <w:rPr>
                <w:sz w:val="20"/>
                <w:szCs w:val="20"/>
                <w:color w:val="auto"/>
              </w:rPr>
            </w:pPr>
            <w:r>
              <w:rPr>
                <w:rFonts w:ascii="Calibri" w:cs="Calibri" w:eastAsia="Calibri" w:hAnsi="Calibri"/>
                <w:sz w:val="14"/>
                <w:szCs w:val="14"/>
                <w:color w:val="auto"/>
              </w:rPr>
              <w:t>88 %</w:t>
            </w:r>
          </w:p>
        </w:tc>
      </w:tr>
      <w:tr>
        <w:trPr>
          <w:trHeight w:val="58"/>
        </w:trPr>
        <w:tc>
          <w:tcPr>
            <w:tcW w:w="3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01"/>
        </w:trPr>
        <w:tc>
          <w:tcPr>
            <w:tcW w:w="318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Gross proft</w:t>
            </w:r>
          </w:p>
        </w:tc>
        <w:tc>
          <w:tcPr>
            <w:tcW w:w="3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19.8</w:t>
            </w:r>
          </w:p>
        </w:tc>
        <w:tc>
          <w:tcPr>
            <w:tcW w:w="72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7 %</w:t>
            </w:r>
          </w:p>
        </w:tc>
        <w:tc>
          <w:tcPr>
            <w:tcW w:w="68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27.1</w:t>
            </w:r>
          </w:p>
        </w:tc>
        <w:tc>
          <w:tcPr>
            <w:tcW w:w="68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12 %</w:t>
            </w:r>
          </w:p>
        </w:tc>
        <w:tc>
          <w:tcPr>
            <w:tcW w:w="5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rPr>
              <w:t>20.3</w:t>
            </w:r>
          </w:p>
        </w:tc>
        <w:tc>
          <w:tcPr>
            <w:tcW w:w="70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4 %</w:t>
            </w:r>
          </w:p>
        </w:tc>
        <w:tc>
          <w:tcPr>
            <w:tcW w:w="6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189"/>
              <w:spacing w:after="0" w:line="162" w:lineRule="exact"/>
              <w:rPr>
                <w:sz w:val="20"/>
                <w:szCs w:val="20"/>
                <w:color w:val="auto"/>
              </w:rPr>
            </w:pPr>
            <w:r>
              <w:rPr>
                <w:rFonts w:ascii="Calibri" w:cs="Calibri" w:eastAsia="Calibri" w:hAnsi="Calibri"/>
                <w:sz w:val="14"/>
                <w:szCs w:val="14"/>
                <w:color w:val="auto"/>
              </w:rPr>
              <w:t>49.8</w:t>
            </w:r>
          </w:p>
        </w:tc>
        <w:tc>
          <w:tcPr>
            <w:tcW w:w="5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12 %</w:t>
            </w:r>
          </w:p>
        </w:tc>
      </w:tr>
      <w:tr>
        <w:trPr>
          <w:trHeight w:val="169"/>
        </w:trPr>
        <w:tc>
          <w:tcPr>
            <w:tcW w:w="3180" w:type="dxa"/>
            <w:vAlign w:val="bottom"/>
          </w:tcPr>
          <w:p>
            <w:pPr>
              <w:ind w:left="20"/>
              <w:spacing w:after="0" w:line="169" w:lineRule="exact"/>
              <w:rPr>
                <w:sz w:val="20"/>
                <w:szCs w:val="20"/>
                <w:color w:val="auto"/>
              </w:rPr>
            </w:pPr>
            <w:r>
              <w:rPr>
                <w:rFonts w:ascii="Calibri" w:cs="Calibri" w:eastAsia="Calibri" w:hAnsi="Calibri"/>
                <w:sz w:val="14"/>
                <w:szCs w:val="14"/>
                <w:color w:val="auto"/>
              </w:rPr>
              <w:t>Selling, general and administratve expenses</w:t>
            </w:r>
          </w:p>
        </w:tc>
        <w:tc>
          <w:tcPr>
            <w:tcW w:w="380" w:type="dxa"/>
            <w:vAlign w:val="bottom"/>
          </w:tcPr>
          <w:p>
            <w:pPr>
              <w:spacing w:after="0"/>
              <w:rPr>
                <w:sz w:val="14"/>
                <w:szCs w:val="14"/>
                <w:color w:val="auto"/>
              </w:rPr>
            </w:pPr>
          </w:p>
        </w:tc>
        <w:tc>
          <w:tcPr>
            <w:tcW w:w="8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18.7</w:t>
            </w:r>
          </w:p>
        </w:tc>
        <w:tc>
          <w:tcPr>
            <w:tcW w:w="72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7 %</w:t>
            </w:r>
          </w:p>
        </w:tc>
        <w:tc>
          <w:tcPr>
            <w:tcW w:w="680" w:type="dxa"/>
            <w:vAlign w:val="bottom"/>
          </w:tcPr>
          <w:p>
            <w:pPr>
              <w:spacing w:after="0"/>
              <w:rPr>
                <w:sz w:val="14"/>
                <w:szCs w:val="14"/>
                <w:color w:val="auto"/>
              </w:rPr>
            </w:pPr>
          </w:p>
        </w:tc>
        <w:tc>
          <w:tcPr>
            <w:tcW w:w="64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16.3</w:t>
            </w:r>
          </w:p>
        </w:tc>
        <w:tc>
          <w:tcPr>
            <w:tcW w:w="68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7 %</w:t>
            </w:r>
          </w:p>
        </w:tc>
        <w:tc>
          <w:tcPr>
            <w:tcW w:w="560" w:type="dxa"/>
            <w:vAlign w:val="bottom"/>
          </w:tcPr>
          <w:p>
            <w:pPr>
              <w:spacing w:after="0"/>
              <w:rPr>
                <w:sz w:val="14"/>
                <w:szCs w:val="14"/>
                <w:color w:val="auto"/>
              </w:rPr>
            </w:pPr>
          </w:p>
        </w:tc>
        <w:tc>
          <w:tcPr>
            <w:tcW w:w="900" w:type="dxa"/>
            <w:vAlign w:val="bottom"/>
          </w:tcPr>
          <w:p>
            <w:pPr>
              <w:jc w:val="right"/>
              <w:ind w:right="149"/>
              <w:spacing w:after="0" w:line="169" w:lineRule="exact"/>
              <w:rPr>
                <w:sz w:val="20"/>
                <w:szCs w:val="20"/>
                <w:color w:val="auto"/>
              </w:rPr>
            </w:pPr>
            <w:r>
              <w:rPr>
                <w:rFonts w:ascii="Calibri" w:cs="Calibri" w:eastAsia="Calibri" w:hAnsi="Calibri"/>
                <w:sz w:val="14"/>
                <w:szCs w:val="14"/>
                <w:color w:val="auto"/>
              </w:rPr>
              <w:t>37.4</w:t>
            </w:r>
          </w:p>
        </w:tc>
        <w:tc>
          <w:tcPr>
            <w:tcW w:w="7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8 %</w:t>
            </w:r>
          </w:p>
        </w:tc>
        <w:tc>
          <w:tcPr>
            <w:tcW w:w="660" w:type="dxa"/>
            <w:vAlign w:val="bottom"/>
          </w:tcPr>
          <w:p>
            <w:pPr>
              <w:spacing w:after="0"/>
              <w:rPr>
                <w:sz w:val="14"/>
                <w:szCs w:val="14"/>
                <w:color w:val="auto"/>
              </w:rPr>
            </w:pPr>
          </w:p>
        </w:tc>
        <w:tc>
          <w:tcPr>
            <w:tcW w:w="760" w:type="dxa"/>
            <w:vAlign w:val="bottom"/>
          </w:tcPr>
          <w:p>
            <w:pPr>
              <w:jc w:val="right"/>
              <w:ind w:right="189"/>
              <w:spacing w:after="0" w:line="169" w:lineRule="exact"/>
              <w:rPr>
                <w:sz w:val="20"/>
                <w:szCs w:val="20"/>
                <w:color w:val="auto"/>
              </w:rPr>
            </w:pPr>
            <w:r>
              <w:rPr>
                <w:rFonts w:ascii="Calibri" w:cs="Calibri" w:eastAsia="Calibri" w:hAnsi="Calibri"/>
                <w:sz w:val="14"/>
                <w:szCs w:val="14"/>
                <w:color w:val="auto"/>
              </w:rPr>
              <w:t>30.9</w:t>
            </w:r>
          </w:p>
        </w:tc>
        <w:tc>
          <w:tcPr>
            <w:tcW w:w="580" w:type="dxa"/>
            <w:vAlign w:val="bottom"/>
          </w:tcPr>
          <w:p>
            <w:pPr>
              <w:jc w:val="right"/>
              <w:spacing w:after="0" w:line="169" w:lineRule="exact"/>
              <w:rPr>
                <w:sz w:val="20"/>
                <w:szCs w:val="20"/>
                <w:color w:val="auto"/>
              </w:rPr>
            </w:pPr>
            <w:r>
              <w:rPr>
                <w:rFonts w:ascii="Calibri" w:cs="Calibri" w:eastAsia="Calibri" w:hAnsi="Calibri"/>
                <w:sz w:val="14"/>
                <w:szCs w:val="14"/>
                <w:color w:val="auto"/>
              </w:rPr>
              <w:t>8 %</w:t>
            </w:r>
          </w:p>
        </w:tc>
      </w:tr>
      <w:tr>
        <w:trPr>
          <w:trHeight w:val="58"/>
        </w:trPr>
        <w:tc>
          <w:tcPr>
            <w:tcW w:w="3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01"/>
        </w:trPr>
        <w:tc>
          <w:tcPr>
            <w:tcW w:w="318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Operatng income (loss)</w:t>
            </w:r>
          </w:p>
        </w:tc>
        <w:tc>
          <w:tcPr>
            <w:tcW w:w="3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1.1</w:t>
            </w:r>
          </w:p>
        </w:tc>
        <w:tc>
          <w:tcPr>
            <w:tcW w:w="72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 %</w:t>
            </w:r>
          </w:p>
        </w:tc>
        <w:tc>
          <w:tcPr>
            <w:tcW w:w="68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10.8</w:t>
            </w:r>
          </w:p>
        </w:tc>
        <w:tc>
          <w:tcPr>
            <w:tcW w:w="68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5 %</w:t>
            </w:r>
          </w:p>
        </w:tc>
        <w:tc>
          <w:tcPr>
            <w:tcW w:w="5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(17.1)</w:t>
            </w:r>
          </w:p>
        </w:tc>
        <w:tc>
          <w:tcPr>
            <w:tcW w:w="70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(3)%</w:t>
            </w:r>
          </w:p>
        </w:tc>
        <w:tc>
          <w:tcPr>
            <w:tcW w:w="6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189"/>
              <w:spacing w:after="0" w:line="162" w:lineRule="exact"/>
              <w:rPr>
                <w:sz w:val="20"/>
                <w:szCs w:val="20"/>
                <w:color w:val="auto"/>
              </w:rPr>
            </w:pPr>
            <w:r>
              <w:rPr>
                <w:rFonts w:ascii="Calibri" w:cs="Calibri" w:eastAsia="Calibri" w:hAnsi="Calibri"/>
                <w:sz w:val="14"/>
                <w:szCs w:val="14"/>
                <w:color w:val="auto"/>
              </w:rPr>
              <w:t>18.9</w:t>
            </w:r>
          </w:p>
        </w:tc>
        <w:tc>
          <w:tcPr>
            <w:tcW w:w="5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5 %</w:t>
            </w:r>
          </w:p>
        </w:tc>
      </w:tr>
      <w:tr>
        <w:trPr>
          <w:trHeight w:val="169"/>
        </w:trPr>
        <w:tc>
          <w:tcPr>
            <w:tcW w:w="3180" w:type="dxa"/>
            <w:vAlign w:val="bottom"/>
          </w:tcPr>
          <w:p>
            <w:pPr>
              <w:ind w:left="20"/>
              <w:spacing w:after="0" w:line="169" w:lineRule="exact"/>
              <w:rPr>
                <w:sz w:val="20"/>
                <w:szCs w:val="20"/>
                <w:color w:val="auto"/>
              </w:rPr>
            </w:pPr>
            <w:r>
              <w:rPr>
                <w:rFonts w:ascii="Calibri" w:cs="Calibri" w:eastAsia="Calibri" w:hAnsi="Calibri"/>
                <w:sz w:val="14"/>
                <w:szCs w:val="14"/>
                <w:color w:val="auto"/>
              </w:rPr>
              <w:t>Interest expense</w:t>
            </w:r>
          </w:p>
        </w:tc>
        <w:tc>
          <w:tcPr>
            <w:tcW w:w="380" w:type="dxa"/>
            <w:vAlign w:val="bottom"/>
          </w:tcPr>
          <w:p>
            <w:pPr>
              <w:spacing w:after="0"/>
              <w:rPr>
                <w:sz w:val="14"/>
                <w:szCs w:val="14"/>
                <w:color w:val="auto"/>
              </w:rPr>
            </w:pPr>
          </w:p>
        </w:tc>
        <w:tc>
          <w:tcPr>
            <w:tcW w:w="8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(1.1)</w:t>
            </w:r>
          </w:p>
        </w:tc>
        <w:tc>
          <w:tcPr>
            <w:tcW w:w="72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 %</w:t>
            </w:r>
          </w:p>
        </w:tc>
        <w:tc>
          <w:tcPr>
            <w:tcW w:w="680" w:type="dxa"/>
            <w:vAlign w:val="bottom"/>
          </w:tcPr>
          <w:p>
            <w:pPr>
              <w:spacing w:after="0"/>
              <w:rPr>
                <w:sz w:val="14"/>
                <w:szCs w:val="14"/>
                <w:color w:val="auto"/>
              </w:rPr>
            </w:pPr>
          </w:p>
        </w:tc>
        <w:tc>
          <w:tcPr>
            <w:tcW w:w="6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(0.8)</w:t>
            </w:r>
          </w:p>
        </w:tc>
        <w:tc>
          <w:tcPr>
            <w:tcW w:w="68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 %</w:t>
            </w:r>
          </w:p>
        </w:tc>
        <w:tc>
          <w:tcPr>
            <w:tcW w:w="560" w:type="dxa"/>
            <w:vAlign w:val="bottom"/>
          </w:tcPr>
          <w:p>
            <w:pPr>
              <w:spacing w:after="0"/>
              <w:rPr>
                <w:sz w:val="14"/>
                <w:szCs w:val="14"/>
                <w:color w:val="auto"/>
              </w:rPr>
            </w:pPr>
          </w:p>
        </w:tc>
        <w:tc>
          <w:tcPr>
            <w:tcW w:w="90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(2.0)</w:t>
            </w:r>
          </w:p>
        </w:tc>
        <w:tc>
          <w:tcPr>
            <w:tcW w:w="7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 %</w:t>
            </w:r>
          </w:p>
        </w:tc>
        <w:tc>
          <w:tcPr>
            <w:tcW w:w="660" w:type="dxa"/>
            <w:vAlign w:val="bottom"/>
          </w:tcPr>
          <w:p>
            <w:pPr>
              <w:spacing w:after="0"/>
              <w:rPr>
                <w:sz w:val="14"/>
                <w:szCs w:val="14"/>
                <w:color w:val="auto"/>
              </w:rPr>
            </w:pPr>
          </w:p>
        </w:tc>
        <w:tc>
          <w:tcPr>
            <w:tcW w:w="760" w:type="dxa"/>
            <w:vAlign w:val="bottom"/>
          </w:tcPr>
          <w:p>
            <w:pPr>
              <w:jc w:val="right"/>
              <w:ind w:right="169"/>
              <w:spacing w:after="0" w:line="169" w:lineRule="exact"/>
              <w:rPr>
                <w:sz w:val="20"/>
                <w:szCs w:val="20"/>
                <w:color w:val="auto"/>
              </w:rPr>
            </w:pPr>
            <w:r>
              <w:rPr>
                <w:rFonts w:ascii="Calibri" w:cs="Calibri" w:eastAsia="Calibri" w:hAnsi="Calibri"/>
                <w:sz w:val="14"/>
                <w:szCs w:val="14"/>
                <w:color w:val="auto"/>
              </w:rPr>
              <w:t>(1.7)</w:t>
            </w:r>
          </w:p>
        </w:tc>
        <w:tc>
          <w:tcPr>
            <w:tcW w:w="580" w:type="dxa"/>
            <w:vAlign w:val="bottom"/>
          </w:tcPr>
          <w:p>
            <w:pPr>
              <w:jc w:val="right"/>
              <w:spacing w:after="0" w:line="169" w:lineRule="exact"/>
              <w:rPr>
                <w:sz w:val="20"/>
                <w:szCs w:val="20"/>
                <w:color w:val="auto"/>
              </w:rPr>
            </w:pPr>
            <w:r>
              <w:rPr>
                <w:rFonts w:ascii="Calibri" w:cs="Calibri" w:eastAsia="Calibri" w:hAnsi="Calibri"/>
                <w:sz w:val="14"/>
                <w:szCs w:val="14"/>
                <w:color w:val="auto"/>
              </w:rPr>
              <w:t>— %</w:t>
            </w:r>
          </w:p>
        </w:tc>
      </w:tr>
      <w:tr>
        <w:trPr>
          <w:trHeight w:val="58"/>
        </w:trPr>
        <w:tc>
          <w:tcPr>
            <w:tcW w:w="3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07"/>
        </w:trPr>
        <w:tc>
          <w:tcPr>
            <w:tcW w:w="31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Equity method income (loss)</w:t>
            </w:r>
          </w:p>
        </w:tc>
        <w:tc>
          <w:tcPr>
            <w:tcW w:w="38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0.3</w:t>
            </w:r>
          </w:p>
        </w:tc>
        <w:tc>
          <w:tcPr>
            <w:tcW w:w="72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 %</w:t>
            </w:r>
          </w:p>
        </w:tc>
        <w:tc>
          <w:tcPr>
            <w:tcW w:w="68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ind w:right="69"/>
              <w:spacing w:after="0" w:line="169" w:lineRule="exact"/>
              <w:rPr>
                <w:sz w:val="20"/>
                <w:szCs w:val="20"/>
                <w:color w:val="auto"/>
              </w:rPr>
            </w:pPr>
            <w:r>
              <w:rPr>
                <w:rFonts w:ascii="Calibri" w:cs="Calibri" w:eastAsia="Calibri" w:hAnsi="Calibri"/>
                <w:sz w:val="14"/>
                <w:szCs w:val="14"/>
                <w:color w:val="auto"/>
              </w:rPr>
              <w:t>(0.2)</w:t>
            </w:r>
          </w:p>
        </w:tc>
        <w:tc>
          <w:tcPr>
            <w:tcW w:w="68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 %</w:t>
            </w:r>
          </w:p>
        </w:tc>
        <w:tc>
          <w:tcPr>
            <w:tcW w:w="560" w:type="dxa"/>
            <w:vAlign w:val="bottom"/>
            <w:tcBorders>
              <w:bottom w:val="single" w:sz="8" w:color="DBDBDB"/>
            </w:tcBorders>
            <w:shd w:val="clear" w:color="auto" w:fill="DBDBDB"/>
          </w:tcPr>
          <w:p>
            <w:pPr>
              <w:spacing w:after="0"/>
              <w:rPr>
                <w:sz w:val="18"/>
                <w:szCs w:val="18"/>
                <w:color w:val="auto"/>
              </w:rPr>
            </w:pPr>
          </w:p>
        </w:tc>
        <w:tc>
          <w:tcPr>
            <w:tcW w:w="900" w:type="dxa"/>
            <w:vAlign w:val="bottom"/>
            <w:tcBorders>
              <w:bottom w:val="single" w:sz="8" w:color="DBDBDB"/>
            </w:tcBorders>
            <w:shd w:val="clear" w:color="auto" w:fill="DBDBDB"/>
          </w:tcPr>
          <w:p>
            <w:pPr>
              <w:jc w:val="right"/>
              <w:ind w:right="149"/>
              <w:spacing w:after="0" w:line="169" w:lineRule="exact"/>
              <w:rPr>
                <w:sz w:val="20"/>
                <w:szCs w:val="20"/>
                <w:color w:val="auto"/>
              </w:rPr>
            </w:pPr>
            <w:r>
              <w:rPr>
                <w:rFonts w:ascii="Calibri" w:cs="Calibri" w:eastAsia="Calibri" w:hAnsi="Calibri"/>
                <w:sz w:val="14"/>
                <w:szCs w:val="14"/>
                <w:color w:val="auto"/>
              </w:rPr>
              <w:t>1.9</w:t>
            </w:r>
          </w:p>
        </w:tc>
        <w:tc>
          <w:tcPr>
            <w:tcW w:w="70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 %</w:t>
            </w:r>
          </w:p>
        </w:tc>
        <w:tc>
          <w:tcPr>
            <w:tcW w:w="66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189"/>
              <w:spacing w:after="0" w:line="169" w:lineRule="exact"/>
              <w:rPr>
                <w:sz w:val="20"/>
                <w:szCs w:val="20"/>
                <w:color w:val="auto"/>
              </w:rPr>
            </w:pPr>
            <w:r>
              <w:rPr>
                <w:rFonts w:ascii="Calibri" w:cs="Calibri" w:eastAsia="Calibri" w:hAnsi="Calibri"/>
                <w:sz w:val="14"/>
                <w:szCs w:val="14"/>
                <w:color w:val="auto"/>
              </w:rPr>
              <w:t>2.1</w:t>
            </w:r>
          </w:p>
        </w:tc>
        <w:tc>
          <w:tcPr>
            <w:tcW w:w="5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1 %</w:t>
            </w:r>
          </w:p>
        </w:tc>
      </w:tr>
      <w:tr>
        <w:trPr>
          <w:trHeight w:val="169"/>
        </w:trPr>
        <w:tc>
          <w:tcPr>
            <w:tcW w:w="3180" w:type="dxa"/>
            <w:vAlign w:val="bottom"/>
          </w:tcPr>
          <w:p>
            <w:pPr>
              <w:ind w:left="20"/>
              <w:spacing w:after="0" w:line="169" w:lineRule="exact"/>
              <w:rPr>
                <w:sz w:val="20"/>
                <w:szCs w:val="20"/>
                <w:color w:val="auto"/>
              </w:rPr>
            </w:pPr>
            <w:r>
              <w:rPr>
                <w:rFonts w:ascii="Calibri" w:cs="Calibri" w:eastAsia="Calibri" w:hAnsi="Calibri"/>
                <w:sz w:val="14"/>
                <w:szCs w:val="14"/>
                <w:color w:val="auto"/>
              </w:rPr>
              <w:t>Other income (expense)</w:t>
            </w:r>
          </w:p>
        </w:tc>
        <w:tc>
          <w:tcPr>
            <w:tcW w:w="380" w:type="dxa"/>
            <w:vAlign w:val="bottom"/>
          </w:tcPr>
          <w:p>
            <w:pPr>
              <w:spacing w:after="0"/>
              <w:rPr>
                <w:sz w:val="14"/>
                <w:szCs w:val="14"/>
                <w:color w:val="auto"/>
              </w:rPr>
            </w:pPr>
          </w:p>
        </w:tc>
        <w:tc>
          <w:tcPr>
            <w:tcW w:w="8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2.9</w:t>
            </w:r>
          </w:p>
        </w:tc>
        <w:tc>
          <w:tcPr>
            <w:tcW w:w="72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1 %</w:t>
            </w:r>
          </w:p>
        </w:tc>
        <w:tc>
          <w:tcPr>
            <w:tcW w:w="680" w:type="dxa"/>
            <w:vAlign w:val="bottom"/>
          </w:tcPr>
          <w:p>
            <w:pPr>
              <w:spacing w:after="0"/>
              <w:rPr>
                <w:sz w:val="14"/>
                <w:szCs w:val="14"/>
                <w:color w:val="auto"/>
              </w:rPr>
            </w:pPr>
          </w:p>
        </w:tc>
        <w:tc>
          <w:tcPr>
            <w:tcW w:w="64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(0.3)</w:t>
            </w:r>
          </w:p>
        </w:tc>
        <w:tc>
          <w:tcPr>
            <w:tcW w:w="68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 %</w:t>
            </w:r>
          </w:p>
        </w:tc>
        <w:tc>
          <w:tcPr>
            <w:tcW w:w="560" w:type="dxa"/>
            <w:vAlign w:val="bottom"/>
          </w:tcPr>
          <w:p>
            <w:pPr>
              <w:spacing w:after="0"/>
              <w:rPr>
                <w:sz w:val="14"/>
                <w:szCs w:val="14"/>
                <w:color w:val="auto"/>
              </w:rPr>
            </w:pPr>
          </w:p>
        </w:tc>
        <w:tc>
          <w:tcPr>
            <w:tcW w:w="900" w:type="dxa"/>
            <w:vAlign w:val="bottom"/>
          </w:tcPr>
          <w:p>
            <w:pPr>
              <w:jc w:val="right"/>
              <w:ind w:right="149"/>
              <w:spacing w:after="0" w:line="169" w:lineRule="exact"/>
              <w:rPr>
                <w:sz w:val="20"/>
                <w:szCs w:val="20"/>
                <w:color w:val="auto"/>
              </w:rPr>
            </w:pPr>
            <w:r>
              <w:rPr>
                <w:rFonts w:ascii="Calibri" w:cs="Calibri" w:eastAsia="Calibri" w:hAnsi="Calibri"/>
                <w:sz w:val="14"/>
                <w:szCs w:val="14"/>
                <w:color w:val="auto"/>
              </w:rPr>
              <w:t>4.5</w:t>
            </w:r>
          </w:p>
        </w:tc>
        <w:tc>
          <w:tcPr>
            <w:tcW w:w="7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1 %</w:t>
            </w:r>
          </w:p>
        </w:tc>
        <w:tc>
          <w:tcPr>
            <w:tcW w:w="660" w:type="dxa"/>
            <w:vAlign w:val="bottom"/>
          </w:tcPr>
          <w:p>
            <w:pPr>
              <w:spacing w:after="0"/>
              <w:rPr>
                <w:sz w:val="14"/>
                <w:szCs w:val="14"/>
                <w:color w:val="auto"/>
              </w:rPr>
            </w:pPr>
          </w:p>
        </w:tc>
        <w:tc>
          <w:tcPr>
            <w:tcW w:w="760" w:type="dxa"/>
            <w:vAlign w:val="bottom"/>
          </w:tcPr>
          <w:p>
            <w:pPr>
              <w:jc w:val="right"/>
              <w:ind w:right="169"/>
              <w:spacing w:after="0" w:line="169" w:lineRule="exact"/>
              <w:rPr>
                <w:sz w:val="20"/>
                <w:szCs w:val="20"/>
                <w:color w:val="auto"/>
              </w:rPr>
            </w:pPr>
            <w:r>
              <w:rPr>
                <w:rFonts w:ascii="Calibri" w:cs="Calibri" w:eastAsia="Calibri" w:hAnsi="Calibri"/>
                <w:sz w:val="14"/>
                <w:szCs w:val="14"/>
                <w:color w:val="auto"/>
              </w:rPr>
              <w:t>(0.3)</w:t>
            </w:r>
          </w:p>
        </w:tc>
        <w:tc>
          <w:tcPr>
            <w:tcW w:w="580" w:type="dxa"/>
            <w:vAlign w:val="bottom"/>
          </w:tcPr>
          <w:p>
            <w:pPr>
              <w:jc w:val="right"/>
              <w:spacing w:after="0" w:line="169" w:lineRule="exact"/>
              <w:rPr>
                <w:sz w:val="20"/>
                <w:szCs w:val="20"/>
                <w:color w:val="auto"/>
              </w:rPr>
            </w:pPr>
            <w:r>
              <w:rPr>
                <w:rFonts w:ascii="Calibri" w:cs="Calibri" w:eastAsia="Calibri" w:hAnsi="Calibri"/>
                <w:sz w:val="14"/>
                <w:szCs w:val="14"/>
                <w:color w:val="auto"/>
              </w:rPr>
              <w:t>— %</w:t>
            </w:r>
          </w:p>
        </w:tc>
      </w:tr>
      <w:tr>
        <w:trPr>
          <w:trHeight w:val="58"/>
        </w:trPr>
        <w:tc>
          <w:tcPr>
            <w:tcW w:w="3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01"/>
        </w:trPr>
        <w:tc>
          <w:tcPr>
            <w:tcW w:w="318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Income (loss) before income taxes</w:t>
            </w:r>
          </w:p>
        </w:tc>
        <w:tc>
          <w:tcPr>
            <w:tcW w:w="3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3.2</w:t>
            </w:r>
          </w:p>
        </w:tc>
        <w:tc>
          <w:tcPr>
            <w:tcW w:w="72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1 %</w:t>
            </w:r>
          </w:p>
        </w:tc>
        <w:tc>
          <w:tcPr>
            <w:tcW w:w="68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9.5</w:t>
            </w:r>
          </w:p>
        </w:tc>
        <w:tc>
          <w:tcPr>
            <w:tcW w:w="68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4 %</w:t>
            </w:r>
          </w:p>
        </w:tc>
        <w:tc>
          <w:tcPr>
            <w:tcW w:w="56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(12.7)</w:t>
            </w:r>
          </w:p>
        </w:tc>
        <w:tc>
          <w:tcPr>
            <w:tcW w:w="70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(3)%</w:t>
            </w:r>
          </w:p>
        </w:tc>
        <w:tc>
          <w:tcPr>
            <w:tcW w:w="66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189"/>
              <w:spacing w:after="0" w:line="162" w:lineRule="exact"/>
              <w:rPr>
                <w:sz w:val="20"/>
                <w:szCs w:val="20"/>
                <w:color w:val="auto"/>
              </w:rPr>
            </w:pPr>
            <w:r>
              <w:rPr>
                <w:rFonts w:ascii="Calibri" w:cs="Calibri" w:eastAsia="Calibri" w:hAnsi="Calibri"/>
                <w:sz w:val="14"/>
                <w:szCs w:val="14"/>
                <w:color w:val="auto"/>
              </w:rPr>
              <w:t>19.0</w:t>
            </w:r>
          </w:p>
        </w:tc>
        <w:tc>
          <w:tcPr>
            <w:tcW w:w="5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5 %</w:t>
            </w:r>
          </w:p>
        </w:tc>
      </w:tr>
      <w:tr>
        <w:trPr>
          <w:trHeight w:val="169"/>
        </w:trPr>
        <w:tc>
          <w:tcPr>
            <w:tcW w:w="3180" w:type="dxa"/>
            <w:vAlign w:val="bottom"/>
          </w:tcPr>
          <w:p>
            <w:pPr>
              <w:ind w:left="20"/>
              <w:spacing w:after="0" w:line="169" w:lineRule="exact"/>
              <w:rPr>
                <w:sz w:val="20"/>
                <w:szCs w:val="20"/>
                <w:color w:val="auto"/>
              </w:rPr>
            </w:pPr>
            <w:r>
              <w:rPr>
                <w:rFonts w:ascii="Calibri" w:cs="Calibri" w:eastAsia="Calibri" w:hAnsi="Calibri"/>
                <w:sz w:val="14"/>
                <w:szCs w:val="14"/>
                <w:color w:val="auto"/>
              </w:rPr>
              <w:t>Provision (beneft) for income taxes</w:t>
            </w:r>
          </w:p>
        </w:tc>
        <w:tc>
          <w:tcPr>
            <w:tcW w:w="380" w:type="dxa"/>
            <w:vAlign w:val="bottom"/>
          </w:tcPr>
          <w:p>
            <w:pPr>
              <w:spacing w:after="0"/>
              <w:rPr>
                <w:sz w:val="14"/>
                <w:szCs w:val="14"/>
                <w:color w:val="auto"/>
              </w:rPr>
            </w:pPr>
          </w:p>
        </w:tc>
        <w:tc>
          <w:tcPr>
            <w:tcW w:w="8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0.8</w:t>
            </w:r>
          </w:p>
        </w:tc>
        <w:tc>
          <w:tcPr>
            <w:tcW w:w="72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 %</w:t>
            </w:r>
          </w:p>
        </w:tc>
        <w:tc>
          <w:tcPr>
            <w:tcW w:w="680" w:type="dxa"/>
            <w:vAlign w:val="bottom"/>
          </w:tcPr>
          <w:p>
            <w:pPr>
              <w:spacing w:after="0"/>
              <w:rPr>
                <w:sz w:val="14"/>
                <w:szCs w:val="14"/>
                <w:color w:val="auto"/>
              </w:rPr>
            </w:pPr>
          </w:p>
        </w:tc>
        <w:tc>
          <w:tcPr>
            <w:tcW w:w="64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2.1</w:t>
            </w:r>
          </w:p>
        </w:tc>
        <w:tc>
          <w:tcPr>
            <w:tcW w:w="68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1 %</w:t>
            </w:r>
          </w:p>
        </w:tc>
        <w:tc>
          <w:tcPr>
            <w:tcW w:w="560" w:type="dxa"/>
            <w:vAlign w:val="bottom"/>
          </w:tcPr>
          <w:p>
            <w:pPr>
              <w:spacing w:after="0"/>
              <w:rPr>
                <w:sz w:val="14"/>
                <w:szCs w:val="14"/>
                <w:color w:val="auto"/>
              </w:rPr>
            </w:pPr>
          </w:p>
        </w:tc>
        <w:tc>
          <w:tcPr>
            <w:tcW w:w="90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rPr>
              <w:t>(1.7)</w:t>
            </w:r>
          </w:p>
        </w:tc>
        <w:tc>
          <w:tcPr>
            <w:tcW w:w="7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 %</w:t>
            </w:r>
          </w:p>
        </w:tc>
        <w:tc>
          <w:tcPr>
            <w:tcW w:w="660" w:type="dxa"/>
            <w:vAlign w:val="bottom"/>
          </w:tcPr>
          <w:p>
            <w:pPr>
              <w:spacing w:after="0"/>
              <w:rPr>
                <w:sz w:val="14"/>
                <w:szCs w:val="14"/>
                <w:color w:val="auto"/>
              </w:rPr>
            </w:pPr>
          </w:p>
        </w:tc>
        <w:tc>
          <w:tcPr>
            <w:tcW w:w="760" w:type="dxa"/>
            <w:vAlign w:val="bottom"/>
          </w:tcPr>
          <w:p>
            <w:pPr>
              <w:jc w:val="right"/>
              <w:ind w:right="189"/>
              <w:spacing w:after="0" w:line="169" w:lineRule="exact"/>
              <w:rPr>
                <w:sz w:val="20"/>
                <w:szCs w:val="20"/>
                <w:color w:val="auto"/>
              </w:rPr>
            </w:pPr>
            <w:r>
              <w:rPr>
                <w:rFonts w:ascii="Calibri" w:cs="Calibri" w:eastAsia="Calibri" w:hAnsi="Calibri"/>
                <w:sz w:val="14"/>
                <w:szCs w:val="14"/>
                <w:color w:val="auto"/>
              </w:rPr>
              <w:t>9.4</w:t>
            </w:r>
          </w:p>
        </w:tc>
        <w:tc>
          <w:tcPr>
            <w:tcW w:w="580" w:type="dxa"/>
            <w:vAlign w:val="bottom"/>
          </w:tcPr>
          <w:p>
            <w:pPr>
              <w:jc w:val="right"/>
              <w:spacing w:after="0" w:line="169" w:lineRule="exact"/>
              <w:rPr>
                <w:sz w:val="20"/>
                <w:szCs w:val="20"/>
                <w:color w:val="auto"/>
              </w:rPr>
            </w:pPr>
            <w:r>
              <w:rPr>
                <w:rFonts w:ascii="Calibri" w:cs="Calibri" w:eastAsia="Calibri" w:hAnsi="Calibri"/>
                <w:sz w:val="14"/>
                <w:szCs w:val="14"/>
                <w:color w:val="auto"/>
              </w:rPr>
              <w:t>2 %</w:t>
            </w:r>
          </w:p>
        </w:tc>
      </w:tr>
      <w:tr>
        <w:trPr>
          <w:trHeight w:val="58"/>
        </w:trPr>
        <w:tc>
          <w:tcPr>
            <w:tcW w:w="3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01"/>
        </w:trPr>
        <w:tc>
          <w:tcPr>
            <w:tcW w:w="318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income (loss)</w:t>
            </w:r>
          </w:p>
        </w:tc>
        <w:tc>
          <w:tcPr>
            <w:tcW w:w="380" w:type="dxa"/>
            <w:vAlign w:val="bottom"/>
            <w:tcBorders>
              <w:bottom w:val="single" w:sz="8" w:color="DBDBDB"/>
            </w:tcBorders>
            <w:shd w:val="clear" w:color="auto" w:fill="DBDBDB"/>
          </w:tcPr>
          <w:p>
            <w:pPr>
              <w:jc w:val="right"/>
              <w:ind w:right="229"/>
              <w:spacing w:after="0" w:line="162" w:lineRule="exact"/>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DBDBDB"/>
            </w:tcBorders>
            <w:shd w:val="clear" w:color="auto" w:fill="DBDBDB"/>
          </w:tcPr>
          <w:p>
            <w:pPr>
              <w:jc w:val="right"/>
              <w:ind w:right="49"/>
              <w:spacing w:after="0" w:line="162" w:lineRule="exact"/>
              <w:rPr>
                <w:sz w:val="20"/>
                <w:szCs w:val="20"/>
                <w:color w:val="auto"/>
              </w:rPr>
            </w:pPr>
            <w:r>
              <w:rPr>
                <w:rFonts w:ascii="Calibri" w:cs="Calibri" w:eastAsia="Calibri" w:hAnsi="Calibri"/>
                <w:sz w:val="14"/>
                <w:szCs w:val="14"/>
                <w:color w:val="auto"/>
              </w:rPr>
              <w:t>2.4</w:t>
            </w:r>
          </w:p>
        </w:tc>
        <w:tc>
          <w:tcPr>
            <w:tcW w:w="72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1 %</w:t>
            </w:r>
          </w:p>
        </w:tc>
        <w:tc>
          <w:tcPr>
            <w:tcW w:w="680" w:type="dxa"/>
            <w:vAlign w:val="bottom"/>
            <w:tcBorders>
              <w:bottom w:val="single" w:sz="8" w:color="DBDBDB"/>
            </w:tcBorders>
            <w:shd w:val="clear" w:color="auto" w:fill="DBDBDB"/>
          </w:tcPr>
          <w:p>
            <w:pPr>
              <w:jc w:val="right"/>
              <w:ind w:right="449"/>
              <w:spacing w:after="0" w:line="162" w:lineRule="exact"/>
              <w:rPr>
                <w:sz w:val="20"/>
                <w:szCs w:val="20"/>
                <w:color w:val="auto"/>
              </w:rPr>
            </w:pPr>
            <w:r>
              <w:rPr>
                <w:rFonts w:ascii="Calibri" w:cs="Calibri" w:eastAsia="Calibri" w:hAnsi="Calibri"/>
                <w:sz w:val="14"/>
                <w:szCs w:val="14"/>
                <w:color w:val="auto"/>
              </w:rPr>
              <w:t>$</w:t>
            </w:r>
          </w:p>
        </w:tc>
        <w:tc>
          <w:tcPr>
            <w:tcW w:w="64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7.4</w:t>
            </w:r>
          </w:p>
        </w:tc>
        <w:tc>
          <w:tcPr>
            <w:tcW w:w="68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3 %</w:t>
            </w:r>
          </w:p>
        </w:tc>
        <w:tc>
          <w:tcPr>
            <w:tcW w:w="560" w:type="dxa"/>
            <w:vAlign w:val="bottom"/>
            <w:tcBorders>
              <w:bottom w:val="single" w:sz="8" w:color="DBDBDB"/>
            </w:tcBorders>
            <w:shd w:val="clear" w:color="auto" w:fill="DBDBDB"/>
          </w:tcPr>
          <w:p>
            <w:pPr>
              <w:jc w:val="right"/>
              <w:ind w:right="229"/>
              <w:spacing w:after="0" w:line="162" w:lineRule="exact"/>
              <w:rPr>
                <w:sz w:val="20"/>
                <w:szCs w:val="20"/>
                <w:color w:val="auto"/>
              </w:rPr>
            </w:pPr>
            <w:r>
              <w:rPr>
                <w:rFonts w:ascii="Calibri" w:cs="Calibri" w:eastAsia="Calibri" w:hAnsi="Calibri"/>
                <w:sz w:val="14"/>
                <w:szCs w:val="14"/>
                <w:color w:val="auto"/>
              </w:rPr>
              <w:t>$</w:t>
            </w:r>
          </w:p>
        </w:tc>
        <w:tc>
          <w:tcPr>
            <w:tcW w:w="90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rPr>
              <w:t>(11.0)</w:t>
            </w:r>
          </w:p>
        </w:tc>
        <w:tc>
          <w:tcPr>
            <w:tcW w:w="70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(2)%</w:t>
            </w:r>
          </w:p>
        </w:tc>
        <w:tc>
          <w:tcPr>
            <w:tcW w:w="660" w:type="dxa"/>
            <w:vAlign w:val="bottom"/>
            <w:tcBorders>
              <w:bottom w:val="single" w:sz="8" w:color="DBDBDB"/>
            </w:tcBorders>
            <w:shd w:val="clear" w:color="auto" w:fill="DBDBDB"/>
          </w:tcPr>
          <w:p>
            <w:pPr>
              <w:jc w:val="right"/>
              <w:ind w:right="429"/>
              <w:spacing w:after="0" w:line="162"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ind w:right="189"/>
              <w:spacing w:after="0" w:line="162" w:lineRule="exact"/>
              <w:rPr>
                <w:sz w:val="20"/>
                <w:szCs w:val="20"/>
                <w:color w:val="auto"/>
              </w:rPr>
            </w:pPr>
            <w:r>
              <w:rPr>
                <w:rFonts w:ascii="Calibri" w:cs="Calibri" w:eastAsia="Calibri" w:hAnsi="Calibri"/>
                <w:sz w:val="14"/>
                <w:szCs w:val="14"/>
                <w:color w:val="auto"/>
              </w:rPr>
              <w:t>9.6</w:t>
            </w:r>
          </w:p>
        </w:tc>
        <w:tc>
          <w:tcPr>
            <w:tcW w:w="5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2 %</w:t>
            </w:r>
          </w:p>
        </w:tc>
      </w:tr>
      <w:tr>
        <w:trPr>
          <w:trHeight w:val="20"/>
        </w:trPr>
        <w:tc>
          <w:tcPr>
            <w:tcW w:w="3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-1783080</wp:posOffset>
            </wp:positionV>
            <wp:extent cx="51206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20640" cy="8255"/>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-1935480</wp:posOffset>
            </wp:positionV>
            <wp:extent cx="51206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20640" cy="82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Net sales</w:t>
      </w:r>
    </w:p>
    <w:p>
      <w:pPr>
        <w:spacing w:after="0" w:line="222" w:lineRule="exact"/>
        <w:rPr>
          <w:sz w:val="20"/>
          <w:szCs w:val="20"/>
          <w:color w:val="auto"/>
        </w:rPr>
      </w:pPr>
    </w:p>
    <w:p>
      <w:pPr>
        <w:jc w:val="both"/>
        <w:ind w:right="340" w:firstLine="642"/>
        <w:spacing w:after="0" w:line="237" w:lineRule="auto"/>
        <w:rPr>
          <w:sz w:val="20"/>
          <w:szCs w:val="20"/>
          <w:color w:val="auto"/>
        </w:rPr>
      </w:pPr>
      <w:r>
        <w:rPr>
          <w:rFonts w:ascii="Calibri" w:cs="Calibri" w:eastAsia="Calibri" w:hAnsi="Calibri"/>
          <w:sz w:val="16"/>
          <w:szCs w:val="16"/>
          <w:color w:val="auto"/>
        </w:rPr>
        <w:t>Our net sales are generated predominantly from the shipment of fresh avocados to retail, wholesale and foodservice customers worldwide. Our net sales are afected by numerous factors, including the balance between the supply of and demand for our produce and competton from other fresh produce companies. Our net sales are also dependent on our ability to supply a consistent volume and quality of fresh produce to the markets we serve.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shd w:val="clear" w:color="auto" w:fill="43C0B9"/>
          </w:tcPr>
          <w:p>
            <w:pPr>
              <w:spacing w:after="0"/>
              <w:rPr>
                <w:sz w:val="15"/>
                <w:szCs w:val="15"/>
                <w:color w:val="auto"/>
              </w:rPr>
            </w:pPr>
          </w:p>
        </w:tc>
        <w:tc>
          <w:tcPr>
            <w:tcW w:w="540" w:type="dxa"/>
            <w:vAlign w:val="bottom"/>
            <w:shd w:val="clear" w:color="auto" w:fill="43C0B9"/>
          </w:tcPr>
          <w:p>
            <w:pPr>
              <w:spacing w:after="0"/>
              <w:rPr>
                <w:sz w:val="15"/>
                <w:szCs w:val="15"/>
                <w:color w:val="auto"/>
              </w:rPr>
            </w:pPr>
          </w:p>
        </w:tc>
        <w:tc>
          <w:tcPr>
            <w:tcW w:w="1980" w:type="dxa"/>
            <w:vAlign w:val="bottom"/>
            <w:gridSpan w:val="2"/>
            <w:shd w:val="clear" w:color="auto" w:fill="43C0B9"/>
          </w:tcPr>
          <w:p>
            <w:pPr>
              <w:jc w:val="right"/>
              <w:ind w:right="229"/>
              <w:spacing w:after="0"/>
              <w:rPr>
                <w:sz w:val="20"/>
                <w:szCs w:val="20"/>
                <w:color w:val="auto"/>
              </w:rPr>
            </w:pPr>
            <w:r>
              <w:rPr>
                <w:rFonts w:ascii="Calibri" w:cs="Calibri" w:eastAsia="Calibri" w:hAnsi="Calibri"/>
                <w:sz w:val="14"/>
                <w:szCs w:val="14"/>
                <w:b w:val="1"/>
                <w:bCs w:val="1"/>
                <w:color w:val="FFFFFF"/>
              </w:rPr>
              <w:t>Three Months Ended</w:t>
            </w:r>
          </w:p>
        </w:tc>
        <w:tc>
          <w:tcPr>
            <w:tcW w:w="760" w:type="dxa"/>
            <w:vAlign w:val="bottom"/>
            <w:shd w:val="clear" w:color="auto" w:fill="43C0B9"/>
          </w:tcPr>
          <w:p>
            <w:pPr>
              <w:spacing w:after="0"/>
              <w:rPr>
                <w:sz w:val="15"/>
                <w:szCs w:val="15"/>
                <w:color w:val="auto"/>
              </w:rPr>
            </w:pPr>
          </w:p>
        </w:tc>
        <w:tc>
          <w:tcPr>
            <w:tcW w:w="680" w:type="dxa"/>
            <w:vAlign w:val="bottom"/>
            <w:shd w:val="clear" w:color="auto" w:fill="43C0B9"/>
          </w:tcPr>
          <w:p>
            <w:pPr>
              <w:spacing w:after="0"/>
              <w:rPr>
                <w:sz w:val="15"/>
                <w:szCs w:val="15"/>
                <w:color w:val="auto"/>
              </w:rPr>
            </w:pPr>
          </w:p>
        </w:tc>
        <w:tc>
          <w:tcPr>
            <w:tcW w:w="1900" w:type="dxa"/>
            <w:vAlign w:val="bottom"/>
            <w:gridSpan w:val="2"/>
            <w:shd w:val="clear" w:color="auto" w:fill="43C0B9"/>
          </w:tcPr>
          <w:p>
            <w:pPr>
              <w:jc w:val="right"/>
              <w:ind w:right="269"/>
              <w:spacing w:after="0"/>
              <w:rPr>
                <w:sz w:val="20"/>
                <w:szCs w:val="20"/>
                <w:color w:val="auto"/>
              </w:rPr>
            </w:pPr>
            <w:r>
              <w:rPr>
                <w:rFonts w:ascii="Calibri" w:cs="Calibri" w:eastAsia="Calibri" w:hAnsi="Calibri"/>
                <w:sz w:val="14"/>
                <w:szCs w:val="14"/>
                <w:b w:val="1"/>
                <w:bCs w:val="1"/>
                <w:color w:val="FFFFFF"/>
              </w:rPr>
              <w:t>Six Months Ended</w:t>
            </w:r>
          </w:p>
        </w:tc>
        <w:tc>
          <w:tcPr>
            <w:tcW w:w="740" w:type="dxa"/>
            <w:vAlign w:val="bottom"/>
            <w:shd w:val="clear" w:color="auto" w:fill="43C0B9"/>
          </w:tcPr>
          <w:p>
            <w:pPr>
              <w:spacing w:after="0"/>
              <w:rPr>
                <w:sz w:val="15"/>
                <w:szCs w:val="15"/>
                <w:color w:val="auto"/>
              </w:rPr>
            </w:pPr>
          </w:p>
        </w:tc>
      </w:tr>
      <w:tr>
        <w:trPr>
          <w:trHeight w:val="169"/>
        </w:trPr>
        <w:tc>
          <w:tcPr>
            <w:tcW w:w="4640" w:type="dxa"/>
            <w:vAlign w:val="bottom"/>
            <w:shd w:val="clear" w:color="auto" w:fill="43C0B9"/>
          </w:tcPr>
          <w:p>
            <w:pPr>
              <w:spacing w:after="0"/>
              <w:rPr>
                <w:sz w:val="14"/>
                <w:szCs w:val="14"/>
                <w:color w:val="auto"/>
              </w:rPr>
            </w:pPr>
          </w:p>
        </w:tc>
        <w:tc>
          <w:tcPr>
            <w:tcW w:w="540" w:type="dxa"/>
            <w:vAlign w:val="bottom"/>
            <w:shd w:val="clear" w:color="auto" w:fill="43C0B9"/>
          </w:tcPr>
          <w:p>
            <w:pPr>
              <w:spacing w:after="0"/>
              <w:rPr>
                <w:sz w:val="14"/>
                <w:szCs w:val="14"/>
                <w:color w:val="auto"/>
              </w:rPr>
            </w:pPr>
          </w:p>
        </w:tc>
        <w:tc>
          <w:tcPr>
            <w:tcW w:w="1980" w:type="dxa"/>
            <w:vAlign w:val="bottom"/>
            <w:gridSpan w:val="2"/>
            <w:shd w:val="clear" w:color="auto" w:fill="43C0B9"/>
          </w:tcPr>
          <w:p>
            <w:pPr>
              <w:jc w:val="right"/>
              <w:ind w:right="589"/>
              <w:spacing w:after="0" w:line="169" w:lineRule="exact"/>
              <w:rPr>
                <w:sz w:val="20"/>
                <w:szCs w:val="20"/>
                <w:color w:val="auto"/>
              </w:rPr>
            </w:pPr>
            <w:r>
              <w:rPr>
                <w:rFonts w:ascii="Calibri" w:cs="Calibri" w:eastAsia="Calibri" w:hAnsi="Calibri"/>
                <w:sz w:val="14"/>
                <w:szCs w:val="14"/>
                <w:b w:val="1"/>
                <w:bCs w:val="1"/>
                <w:color w:val="FFFFFF"/>
              </w:rPr>
              <w:t>April 30,</w:t>
            </w:r>
          </w:p>
        </w:tc>
        <w:tc>
          <w:tcPr>
            <w:tcW w:w="760" w:type="dxa"/>
            <w:vAlign w:val="bottom"/>
            <w:shd w:val="clear" w:color="auto" w:fill="43C0B9"/>
          </w:tcPr>
          <w:p>
            <w:pPr>
              <w:spacing w:after="0"/>
              <w:rPr>
                <w:sz w:val="14"/>
                <w:szCs w:val="14"/>
                <w:color w:val="auto"/>
              </w:rPr>
            </w:pPr>
          </w:p>
        </w:tc>
        <w:tc>
          <w:tcPr>
            <w:tcW w:w="680" w:type="dxa"/>
            <w:vAlign w:val="bottom"/>
            <w:shd w:val="clear" w:color="auto" w:fill="43C0B9"/>
          </w:tcPr>
          <w:p>
            <w:pPr>
              <w:spacing w:after="0"/>
              <w:rPr>
                <w:sz w:val="14"/>
                <w:szCs w:val="14"/>
                <w:color w:val="auto"/>
              </w:rPr>
            </w:pPr>
          </w:p>
        </w:tc>
        <w:tc>
          <w:tcPr>
            <w:tcW w:w="1900" w:type="dxa"/>
            <w:vAlign w:val="bottom"/>
            <w:gridSpan w:val="2"/>
            <w:shd w:val="clear" w:color="auto" w:fill="43C0B9"/>
          </w:tcPr>
          <w:p>
            <w:pPr>
              <w:jc w:val="right"/>
              <w:ind w:right="549"/>
              <w:spacing w:after="0" w:line="169" w:lineRule="exact"/>
              <w:rPr>
                <w:sz w:val="20"/>
                <w:szCs w:val="20"/>
                <w:color w:val="auto"/>
              </w:rPr>
            </w:pPr>
            <w:r>
              <w:rPr>
                <w:rFonts w:ascii="Calibri" w:cs="Calibri" w:eastAsia="Calibri" w:hAnsi="Calibri"/>
                <w:sz w:val="14"/>
                <w:szCs w:val="14"/>
                <w:b w:val="1"/>
                <w:bCs w:val="1"/>
                <w:color w:val="FFFFFF"/>
              </w:rPr>
              <w:t>April 30,</w:t>
            </w:r>
          </w:p>
        </w:tc>
        <w:tc>
          <w:tcPr>
            <w:tcW w:w="740" w:type="dxa"/>
            <w:vAlign w:val="bottom"/>
            <w:shd w:val="clear" w:color="auto" w:fill="43C0B9"/>
          </w:tcPr>
          <w:p>
            <w:pPr>
              <w:spacing w:after="0"/>
              <w:rPr>
                <w:sz w:val="14"/>
                <w:szCs w:val="14"/>
                <w:color w:val="auto"/>
              </w:rPr>
            </w:pPr>
          </w:p>
        </w:tc>
      </w:tr>
      <w:tr>
        <w:trPr>
          <w:trHeight w:val="280"/>
        </w:trPr>
        <w:tc>
          <w:tcPr>
            <w:tcW w:w="46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54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69"/>
              <w:spacing w:after="0"/>
              <w:rPr>
                <w:sz w:val="20"/>
                <w:szCs w:val="20"/>
                <w:color w:val="auto"/>
              </w:rPr>
            </w:pPr>
            <w:r>
              <w:rPr>
                <w:rFonts w:ascii="Calibri" w:cs="Calibri" w:eastAsia="Calibri" w:hAnsi="Calibri"/>
                <w:sz w:val="14"/>
                <w:szCs w:val="14"/>
                <w:b w:val="1"/>
                <w:bCs w:val="1"/>
                <w:color w:val="FFFFFF"/>
              </w:rPr>
              <w:t>2022</w:t>
            </w:r>
          </w:p>
        </w:tc>
        <w:tc>
          <w:tcPr>
            <w:tcW w:w="940" w:type="dxa"/>
            <w:vAlign w:val="bottom"/>
            <w:tcBorders>
              <w:bottom w:val="single" w:sz="8" w:color="43C0B9"/>
            </w:tcBorders>
            <w:shd w:val="clear" w:color="auto" w:fill="43C0B9"/>
          </w:tcPr>
          <w:p>
            <w:pPr>
              <w:spacing w:after="0"/>
              <w:rPr>
                <w:sz w:val="24"/>
                <w:szCs w:val="24"/>
                <w:color w:val="auto"/>
              </w:rPr>
            </w:pPr>
          </w:p>
        </w:tc>
        <w:tc>
          <w:tcPr>
            <w:tcW w:w="760" w:type="dxa"/>
            <w:vAlign w:val="bottom"/>
            <w:tcBorders>
              <w:bottom w:val="single" w:sz="8" w:color="43C0B9"/>
            </w:tcBorders>
            <w:shd w:val="clear" w:color="auto" w:fill="43C0B9"/>
          </w:tcPr>
          <w:p>
            <w:pPr>
              <w:jc w:val="right"/>
              <w:ind w:right="109"/>
              <w:spacing w:after="0"/>
              <w:rPr>
                <w:sz w:val="20"/>
                <w:szCs w:val="20"/>
                <w:color w:val="auto"/>
              </w:rPr>
            </w:pPr>
            <w:r>
              <w:rPr>
                <w:rFonts w:ascii="Calibri" w:cs="Calibri" w:eastAsia="Calibri" w:hAnsi="Calibri"/>
                <w:sz w:val="14"/>
                <w:szCs w:val="14"/>
                <w:b w:val="1"/>
                <w:bCs w:val="1"/>
                <w:color w:val="FFFFFF"/>
              </w:rPr>
              <w:t>2021</w:t>
            </w:r>
          </w:p>
        </w:tc>
        <w:tc>
          <w:tcPr>
            <w:tcW w:w="680" w:type="dxa"/>
            <w:vAlign w:val="bottom"/>
            <w:tcBorders>
              <w:bottom w:val="single" w:sz="8" w:color="43C0B9"/>
            </w:tcBorders>
            <w:shd w:val="clear" w:color="auto" w:fill="43C0B9"/>
          </w:tcPr>
          <w:p>
            <w:pPr>
              <w:spacing w:after="0"/>
              <w:rPr>
                <w:sz w:val="24"/>
                <w:szCs w:val="24"/>
                <w:color w:val="auto"/>
              </w:rPr>
            </w:pPr>
          </w:p>
        </w:tc>
        <w:tc>
          <w:tcPr>
            <w:tcW w:w="1000" w:type="dxa"/>
            <w:vAlign w:val="bottom"/>
            <w:tcBorders>
              <w:bottom w:val="single" w:sz="8" w:color="43C0B9"/>
            </w:tcBorders>
            <w:shd w:val="clear" w:color="auto" w:fill="43C0B9"/>
          </w:tcPr>
          <w:p>
            <w:pPr>
              <w:jc w:val="right"/>
              <w:ind w:right="69"/>
              <w:spacing w:after="0"/>
              <w:rPr>
                <w:sz w:val="20"/>
                <w:szCs w:val="20"/>
                <w:color w:val="auto"/>
              </w:rPr>
            </w:pPr>
            <w:r>
              <w:rPr>
                <w:rFonts w:ascii="Calibri" w:cs="Calibri" w:eastAsia="Calibri" w:hAnsi="Calibri"/>
                <w:sz w:val="14"/>
                <w:szCs w:val="14"/>
                <w:b w:val="1"/>
                <w:bCs w:val="1"/>
                <w:color w:val="FFFFFF"/>
              </w:rPr>
              <w:t>2022</w:t>
            </w:r>
          </w:p>
        </w:tc>
        <w:tc>
          <w:tcPr>
            <w:tcW w:w="90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Net sales:</w:t>
            </w:r>
          </w:p>
        </w:tc>
        <w:tc>
          <w:tcPr>
            <w:tcW w:w="54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9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r>
      <w:tr>
        <w:trPr>
          <w:trHeight w:val="169"/>
        </w:trPr>
        <w:tc>
          <w:tcPr>
            <w:tcW w:w="4640" w:type="dxa"/>
            <w:vAlign w:val="bottom"/>
          </w:tcPr>
          <w:p>
            <w:pPr>
              <w:ind w:left="240"/>
              <w:spacing w:after="0" w:line="169" w:lineRule="exact"/>
              <w:rPr>
                <w:sz w:val="20"/>
                <w:szCs w:val="20"/>
                <w:color w:val="auto"/>
              </w:rPr>
            </w:pPr>
            <w:r>
              <w:rPr>
                <w:rFonts w:ascii="Calibri" w:cs="Calibri" w:eastAsia="Calibri" w:hAnsi="Calibri"/>
                <w:sz w:val="14"/>
                <w:szCs w:val="14"/>
                <w:color w:val="auto"/>
              </w:rPr>
              <w:t>Marketng and Distributon</w:t>
            </w:r>
          </w:p>
        </w:tc>
        <w:tc>
          <w:tcPr>
            <w:tcW w:w="540" w:type="dxa"/>
            <w:vAlign w:val="bottom"/>
          </w:tcPr>
          <w:p>
            <w:pPr>
              <w:jc w:val="right"/>
              <w:ind w:right="389"/>
              <w:spacing w:after="0" w:line="169" w:lineRule="exact"/>
              <w:rPr>
                <w:sz w:val="20"/>
                <w:szCs w:val="20"/>
                <w:color w:val="auto"/>
              </w:rPr>
            </w:pPr>
            <w:r>
              <w:rPr>
                <w:rFonts w:ascii="Calibri" w:cs="Calibri" w:eastAsia="Calibri" w:hAnsi="Calibri"/>
                <w:sz w:val="14"/>
                <w:szCs w:val="14"/>
                <w:color w:val="auto"/>
                <w:w w:val="83"/>
              </w:rPr>
              <w:t>$</w:t>
            </w: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273.7</w:t>
            </w:r>
          </w:p>
        </w:tc>
        <w:tc>
          <w:tcPr>
            <w:tcW w:w="940" w:type="dxa"/>
            <w:vAlign w:val="bottom"/>
          </w:tcPr>
          <w:p>
            <w:pPr>
              <w:jc w:val="right"/>
              <w:ind w:right="72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232.4</w:t>
            </w:r>
          </w:p>
        </w:tc>
        <w:tc>
          <w:tcPr>
            <w:tcW w:w="680" w:type="dxa"/>
            <w:vAlign w:val="bottom"/>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486.0</w:t>
            </w:r>
          </w:p>
        </w:tc>
        <w:tc>
          <w:tcPr>
            <w:tcW w:w="900" w:type="dxa"/>
            <w:vAlign w:val="bottom"/>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402.0</w:t>
            </w:r>
          </w:p>
        </w:tc>
      </w:tr>
      <w:tr>
        <w:trPr>
          <w:trHeight w:val="58"/>
        </w:trPr>
        <w:tc>
          <w:tcPr>
            <w:tcW w:w="4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32"/>
        </w:trPr>
        <w:tc>
          <w:tcPr>
            <w:tcW w:w="4640" w:type="dxa"/>
            <w:vAlign w:val="bottom"/>
            <w:tcBorders>
              <w:bottom w:val="single" w:sz="8" w:color="DBDBDB"/>
            </w:tcBorders>
            <w:shd w:val="clear" w:color="auto" w:fill="DBDBDB"/>
          </w:tcPr>
          <w:p>
            <w:pPr>
              <w:ind w:left="240"/>
              <w:spacing w:after="0" w:line="169" w:lineRule="exact"/>
              <w:rPr>
                <w:sz w:val="20"/>
                <w:szCs w:val="20"/>
                <w:color w:val="auto"/>
              </w:rPr>
            </w:pPr>
            <w:r>
              <w:rPr>
                <w:rFonts w:ascii="Calibri" w:cs="Calibri" w:eastAsia="Calibri" w:hAnsi="Calibri"/>
                <w:sz w:val="14"/>
                <w:szCs w:val="14"/>
                <w:color w:val="auto"/>
              </w:rPr>
              <w:t>Internatonal Farming</w:t>
            </w:r>
          </w:p>
        </w:tc>
        <w:tc>
          <w:tcPr>
            <w:tcW w:w="54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4.4</w:t>
            </w:r>
          </w:p>
        </w:tc>
        <w:tc>
          <w:tcPr>
            <w:tcW w:w="94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2.3</w:t>
            </w:r>
          </w:p>
        </w:tc>
        <w:tc>
          <w:tcPr>
            <w:tcW w:w="68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8.7</w:t>
            </w:r>
          </w:p>
        </w:tc>
        <w:tc>
          <w:tcPr>
            <w:tcW w:w="9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5.9</w:t>
            </w:r>
          </w:p>
        </w:tc>
      </w:tr>
      <w:tr>
        <w:trPr>
          <w:trHeight w:val="162"/>
        </w:trPr>
        <w:tc>
          <w:tcPr>
            <w:tcW w:w="464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540" w:type="dxa"/>
            <w:vAlign w:val="bottom"/>
            <w:tcBorders>
              <w:top w:val="single" w:sz="8" w:color="auto"/>
            </w:tcBorders>
          </w:tcPr>
          <w:p>
            <w:pPr>
              <w:jc w:val="right"/>
              <w:ind w:right="38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top w:val="single" w:sz="8" w:color="auto"/>
            </w:tcBorders>
          </w:tcPr>
          <w:p>
            <w:pPr>
              <w:jc w:val="right"/>
              <w:ind w:right="9"/>
              <w:spacing w:after="0" w:line="162" w:lineRule="exact"/>
              <w:rPr>
                <w:sz w:val="20"/>
                <w:szCs w:val="20"/>
                <w:color w:val="auto"/>
              </w:rPr>
            </w:pPr>
            <w:r>
              <w:rPr>
                <w:rFonts w:ascii="Calibri" w:cs="Calibri" w:eastAsia="Calibri" w:hAnsi="Calibri"/>
                <w:sz w:val="14"/>
                <w:szCs w:val="14"/>
                <w:color w:val="auto"/>
              </w:rPr>
              <w:t>278.1</w:t>
            </w:r>
          </w:p>
        </w:tc>
        <w:tc>
          <w:tcPr>
            <w:tcW w:w="940" w:type="dxa"/>
            <w:vAlign w:val="bottom"/>
            <w:tcBorders>
              <w:top w:val="single" w:sz="8" w:color="auto"/>
            </w:tcBorders>
          </w:tcPr>
          <w:p>
            <w:pPr>
              <w:jc w:val="right"/>
              <w:ind w:right="729"/>
              <w:spacing w:after="0" w:line="162" w:lineRule="exact"/>
              <w:rPr>
                <w:sz w:val="20"/>
                <w:szCs w:val="20"/>
                <w:color w:val="auto"/>
              </w:rPr>
            </w:pPr>
            <w:r>
              <w:rPr>
                <w:rFonts w:ascii="Calibri" w:cs="Calibri" w:eastAsia="Calibri" w:hAnsi="Calibri"/>
                <w:sz w:val="14"/>
                <w:szCs w:val="14"/>
                <w:color w:val="auto"/>
              </w:rPr>
              <w:t>$</w:t>
            </w:r>
          </w:p>
        </w:tc>
        <w:tc>
          <w:tcPr>
            <w:tcW w:w="760" w:type="dxa"/>
            <w:vAlign w:val="bottom"/>
            <w:tcBorders>
              <w:top w:val="single" w:sz="8" w:color="auto"/>
            </w:tcBorders>
          </w:tcPr>
          <w:p>
            <w:pPr>
              <w:jc w:val="right"/>
              <w:ind w:right="49"/>
              <w:spacing w:after="0" w:line="162" w:lineRule="exact"/>
              <w:rPr>
                <w:sz w:val="20"/>
                <w:szCs w:val="20"/>
                <w:color w:val="auto"/>
              </w:rPr>
            </w:pPr>
            <w:r>
              <w:rPr>
                <w:rFonts w:ascii="Calibri" w:cs="Calibri" w:eastAsia="Calibri" w:hAnsi="Calibri"/>
                <w:sz w:val="14"/>
                <w:szCs w:val="14"/>
                <w:color w:val="auto"/>
              </w:rPr>
              <w:t>234.7</w:t>
            </w:r>
          </w:p>
        </w:tc>
        <w:tc>
          <w:tcPr>
            <w:tcW w:w="680" w:type="dxa"/>
            <w:vAlign w:val="bottom"/>
            <w:tcBorders>
              <w:top w:val="single" w:sz="8" w:color="auto"/>
            </w:tcBorders>
          </w:tcPr>
          <w:p>
            <w:pPr>
              <w:jc w:val="right"/>
              <w:ind w:right="42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top w:val="single" w:sz="8" w:color="auto"/>
            </w:tcBorders>
          </w:tcPr>
          <w:p>
            <w:pPr>
              <w:jc w:val="right"/>
              <w:ind w:right="9"/>
              <w:spacing w:after="0" w:line="162" w:lineRule="exact"/>
              <w:rPr>
                <w:sz w:val="20"/>
                <w:szCs w:val="20"/>
                <w:color w:val="auto"/>
              </w:rPr>
            </w:pPr>
            <w:r>
              <w:rPr>
                <w:rFonts w:ascii="Calibri" w:cs="Calibri" w:eastAsia="Calibri" w:hAnsi="Calibri"/>
                <w:sz w:val="14"/>
                <w:szCs w:val="14"/>
                <w:color w:val="auto"/>
              </w:rPr>
              <w:t>494.7</w:t>
            </w:r>
          </w:p>
        </w:tc>
        <w:tc>
          <w:tcPr>
            <w:tcW w:w="900" w:type="dxa"/>
            <w:vAlign w:val="bottom"/>
            <w:tcBorders>
              <w:top w:val="single" w:sz="8" w:color="auto"/>
            </w:tcBorders>
          </w:tcPr>
          <w:p>
            <w:pPr>
              <w:jc w:val="right"/>
              <w:ind w:right="669"/>
              <w:spacing w:after="0" w:line="162" w:lineRule="exact"/>
              <w:rPr>
                <w:sz w:val="20"/>
                <w:szCs w:val="20"/>
                <w:color w:val="auto"/>
              </w:rPr>
            </w:pPr>
            <w:r>
              <w:rPr>
                <w:rFonts w:ascii="Calibri" w:cs="Calibri" w:eastAsia="Calibri" w:hAnsi="Calibri"/>
                <w:sz w:val="14"/>
                <w:szCs w:val="14"/>
                <w:color w:val="auto"/>
              </w:rPr>
              <w:t>$</w:t>
            </w:r>
          </w:p>
        </w:tc>
        <w:tc>
          <w:tcPr>
            <w:tcW w:w="7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407.9</w:t>
            </w:r>
          </w:p>
        </w:tc>
      </w:tr>
      <w:tr>
        <w:trPr>
          <w:trHeight w:val="58"/>
        </w:trPr>
        <w:tc>
          <w:tcPr>
            <w:tcW w:w="46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-746760</wp:posOffset>
            </wp:positionV>
            <wp:extent cx="41954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95445" cy="8255"/>
                    </a:xfrm>
                    <a:prstGeom prst="rect">
                      <a:avLst/>
                    </a:prstGeom>
                    <a:noFill/>
                  </pic:spPr>
                </pic:pic>
              </a:graphicData>
            </a:graphic>
          </wp:anchor>
        </w:drawing>
      </w:r>
    </w:p>
    <w:p>
      <w:pPr>
        <w:spacing w:after="0" w:line="269" w:lineRule="exact"/>
        <w:rPr>
          <w:sz w:val="20"/>
          <w:szCs w:val="20"/>
          <w:color w:val="auto"/>
        </w:rPr>
      </w:pPr>
    </w:p>
    <w:p>
      <w:pPr>
        <w:ind w:right="40" w:firstLine="642"/>
        <w:spacing w:after="0" w:line="234" w:lineRule="auto"/>
        <w:rPr>
          <w:sz w:val="20"/>
          <w:szCs w:val="20"/>
          <w:color w:val="auto"/>
        </w:rPr>
      </w:pPr>
      <w:r>
        <w:rPr>
          <w:rFonts w:ascii="Calibri" w:cs="Calibri" w:eastAsia="Calibri" w:hAnsi="Calibri"/>
          <w:sz w:val="16"/>
          <w:szCs w:val="16"/>
          <w:color w:val="auto"/>
        </w:rPr>
        <w:t>Net sales increased $43.4 million or 18% and $86.8 million or 21% in the three and six months ended April 30, 2022 compared to the same periods last year, respectvely. Growth was driven by 44% and 46% increases in average per-unit avocado sales prices in the three and six months ended April 30, 2022, compared to the same periods last year, respectvely, due to lower industry supply out of Mexico, as well as infatonary pressures. Partally ofsetng price gains were decreases in avocado volume sold of 19% for both the three and six months ended April 30, 2022 compared to the same periods last year, primarily driven by lower supply. Domestc volumes declined at a lower relatve rate during these periods, demonstratng the resiliency of demand for avocados amid higher price points in the U.S. market.</w:t>
      </w:r>
    </w:p>
    <w:p>
      <w:pPr>
        <w:spacing w:after="0" w:line="22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Gross proft</w:t>
      </w:r>
    </w:p>
    <w:p>
      <w:pPr>
        <w:spacing w:after="0" w:line="209" w:lineRule="exact"/>
        <w:rPr>
          <w:sz w:val="20"/>
          <w:szCs w:val="20"/>
          <w:color w:val="auto"/>
        </w:rPr>
      </w:pPr>
    </w:p>
    <w:p>
      <w:pPr>
        <w:ind w:right="40" w:firstLine="642"/>
        <w:spacing w:after="0" w:line="235" w:lineRule="auto"/>
        <w:rPr>
          <w:sz w:val="20"/>
          <w:szCs w:val="20"/>
          <w:color w:val="auto"/>
        </w:rPr>
      </w:pPr>
      <w:r>
        <w:rPr>
          <w:rFonts w:ascii="Calibri" w:cs="Calibri" w:eastAsia="Calibri" w:hAnsi="Calibri"/>
          <w:sz w:val="16"/>
          <w:szCs w:val="16"/>
          <w:color w:val="auto"/>
        </w:rPr>
        <w:t>Cost of sales is composed primarily of avocado procurement costs from independent growers and packers, logistcs costs, packaging costs, labor, costs associated with cultvaton (the cost of growing crops), harvestng and depreciaton. Avocado procurement costs from third-party suppliers can vary signifcantly between and within fscal years and correlate closely with market prices for avocados. While we have long-standing relatonships with our growers and packers, we predominantly purchase fruit on a daily basis at market rates. As such, the cost to procure products from independent growers can have a signifcant impact on our costs.</w:t>
      </w:r>
    </w:p>
    <w:p>
      <w:pPr>
        <w:spacing w:after="0" w:line="225" w:lineRule="exact"/>
        <w:rPr>
          <w:sz w:val="20"/>
          <w:szCs w:val="20"/>
          <w:color w:val="auto"/>
        </w:rPr>
      </w:pPr>
    </w:p>
    <w:p>
      <w:pPr>
        <w:ind w:right="100" w:firstLine="642"/>
        <w:spacing w:after="0" w:line="234" w:lineRule="auto"/>
        <w:rPr>
          <w:sz w:val="20"/>
          <w:szCs w:val="20"/>
          <w:color w:val="auto"/>
        </w:rPr>
      </w:pPr>
      <w:r>
        <w:rPr>
          <w:rFonts w:ascii="Calibri" w:cs="Calibri" w:eastAsia="Calibri" w:hAnsi="Calibri"/>
          <w:sz w:val="16"/>
          <w:szCs w:val="16"/>
          <w:color w:val="auto"/>
        </w:rPr>
        <w:t>Logistcs costs include land and sea transportaton and expenses related to port facilites and distributon centers. Land transportaton costs consist primarily of third-party trucking services to support North American distributon, while sea transportaton cost consists primarily of third-party shipping of refrigerated containers from supply markets in South and Central America to demand markets in North America, Europe and Asia. Variatons in containerboard prices, which afect the cost of boxes and other packaging materials, and fuel prices can have an impact on our product cost and our proft margins. Variatons in the producton yields, and other input costs also afect our cost of sales.</w:t>
      </w:r>
    </w:p>
    <w:p>
      <w:pPr>
        <w:spacing w:after="0" w:line="225" w:lineRule="exact"/>
        <w:rPr>
          <w:sz w:val="20"/>
          <w:szCs w:val="20"/>
          <w:color w:val="auto"/>
        </w:rPr>
      </w:pPr>
    </w:p>
    <w:p>
      <w:pPr>
        <w:ind w:right="200" w:firstLine="642"/>
        <w:spacing w:after="0" w:line="234" w:lineRule="auto"/>
        <w:rPr>
          <w:sz w:val="20"/>
          <w:szCs w:val="20"/>
          <w:color w:val="auto"/>
        </w:rPr>
      </w:pPr>
      <w:r>
        <w:rPr>
          <w:rFonts w:ascii="Calibri" w:cs="Calibri" w:eastAsia="Calibri" w:hAnsi="Calibri"/>
          <w:sz w:val="16"/>
          <w:szCs w:val="16"/>
          <w:color w:val="auto"/>
        </w:rPr>
        <w:t>In general, changes in our volume of products sold can have a disproportonate efect on our gross proft. Within any partcular year, a signifcant porton of our cost of products are fxed.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distributon facilites directly reduce the average overhead cost per unit of fruit handled, while lower volumes directly increase the average overhead cost per unit of fruit handled.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73"/>
        </w:trPr>
        <w:tc>
          <w:tcPr>
            <w:tcW w:w="4540" w:type="dxa"/>
            <w:vAlign w:val="bottom"/>
            <w:shd w:val="clear" w:color="auto" w:fill="43C0B9"/>
          </w:tcPr>
          <w:p>
            <w:pPr>
              <w:spacing w:after="0"/>
              <w:rPr>
                <w:sz w:val="15"/>
                <w:szCs w:val="15"/>
                <w:color w:val="auto"/>
              </w:rPr>
            </w:pPr>
          </w:p>
        </w:tc>
        <w:tc>
          <w:tcPr>
            <w:tcW w:w="560" w:type="dxa"/>
            <w:vAlign w:val="bottom"/>
            <w:shd w:val="clear" w:color="auto" w:fill="43C0B9"/>
          </w:tcPr>
          <w:p>
            <w:pPr>
              <w:spacing w:after="0"/>
              <w:rPr>
                <w:sz w:val="15"/>
                <w:szCs w:val="15"/>
                <w:color w:val="auto"/>
              </w:rPr>
            </w:pPr>
          </w:p>
        </w:tc>
        <w:tc>
          <w:tcPr>
            <w:tcW w:w="2000" w:type="dxa"/>
            <w:vAlign w:val="bottom"/>
            <w:gridSpan w:val="2"/>
            <w:shd w:val="clear" w:color="auto" w:fill="43C0B9"/>
          </w:tcPr>
          <w:p>
            <w:pPr>
              <w:jc w:val="center"/>
              <w:ind w:left="89"/>
              <w:spacing w:after="0"/>
              <w:rPr>
                <w:sz w:val="20"/>
                <w:szCs w:val="20"/>
                <w:color w:val="auto"/>
              </w:rPr>
            </w:pPr>
            <w:r>
              <w:rPr>
                <w:rFonts w:ascii="Calibri" w:cs="Calibri" w:eastAsia="Calibri" w:hAnsi="Calibri"/>
                <w:sz w:val="14"/>
                <w:szCs w:val="14"/>
                <w:b w:val="1"/>
                <w:bCs w:val="1"/>
                <w:color w:val="FFFFFF"/>
              </w:rPr>
              <w:t>Three Months Ended</w:t>
            </w:r>
          </w:p>
        </w:tc>
        <w:tc>
          <w:tcPr>
            <w:tcW w:w="800" w:type="dxa"/>
            <w:vAlign w:val="bottom"/>
            <w:shd w:val="clear" w:color="auto" w:fill="43C0B9"/>
          </w:tcPr>
          <w:p>
            <w:pPr>
              <w:spacing w:after="0"/>
              <w:rPr>
                <w:sz w:val="15"/>
                <w:szCs w:val="15"/>
                <w:color w:val="auto"/>
              </w:rPr>
            </w:pPr>
          </w:p>
        </w:tc>
        <w:tc>
          <w:tcPr>
            <w:tcW w:w="660" w:type="dxa"/>
            <w:vAlign w:val="bottom"/>
            <w:shd w:val="clear" w:color="auto" w:fill="43C0B9"/>
          </w:tcPr>
          <w:p>
            <w:pPr>
              <w:spacing w:after="0"/>
              <w:rPr>
                <w:sz w:val="15"/>
                <w:szCs w:val="15"/>
                <w:color w:val="auto"/>
              </w:rPr>
            </w:pPr>
          </w:p>
        </w:tc>
        <w:tc>
          <w:tcPr>
            <w:tcW w:w="1920" w:type="dxa"/>
            <w:vAlign w:val="bottom"/>
            <w:gridSpan w:val="2"/>
            <w:shd w:val="clear" w:color="auto" w:fill="43C0B9"/>
          </w:tcPr>
          <w:p>
            <w:pPr>
              <w:jc w:val="center"/>
              <w:ind w:left="109"/>
              <w:spacing w:after="0"/>
              <w:rPr>
                <w:sz w:val="20"/>
                <w:szCs w:val="20"/>
                <w:color w:val="auto"/>
              </w:rPr>
            </w:pPr>
            <w:r>
              <w:rPr>
                <w:rFonts w:ascii="Calibri" w:cs="Calibri" w:eastAsia="Calibri" w:hAnsi="Calibri"/>
                <w:sz w:val="14"/>
                <w:szCs w:val="14"/>
                <w:b w:val="1"/>
                <w:bCs w:val="1"/>
                <w:color w:val="FFFFFF"/>
              </w:rPr>
              <w:t>Six Months Ended</w:t>
            </w:r>
          </w:p>
        </w:tc>
        <w:tc>
          <w:tcPr>
            <w:tcW w:w="760" w:type="dxa"/>
            <w:vAlign w:val="bottom"/>
            <w:shd w:val="clear" w:color="auto" w:fill="43C0B9"/>
          </w:tcPr>
          <w:p>
            <w:pPr>
              <w:spacing w:after="0"/>
              <w:rPr>
                <w:sz w:val="15"/>
                <w:szCs w:val="15"/>
                <w:color w:val="auto"/>
              </w:rPr>
            </w:pPr>
          </w:p>
        </w:tc>
      </w:tr>
      <w:tr>
        <w:trPr>
          <w:trHeight w:val="169"/>
        </w:trPr>
        <w:tc>
          <w:tcPr>
            <w:tcW w:w="45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2000" w:type="dxa"/>
            <w:vAlign w:val="bottom"/>
            <w:gridSpan w:val="2"/>
            <w:shd w:val="clear" w:color="auto" w:fill="43C0B9"/>
          </w:tcPr>
          <w:p>
            <w:pPr>
              <w:jc w:val="center"/>
              <w:ind w:left="89"/>
              <w:spacing w:after="0" w:line="169" w:lineRule="exact"/>
              <w:rPr>
                <w:sz w:val="20"/>
                <w:szCs w:val="20"/>
                <w:color w:val="auto"/>
              </w:rPr>
            </w:pPr>
            <w:r>
              <w:rPr>
                <w:rFonts w:ascii="Calibri" w:cs="Calibri" w:eastAsia="Calibri" w:hAnsi="Calibri"/>
                <w:sz w:val="14"/>
                <w:szCs w:val="14"/>
                <w:b w:val="1"/>
                <w:bCs w:val="1"/>
                <w:color w:val="FFFFFF"/>
                <w:w w:val="98"/>
              </w:rPr>
              <w:t>April 30,</w:t>
            </w:r>
          </w:p>
        </w:tc>
        <w:tc>
          <w:tcPr>
            <w:tcW w:w="800" w:type="dxa"/>
            <w:vAlign w:val="bottom"/>
            <w:shd w:val="clear" w:color="auto" w:fill="43C0B9"/>
          </w:tcPr>
          <w:p>
            <w:pPr>
              <w:spacing w:after="0"/>
              <w:rPr>
                <w:sz w:val="14"/>
                <w:szCs w:val="14"/>
                <w:color w:val="auto"/>
              </w:rPr>
            </w:pPr>
          </w:p>
        </w:tc>
        <w:tc>
          <w:tcPr>
            <w:tcW w:w="660" w:type="dxa"/>
            <w:vAlign w:val="bottom"/>
            <w:shd w:val="clear" w:color="auto" w:fill="43C0B9"/>
          </w:tcPr>
          <w:p>
            <w:pPr>
              <w:spacing w:after="0"/>
              <w:rPr>
                <w:sz w:val="14"/>
                <w:szCs w:val="14"/>
                <w:color w:val="auto"/>
              </w:rPr>
            </w:pPr>
          </w:p>
        </w:tc>
        <w:tc>
          <w:tcPr>
            <w:tcW w:w="1920" w:type="dxa"/>
            <w:vAlign w:val="bottom"/>
            <w:gridSpan w:val="2"/>
            <w:shd w:val="clear" w:color="auto" w:fill="43C0B9"/>
          </w:tcPr>
          <w:p>
            <w:pPr>
              <w:jc w:val="center"/>
              <w:ind w:left="109"/>
              <w:spacing w:after="0" w:line="169" w:lineRule="exact"/>
              <w:rPr>
                <w:sz w:val="20"/>
                <w:szCs w:val="20"/>
                <w:color w:val="auto"/>
              </w:rPr>
            </w:pPr>
            <w:r>
              <w:rPr>
                <w:rFonts w:ascii="Calibri" w:cs="Calibri" w:eastAsia="Calibri" w:hAnsi="Calibri"/>
                <w:sz w:val="14"/>
                <w:szCs w:val="14"/>
                <w:b w:val="1"/>
                <w:bCs w:val="1"/>
                <w:color w:val="FFFFFF"/>
              </w:rPr>
              <w:t>April 30,</w:t>
            </w:r>
          </w:p>
        </w:tc>
        <w:tc>
          <w:tcPr>
            <w:tcW w:w="760" w:type="dxa"/>
            <w:vAlign w:val="bottom"/>
            <w:shd w:val="clear" w:color="auto" w:fill="43C0B9"/>
          </w:tcPr>
          <w:p>
            <w:pPr>
              <w:spacing w:after="0"/>
              <w:rPr>
                <w:sz w:val="14"/>
                <w:szCs w:val="14"/>
                <w:color w:val="auto"/>
              </w:rPr>
            </w:pPr>
          </w:p>
        </w:tc>
      </w:tr>
      <w:tr>
        <w:trPr>
          <w:trHeight w:val="280"/>
        </w:trPr>
        <w:tc>
          <w:tcPr>
            <w:tcW w:w="4540" w:type="dxa"/>
            <w:vAlign w:val="bottom"/>
            <w:tcBorders>
              <w:bottom w:val="single" w:sz="8" w:color="43C0B9"/>
            </w:tcBorders>
            <w:shd w:val="clear" w:color="auto" w:fill="43C0B9"/>
          </w:tcPr>
          <w:p>
            <w:pPr>
              <w:spacing w:after="0"/>
              <w:rPr>
                <w:sz w:val="24"/>
                <w:szCs w:val="24"/>
                <w:color w:val="auto"/>
              </w:rPr>
            </w:pPr>
          </w:p>
        </w:tc>
        <w:tc>
          <w:tcPr>
            <w:tcW w:w="560" w:type="dxa"/>
            <w:vAlign w:val="bottom"/>
            <w:tcBorders>
              <w:bottom w:val="single" w:sz="8" w:color="43C0B9"/>
            </w:tcBorders>
            <w:shd w:val="clear" w:color="auto" w:fill="43C0B9"/>
          </w:tcPr>
          <w:p>
            <w:pPr>
              <w:spacing w:after="0"/>
              <w:rPr>
                <w:sz w:val="24"/>
                <w:szCs w:val="24"/>
                <w:color w:val="auto"/>
              </w:rPr>
            </w:pPr>
          </w:p>
        </w:tc>
        <w:tc>
          <w:tcPr>
            <w:tcW w:w="112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880" w:type="dxa"/>
            <w:vAlign w:val="bottom"/>
            <w:tcBorders>
              <w:bottom w:val="single" w:sz="8" w:color="43C0B9"/>
            </w:tcBorders>
            <w:shd w:val="clear" w:color="auto" w:fill="43C0B9"/>
          </w:tcPr>
          <w:p>
            <w:pPr>
              <w:spacing w:after="0"/>
              <w:rPr>
                <w:sz w:val="24"/>
                <w:szCs w:val="24"/>
                <w:color w:val="auto"/>
              </w:rPr>
            </w:pPr>
          </w:p>
        </w:tc>
        <w:tc>
          <w:tcPr>
            <w:tcW w:w="800" w:type="dxa"/>
            <w:vAlign w:val="bottom"/>
            <w:tcBorders>
              <w:bottom w:val="single" w:sz="8" w:color="43C0B9"/>
            </w:tcBorders>
            <w:shd w:val="clear" w:color="auto" w:fill="43C0B9"/>
          </w:tcPr>
          <w:p>
            <w:pPr>
              <w:jc w:val="right"/>
              <w:ind w:right="129"/>
              <w:spacing w:after="0"/>
              <w:rPr>
                <w:sz w:val="20"/>
                <w:szCs w:val="20"/>
                <w:color w:val="auto"/>
              </w:rPr>
            </w:pPr>
            <w:r>
              <w:rPr>
                <w:rFonts w:ascii="Calibri" w:cs="Calibri" w:eastAsia="Calibri" w:hAnsi="Calibri"/>
                <w:sz w:val="14"/>
                <w:szCs w:val="14"/>
                <w:b w:val="1"/>
                <w:bCs w:val="1"/>
                <w:color w:val="FFFFFF"/>
              </w:rPr>
              <w:t>2021</w:t>
            </w:r>
          </w:p>
        </w:tc>
        <w:tc>
          <w:tcPr>
            <w:tcW w:w="660" w:type="dxa"/>
            <w:vAlign w:val="bottom"/>
            <w:tcBorders>
              <w:bottom w:val="single" w:sz="8" w:color="43C0B9"/>
            </w:tcBorders>
            <w:shd w:val="clear" w:color="auto" w:fill="43C0B9"/>
          </w:tcPr>
          <w:p>
            <w:pPr>
              <w:spacing w:after="0"/>
              <w:rPr>
                <w:sz w:val="24"/>
                <w:szCs w:val="24"/>
                <w:color w:val="auto"/>
              </w:rPr>
            </w:pPr>
          </w:p>
        </w:tc>
        <w:tc>
          <w:tcPr>
            <w:tcW w:w="108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840" w:type="dxa"/>
            <w:vAlign w:val="bottom"/>
            <w:tcBorders>
              <w:bottom w:val="single" w:sz="8" w:color="43C0B9"/>
            </w:tcBorders>
            <w:shd w:val="clear" w:color="auto" w:fill="43C0B9"/>
          </w:tcPr>
          <w:p>
            <w:pPr>
              <w:spacing w:after="0"/>
              <w:rPr>
                <w:sz w:val="24"/>
                <w:szCs w:val="24"/>
                <w:color w:val="auto"/>
              </w:rPr>
            </w:pPr>
          </w:p>
        </w:tc>
        <w:tc>
          <w:tcPr>
            <w:tcW w:w="76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5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Gross proft (in millions)</w:t>
            </w:r>
          </w:p>
        </w:tc>
        <w:tc>
          <w:tcPr>
            <w:tcW w:w="560" w:type="dxa"/>
            <w:vAlign w:val="bottom"/>
            <w:tcBorders>
              <w:bottom w:val="single" w:sz="8" w:color="DBDBDB"/>
            </w:tcBorders>
            <w:shd w:val="clear" w:color="auto" w:fill="DBDBDB"/>
          </w:tcPr>
          <w:p>
            <w:pPr>
              <w:jc w:val="right"/>
              <w:ind w:right="38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19.8</w:t>
            </w:r>
          </w:p>
        </w:tc>
        <w:tc>
          <w:tcPr>
            <w:tcW w:w="880" w:type="dxa"/>
            <w:vAlign w:val="bottom"/>
            <w:tcBorders>
              <w:bottom w:val="single" w:sz="8" w:color="DBDBDB"/>
            </w:tcBorders>
            <w:shd w:val="clear" w:color="auto" w:fill="DBDBDB"/>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DBDBDB"/>
            </w:tcBorders>
            <w:shd w:val="clear" w:color="auto" w:fill="DBDBDB"/>
          </w:tcPr>
          <w:p>
            <w:pPr>
              <w:jc w:val="right"/>
              <w:ind w:right="129"/>
              <w:spacing w:after="0" w:line="169" w:lineRule="exact"/>
              <w:rPr>
                <w:sz w:val="20"/>
                <w:szCs w:val="20"/>
                <w:color w:val="auto"/>
              </w:rPr>
            </w:pPr>
            <w:r>
              <w:rPr>
                <w:rFonts w:ascii="Calibri" w:cs="Calibri" w:eastAsia="Calibri" w:hAnsi="Calibri"/>
                <w:sz w:val="14"/>
                <w:szCs w:val="14"/>
                <w:color w:val="auto"/>
              </w:rPr>
              <w:t>27.1</w:t>
            </w:r>
          </w:p>
        </w:tc>
        <w:tc>
          <w:tcPr>
            <w:tcW w:w="660" w:type="dxa"/>
            <w:vAlign w:val="bottom"/>
            <w:tcBorders>
              <w:bottom w:val="single" w:sz="8" w:color="DBDBDB"/>
            </w:tcBorders>
            <w:shd w:val="clear" w:color="auto" w:fill="DBDBDB"/>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20.3</w:t>
            </w:r>
          </w:p>
        </w:tc>
        <w:tc>
          <w:tcPr>
            <w:tcW w:w="840" w:type="dxa"/>
            <w:vAlign w:val="bottom"/>
            <w:tcBorders>
              <w:bottom w:val="single" w:sz="8" w:color="DBDBDB"/>
            </w:tcBorders>
            <w:shd w:val="clear" w:color="auto" w:fill="DBDBDB"/>
          </w:tcPr>
          <w:p>
            <w:pPr>
              <w:jc w:val="right"/>
              <w:ind w:right="62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49.8</w:t>
            </w:r>
          </w:p>
        </w:tc>
      </w:tr>
      <w:tr>
        <w:trPr>
          <w:trHeight w:val="169"/>
        </w:trPr>
        <w:tc>
          <w:tcPr>
            <w:tcW w:w="4540" w:type="dxa"/>
            <w:vAlign w:val="bottom"/>
          </w:tcPr>
          <w:p>
            <w:pPr>
              <w:ind w:left="20"/>
              <w:spacing w:after="0" w:line="169" w:lineRule="exact"/>
              <w:rPr>
                <w:sz w:val="20"/>
                <w:szCs w:val="20"/>
                <w:color w:val="auto"/>
              </w:rPr>
            </w:pPr>
            <w:r>
              <w:rPr>
                <w:rFonts w:ascii="Calibri" w:cs="Calibri" w:eastAsia="Calibri" w:hAnsi="Calibri"/>
                <w:sz w:val="14"/>
                <w:szCs w:val="14"/>
                <w:color w:val="auto"/>
              </w:rPr>
              <w:t>Gross proft as a percentage of sales</w:t>
            </w:r>
          </w:p>
        </w:tc>
        <w:tc>
          <w:tcPr>
            <w:tcW w:w="5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Calibri" w:cs="Calibri" w:eastAsia="Calibri" w:hAnsi="Calibri"/>
                <w:sz w:val="14"/>
                <w:szCs w:val="14"/>
                <w:color w:val="auto"/>
              </w:rPr>
              <w:t>7.1 %</w:t>
            </w:r>
          </w:p>
        </w:tc>
        <w:tc>
          <w:tcPr>
            <w:tcW w:w="880" w:type="dxa"/>
            <w:vAlign w:val="bottom"/>
          </w:tcPr>
          <w:p>
            <w:pPr>
              <w:spacing w:after="0"/>
              <w:rPr>
                <w:sz w:val="14"/>
                <w:szCs w:val="14"/>
                <w:color w:val="auto"/>
              </w:rPr>
            </w:pPr>
          </w:p>
        </w:tc>
        <w:tc>
          <w:tcPr>
            <w:tcW w:w="8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11.5 %</w:t>
            </w:r>
          </w:p>
        </w:tc>
        <w:tc>
          <w:tcPr>
            <w:tcW w:w="66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4.1 %</w:t>
            </w:r>
          </w:p>
        </w:tc>
        <w:tc>
          <w:tcPr>
            <w:tcW w:w="84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Calibri" w:cs="Calibri" w:eastAsia="Calibri" w:hAnsi="Calibri"/>
                <w:sz w:val="14"/>
                <w:szCs w:val="14"/>
                <w:color w:val="auto"/>
              </w:rPr>
              <w:t>12.2 %</w:t>
            </w:r>
          </w:p>
        </w:tc>
      </w:tr>
      <w:tr>
        <w:trPr>
          <w:trHeight w:val="58"/>
        </w:trPr>
        <w:tc>
          <w:tcPr>
            <w:tcW w:w="45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-449580</wp:posOffset>
            </wp:positionV>
            <wp:extent cx="4254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54500" cy="8255"/>
                    </a:xfrm>
                    <a:prstGeom prst="rect">
                      <a:avLst/>
                    </a:prstGeom>
                    <a:noFill/>
                  </pic:spPr>
                </pic:pic>
              </a:graphicData>
            </a:graphic>
          </wp:anchor>
        </w:drawing>
      </w:r>
    </w:p>
    <w:p>
      <w:pPr>
        <w:spacing w:after="0" w:line="256" w:lineRule="exact"/>
        <w:rPr>
          <w:sz w:val="20"/>
          <w:szCs w:val="20"/>
          <w:color w:val="auto"/>
        </w:rPr>
      </w:pPr>
    </w:p>
    <w:p>
      <w:pPr>
        <w:ind w:right="20" w:firstLine="642"/>
        <w:spacing w:after="0" w:line="236" w:lineRule="auto"/>
        <w:rPr>
          <w:sz w:val="20"/>
          <w:szCs w:val="20"/>
          <w:color w:val="auto"/>
        </w:rPr>
      </w:pPr>
      <w:r>
        <w:rPr>
          <w:rFonts w:ascii="Calibri" w:cs="Calibri" w:eastAsia="Calibri" w:hAnsi="Calibri"/>
          <w:sz w:val="16"/>
          <w:szCs w:val="16"/>
          <w:color w:val="auto"/>
        </w:rPr>
        <w:t>Gross proft decreased $7.3 million or 27%, in the three months ended April 30, 2022 compared to the same period last year to $19.8 million, and gross proft percentage decreased 440 basis points to 7.1% of revenue. The decreases were primarily driven by the impact of lower avocado volume sold in our Marketng &amp; Distributon segment, and its related impact on fxed cost absorpton. In additon, we experienced gross proft decreases in the Internatonal Farming segment were due to the tming of cost incurred and impact of pricing at early-stage mango farms. The lower gross proft percentage was driven by higher per-unit sales prices, as per-unit margin represented a lower proporton of the sales value. Margin is primarily managed on a per-unit basis in our Marketng and Distributon segment, which can lead to signifcant movement in gross proft percentage when sales prices fuctuate.</w:t>
      </w:r>
    </w:p>
    <w:p>
      <w:pPr>
        <w:spacing w:after="0" w:line="225" w:lineRule="exact"/>
        <w:rPr>
          <w:sz w:val="20"/>
          <w:szCs w:val="20"/>
          <w:color w:val="auto"/>
        </w:rPr>
      </w:pPr>
    </w:p>
    <w:p>
      <w:pPr>
        <w:ind w:right="60" w:firstLine="642"/>
        <w:spacing w:after="0" w:line="235" w:lineRule="auto"/>
        <w:rPr>
          <w:sz w:val="20"/>
          <w:szCs w:val="20"/>
          <w:color w:val="auto"/>
        </w:rPr>
      </w:pPr>
      <w:r>
        <w:rPr>
          <w:rFonts w:ascii="Calibri" w:cs="Calibri" w:eastAsia="Calibri" w:hAnsi="Calibri"/>
          <w:sz w:val="16"/>
          <w:szCs w:val="16"/>
          <w:color w:val="auto"/>
        </w:rPr>
        <w:t>Gross proft decreased $29.5 million or 59%, in the six months ended April 30, 2022 compared to the same period last year to $20.3 million, and gross proft percentage decreased 810 basis points to 4.1% of revenue. The decreases were due to the same factors mentoned above, as well as temporary and unforeseen operatonal challenges created by the ERP implementaton in our Marketng &amp; Distributon segment during the frst quarter of 2022, which limited our ability to efectvely manage our supply chain.</w:t>
      </w:r>
    </w:p>
    <w:p>
      <w:pPr>
        <w:spacing w:after="0" w:line="20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Selling, general and administratve expenses</w:t>
      </w:r>
    </w:p>
    <w:p>
      <w:pPr>
        <w:spacing w:after="0" w:line="222" w:lineRule="exact"/>
        <w:rPr>
          <w:sz w:val="20"/>
          <w:szCs w:val="20"/>
          <w:color w:val="auto"/>
        </w:rPr>
      </w:pPr>
    </w:p>
    <w:p>
      <w:pPr>
        <w:ind w:right="240" w:firstLine="642"/>
        <w:spacing w:after="0" w:line="233" w:lineRule="auto"/>
        <w:rPr>
          <w:sz w:val="20"/>
          <w:szCs w:val="20"/>
          <w:color w:val="auto"/>
        </w:rPr>
      </w:pPr>
      <w:r>
        <w:rPr>
          <w:rFonts w:ascii="Calibri" w:cs="Calibri" w:eastAsia="Calibri" w:hAnsi="Calibri"/>
          <w:sz w:val="16"/>
          <w:szCs w:val="16"/>
          <w:color w:val="auto"/>
        </w:rPr>
        <w:t>Selling, general and administratve expenses primarily include the costs associated with selling, professional fees, general corporate overhead and other related administratve functons.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1960" w:type="dxa"/>
            <w:vAlign w:val="bottom"/>
            <w:gridSpan w:val="2"/>
            <w:shd w:val="clear" w:color="auto" w:fill="43C0B9"/>
          </w:tcPr>
          <w:p>
            <w:pPr>
              <w:jc w:val="center"/>
              <w:ind w:left="89"/>
              <w:spacing w:after="0"/>
              <w:rPr>
                <w:sz w:val="20"/>
                <w:szCs w:val="20"/>
                <w:color w:val="auto"/>
              </w:rPr>
            </w:pPr>
            <w:r>
              <w:rPr>
                <w:rFonts w:ascii="Calibri" w:cs="Calibri" w:eastAsia="Calibri" w:hAnsi="Calibri"/>
                <w:sz w:val="14"/>
                <w:szCs w:val="14"/>
                <w:b w:val="1"/>
                <w:bCs w:val="1"/>
                <w:color w:val="FFFFFF"/>
              </w:rPr>
              <w:t>Three Months Ended</w:t>
            </w:r>
          </w:p>
        </w:tc>
        <w:tc>
          <w:tcPr>
            <w:tcW w:w="760" w:type="dxa"/>
            <w:vAlign w:val="bottom"/>
            <w:shd w:val="clear" w:color="auto" w:fill="43C0B9"/>
          </w:tcPr>
          <w:p>
            <w:pPr>
              <w:spacing w:after="0"/>
              <w:rPr>
                <w:sz w:val="14"/>
                <w:szCs w:val="14"/>
                <w:color w:val="auto"/>
              </w:rPr>
            </w:pPr>
          </w:p>
        </w:tc>
        <w:tc>
          <w:tcPr>
            <w:tcW w:w="680" w:type="dxa"/>
            <w:vAlign w:val="bottom"/>
            <w:shd w:val="clear" w:color="auto" w:fill="43C0B9"/>
          </w:tcPr>
          <w:p>
            <w:pPr>
              <w:spacing w:after="0"/>
              <w:rPr>
                <w:sz w:val="14"/>
                <w:szCs w:val="14"/>
                <w:color w:val="auto"/>
              </w:rPr>
            </w:pPr>
          </w:p>
        </w:tc>
        <w:tc>
          <w:tcPr>
            <w:tcW w:w="1900" w:type="dxa"/>
            <w:vAlign w:val="bottom"/>
            <w:gridSpan w:val="2"/>
            <w:shd w:val="clear" w:color="auto" w:fill="43C0B9"/>
          </w:tcPr>
          <w:p>
            <w:pPr>
              <w:jc w:val="center"/>
              <w:ind w:left="89"/>
              <w:spacing w:after="0"/>
              <w:rPr>
                <w:sz w:val="20"/>
                <w:szCs w:val="20"/>
                <w:color w:val="auto"/>
              </w:rPr>
            </w:pPr>
            <w:r>
              <w:rPr>
                <w:rFonts w:ascii="Calibri" w:cs="Calibri" w:eastAsia="Calibri" w:hAnsi="Calibri"/>
                <w:sz w:val="14"/>
                <w:szCs w:val="14"/>
                <w:b w:val="1"/>
                <w:bCs w:val="1"/>
                <w:color w:val="FFFFFF"/>
              </w:rPr>
              <w:t>Six Months Ended</w:t>
            </w:r>
          </w:p>
        </w:tc>
        <w:tc>
          <w:tcPr>
            <w:tcW w:w="740" w:type="dxa"/>
            <w:vAlign w:val="bottom"/>
            <w:shd w:val="clear" w:color="auto" w:fill="43C0B9"/>
          </w:tcPr>
          <w:p>
            <w:pPr>
              <w:spacing w:after="0"/>
              <w:rPr>
                <w:sz w:val="14"/>
                <w:szCs w:val="14"/>
                <w:color w:val="auto"/>
              </w:rPr>
            </w:pPr>
          </w:p>
        </w:tc>
      </w:tr>
      <w:tr>
        <w:trPr>
          <w:trHeight w:val="169"/>
        </w:trPr>
        <w:tc>
          <w:tcPr>
            <w:tcW w:w="46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1960" w:type="dxa"/>
            <w:vAlign w:val="bottom"/>
            <w:gridSpan w:val="2"/>
            <w:shd w:val="clear" w:color="auto" w:fill="43C0B9"/>
          </w:tcPr>
          <w:p>
            <w:pPr>
              <w:jc w:val="center"/>
              <w:ind w:left="89"/>
              <w:spacing w:after="0" w:line="169" w:lineRule="exact"/>
              <w:rPr>
                <w:sz w:val="20"/>
                <w:szCs w:val="20"/>
                <w:color w:val="auto"/>
              </w:rPr>
            </w:pPr>
            <w:r>
              <w:rPr>
                <w:rFonts w:ascii="Calibri" w:cs="Calibri" w:eastAsia="Calibri" w:hAnsi="Calibri"/>
                <w:sz w:val="14"/>
                <w:szCs w:val="14"/>
                <w:b w:val="1"/>
                <w:bCs w:val="1"/>
                <w:color w:val="FFFFFF"/>
                <w:w w:val="98"/>
              </w:rPr>
              <w:t>April 30,</w:t>
            </w:r>
          </w:p>
        </w:tc>
        <w:tc>
          <w:tcPr>
            <w:tcW w:w="760" w:type="dxa"/>
            <w:vAlign w:val="bottom"/>
            <w:shd w:val="clear" w:color="auto" w:fill="43C0B9"/>
          </w:tcPr>
          <w:p>
            <w:pPr>
              <w:spacing w:after="0"/>
              <w:rPr>
                <w:sz w:val="14"/>
                <w:szCs w:val="14"/>
                <w:color w:val="auto"/>
              </w:rPr>
            </w:pPr>
          </w:p>
        </w:tc>
        <w:tc>
          <w:tcPr>
            <w:tcW w:w="680" w:type="dxa"/>
            <w:vAlign w:val="bottom"/>
            <w:shd w:val="clear" w:color="auto" w:fill="43C0B9"/>
          </w:tcPr>
          <w:p>
            <w:pPr>
              <w:spacing w:after="0"/>
              <w:rPr>
                <w:sz w:val="14"/>
                <w:szCs w:val="14"/>
                <w:color w:val="auto"/>
              </w:rPr>
            </w:pPr>
          </w:p>
        </w:tc>
        <w:tc>
          <w:tcPr>
            <w:tcW w:w="1900" w:type="dxa"/>
            <w:vAlign w:val="bottom"/>
            <w:gridSpan w:val="2"/>
            <w:shd w:val="clear" w:color="auto" w:fill="43C0B9"/>
          </w:tcPr>
          <w:p>
            <w:pPr>
              <w:jc w:val="center"/>
              <w:ind w:left="89"/>
              <w:spacing w:after="0" w:line="169" w:lineRule="exact"/>
              <w:rPr>
                <w:sz w:val="20"/>
                <w:szCs w:val="20"/>
                <w:color w:val="auto"/>
              </w:rPr>
            </w:pPr>
            <w:r>
              <w:rPr>
                <w:rFonts w:ascii="Calibri" w:cs="Calibri" w:eastAsia="Calibri" w:hAnsi="Calibri"/>
                <w:sz w:val="14"/>
                <w:szCs w:val="14"/>
                <w:b w:val="1"/>
                <w:bCs w:val="1"/>
                <w:color w:val="FFFFFF"/>
              </w:rPr>
              <w:t>April 30,</w:t>
            </w:r>
          </w:p>
        </w:tc>
        <w:tc>
          <w:tcPr>
            <w:tcW w:w="740" w:type="dxa"/>
            <w:vAlign w:val="bottom"/>
            <w:shd w:val="clear" w:color="auto" w:fill="43C0B9"/>
          </w:tcPr>
          <w:p>
            <w:pPr>
              <w:spacing w:after="0"/>
              <w:rPr>
                <w:sz w:val="14"/>
                <w:szCs w:val="14"/>
                <w:color w:val="auto"/>
              </w:rPr>
            </w:pPr>
          </w:p>
        </w:tc>
      </w:tr>
      <w:tr>
        <w:trPr>
          <w:trHeight w:val="294"/>
        </w:trPr>
        <w:tc>
          <w:tcPr>
            <w:tcW w:w="46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56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920" w:type="dxa"/>
            <w:vAlign w:val="bottom"/>
            <w:tcBorders>
              <w:bottom w:val="single" w:sz="8" w:color="43C0B9"/>
            </w:tcBorders>
            <w:shd w:val="clear" w:color="auto" w:fill="43C0B9"/>
          </w:tcPr>
          <w:p>
            <w:pPr>
              <w:spacing w:after="0"/>
              <w:rPr>
                <w:sz w:val="24"/>
                <w:szCs w:val="24"/>
                <w:color w:val="auto"/>
              </w:rPr>
            </w:pPr>
          </w:p>
        </w:tc>
        <w:tc>
          <w:tcPr>
            <w:tcW w:w="760" w:type="dxa"/>
            <w:vAlign w:val="bottom"/>
            <w:tcBorders>
              <w:bottom w:val="single" w:sz="8" w:color="43C0B9"/>
            </w:tcBorders>
            <w:shd w:val="clear" w:color="auto" w:fill="43C0B9"/>
          </w:tcPr>
          <w:p>
            <w:pPr>
              <w:jc w:val="right"/>
              <w:ind w:right="109"/>
              <w:spacing w:after="0"/>
              <w:rPr>
                <w:sz w:val="20"/>
                <w:szCs w:val="20"/>
                <w:color w:val="auto"/>
              </w:rPr>
            </w:pPr>
            <w:r>
              <w:rPr>
                <w:rFonts w:ascii="Calibri" w:cs="Calibri" w:eastAsia="Calibri" w:hAnsi="Calibri"/>
                <w:sz w:val="14"/>
                <w:szCs w:val="14"/>
                <w:b w:val="1"/>
                <w:bCs w:val="1"/>
                <w:color w:val="FFFFFF"/>
              </w:rPr>
              <w:t>2021</w:t>
            </w:r>
          </w:p>
        </w:tc>
        <w:tc>
          <w:tcPr>
            <w:tcW w:w="680" w:type="dxa"/>
            <w:vAlign w:val="bottom"/>
            <w:tcBorders>
              <w:bottom w:val="single" w:sz="8" w:color="43C0B9"/>
            </w:tcBorders>
            <w:shd w:val="clear" w:color="auto" w:fill="43C0B9"/>
          </w:tcPr>
          <w:p>
            <w:pPr>
              <w:spacing w:after="0"/>
              <w:rPr>
                <w:sz w:val="24"/>
                <w:szCs w:val="24"/>
                <w:color w:val="auto"/>
              </w:rPr>
            </w:pPr>
          </w:p>
        </w:tc>
        <w:tc>
          <w:tcPr>
            <w:tcW w:w="1000" w:type="dxa"/>
            <w:vAlign w:val="bottom"/>
            <w:tcBorders>
              <w:bottom w:val="single" w:sz="8" w:color="43C0B9"/>
            </w:tcBorders>
            <w:shd w:val="clear" w:color="auto" w:fill="43C0B9"/>
          </w:tcPr>
          <w:p>
            <w:pPr>
              <w:jc w:val="right"/>
              <w:ind w:right="69"/>
              <w:spacing w:after="0"/>
              <w:rPr>
                <w:sz w:val="20"/>
                <w:szCs w:val="20"/>
                <w:color w:val="auto"/>
              </w:rPr>
            </w:pPr>
            <w:r>
              <w:rPr>
                <w:rFonts w:ascii="Calibri" w:cs="Calibri" w:eastAsia="Calibri" w:hAnsi="Calibri"/>
                <w:sz w:val="14"/>
                <w:szCs w:val="14"/>
                <w:b w:val="1"/>
                <w:bCs w:val="1"/>
                <w:color w:val="FFFFFF"/>
              </w:rPr>
              <w:t>2022</w:t>
            </w:r>
          </w:p>
        </w:tc>
        <w:tc>
          <w:tcPr>
            <w:tcW w:w="90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Selling, general and administratve expenses</w:t>
            </w:r>
          </w:p>
        </w:tc>
        <w:tc>
          <w:tcPr>
            <w:tcW w:w="560" w:type="dxa"/>
            <w:vAlign w:val="bottom"/>
            <w:tcBorders>
              <w:bottom w:val="single" w:sz="8" w:color="DBDBDB"/>
            </w:tcBorders>
            <w:shd w:val="clear" w:color="auto" w:fill="DBDBDB"/>
          </w:tcPr>
          <w:p>
            <w:pPr>
              <w:jc w:val="right"/>
              <w:ind w:right="38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18.7</w:t>
            </w:r>
          </w:p>
        </w:tc>
        <w:tc>
          <w:tcPr>
            <w:tcW w:w="920" w:type="dxa"/>
            <w:vAlign w:val="bottom"/>
            <w:tcBorders>
              <w:bottom w:val="single" w:sz="8" w:color="DBDBDB"/>
            </w:tcBorders>
            <w:shd w:val="clear" w:color="auto" w:fill="DBDBDB"/>
          </w:tcPr>
          <w:p>
            <w:pPr>
              <w:jc w:val="right"/>
              <w:ind w:right="70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16.3</w:t>
            </w:r>
          </w:p>
        </w:tc>
        <w:tc>
          <w:tcPr>
            <w:tcW w:w="680" w:type="dxa"/>
            <w:vAlign w:val="bottom"/>
            <w:tcBorders>
              <w:bottom w:val="single" w:sz="8" w:color="DBDBDB"/>
            </w:tcBorders>
            <w:shd w:val="clear" w:color="auto" w:fill="DBDBDB"/>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37.4</w:t>
            </w:r>
          </w:p>
        </w:tc>
        <w:tc>
          <w:tcPr>
            <w:tcW w:w="900" w:type="dxa"/>
            <w:vAlign w:val="bottom"/>
            <w:tcBorders>
              <w:bottom w:val="single" w:sz="8" w:color="DBDBDB"/>
            </w:tcBorders>
            <w:shd w:val="clear" w:color="auto" w:fill="DBDBDB"/>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30.9</w:t>
            </w:r>
          </w:p>
        </w:tc>
      </w:tr>
      <w:tr>
        <w:trPr>
          <w:trHeight w:val="20"/>
        </w:trPr>
        <w:tc>
          <w:tcPr>
            <w:tcW w:w="4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-304800</wp:posOffset>
            </wp:positionV>
            <wp:extent cx="41865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86555" cy="8255"/>
                    </a:xfrm>
                    <a:prstGeom prst="rect">
                      <a:avLst/>
                    </a:prstGeom>
                    <a:noFill/>
                  </pic:spPr>
                </pic:pic>
              </a:graphicData>
            </a:graphic>
          </wp:anchor>
        </w:drawing>
      </w:r>
    </w:p>
    <w:p>
      <w:pPr>
        <w:spacing w:after="0" w:line="242" w:lineRule="exact"/>
        <w:rPr>
          <w:sz w:val="20"/>
          <w:szCs w:val="20"/>
          <w:color w:val="auto"/>
        </w:rPr>
      </w:pPr>
    </w:p>
    <w:p>
      <w:pPr>
        <w:ind w:right="20" w:firstLine="642"/>
        <w:spacing w:after="0" w:line="237" w:lineRule="auto"/>
        <w:rPr>
          <w:sz w:val="20"/>
          <w:szCs w:val="20"/>
          <w:color w:val="auto"/>
        </w:rPr>
      </w:pPr>
      <w:r>
        <w:rPr>
          <w:rFonts w:ascii="Calibri" w:cs="Calibri" w:eastAsia="Calibri" w:hAnsi="Calibri"/>
          <w:sz w:val="16"/>
          <w:szCs w:val="16"/>
          <w:color w:val="auto"/>
        </w:rPr>
        <w:t>Selling, general and administratve expenses increased $2.4 million or 15% in the three months ended April 30, 2022 compared to the same period last year due to noncapitalizable costs associated with the implementaton of our new ERP system in our Marketng and Distributon segment, higher employee-related costs driven by increased headcount and labor infaton and higher travel expenses as COVID-related travel restrictons have eased.</w:t>
      </w:r>
    </w:p>
    <w:p>
      <w:pPr>
        <w:spacing w:after="0" w:line="210" w:lineRule="exact"/>
        <w:rPr>
          <w:sz w:val="20"/>
          <w:szCs w:val="20"/>
          <w:color w:val="auto"/>
        </w:rPr>
      </w:pPr>
    </w:p>
    <w:p>
      <w:pPr>
        <w:ind w:right="120" w:firstLine="642"/>
        <w:spacing w:after="0" w:line="237" w:lineRule="auto"/>
        <w:rPr>
          <w:sz w:val="20"/>
          <w:szCs w:val="20"/>
          <w:color w:val="auto"/>
        </w:rPr>
      </w:pPr>
      <w:r>
        <w:rPr>
          <w:rFonts w:ascii="Calibri" w:cs="Calibri" w:eastAsia="Calibri" w:hAnsi="Calibri"/>
          <w:sz w:val="16"/>
          <w:szCs w:val="16"/>
          <w:color w:val="auto"/>
        </w:rPr>
        <w:t>Selling, general and administratve expenses increased $6.5 million or 21% in the six months ended April 30, 2022 compared to the same period last year due to the same factors above, as well as higher professional fees and certain transacton costs. Higher professional fees were in-part related to our change in SEC fler status from an emerging growth company to a large accelerated fler on October 31, 2021.</w:t>
      </w:r>
    </w:p>
    <w:p>
      <w:pPr>
        <w:spacing w:after="0" w:line="221"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Interest expense</w:t>
      </w:r>
    </w:p>
    <w:p>
      <w:pPr>
        <w:spacing w:after="0" w:line="209" w:lineRule="exact"/>
        <w:rPr>
          <w:sz w:val="20"/>
          <w:szCs w:val="20"/>
          <w:color w:val="auto"/>
        </w:rPr>
      </w:pPr>
    </w:p>
    <w:p>
      <w:pPr>
        <w:ind w:right="140" w:firstLine="642"/>
        <w:spacing w:after="0" w:line="233" w:lineRule="auto"/>
        <w:rPr>
          <w:sz w:val="20"/>
          <w:szCs w:val="20"/>
          <w:color w:val="auto"/>
        </w:rPr>
      </w:pPr>
      <w:r>
        <w:rPr>
          <w:rFonts w:ascii="Calibri" w:cs="Calibri" w:eastAsia="Calibri" w:hAnsi="Calibri"/>
          <w:sz w:val="16"/>
          <w:szCs w:val="16"/>
          <w:color w:val="auto"/>
        </w:rPr>
        <w:t>Interest expense consists primarily of interest on borrowings under working capital facilites that we maintain and interest on other long-term debt used to make capital and equity investments.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shd w:val="clear" w:color="auto" w:fill="43C0B9"/>
          </w:tcPr>
          <w:p>
            <w:pPr>
              <w:spacing w:after="0"/>
              <w:rPr>
                <w:sz w:val="15"/>
                <w:szCs w:val="15"/>
                <w:color w:val="auto"/>
              </w:rPr>
            </w:pPr>
          </w:p>
        </w:tc>
        <w:tc>
          <w:tcPr>
            <w:tcW w:w="560" w:type="dxa"/>
            <w:vAlign w:val="bottom"/>
            <w:shd w:val="clear" w:color="auto" w:fill="43C0B9"/>
          </w:tcPr>
          <w:p>
            <w:pPr>
              <w:spacing w:after="0"/>
              <w:rPr>
                <w:sz w:val="15"/>
                <w:szCs w:val="15"/>
                <w:color w:val="auto"/>
              </w:rPr>
            </w:pPr>
          </w:p>
        </w:tc>
        <w:tc>
          <w:tcPr>
            <w:tcW w:w="1960" w:type="dxa"/>
            <w:vAlign w:val="bottom"/>
            <w:gridSpan w:val="2"/>
            <w:shd w:val="clear" w:color="auto" w:fill="43C0B9"/>
          </w:tcPr>
          <w:p>
            <w:pPr>
              <w:jc w:val="center"/>
              <w:ind w:left="89"/>
              <w:spacing w:after="0"/>
              <w:rPr>
                <w:sz w:val="20"/>
                <w:szCs w:val="20"/>
                <w:color w:val="auto"/>
              </w:rPr>
            </w:pPr>
            <w:r>
              <w:rPr>
                <w:rFonts w:ascii="Calibri" w:cs="Calibri" w:eastAsia="Calibri" w:hAnsi="Calibri"/>
                <w:sz w:val="14"/>
                <w:szCs w:val="14"/>
                <w:b w:val="1"/>
                <w:bCs w:val="1"/>
                <w:color w:val="FFFFFF"/>
              </w:rPr>
              <w:t>Three Months Ended</w:t>
            </w:r>
          </w:p>
        </w:tc>
        <w:tc>
          <w:tcPr>
            <w:tcW w:w="760" w:type="dxa"/>
            <w:vAlign w:val="bottom"/>
            <w:shd w:val="clear" w:color="auto" w:fill="43C0B9"/>
          </w:tcPr>
          <w:p>
            <w:pPr>
              <w:spacing w:after="0"/>
              <w:rPr>
                <w:sz w:val="15"/>
                <w:szCs w:val="15"/>
                <w:color w:val="auto"/>
              </w:rPr>
            </w:pPr>
          </w:p>
        </w:tc>
        <w:tc>
          <w:tcPr>
            <w:tcW w:w="680" w:type="dxa"/>
            <w:vAlign w:val="bottom"/>
            <w:shd w:val="clear" w:color="auto" w:fill="43C0B9"/>
          </w:tcPr>
          <w:p>
            <w:pPr>
              <w:spacing w:after="0"/>
              <w:rPr>
                <w:sz w:val="15"/>
                <w:szCs w:val="15"/>
                <w:color w:val="auto"/>
              </w:rPr>
            </w:pPr>
          </w:p>
        </w:tc>
        <w:tc>
          <w:tcPr>
            <w:tcW w:w="1900" w:type="dxa"/>
            <w:vAlign w:val="bottom"/>
            <w:gridSpan w:val="2"/>
            <w:shd w:val="clear" w:color="auto" w:fill="43C0B9"/>
          </w:tcPr>
          <w:p>
            <w:pPr>
              <w:jc w:val="center"/>
              <w:ind w:left="89"/>
              <w:spacing w:after="0"/>
              <w:rPr>
                <w:sz w:val="20"/>
                <w:szCs w:val="20"/>
                <w:color w:val="auto"/>
              </w:rPr>
            </w:pPr>
            <w:r>
              <w:rPr>
                <w:rFonts w:ascii="Calibri" w:cs="Calibri" w:eastAsia="Calibri" w:hAnsi="Calibri"/>
                <w:sz w:val="14"/>
                <w:szCs w:val="14"/>
                <w:b w:val="1"/>
                <w:bCs w:val="1"/>
                <w:color w:val="FFFFFF"/>
              </w:rPr>
              <w:t>Six Months Ended</w:t>
            </w:r>
          </w:p>
        </w:tc>
        <w:tc>
          <w:tcPr>
            <w:tcW w:w="740" w:type="dxa"/>
            <w:vAlign w:val="bottom"/>
            <w:shd w:val="clear" w:color="auto" w:fill="43C0B9"/>
          </w:tcPr>
          <w:p>
            <w:pPr>
              <w:spacing w:after="0"/>
              <w:rPr>
                <w:sz w:val="15"/>
                <w:szCs w:val="15"/>
                <w:color w:val="auto"/>
              </w:rPr>
            </w:pPr>
          </w:p>
        </w:tc>
      </w:tr>
      <w:tr>
        <w:trPr>
          <w:trHeight w:val="169"/>
        </w:trPr>
        <w:tc>
          <w:tcPr>
            <w:tcW w:w="46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1960" w:type="dxa"/>
            <w:vAlign w:val="bottom"/>
            <w:gridSpan w:val="2"/>
            <w:shd w:val="clear" w:color="auto" w:fill="43C0B9"/>
          </w:tcPr>
          <w:p>
            <w:pPr>
              <w:jc w:val="center"/>
              <w:ind w:left="89"/>
              <w:spacing w:after="0" w:line="169" w:lineRule="exact"/>
              <w:rPr>
                <w:sz w:val="20"/>
                <w:szCs w:val="20"/>
                <w:color w:val="auto"/>
              </w:rPr>
            </w:pPr>
            <w:r>
              <w:rPr>
                <w:rFonts w:ascii="Calibri" w:cs="Calibri" w:eastAsia="Calibri" w:hAnsi="Calibri"/>
                <w:sz w:val="14"/>
                <w:szCs w:val="14"/>
                <w:b w:val="1"/>
                <w:bCs w:val="1"/>
                <w:color w:val="FFFFFF"/>
                <w:w w:val="98"/>
              </w:rPr>
              <w:t>April 30,</w:t>
            </w:r>
          </w:p>
        </w:tc>
        <w:tc>
          <w:tcPr>
            <w:tcW w:w="760" w:type="dxa"/>
            <w:vAlign w:val="bottom"/>
            <w:shd w:val="clear" w:color="auto" w:fill="43C0B9"/>
          </w:tcPr>
          <w:p>
            <w:pPr>
              <w:spacing w:after="0"/>
              <w:rPr>
                <w:sz w:val="14"/>
                <w:szCs w:val="14"/>
                <w:color w:val="auto"/>
              </w:rPr>
            </w:pPr>
          </w:p>
        </w:tc>
        <w:tc>
          <w:tcPr>
            <w:tcW w:w="680" w:type="dxa"/>
            <w:vAlign w:val="bottom"/>
            <w:shd w:val="clear" w:color="auto" w:fill="43C0B9"/>
          </w:tcPr>
          <w:p>
            <w:pPr>
              <w:spacing w:after="0"/>
              <w:rPr>
                <w:sz w:val="14"/>
                <w:szCs w:val="14"/>
                <w:color w:val="auto"/>
              </w:rPr>
            </w:pPr>
          </w:p>
        </w:tc>
        <w:tc>
          <w:tcPr>
            <w:tcW w:w="1900" w:type="dxa"/>
            <w:vAlign w:val="bottom"/>
            <w:gridSpan w:val="2"/>
            <w:shd w:val="clear" w:color="auto" w:fill="43C0B9"/>
          </w:tcPr>
          <w:p>
            <w:pPr>
              <w:jc w:val="center"/>
              <w:ind w:left="89"/>
              <w:spacing w:after="0" w:line="169" w:lineRule="exact"/>
              <w:rPr>
                <w:sz w:val="20"/>
                <w:szCs w:val="20"/>
                <w:color w:val="auto"/>
              </w:rPr>
            </w:pPr>
            <w:r>
              <w:rPr>
                <w:rFonts w:ascii="Calibri" w:cs="Calibri" w:eastAsia="Calibri" w:hAnsi="Calibri"/>
                <w:sz w:val="14"/>
                <w:szCs w:val="14"/>
                <w:b w:val="1"/>
                <w:bCs w:val="1"/>
                <w:color w:val="FFFFFF"/>
              </w:rPr>
              <w:t>April 30,</w:t>
            </w:r>
          </w:p>
        </w:tc>
        <w:tc>
          <w:tcPr>
            <w:tcW w:w="740" w:type="dxa"/>
            <w:vAlign w:val="bottom"/>
            <w:shd w:val="clear" w:color="auto" w:fill="43C0B9"/>
          </w:tcPr>
          <w:p>
            <w:pPr>
              <w:spacing w:after="0"/>
              <w:rPr>
                <w:sz w:val="14"/>
                <w:szCs w:val="14"/>
                <w:color w:val="auto"/>
              </w:rPr>
            </w:pPr>
          </w:p>
        </w:tc>
      </w:tr>
      <w:tr>
        <w:trPr>
          <w:trHeight w:val="280"/>
        </w:trPr>
        <w:tc>
          <w:tcPr>
            <w:tcW w:w="46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56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920" w:type="dxa"/>
            <w:vAlign w:val="bottom"/>
            <w:tcBorders>
              <w:bottom w:val="single" w:sz="8" w:color="43C0B9"/>
            </w:tcBorders>
            <w:shd w:val="clear" w:color="auto" w:fill="43C0B9"/>
          </w:tcPr>
          <w:p>
            <w:pPr>
              <w:spacing w:after="0"/>
              <w:rPr>
                <w:sz w:val="24"/>
                <w:szCs w:val="24"/>
                <w:color w:val="auto"/>
              </w:rPr>
            </w:pPr>
          </w:p>
        </w:tc>
        <w:tc>
          <w:tcPr>
            <w:tcW w:w="760" w:type="dxa"/>
            <w:vAlign w:val="bottom"/>
            <w:tcBorders>
              <w:bottom w:val="single" w:sz="8" w:color="43C0B9"/>
            </w:tcBorders>
            <w:shd w:val="clear" w:color="auto" w:fill="43C0B9"/>
          </w:tcPr>
          <w:p>
            <w:pPr>
              <w:jc w:val="right"/>
              <w:ind w:right="109"/>
              <w:spacing w:after="0"/>
              <w:rPr>
                <w:sz w:val="20"/>
                <w:szCs w:val="20"/>
                <w:color w:val="auto"/>
              </w:rPr>
            </w:pPr>
            <w:r>
              <w:rPr>
                <w:rFonts w:ascii="Calibri" w:cs="Calibri" w:eastAsia="Calibri" w:hAnsi="Calibri"/>
                <w:sz w:val="14"/>
                <w:szCs w:val="14"/>
                <w:b w:val="1"/>
                <w:bCs w:val="1"/>
                <w:color w:val="FFFFFF"/>
              </w:rPr>
              <w:t>2021</w:t>
            </w:r>
          </w:p>
        </w:tc>
        <w:tc>
          <w:tcPr>
            <w:tcW w:w="680" w:type="dxa"/>
            <w:vAlign w:val="bottom"/>
            <w:tcBorders>
              <w:bottom w:val="single" w:sz="8" w:color="43C0B9"/>
            </w:tcBorders>
            <w:shd w:val="clear" w:color="auto" w:fill="43C0B9"/>
          </w:tcPr>
          <w:p>
            <w:pPr>
              <w:spacing w:after="0"/>
              <w:rPr>
                <w:sz w:val="24"/>
                <w:szCs w:val="24"/>
                <w:color w:val="auto"/>
              </w:rPr>
            </w:pPr>
          </w:p>
        </w:tc>
        <w:tc>
          <w:tcPr>
            <w:tcW w:w="1000" w:type="dxa"/>
            <w:vAlign w:val="bottom"/>
            <w:tcBorders>
              <w:bottom w:val="single" w:sz="8" w:color="43C0B9"/>
            </w:tcBorders>
            <w:shd w:val="clear" w:color="auto" w:fill="43C0B9"/>
          </w:tcPr>
          <w:p>
            <w:pPr>
              <w:jc w:val="right"/>
              <w:ind w:right="69"/>
              <w:spacing w:after="0"/>
              <w:rPr>
                <w:sz w:val="20"/>
                <w:szCs w:val="20"/>
                <w:color w:val="auto"/>
              </w:rPr>
            </w:pPr>
            <w:r>
              <w:rPr>
                <w:rFonts w:ascii="Calibri" w:cs="Calibri" w:eastAsia="Calibri" w:hAnsi="Calibri"/>
                <w:sz w:val="14"/>
                <w:szCs w:val="14"/>
                <w:b w:val="1"/>
                <w:bCs w:val="1"/>
                <w:color w:val="FFFFFF"/>
              </w:rPr>
              <w:t>2022</w:t>
            </w:r>
          </w:p>
        </w:tc>
        <w:tc>
          <w:tcPr>
            <w:tcW w:w="90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Interest expense</w:t>
            </w:r>
          </w:p>
        </w:tc>
        <w:tc>
          <w:tcPr>
            <w:tcW w:w="560" w:type="dxa"/>
            <w:vAlign w:val="bottom"/>
            <w:tcBorders>
              <w:bottom w:val="single" w:sz="8" w:color="DBDBDB"/>
            </w:tcBorders>
            <w:shd w:val="clear" w:color="auto" w:fill="DBDBDB"/>
          </w:tcPr>
          <w:p>
            <w:pPr>
              <w:jc w:val="right"/>
              <w:ind w:right="38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1.1</w:t>
            </w:r>
          </w:p>
        </w:tc>
        <w:tc>
          <w:tcPr>
            <w:tcW w:w="920" w:type="dxa"/>
            <w:vAlign w:val="bottom"/>
            <w:tcBorders>
              <w:bottom w:val="single" w:sz="8" w:color="DBDBDB"/>
            </w:tcBorders>
            <w:shd w:val="clear" w:color="auto" w:fill="DBDBDB"/>
          </w:tcPr>
          <w:p>
            <w:pPr>
              <w:jc w:val="right"/>
              <w:ind w:right="70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0.8</w:t>
            </w:r>
          </w:p>
        </w:tc>
        <w:tc>
          <w:tcPr>
            <w:tcW w:w="680" w:type="dxa"/>
            <w:vAlign w:val="bottom"/>
            <w:tcBorders>
              <w:bottom w:val="single" w:sz="8" w:color="DBDBDB"/>
            </w:tcBorders>
            <w:shd w:val="clear" w:color="auto" w:fill="DBDBDB"/>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2.0</w:t>
            </w:r>
          </w:p>
        </w:tc>
        <w:tc>
          <w:tcPr>
            <w:tcW w:w="900" w:type="dxa"/>
            <w:vAlign w:val="bottom"/>
            <w:tcBorders>
              <w:bottom w:val="single" w:sz="8" w:color="DBDBDB"/>
            </w:tcBorders>
            <w:shd w:val="clear" w:color="auto" w:fill="DBDBDB"/>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1.7</w:t>
            </w:r>
          </w:p>
        </w:tc>
      </w:tr>
      <w:tr>
        <w:trPr>
          <w:trHeight w:val="20"/>
        </w:trPr>
        <w:tc>
          <w:tcPr>
            <w:tcW w:w="4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-304800</wp:posOffset>
            </wp:positionV>
            <wp:extent cx="41865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86555" cy="8255"/>
                    </a:xfrm>
                    <a:prstGeom prst="rect">
                      <a:avLst/>
                    </a:prstGeom>
                    <a:noFill/>
                  </pic:spPr>
                </pic:pic>
              </a:graphicData>
            </a:graphic>
          </wp:anchor>
        </w:drawing>
      </w:r>
    </w:p>
    <w:p>
      <w:pPr>
        <w:spacing w:after="0" w:line="256" w:lineRule="exact"/>
        <w:rPr>
          <w:sz w:val="20"/>
          <w:szCs w:val="20"/>
          <w:color w:val="auto"/>
        </w:rPr>
      </w:pPr>
    </w:p>
    <w:p>
      <w:pPr>
        <w:ind w:right="240" w:firstLine="642"/>
        <w:spacing w:after="0" w:line="242" w:lineRule="auto"/>
        <w:rPr>
          <w:sz w:val="20"/>
          <w:szCs w:val="20"/>
          <w:color w:val="auto"/>
        </w:rPr>
      </w:pPr>
      <w:r>
        <w:rPr>
          <w:rFonts w:ascii="Calibri" w:cs="Calibri" w:eastAsia="Calibri" w:hAnsi="Calibri"/>
          <w:sz w:val="16"/>
          <w:szCs w:val="16"/>
          <w:color w:val="auto"/>
        </w:rPr>
        <w:t>Interest expense increased $0.3 million or 37.5% and $0.3 million or 17.6% in the three and six months ended April 30, 2022 compared to the same periods last year, respectvely. The increases were primarily due to higher interest rates, as the majority of our outstanding debt is subject to variable rates.</w:t>
      </w:r>
    </w:p>
    <w:p>
      <w:pPr>
        <w:spacing w:after="0" w:line="20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Equity method income (loss)</w:t>
      </w:r>
    </w:p>
    <w:p>
      <w:pPr>
        <w:spacing w:after="0" w:line="219"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Our material equity method investees include Henry Avocado (“HAC”), Mr. Avocado, Moruga, and Copaltas.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shd w:val="clear" w:color="auto" w:fill="43C0B9"/>
          </w:tcPr>
          <w:p>
            <w:pPr>
              <w:spacing w:after="0"/>
              <w:rPr>
                <w:sz w:val="15"/>
                <w:szCs w:val="15"/>
                <w:color w:val="auto"/>
              </w:rPr>
            </w:pPr>
          </w:p>
        </w:tc>
        <w:tc>
          <w:tcPr>
            <w:tcW w:w="560" w:type="dxa"/>
            <w:vAlign w:val="bottom"/>
            <w:shd w:val="clear" w:color="auto" w:fill="43C0B9"/>
          </w:tcPr>
          <w:p>
            <w:pPr>
              <w:spacing w:after="0"/>
              <w:rPr>
                <w:sz w:val="15"/>
                <w:szCs w:val="15"/>
                <w:color w:val="auto"/>
              </w:rPr>
            </w:pPr>
          </w:p>
        </w:tc>
        <w:tc>
          <w:tcPr>
            <w:tcW w:w="1960" w:type="dxa"/>
            <w:vAlign w:val="bottom"/>
            <w:gridSpan w:val="2"/>
            <w:shd w:val="clear" w:color="auto" w:fill="43C0B9"/>
          </w:tcPr>
          <w:p>
            <w:pPr>
              <w:jc w:val="center"/>
              <w:ind w:left="89"/>
              <w:spacing w:after="0"/>
              <w:rPr>
                <w:sz w:val="20"/>
                <w:szCs w:val="20"/>
                <w:color w:val="auto"/>
              </w:rPr>
            </w:pPr>
            <w:r>
              <w:rPr>
                <w:rFonts w:ascii="Calibri" w:cs="Calibri" w:eastAsia="Calibri" w:hAnsi="Calibri"/>
                <w:sz w:val="14"/>
                <w:szCs w:val="14"/>
                <w:b w:val="1"/>
                <w:bCs w:val="1"/>
                <w:color w:val="FFFFFF"/>
              </w:rPr>
              <w:t>Three Months Ended</w:t>
            </w:r>
          </w:p>
        </w:tc>
        <w:tc>
          <w:tcPr>
            <w:tcW w:w="780" w:type="dxa"/>
            <w:vAlign w:val="bottom"/>
            <w:shd w:val="clear" w:color="auto" w:fill="43C0B9"/>
          </w:tcPr>
          <w:p>
            <w:pPr>
              <w:spacing w:after="0"/>
              <w:rPr>
                <w:sz w:val="15"/>
                <w:szCs w:val="15"/>
                <w:color w:val="auto"/>
              </w:rPr>
            </w:pPr>
          </w:p>
        </w:tc>
        <w:tc>
          <w:tcPr>
            <w:tcW w:w="660" w:type="dxa"/>
            <w:vAlign w:val="bottom"/>
            <w:shd w:val="clear" w:color="auto" w:fill="43C0B9"/>
          </w:tcPr>
          <w:p>
            <w:pPr>
              <w:spacing w:after="0"/>
              <w:rPr>
                <w:sz w:val="15"/>
                <w:szCs w:val="15"/>
                <w:color w:val="auto"/>
              </w:rPr>
            </w:pPr>
          </w:p>
        </w:tc>
        <w:tc>
          <w:tcPr>
            <w:tcW w:w="1900" w:type="dxa"/>
            <w:vAlign w:val="bottom"/>
            <w:gridSpan w:val="2"/>
            <w:shd w:val="clear" w:color="auto" w:fill="43C0B9"/>
          </w:tcPr>
          <w:p>
            <w:pPr>
              <w:jc w:val="center"/>
              <w:ind w:left="89"/>
              <w:spacing w:after="0"/>
              <w:rPr>
                <w:sz w:val="20"/>
                <w:szCs w:val="20"/>
                <w:color w:val="auto"/>
              </w:rPr>
            </w:pPr>
            <w:r>
              <w:rPr>
                <w:rFonts w:ascii="Calibri" w:cs="Calibri" w:eastAsia="Calibri" w:hAnsi="Calibri"/>
                <w:sz w:val="14"/>
                <w:szCs w:val="14"/>
                <w:b w:val="1"/>
                <w:bCs w:val="1"/>
                <w:color w:val="FFFFFF"/>
              </w:rPr>
              <w:t>Six Months Ended</w:t>
            </w:r>
          </w:p>
        </w:tc>
        <w:tc>
          <w:tcPr>
            <w:tcW w:w="740" w:type="dxa"/>
            <w:vAlign w:val="bottom"/>
            <w:shd w:val="clear" w:color="auto" w:fill="43C0B9"/>
          </w:tcPr>
          <w:p>
            <w:pPr>
              <w:spacing w:after="0"/>
              <w:rPr>
                <w:sz w:val="15"/>
                <w:szCs w:val="15"/>
                <w:color w:val="auto"/>
              </w:rPr>
            </w:pPr>
          </w:p>
        </w:tc>
      </w:tr>
      <w:tr>
        <w:trPr>
          <w:trHeight w:val="169"/>
        </w:trPr>
        <w:tc>
          <w:tcPr>
            <w:tcW w:w="46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1960" w:type="dxa"/>
            <w:vAlign w:val="bottom"/>
            <w:gridSpan w:val="2"/>
            <w:shd w:val="clear" w:color="auto" w:fill="43C0B9"/>
          </w:tcPr>
          <w:p>
            <w:pPr>
              <w:jc w:val="center"/>
              <w:ind w:left="89"/>
              <w:spacing w:after="0" w:line="169" w:lineRule="exact"/>
              <w:rPr>
                <w:sz w:val="20"/>
                <w:szCs w:val="20"/>
                <w:color w:val="auto"/>
              </w:rPr>
            </w:pPr>
            <w:r>
              <w:rPr>
                <w:rFonts w:ascii="Calibri" w:cs="Calibri" w:eastAsia="Calibri" w:hAnsi="Calibri"/>
                <w:sz w:val="14"/>
                <w:szCs w:val="14"/>
                <w:b w:val="1"/>
                <w:bCs w:val="1"/>
                <w:color w:val="FFFFFF"/>
                <w:w w:val="98"/>
              </w:rPr>
              <w:t>April 30,</w:t>
            </w:r>
          </w:p>
        </w:tc>
        <w:tc>
          <w:tcPr>
            <w:tcW w:w="780" w:type="dxa"/>
            <w:vAlign w:val="bottom"/>
            <w:shd w:val="clear" w:color="auto" w:fill="43C0B9"/>
          </w:tcPr>
          <w:p>
            <w:pPr>
              <w:spacing w:after="0"/>
              <w:rPr>
                <w:sz w:val="14"/>
                <w:szCs w:val="14"/>
                <w:color w:val="auto"/>
              </w:rPr>
            </w:pPr>
          </w:p>
        </w:tc>
        <w:tc>
          <w:tcPr>
            <w:tcW w:w="660" w:type="dxa"/>
            <w:vAlign w:val="bottom"/>
            <w:shd w:val="clear" w:color="auto" w:fill="43C0B9"/>
          </w:tcPr>
          <w:p>
            <w:pPr>
              <w:spacing w:after="0"/>
              <w:rPr>
                <w:sz w:val="14"/>
                <w:szCs w:val="14"/>
                <w:color w:val="auto"/>
              </w:rPr>
            </w:pPr>
          </w:p>
        </w:tc>
        <w:tc>
          <w:tcPr>
            <w:tcW w:w="1900" w:type="dxa"/>
            <w:vAlign w:val="bottom"/>
            <w:gridSpan w:val="2"/>
            <w:shd w:val="clear" w:color="auto" w:fill="43C0B9"/>
          </w:tcPr>
          <w:p>
            <w:pPr>
              <w:jc w:val="center"/>
              <w:ind w:left="89"/>
              <w:spacing w:after="0" w:line="169" w:lineRule="exact"/>
              <w:rPr>
                <w:sz w:val="20"/>
                <w:szCs w:val="20"/>
                <w:color w:val="auto"/>
              </w:rPr>
            </w:pPr>
            <w:r>
              <w:rPr>
                <w:rFonts w:ascii="Calibri" w:cs="Calibri" w:eastAsia="Calibri" w:hAnsi="Calibri"/>
                <w:sz w:val="14"/>
                <w:szCs w:val="14"/>
                <w:b w:val="1"/>
                <w:bCs w:val="1"/>
                <w:color w:val="FFFFFF"/>
              </w:rPr>
              <w:t>April 30,</w:t>
            </w:r>
          </w:p>
        </w:tc>
        <w:tc>
          <w:tcPr>
            <w:tcW w:w="740" w:type="dxa"/>
            <w:vAlign w:val="bottom"/>
            <w:shd w:val="clear" w:color="auto" w:fill="43C0B9"/>
          </w:tcPr>
          <w:p>
            <w:pPr>
              <w:spacing w:after="0"/>
              <w:rPr>
                <w:sz w:val="14"/>
                <w:szCs w:val="14"/>
                <w:color w:val="auto"/>
              </w:rPr>
            </w:pPr>
          </w:p>
        </w:tc>
      </w:tr>
      <w:tr>
        <w:trPr>
          <w:trHeight w:val="280"/>
        </w:trPr>
        <w:tc>
          <w:tcPr>
            <w:tcW w:w="46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56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920" w:type="dxa"/>
            <w:vAlign w:val="bottom"/>
            <w:tcBorders>
              <w:bottom w:val="single" w:sz="8" w:color="43C0B9"/>
            </w:tcBorders>
            <w:shd w:val="clear" w:color="auto" w:fill="43C0B9"/>
          </w:tcPr>
          <w:p>
            <w:pPr>
              <w:spacing w:after="0"/>
              <w:rPr>
                <w:sz w:val="24"/>
                <w:szCs w:val="24"/>
                <w:color w:val="auto"/>
              </w:rPr>
            </w:pPr>
          </w:p>
        </w:tc>
        <w:tc>
          <w:tcPr>
            <w:tcW w:w="780" w:type="dxa"/>
            <w:vAlign w:val="bottom"/>
            <w:tcBorders>
              <w:bottom w:val="single" w:sz="8" w:color="43C0B9"/>
            </w:tcBorders>
            <w:shd w:val="clear" w:color="auto" w:fill="43C0B9"/>
          </w:tcPr>
          <w:p>
            <w:pPr>
              <w:jc w:val="right"/>
              <w:ind w:right="129"/>
              <w:spacing w:after="0"/>
              <w:rPr>
                <w:sz w:val="20"/>
                <w:szCs w:val="20"/>
                <w:color w:val="auto"/>
              </w:rPr>
            </w:pPr>
            <w:r>
              <w:rPr>
                <w:rFonts w:ascii="Calibri" w:cs="Calibri" w:eastAsia="Calibri" w:hAnsi="Calibri"/>
                <w:sz w:val="14"/>
                <w:szCs w:val="14"/>
                <w:b w:val="1"/>
                <w:bCs w:val="1"/>
                <w:color w:val="FFFFFF"/>
              </w:rPr>
              <w:t>2021</w:t>
            </w:r>
          </w:p>
        </w:tc>
        <w:tc>
          <w:tcPr>
            <w:tcW w:w="660" w:type="dxa"/>
            <w:vAlign w:val="bottom"/>
            <w:tcBorders>
              <w:bottom w:val="single" w:sz="8" w:color="43C0B9"/>
            </w:tcBorders>
            <w:shd w:val="clear" w:color="auto" w:fill="43C0B9"/>
          </w:tcPr>
          <w:p>
            <w:pPr>
              <w:spacing w:after="0"/>
              <w:rPr>
                <w:sz w:val="24"/>
                <w:szCs w:val="24"/>
                <w:color w:val="auto"/>
              </w:rPr>
            </w:pPr>
          </w:p>
        </w:tc>
        <w:tc>
          <w:tcPr>
            <w:tcW w:w="1000" w:type="dxa"/>
            <w:vAlign w:val="bottom"/>
            <w:tcBorders>
              <w:bottom w:val="single" w:sz="8" w:color="43C0B9"/>
            </w:tcBorders>
            <w:shd w:val="clear" w:color="auto" w:fill="43C0B9"/>
          </w:tcPr>
          <w:p>
            <w:pPr>
              <w:jc w:val="right"/>
              <w:ind w:right="69"/>
              <w:spacing w:after="0"/>
              <w:rPr>
                <w:sz w:val="20"/>
                <w:szCs w:val="20"/>
                <w:color w:val="auto"/>
              </w:rPr>
            </w:pPr>
            <w:r>
              <w:rPr>
                <w:rFonts w:ascii="Calibri" w:cs="Calibri" w:eastAsia="Calibri" w:hAnsi="Calibri"/>
                <w:sz w:val="14"/>
                <w:szCs w:val="14"/>
                <w:b w:val="1"/>
                <w:bCs w:val="1"/>
                <w:color w:val="FFFFFF"/>
              </w:rPr>
              <w:t>2022</w:t>
            </w:r>
          </w:p>
        </w:tc>
        <w:tc>
          <w:tcPr>
            <w:tcW w:w="90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Equity method income (loss)</w:t>
            </w:r>
          </w:p>
        </w:tc>
        <w:tc>
          <w:tcPr>
            <w:tcW w:w="560" w:type="dxa"/>
            <w:vAlign w:val="bottom"/>
            <w:tcBorders>
              <w:bottom w:val="single" w:sz="8" w:color="DBDBDB"/>
            </w:tcBorders>
            <w:shd w:val="clear" w:color="auto" w:fill="DBDBDB"/>
          </w:tcPr>
          <w:p>
            <w:pPr>
              <w:jc w:val="right"/>
              <w:ind w:right="38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0.3</w:t>
            </w:r>
          </w:p>
        </w:tc>
        <w:tc>
          <w:tcPr>
            <w:tcW w:w="920" w:type="dxa"/>
            <w:vAlign w:val="bottom"/>
            <w:tcBorders>
              <w:bottom w:val="single" w:sz="8" w:color="DBDBDB"/>
            </w:tcBorders>
            <w:shd w:val="clear" w:color="auto" w:fill="DBDBDB"/>
          </w:tcPr>
          <w:p>
            <w:pPr>
              <w:jc w:val="right"/>
              <w:ind w:right="709"/>
              <w:spacing w:after="0" w:line="169"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(0.2)</w:t>
            </w:r>
          </w:p>
        </w:tc>
        <w:tc>
          <w:tcPr>
            <w:tcW w:w="660" w:type="dxa"/>
            <w:vAlign w:val="bottom"/>
            <w:tcBorders>
              <w:bottom w:val="single" w:sz="8" w:color="DBDBDB"/>
            </w:tcBorders>
            <w:shd w:val="clear" w:color="auto" w:fill="DBDBDB"/>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1.9</w:t>
            </w:r>
          </w:p>
        </w:tc>
        <w:tc>
          <w:tcPr>
            <w:tcW w:w="900" w:type="dxa"/>
            <w:vAlign w:val="bottom"/>
            <w:tcBorders>
              <w:bottom w:val="single" w:sz="8" w:color="DBDBDB"/>
            </w:tcBorders>
            <w:shd w:val="clear" w:color="auto" w:fill="DBDBDB"/>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2.1</w:t>
            </w:r>
          </w:p>
        </w:tc>
      </w:tr>
      <w:tr>
        <w:trPr>
          <w:trHeight w:val="20"/>
        </w:trPr>
        <w:tc>
          <w:tcPr>
            <w:tcW w:w="4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-304800</wp:posOffset>
            </wp:positionV>
            <wp:extent cx="41865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86555" cy="825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type w:val="continuous"/>
        </w:sectPr>
      </w:pPr>
    </w:p>
    <w:bookmarkStart w:id="18" w:name="page19"/>
    <w:bookmarkEnd w:id="18"/>
    <w:p>
      <w:pPr>
        <w:ind w:right="120" w:firstLine="642"/>
        <w:spacing w:after="0" w:line="233" w:lineRule="auto"/>
        <w:rPr>
          <w:sz w:val="20"/>
          <w:szCs w:val="20"/>
          <w:color w:val="auto"/>
        </w:rPr>
      </w:pPr>
      <w:r>
        <w:rPr>
          <w:rFonts w:ascii="Calibri" w:cs="Calibri" w:eastAsia="Calibri" w:hAnsi="Calibri"/>
          <w:sz w:val="16"/>
          <w:szCs w:val="16"/>
          <w:color w:val="auto"/>
        </w:rPr>
        <w:t>Equity method income in the three months ended April 30, 2022 was $0.3 million compared to a loss of $0.2 million in the same period last year, primarily due to higher earnings from HAC due to improved per-unit margins.</w:t>
      </w:r>
    </w:p>
    <w:p>
      <w:pPr>
        <w:spacing w:after="0" w:line="223" w:lineRule="exact"/>
        <w:rPr>
          <w:sz w:val="20"/>
          <w:szCs w:val="20"/>
          <w:color w:val="auto"/>
        </w:rPr>
      </w:pPr>
    </w:p>
    <w:p>
      <w:pPr>
        <w:jc w:val="both"/>
        <w:ind w:right="500" w:firstLine="642"/>
        <w:spacing w:after="0" w:line="232" w:lineRule="auto"/>
        <w:rPr>
          <w:sz w:val="20"/>
          <w:szCs w:val="20"/>
          <w:color w:val="auto"/>
        </w:rPr>
      </w:pPr>
      <w:r>
        <w:rPr>
          <w:rFonts w:ascii="Calibri" w:cs="Calibri" w:eastAsia="Calibri" w:hAnsi="Calibri"/>
          <w:sz w:val="16"/>
          <w:szCs w:val="16"/>
          <w:color w:val="auto"/>
        </w:rPr>
        <w:t>Equity method income decreased $0.2 million or 10% in the six months ended April 30, 2022 compared to the same period last year as lower earnings from Moruga and Mr. Avocado were substantally ofset by higher earnings from HAC. Moruga was afected by lower per-unit sales pricing, as well as higher farming costs associated with the replacement of certain farmable area with the intent of increasing yields.</w:t>
      </w:r>
    </w:p>
    <w:p>
      <w:pPr>
        <w:spacing w:after="0" w:line="22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Other income (expense)</w:t>
      </w:r>
    </w:p>
    <w:p>
      <w:pPr>
        <w:spacing w:after="0" w:line="209" w:lineRule="exact"/>
        <w:rPr>
          <w:sz w:val="20"/>
          <w:szCs w:val="20"/>
          <w:color w:val="auto"/>
        </w:rPr>
      </w:pPr>
    </w:p>
    <w:p>
      <w:pPr>
        <w:ind w:right="40" w:firstLine="642"/>
        <w:spacing w:after="0" w:line="242" w:lineRule="auto"/>
        <w:rPr>
          <w:sz w:val="20"/>
          <w:szCs w:val="20"/>
          <w:color w:val="auto"/>
        </w:rPr>
      </w:pPr>
      <w:r>
        <w:rPr>
          <w:rFonts w:ascii="Calibri" w:cs="Calibri" w:eastAsia="Calibri" w:hAnsi="Calibri"/>
          <w:sz w:val="16"/>
          <w:szCs w:val="16"/>
          <w:color w:val="auto"/>
        </w:rPr>
        <w:t>Other income (expense) consists of interest income, currency exchange gains or losses, interest rate derivatve gains or losses and other miscellaneous income and expense items.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shd w:val="clear" w:color="auto" w:fill="43C0B9"/>
          </w:tcPr>
          <w:p>
            <w:pPr>
              <w:spacing w:after="0"/>
              <w:rPr>
                <w:sz w:val="15"/>
                <w:szCs w:val="15"/>
                <w:color w:val="auto"/>
              </w:rPr>
            </w:pPr>
          </w:p>
        </w:tc>
        <w:tc>
          <w:tcPr>
            <w:tcW w:w="560" w:type="dxa"/>
            <w:vAlign w:val="bottom"/>
            <w:shd w:val="clear" w:color="auto" w:fill="43C0B9"/>
          </w:tcPr>
          <w:p>
            <w:pPr>
              <w:spacing w:after="0"/>
              <w:rPr>
                <w:sz w:val="15"/>
                <w:szCs w:val="15"/>
                <w:color w:val="auto"/>
              </w:rPr>
            </w:pPr>
          </w:p>
        </w:tc>
        <w:tc>
          <w:tcPr>
            <w:tcW w:w="1960" w:type="dxa"/>
            <w:vAlign w:val="bottom"/>
            <w:gridSpan w:val="2"/>
            <w:shd w:val="clear" w:color="auto" w:fill="43C0B9"/>
          </w:tcPr>
          <w:p>
            <w:pPr>
              <w:jc w:val="center"/>
              <w:ind w:left="89"/>
              <w:spacing w:after="0"/>
              <w:rPr>
                <w:sz w:val="20"/>
                <w:szCs w:val="20"/>
                <w:color w:val="auto"/>
              </w:rPr>
            </w:pPr>
            <w:r>
              <w:rPr>
                <w:rFonts w:ascii="Calibri" w:cs="Calibri" w:eastAsia="Calibri" w:hAnsi="Calibri"/>
                <w:sz w:val="14"/>
                <w:szCs w:val="14"/>
                <w:b w:val="1"/>
                <w:bCs w:val="1"/>
                <w:color w:val="FFFFFF"/>
              </w:rPr>
              <w:t>Three Months Ended</w:t>
            </w:r>
          </w:p>
        </w:tc>
        <w:tc>
          <w:tcPr>
            <w:tcW w:w="780" w:type="dxa"/>
            <w:vAlign w:val="bottom"/>
            <w:shd w:val="clear" w:color="auto" w:fill="43C0B9"/>
          </w:tcPr>
          <w:p>
            <w:pPr>
              <w:spacing w:after="0"/>
              <w:rPr>
                <w:sz w:val="15"/>
                <w:szCs w:val="15"/>
                <w:color w:val="auto"/>
              </w:rPr>
            </w:pPr>
          </w:p>
        </w:tc>
        <w:tc>
          <w:tcPr>
            <w:tcW w:w="660" w:type="dxa"/>
            <w:vAlign w:val="bottom"/>
            <w:shd w:val="clear" w:color="auto" w:fill="43C0B9"/>
          </w:tcPr>
          <w:p>
            <w:pPr>
              <w:spacing w:after="0"/>
              <w:rPr>
                <w:sz w:val="15"/>
                <w:szCs w:val="15"/>
                <w:color w:val="auto"/>
              </w:rPr>
            </w:pPr>
          </w:p>
        </w:tc>
        <w:tc>
          <w:tcPr>
            <w:tcW w:w="1900" w:type="dxa"/>
            <w:vAlign w:val="bottom"/>
            <w:gridSpan w:val="2"/>
            <w:shd w:val="clear" w:color="auto" w:fill="43C0B9"/>
          </w:tcPr>
          <w:p>
            <w:pPr>
              <w:jc w:val="center"/>
              <w:ind w:left="89"/>
              <w:spacing w:after="0"/>
              <w:rPr>
                <w:sz w:val="20"/>
                <w:szCs w:val="20"/>
                <w:color w:val="auto"/>
              </w:rPr>
            </w:pPr>
            <w:r>
              <w:rPr>
                <w:rFonts w:ascii="Calibri" w:cs="Calibri" w:eastAsia="Calibri" w:hAnsi="Calibri"/>
                <w:sz w:val="14"/>
                <w:szCs w:val="14"/>
                <w:b w:val="1"/>
                <w:bCs w:val="1"/>
                <w:color w:val="FFFFFF"/>
              </w:rPr>
              <w:t>Six Months Ended</w:t>
            </w:r>
          </w:p>
        </w:tc>
        <w:tc>
          <w:tcPr>
            <w:tcW w:w="740" w:type="dxa"/>
            <w:vAlign w:val="bottom"/>
            <w:shd w:val="clear" w:color="auto" w:fill="43C0B9"/>
          </w:tcPr>
          <w:p>
            <w:pPr>
              <w:spacing w:after="0"/>
              <w:rPr>
                <w:sz w:val="15"/>
                <w:szCs w:val="15"/>
                <w:color w:val="auto"/>
              </w:rPr>
            </w:pPr>
          </w:p>
        </w:tc>
      </w:tr>
      <w:tr>
        <w:trPr>
          <w:trHeight w:val="169"/>
        </w:trPr>
        <w:tc>
          <w:tcPr>
            <w:tcW w:w="46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1960" w:type="dxa"/>
            <w:vAlign w:val="bottom"/>
            <w:gridSpan w:val="2"/>
            <w:shd w:val="clear" w:color="auto" w:fill="43C0B9"/>
          </w:tcPr>
          <w:p>
            <w:pPr>
              <w:jc w:val="center"/>
              <w:ind w:left="89"/>
              <w:spacing w:after="0" w:line="169" w:lineRule="exact"/>
              <w:rPr>
                <w:sz w:val="20"/>
                <w:szCs w:val="20"/>
                <w:color w:val="auto"/>
              </w:rPr>
            </w:pPr>
            <w:r>
              <w:rPr>
                <w:rFonts w:ascii="Calibri" w:cs="Calibri" w:eastAsia="Calibri" w:hAnsi="Calibri"/>
                <w:sz w:val="14"/>
                <w:szCs w:val="14"/>
                <w:b w:val="1"/>
                <w:bCs w:val="1"/>
                <w:color w:val="FFFFFF"/>
                <w:w w:val="98"/>
              </w:rPr>
              <w:t>April 30,</w:t>
            </w:r>
          </w:p>
        </w:tc>
        <w:tc>
          <w:tcPr>
            <w:tcW w:w="780" w:type="dxa"/>
            <w:vAlign w:val="bottom"/>
            <w:shd w:val="clear" w:color="auto" w:fill="43C0B9"/>
          </w:tcPr>
          <w:p>
            <w:pPr>
              <w:spacing w:after="0"/>
              <w:rPr>
                <w:sz w:val="14"/>
                <w:szCs w:val="14"/>
                <w:color w:val="auto"/>
              </w:rPr>
            </w:pPr>
          </w:p>
        </w:tc>
        <w:tc>
          <w:tcPr>
            <w:tcW w:w="660" w:type="dxa"/>
            <w:vAlign w:val="bottom"/>
            <w:shd w:val="clear" w:color="auto" w:fill="43C0B9"/>
          </w:tcPr>
          <w:p>
            <w:pPr>
              <w:spacing w:after="0"/>
              <w:rPr>
                <w:sz w:val="14"/>
                <w:szCs w:val="14"/>
                <w:color w:val="auto"/>
              </w:rPr>
            </w:pPr>
          </w:p>
        </w:tc>
        <w:tc>
          <w:tcPr>
            <w:tcW w:w="1900" w:type="dxa"/>
            <w:vAlign w:val="bottom"/>
            <w:gridSpan w:val="2"/>
            <w:shd w:val="clear" w:color="auto" w:fill="43C0B9"/>
          </w:tcPr>
          <w:p>
            <w:pPr>
              <w:jc w:val="center"/>
              <w:ind w:left="89"/>
              <w:spacing w:after="0" w:line="169" w:lineRule="exact"/>
              <w:rPr>
                <w:sz w:val="20"/>
                <w:szCs w:val="20"/>
                <w:color w:val="auto"/>
              </w:rPr>
            </w:pPr>
            <w:r>
              <w:rPr>
                <w:rFonts w:ascii="Calibri" w:cs="Calibri" w:eastAsia="Calibri" w:hAnsi="Calibri"/>
                <w:sz w:val="14"/>
                <w:szCs w:val="14"/>
                <w:b w:val="1"/>
                <w:bCs w:val="1"/>
                <w:color w:val="FFFFFF"/>
              </w:rPr>
              <w:t>April 30,</w:t>
            </w:r>
          </w:p>
        </w:tc>
        <w:tc>
          <w:tcPr>
            <w:tcW w:w="740" w:type="dxa"/>
            <w:vAlign w:val="bottom"/>
            <w:shd w:val="clear" w:color="auto" w:fill="43C0B9"/>
          </w:tcPr>
          <w:p>
            <w:pPr>
              <w:spacing w:after="0"/>
              <w:rPr>
                <w:sz w:val="14"/>
                <w:szCs w:val="14"/>
                <w:color w:val="auto"/>
              </w:rPr>
            </w:pPr>
          </w:p>
        </w:tc>
      </w:tr>
      <w:tr>
        <w:trPr>
          <w:trHeight w:val="280"/>
        </w:trPr>
        <w:tc>
          <w:tcPr>
            <w:tcW w:w="46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56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920" w:type="dxa"/>
            <w:vAlign w:val="bottom"/>
            <w:tcBorders>
              <w:bottom w:val="single" w:sz="8" w:color="43C0B9"/>
            </w:tcBorders>
            <w:shd w:val="clear" w:color="auto" w:fill="43C0B9"/>
          </w:tcPr>
          <w:p>
            <w:pPr>
              <w:spacing w:after="0"/>
              <w:rPr>
                <w:sz w:val="24"/>
                <w:szCs w:val="24"/>
                <w:color w:val="auto"/>
              </w:rPr>
            </w:pPr>
          </w:p>
        </w:tc>
        <w:tc>
          <w:tcPr>
            <w:tcW w:w="780" w:type="dxa"/>
            <w:vAlign w:val="bottom"/>
            <w:tcBorders>
              <w:bottom w:val="single" w:sz="8" w:color="43C0B9"/>
            </w:tcBorders>
            <w:shd w:val="clear" w:color="auto" w:fill="43C0B9"/>
          </w:tcPr>
          <w:p>
            <w:pPr>
              <w:jc w:val="right"/>
              <w:ind w:right="129"/>
              <w:spacing w:after="0"/>
              <w:rPr>
                <w:sz w:val="20"/>
                <w:szCs w:val="20"/>
                <w:color w:val="auto"/>
              </w:rPr>
            </w:pPr>
            <w:r>
              <w:rPr>
                <w:rFonts w:ascii="Calibri" w:cs="Calibri" w:eastAsia="Calibri" w:hAnsi="Calibri"/>
                <w:sz w:val="14"/>
                <w:szCs w:val="14"/>
                <w:b w:val="1"/>
                <w:bCs w:val="1"/>
                <w:color w:val="FFFFFF"/>
              </w:rPr>
              <w:t>2021</w:t>
            </w:r>
          </w:p>
        </w:tc>
        <w:tc>
          <w:tcPr>
            <w:tcW w:w="660" w:type="dxa"/>
            <w:vAlign w:val="bottom"/>
            <w:tcBorders>
              <w:bottom w:val="single" w:sz="8" w:color="43C0B9"/>
            </w:tcBorders>
            <w:shd w:val="clear" w:color="auto" w:fill="43C0B9"/>
          </w:tcPr>
          <w:p>
            <w:pPr>
              <w:spacing w:after="0"/>
              <w:rPr>
                <w:sz w:val="24"/>
                <w:szCs w:val="24"/>
                <w:color w:val="auto"/>
              </w:rPr>
            </w:pPr>
          </w:p>
        </w:tc>
        <w:tc>
          <w:tcPr>
            <w:tcW w:w="1000" w:type="dxa"/>
            <w:vAlign w:val="bottom"/>
            <w:tcBorders>
              <w:bottom w:val="single" w:sz="8" w:color="43C0B9"/>
            </w:tcBorders>
            <w:shd w:val="clear" w:color="auto" w:fill="43C0B9"/>
          </w:tcPr>
          <w:p>
            <w:pPr>
              <w:jc w:val="right"/>
              <w:ind w:right="69"/>
              <w:spacing w:after="0"/>
              <w:rPr>
                <w:sz w:val="20"/>
                <w:szCs w:val="20"/>
                <w:color w:val="auto"/>
              </w:rPr>
            </w:pPr>
            <w:r>
              <w:rPr>
                <w:rFonts w:ascii="Calibri" w:cs="Calibri" w:eastAsia="Calibri" w:hAnsi="Calibri"/>
                <w:sz w:val="14"/>
                <w:szCs w:val="14"/>
                <w:b w:val="1"/>
                <w:bCs w:val="1"/>
                <w:color w:val="FFFFFF"/>
              </w:rPr>
              <w:t>2022</w:t>
            </w:r>
          </w:p>
        </w:tc>
        <w:tc>
          <w:tcPr>
            <w:tcW w:w="90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Other income (expense)</w:t>
            </w:r>
          </w:p>
        </w:tc>
        <w:tc>
          <w:tcPr>
            <w:tcW w:w="560" w:type="dxa"/>
            <w:vAlign w:val="bottom"/>
            <w:tcBorders>
              <w:bottom w:val="single" w:sz="8" w:color="DBDBDB"/>
            </w:tcBorders>
            <w:shd w:val="clear" w:color="auto" w:fill="DBDBDB"/>
          </w:tcPr>
          <w:p>
            <w:pPr>
              <w:jc w:val="right"/>
              <w:ind w:right="38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2.9</w:t>
            </w:r>
          </w:p>
        </w:tc>
        <w:tc>
          <w:tcPr>
            <w:tcW w:w="920" w:type="dxa"/>
            <w:vAlign w:val="bottom"/>
            <w:tcBorders>
              <w:bottom w:val="single" w:sz="8" w:color="DBDBDB"/>
            </w:tcBorders>
            <w:shd w:val="clear" w:color="auto" w:fill="DBDBDB"/>
          </w:tcPr>
          <w:p>
            <w:pPr>
              <w:jc w:val="right"/>
              <w:ind w:right="709"/>
              <w:spacing w:after="0" w:line="169"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660" w:type="dxa"/>
            <w:vAlign w:val="bottom"/>
            <w:tcBorders>
              <w:bottom w:val="single" w:sz="8" w:color="DBDBDB"/>
            </w:tcBorders>
            <w:shd w:val="clear" w:color="auto" w:fill="DBDBDB"/>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4.5</w:t>
            </w:r>
          </w:p>
        </w:tc>
        <w:tc>
          <w:tcPr>
            <w:tcW w:w="900" w:type="dxa"/>
            <w:vAlign w:val="bottom"/>
            <w:tcBorders>
              <w:bottom w:val="single" w:sz="8" w:color="DBDBDB"/>
            </w:tcBorders>
            <w:shd w:val="clear" w:color="auto" w:fill="DBDBDB"/>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(0.3)</w:t>
            </w:r>
          </w:p>
        </w:tc>
      </w:tr>
      <w:tr>
        <w:trPr>
          <w:trHeight w:val="20"/>
        </w:trPr>
        <w:tc>
          <w:tcPr>
            <w:tcW w:w="4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-304800</wp:posOffset>
            </wp:positionV>
            <wp:extent cx="41865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86555" cy="8255"/>
                    </a:xfrm>
                    <a:prstGeom prst="rect">
                      <a:avLst/>
                    </a:prstGeom>
                    <a:noFill/>
                  </pic:spPr>
                </pic:pic>
              </a:graphicData>
            </a:graphic>
          </wp:anchor>
        </w:drawing>
      </w:r>
    </w:p>
    <w:p>
      <w:pPr>
        <w:spacing w:after="0" w:line="269" w:lineRule="exact"/>
        <w:rPr>
          <w:sz w:val="20"/>
          <w:szCs w:val="20"/>
          <w:color w:val="auto"/>
        </w:rPr>
      </w:pPr>
    </w:p>
    <w:p>
      <w:pPr>
        <w:ind w:right="20" w:firstLine="642"/>
        <w:spacing w:after="0" w:line="235" w:lineRule="auto"/>
        <w:rPr>
          <w:sz w:val="20"/>
          <w:szCs w:val="20"/>
          <w:color w:val="auto"/>
        </w:rPr>
      </w:pPr>
      <w:r>
        <w:rPr>
          <w:rFonts w:ascii="Calibri" w:cs="Calibri" w:eastAsia="Calibri" w:hAnsi="Calibri"/>
          <w:sz w:val="16"/>
          <w:szCs w:val="16"/>
          <w:color w:val="auto"/>
        </w:rPr>
        <w:t>Other income was $2.9 million in the three months ended April 30, 2022 compared to expense of $0.3 million in the same period last year, and $4.5 million in the six months ended April 30, 2022 compared to expense of $0.3 million in the same period last year. The changes were primarily due to gains on our interest rate swaps driven by market movements in short-term interest rates and lower losses on foreign currency transactons primarily between the U.S. dollar and Mexican peso compared to the same periods prior year.</w:t>
      </w:r>
    </w:p>
    <w:p>
      <w:pPr>
        <w:spacing w:after="0" w:line="20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Provision (beneft) for income taxes</w:t>
      </w:r>
    </w:p>
    <w:p>
      <w:pPr>
        <w:spacing w:after="0" w:line="222" w:lineRule="exact"/>
        <w:rPr>
          <w:sz w:val="20"/>
          <w:szCs w:val="20"/>
          <w:color w:val="auto"/>
        </w:rPr>
      </w:pPr>
    </w:p>
    <w:p>
      <w:pPr>
        <w:ind w:right="140" w:firstLine="642"/>
        <w:spacing w:after="0" w:line="235" w:lineRule="auto"/>
        <w:rPr>
          <w:sz w:val="20"/>
          <w:szCs w:val="20"/>
          <w:color w:val="auto"/>
        </w:rPr>
      </w:pPr>
      <w:r>
        <w:rPr>
          <w:rFonts w:ascii="Calibri" w:cs="Calibri" w:eastAsia="Calibri" w:hAnsi="Calibri"/>
          <w:sz w:val="16"/>
          <w:szCs w:val="16"/>
          <w:color w:val="auto"/>
        </w:rPr>
        <w:t>The provision (beneft) for income taxes consists of the consolidaton of tax provisions, computed on a separate entty basis, in each country in which we have operatons. We recognize the efects of tax legislaton in the period in which the law is enacted. Our deferred tax assets and liabilites are measured using enacted tax rates expected to apply to taxable income in the years we estmate the related temporary diferences to reverse. Realizaton of deferred tax assets is dependent upon future earnings, the tming and amount of which are uncertain.</w:t>
      </w:r>
    </w:p>
    <w:p>
      <w:pPr>
        <w:spacing w:after="0" w:line="211" w:lineRule="exact"/>
        <w:rPr>
          <w:sz w:val="20"/>
          <w:szCs w:val="20"/>
          <w:color w:val="auto"/>
        </w:rPr>
      </w:pPr>
    </w:p>
    <w:p>
      <w:pPr>
        <w:ind w:right="60" w:firstLine="642"/>
        <w:spacing w:after="0" w:line="237" w:lineRule="auto"/>
        <w:rPr>
          <w:sz w:val="20"/>
          <w:szCs w:val="20"/>
          <w:color w:val="auto"/>
        </w:rPr>
      </w:pPr>
      <w:r>
        <w:rPr>
          <w:rFonts w:ascii="Calibri" w:cs="Calibri" w:eastAsia="Calibri" w:hAnsi="Calibri"/>
          <w:sz w:val="16"/>
          <w:szCs w:val="16"/>
          <w:color w:val="auto"/>
        </w:rPr>
        <w:t>We recognize a tax beneft from an uncertain tax positon only if it is more likely than not the tax positon will be sustained on examinaton by the taxing authorites, based on the technical merits of the positon. The tax benefts recognized from such positons are then measured based on the largest beneft that has a greater than 50% likelihood of being realized upon setlement. Interest and penaltes related to unrecognized tax benefts are recognized within provision for income taxes.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shd w:val="clear" w:color="auto" w:fill="43C0B9"/>
          </w:tcPr>
          <w:p>
            <w:pPr>
              <w:spacing w:after="0"/>
              <w:rPr>
                <w:sz w:val="15"/>
                <w:szCs w:val="15"/>
                <w:color w:val="auto"/>
              </w:rPr>
            </w:pPr>
          </w:p>
        </w:tc>
        <w:tc>
          <w:tcPr>
            <w:tcW w:w="580" w:type="dxa"/>
            <w:vAlign w:val="bottom"/>
            <w:shd w:val="clear" w:color="auto" w:fill="43C0B9"/>
          </w:tcPr>
          <w:p>
            <w:pPr>
              <w:spacing w:after="0"/>
              <w:rPr>
                <w:sz w:val="15"/>
                <w:szCs w:val="15"/>
                <w:color w:val="auto"/>
              </w:rPr>
            </w:pPr>
          </w:p>
        </w:tc>
        <w:tc>
          <w:tcPr>
            <w:tcW w:w="2020" w:type="dxa"/>
            <w:vAlign w:val="bottom"/>
            <w:gridSpan w:val="2"/>
            <w:shd w:val="clear" w:color="auto" w:fill="43C0B9"/>
          </w:tcPr>
          <w:p>
            <w:pPr>
              <w:jc w:val="center"/>
              <w:ind w:left="69"/>
              <w:spacing w:after="0"/>
              <w:rPr>
                <w:sz w:val="20"/>
                <w:szCs w:val="20"/>
                <w:color w:val="auto"/>
              </w:rPr>
            </w:pPr>
            <w:r>
              <w:rPr>
                <w:rFonts w:ascii="Calibri" w:cs="Calibri" w:eastAsia="Calibri" w:hAnsi="Calibri"/>
                <w:sz w:val="14"/>
                <w:szCs w:val="14"/>
                <w:b w:val="1"/>
                <w:bCs w:val="1"/>
                <w:color w:val="FFFFFF"/>
              </w:rPr>
              <w:t>Three Months Ended</w:t>
            </w:r>
          </w:p>
        </w:tc>
        <w:tc>
          <w:tcPr>
            <w:tcW w:w="800" w:type="dxa"/>
            <w:vAlign w:val="bottom"/>
            <w:shd w:val="clear" w:color="auto" w:fill="43C0B9"/>
          </w:tcPr>
          <w:p>
            <w:pPr>
              <w:spacing w:after="0"/>
              <w:rPr>
                <w:sz w:val="15"/>
                <w:szCs w:val="15"/>
                <w:color w:val="auto"/>
              </w:rPr>
            </w:pPr>
          </w:p>
        </w:tc>
        <w:tc>
          <w:tcPr>
            <w:tcW w:w="700" w:type="dxa"/>
            <w:vAlign w:val="bottom"/>
            <w:shd w:val="clear" w:color="auto" w:fill="43C0B9"/>
          </w:tcPr>
          <w:p>
            <w:pPr>
              <w:spacing w:after="0"/>
              <w:rPr>
                <w:sz w:val="15"/>
                <w:szCs w:val="15"/>
                <w:color w:val="auto"/>
              </w:rPr>
            </w:pPr>
          </w:p>
        </w:tc>
        <w:tc>
          <w:tcPr>
            <w:tcW w:w="1940" w:type="dxa"/>
            <w:vAlign w:val="bottom"/>
            <w:gridSpan w:val="2"/>
            <w:shd w:val="clear" w:color="auto" w:fill="43C0B9"/>
          </w:tcPr>
          <w:p>
            <w:pPr>
              <w:jc w:val="center"/>
              <w:ind w:left="89"/>
              <w:spacing w:after="0"/>
              <w:rPr>
                <w:sz w:val="20"/>
                <w:szCs w:val="20"/>
                <w:color w:val="auto"/>
              </w:rPr>
            </w:pPr>
            <w:r>
              <w:rPr>
                <w:rFonts w:ascii="Calibri" w:cs="Calibri" w:eastAsia="Calibri" w:hAnsi="Calibri"/>
                <w:sz w:val="14"/>
                <w:szCs w:val="14"/>
                <w:b w:val="1"/>
                <w:bCs w:val="1"/>
                <w:color w:val="FFFFFF"/>
              </w:rPr>
              <w:t>Six Months Ended</w:t>
            </w:r>
          </w:p>
        </w:tc>
        <w:tc>
          <w:tcPr>
            <w:tcW w:w="760" w:type="dxa"/>
            <w:vAlign w:val="bottom"/>
            <w:shd w:val="clear" w:color="auto" w:fill="43C0B9"/>
          </w:tcPr>
          <w:p>
            <w:pPr>
              <w:spacing w:after="0"/>
              <w:rPr>
                <w:sz w:val="15"/>
                <w:szCs w:val="15"/>
                <w:color w:val="auto"/>
              </w:rPr>
            </w:pPr>
          </w:p>
        </w:tc>
      </w:tr>
      <w:tr>
        <w:trPr>
          <w:trHeight w:val="169"/>
        </w:trPr>
        <w:tc>
          <w:tcPr>
            <w:tcW w:w="4440" w:type="dxa"/>
            <w:vAlign w:val="bottom"/>
            <w:shd w:val="clear" w:color="auto" w:fill="43C0B9"/>
          </w:tcPr>
          <w:p>
            <w:pPr>
              <w:spacing w:after="0"/>
              <w:rPr>
                <w:sz w:val="14"/>
                <w:szCs w:val="14"/>
                <w:color w:val="auto"/>
              </w:rPr>
            </w:pPr>
          </w:p>
        </w:tc>
        <w:tc>
          <w:tcPr>
            <w:tcW w:w="580" w:type="dxa"/>
            <w:vAlign w:val="bottom"/>
            <w:shd w:val="clear" w:color="auto" w:fill="43C0B9"/>
          </w:tcPr>
          <w:p>
            <w:pPr>
              <w:spacing w:after="0"/>
              <w:rPr>
                <w:sz w:val="14"/>
                <w:szCs w:val="14"/>
                <w:color w:val="auto"/>
              </w:rPr>
            </w:pPr>
          </w:p>
        </w:tc>
        <w:tc>
          <w:tcPr>
            <w:tcW w:w="2020" w:type="dxa"/>
            <w:vAlign w:val="bottom"/>
            <w:gridSpan w:val="2"/>
            <w:shd w:val="clear" w:color="auto" w:fill="43C0B9"/>
          </w:tcPr>
          <w:p>
            <w:pPr>
              <w:jc w:val="center"/>
              <w:ind w:left="89"/>
              <w:spacing w:after="0" w:line="169" w:lineRule="exact"/>
              <w:rPr>
                <w:sz w:val="20"/>
                <w:szCs w:val="20"/>
                <w:color w:val="auto"/>
              </w:rPr>
            </w:pPr>
            <w:r>
              <w:rPr>
                <w:rFonts w:ascii="Calibri" w:cs="Calibri" w:eastAsia="Calibri" w:hAnsi="Calibri"/>
                <w:sz w:val="14"/>
                <w:szCs w:val="14"/>
                <w:b w:val="1"/>
                <w:bCs w:val="1"/>
                <w:color w:val="FFFFFF"/>
              </w:rPr>
              <w:t>April 30,</w:t>
            </w:r>
          </w:p>
        </w:tc>
        <w:tc>
          <w:tcPr>
            <w:tcW w:w="800" w:type="dxa"/>
            <w:vAlign w:val="bottom"/>
            <w:shd w:val="clear" w:color="auto" w:fill="43C0B9"/>
          </w:tcPr>
          <w:p>
            <w:pPr>
              <w:spacing w:after="0"/>
              <w:rPr>
                <w:sz w:val="14"/>
                <w:szCs w:val="14"/>
                <w:color w:val="auto"/>
              </w:rPr>
            </w:pPr>
          </w:p>
        </w:tc>
        <w:tc>
          <w:tcPr>
            <w:tcW w:w="700" w:type="dxa"/>
            <w:vAlign w:val="bottom"/>
            <w:shd w:val="clear" w:color="auto" w:fill="43C0B9"/>
          </w:tcPr>
          <w:p>
            <w:pPr>
              <w:spacing w:after="0"/>
              <w:rPr>
                <w:sz w:val="14"/>
                <w:szCs w:val="14"/>
                <w:color w:val="auto"/>
              </w:rPr>
            </w:pPr>
          </w:p>
        </w:tc>
        <w:tc>
          <w:tcPr>
            <w:tcW w:w="1940" w:type="dxa"/>
            <w:vAlign w:val="bottom"/>
            <w:gridSpan w:val="2"/>
            <w:shd w:val="clear" w:color="auto" w:fill="43C0B9"/>
          </w:tcPr>
          <w:p>
            <w:pPr>
              <w:jc w:val="center"/>
              <w:ind w:left="89"/>
              <w:spacing w:after="0" w:line="169" w:lineRule="exact"/>
              <w:rPr>
                <w:sz w:val="20"/>
                <w:szCs w:val="20"/>
                <w:color w:val="auto"/>
              </w:rPr>
            </w:pPr>
            <w:r>
              <w:rPr>
                <w:rFonts w:ascii="Calibri" w:cs="Calibri" w:eastAsia="Calibri" w:hAnsi="Calibri"/>
                <w:sz w:val="14"/>
                <w:szCs w:val="14"/>
                <w:b w:val="1"/>
                <w:bCs w:val="1"/>
                <w:color w:val="FFFFFF"/>
              </w:rPr>
              <w:t>April 30,</w:t>
            </w:r>
          </w:p>
        </w:tc>
        <w:tc>
          <w:tcPr>
            <w:tcW w:w="760" w:type="dxa"/>
            <w:vAlign w:val="bottom"/>
            <w:shd w:val="clear" w:color="auto" w:fill="43C0B9"/>
          </w:tcPr>
          <w:p>
            <w:pPr>
              <w:spacing w:after="0"/>
              <w:rPr>
                <w:sz w:val="14"/>
                <w:szCs w:val="14"/>
                <w:color w:val="auto"/>
              </w:rPr>
            </w:pPr>
          </w:p>
        </w:tc>
      </w:tr>
      <w:tr>
        <w:trPr>
          <w:trHeight w:val="280"/>
        </w:trPr>
        <w:tc>
          <w:tcPr>
            <w:tcW w:w="4440" w:type="dxa"/>
            <w:vAlign w:val="bottom"/>
            <w:tcBorders>
              <w:bottom w:val="single" w:sz="8" w:color="43C0B9"/>
            </w:tcBorders>
            <w:shd w:val="clear" w:color="auto" w:fill="43C0B9"/>
          </w:tcPr>
          <w:p>
            <w:pPr>
              <w:spacing w:after="0"/>
              <w:rPr>
                <w:sz w:val="24"/>
                <w:szCs w:val="24"/>
                <w:color w:val="auto"/>
              </w:rPr>
            </w:pPr>
          </w:p>
        </w:tc>
        <w:tc>
          <w:tcPr>
            <w:tcW w:w="580" w:type="dxa"/>
            <w:vAlign w:val="bottom"/>
            <w:tcBorders>
              <w:bottom w:val="single" w:sz="8" w:color="43C0B9"/>
            </w:tcBorders>
            <w:shd w:val="clear" w:color="auto" w:fill="43C0B9"/>
          </w:tcPr>
          <w:p>
            <w:pPr>
              <w:spacing w:after="0"/>
              <w:rPr>
                <w:sz w:val="24"/>
                <w:szCs w:val="24"/>
                <w:color w:val="auto"/>
              </w:rPr>
            </w:pPr>
          </w:p>
        </w:tc>
        <w:tc>
          <w:tcPr>
            <w:tcW w:w="108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940" w:type="dxa"/>
            <w:vAlign w:val="bottom"/>
            <w:tcBorders>
              <w:bottom w:val="single" w:sz="8" w:color="43C0B9"/>
            </w:tcBorders>
            <w:shd w:val="clear" w:color="auto" w:fill="43C0B9"/>
          </w:tcPr>
          <w:p>
            <w:pPr>
              <w:spacing w:after="0"/>
              <w:rPr>
                <w:sz w:val="24"/>
                <w:szCs w:val="24"/>
                <w:color w:val="auto"/>
              </w:rPr>
            </w:pPr>
          </w:p>
        </w:tc>
        <w:tc>
          <w:tcPr>
            <w:tcW w:w="800" w:type="dxa"/>
            <w:vAlign w:val="bottom"/>
            <w:tcBorders>
              <w:bottom w:val="single" w:sz="8" w:color="43C0B9"/>
            </w:tcBorders>
            <w:shd w:val="clear" w:color="auto" w:fill="43C0B9"/>
          </w:tcPr>
          <w:p>
            <w:pPr>
              <w:jc w:val="right"/>
              <w:ind w:right="129"/>
              <w:spacing w:after="0"/>
              <w:rPr>
                <w:sz w:val="20"/>
                <w:szCs w:val="20"/>
                <w:color w:val="auto"/>
              </w:rPr>
            </w:pPr>
            <w:r>
              <w:rPr>
                <w:rFonts w:ascii="Calibri" w:cs="Calibri" w:eastAsia="Calibri" w:hAnsi="Calibri"/>
                <w:sz w:val="14"/>
                <w:szCs w:val="14"/>
                <w:b w:val="1"/>
                <w:bCs w:val="1"/>
                <w:color w:val="FFFFFF"/>
              </w:rPr>
              <w:t>2021</w:t>
            </w:r>
          </w:p>
        </w:tc>
        <w:tc>
          <w:tcPr>
            <w:tcW w:w="70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900" w:type="dxa"/>
            <w:vAlign w:val="bottom"/>
            <w:tcBorders>
              <w:bottom w:val="single" w:sz="8" w:color="43C0B9"/>
            </w:tcBorders>
            <w:shd w:val="clear" w:color="auto" w:fill="43C0B9"/>
          </w:tcPr>
          <w:p>
            <w:pPr>
              <w:spacing w:after="0"/>
              <w:rPr>
                <w:sz w:val="24"/>
                <w:szCs w:val="24"/>
                <w:color w:val="auto"/>
              </w:rPr>
            </w:pPr>
          </w:p>
        </w:tc>
        <w:tc>
          <w:tcPr>
            <w:tcW w:w="76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4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Provision (beneft) for income taxes (in millions)</w:t>
            </w:r>
          </w:p>
        </w:tc>
        <w:tc>
          <w:tcPr>
            <w:tcW w:w="580" w:type="dxa"/>
            <w:vAlign w:val="bottom"/>
            <w:tcBorders>
              <w:bottom w:val="single" w:sz="8" w:color="DBDBDB"/>
            </w:tcBorders>
            <w:shd w:val="clear" w:color="auto" w:fill="DBDBDB"/>
          </w:tcPr>
          <w:p>
            <w:pPr>
              <w:jc w:val="right"/>
              <w:ind w:right="40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rPr>
              <w:t>0.8</w:t>
            </w:r>
          </w:p>
        </w:tc>
        <w:tc>
          <w:tcPr>
            <w:tcW w:w="940" w:type="dxa"/>
            <w:vAlign w:val="bottom"/>
            <w:tcBorders>
              <w:bottom w:val="single" w:sz="8" w:color="DBDBDB"/>
            </w:tcBorders>
            <w:shd w:val="clear" w:color="auto" w:fill="DBDBDB"/>
          </w:tcPr>
          <w:p>
            <w:pPr>
              <w:jc w:val="right"/>
              <w:ind w:right="72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DBDBDB"/>
            </w:tcBorders>
            <w:shd w:val="clear" w:color="auto" w:fill="DBDBDB"/>
          </w:tcPr>
          <w:p>
            <w:pPr>
              <w:jc w:val="right"/>
              <w:ind w:right="149"/>
              <w:spacing w:after="0" w:line="169" w:lineRule="exact"/>
              <w:rPr>
                <w:sz w:val="20"/>
                <w:szCs w:val="20"/>
                <w:color w:val="auto"/>
              </w:rPr>
            </w:pPr>
            <w:r>
              <w:rPr>
                <w:rFonts w:ascii="Calibri" w:cs="Calibri" w:eastAsia="Calibri" w:hAnsi="Calibri"/>
                <w:sz w:val="14"/>
                <w:szCs w:val="14"/>
                <w:color w:val="auto"/>
              </w:rPr>
              <w:t>2.1</w:t>
            </w:r>
          </w:p>
        </w:tc>
        <w:tc>
          <w:tcPr>
            <w:tcW w:w="700" w:type="dxa"/>
            <w:vAlign w:val="bottom"/>
            <w:tcBorders>
              <w:bottom w:val="single" w:sz="8" w:color="DBDBDB"/>
            </w:tcBorders>
            <w:shd w:val="clear" w:color="auto" w:fill="DBDBDB"/>
          </w:tcPr>
          <w:p>
            <w:pPr>
              <w:jc w:val="right"/>
              <w:ind w:right="44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89"/>
              <w:spacing w:after="0" w:line="169" w:lineRule="exact"/>
              <w:rPr>
                <w:sz w:val="20"/>
                <w:szCs w:val="20"/>
                <w:color w:val="auto"/>
              </w:rPr>
            </w:pPr>
            <w:r>
              <w:rPr>
                <w:rFonts w:ascii="Calibri" w:cs="Calibri" w:eastAsia="Calibri" w:hAnsi="Calibri"/>
                <w:sz w:val="14"/>
                <w:szCs w:val="14"/>
                <w:color w:val="auto"/>
              </w:rPr>
              <w:t>(1.7)</w:t>
            </w:r>
          </w:p>
        </w:tc>
        <w:tc>
          <w:tcPr>
            <w:tcW w:w="900" w:type="dxa"/>
            <w:vAlign w:val="bottom"/>
            <w:tcBorders>
              <w:bottom w:val="single" w:sz="8" w:color="DBDBDB"/>
            </w:tcBorders>
            <w:shd w:val="clear" w:color="auto" w:fill="DBDBDB"/>
          </w:tcPr>
          <w:p>
            <w:pPr>
              <w:jc w:val="right"/>
              <w:ind w:right="68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ind w:right="89"/>
              <w:spacing w:after="0" w:line="169" w:lineRule="exact"/>
              <w:rPr>
                <w:sz w:val="20"/>
                <w:szCs w:val="20"/>
                <w:color w:val="auto"/>
              </w:rPr>
            </w:pPr>
            <w:r>
              <w:rPr>
                <w:rFonts w:ascii="Calibri" w:cs="Calibri" w:eastAsia="Calibri" w:hAnsi="Calibri"/>
                <w:sz w:val="14"/>
                <w:szCs w:val="14"/>
                <w:color w:val="auto"/>
              </w:rPr>
              <w:t>9.4</w:t>
            </w:r>
          </w:p>
        </w:tc>
      </w:tr>
      <w:tr>
        <w:trPr>
          <w:trHeight w:val="169"/>
        </w:trPr>
        <w:tc>
          <w:tcPr>
            <w:tcW w:w="4440" w:type="dxa"/>
            <w:vAlign w:val="bottom"/>
          </w:tcPr>
          <w:p>
            <w:pPr>
              <w:ind w:left="20"/>
              <w:spacing w:after="0" w:line="169" w:lineRule="exact"/>
              <w:rPr>
                <w:sz w:val="20"/>
                <w:szCs w:val="20"/>
                <w:color w:val="auto"/>
              </w:rPr>
            </w:pPr>
            <w:r>
              <w:rPr>
                <w:rFonts w:ascii="Calibri" w:cs="Calibri" w:eastAsia="Calibri" w:hAnsi="Calibri"/>
                <w:sz w:val="14"/>
                <w:szCs w:val="14"/>
                <w:color w:val="auto"/>
              </w:rPr>
              <w:t>Efectve tax rate</w:t>
            </w:r>
          </w:p>
        </w:tc>
        <w:tc>
          <w:tcPr>
            <w:tcW w:w="5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25.0 %</w:t>
            </w:r>
          </w:p>
        </w:tc>
        <w:tc>
          <w:tcPr>
            <w:tcW w:w="940" w:type="dxa"/>
            <w:vAlign w:val="bottom"/>
          </w:tcPr>
          <w:p>
            <w:pPr>
              <w:spacing w:after="0"/>
              <w:rPr>
                <w:sz w:val="14"/>
                <w:szCs w:val="14"/>
                <w:color w:val="auto"/>
              </w:rPr>
            </w:pPr>
          </w:p>
        </w:tc>
        <w:tc>
          <w:tcPr>
            <w:tcW w:w="8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22.1 %</w:t>
            </w:r>
          </w:p>
        </w:tc>
        <w:tc>
          <w:tcPr>
            <w:tcW w:w="7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13.4 %</w:t>
            </w:r>
          </w:p>
        </w:tc>
        <w:tc>
          <w:tcPr>
            <w:tcW w:w="9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Calibri" w:cs="Calibri" w:eastAsia="Calibri" w:hAnsi="Calibri"/>
                <w:sz w:val="14"/>
                <w:szCs w:val="14"/>
                <w:color w:val="auto"/>
              </w:rPr>
              <w:t>49.5 %</w:t>
            </w:r>
          </w:p>
        </w:tc>
      </w:tr>
      <w:tr>
        <w:trPr>
          <w:trHeight w:val="58"/>
        </w:trPr>
        <w:tc>
          <w:tcPr>
            <w:tcW w:w="4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-449580</wp:posOffset>
            </wp:positionV>
            <wp:extent cx="43141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4190" cy="8255"/>
                    </a:xfrm>
                    <a:prstGeom prst="rect">
                      <a:avLst/>
                    </a:prstGeom>
                    <a:noFill/>
                  </pic:spPr>
                </pic:pic>
              </a:graphicData>
            </a:graphic>
          </wp:anchor>
        </w:drawing>
      </w:r>
    </w:p>
    <w:p>
      <w:pPr>
        <w:spacing w:after="0" w:line="269" w:lineRule="exact"/>
        <w:rPr>
          <w:sz w:val="20"/>
          <w:szCs w:val="20"/>
          <w:color w:val="auto"/>
        </w:rPr>
      </w:pPr>
    </w:p>
    <w:p>
      <w:pPr>
        <w:ind w:right="240" w:firstLine="642"/>
        <w:spacing w:after="0" w:line="233" w:lineRule="auto"/>
        <w:rPr>
          <w:sz w:val="20"/>
          <w:szCs w:val="20"/>
          <w:color w:val="auto"/>
        </w:rPr>
      </w:pPr>
      <w:r>
        <w:rPr>
          <w:rFonts w:ascii="Calibri" w:cs="Calibri" w:eastAsia="Calibri" w:hAnsi="Calibri"/>
          <w:sz w:val="16"/>
          <w:szCs w:val="16"/>
          <w:color w:val="auto"/>
        </w:rPr>
        <w:t>The provision for income taxes decreased $1.3 million or 62% in the three months ended April 30, 2022 compared to the same period last year primarily due to lower pre-tax income in the second quarter of fscal 2022.</w:t>
      </w:r>
    </w:p>
    <w:p>
      <w:pPr>
        <w:spacing w:after="0" w:line="223" w:lineRule="exact"/>
        <w:rPr>
          <w:sz w:val="20"/>
          <w:szCs w:val="20"/>
          <w:color w:val="auto"/>
        </w:rPr>
      </w:pPr>
    </w:p>
    <w:p>
      <w:pPr>
        <w:ind w:right="100" w:firstLine="642"/>
        <w:spacing w:after="0" w:line="235" w:lineRule="auto"/>
        <w:rPr>
          <w:sz w:val="20"/>
          <w:szCs w:val="20"/>
          <w:color w:val="auto"/>
        </w:rPr>
      </w:pPr>
      <w:r>
        <w:rPr>
          <w:rFonts w:ascii="Calibri" w:cs="Calibri" w:eastAsia="Calibri" w:hAnsi="Calibri"/>
          <w:sz w:val="16"/>
          <w:szCs w:val="16"/>
          <w:color w:val="auto"/>
        </w:rPr>
        <w:t>We had an income tax beneft of $1.7 million in the six months ended April 30, 2022 compared to a provision for income taxes of $9.4 million for the same period last year. The beneft from income taxes for the six months ended April 30, 2022 was atributed to pre-tax losses recorded during the period. The prior year provision for income taxes included a discrete tax expense of $5.1 million, related to the remeasurement of our deferred tax liabilites in Peru due to the enactment of tax rate changes for future years.</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Segment Results of Operatons</w:t>
      </w:r>
    </w:p>
    <w:p>
      <w:pPr>
        <w:spacing w:after="0" w:line="228" w:lineRule="exact"/>
        <w:rPr>
          <w:sz w:val="20"/>
          <w:szCs w:val="20"/>
          <w:color w:val="auto"/>
        </w:rPr>
      </w:pPr>
    </w:p>
    <w:p>
      <w:pPr>
        <w:jc w:val="both"/>
        <w:ind w:right="20" w:firstLine="642"/>
        <w:spacing w:after="0" w:line="235" w:lineRule="auto"/>
        <w:rPr>
          <w:sz w:val="20"/>
          <w:szCs w:val="20"/>
          <w:color w:val="auto"/>
        </w:rPr>
      </w:pPr>
      <w:r>
        <w:rPr>
          <w:rFonts w:ascii="Calibri" w:cs="Calibri" w:eastAsia="Calibri" w:hAnsi="Calibri"/>
          <w:sz w:val="16"/>
          <w:szCs w:val="16"/>
          <w:color w:val="auto"/>
        </w:rPr>
        <w:t>Our CEO evaluates and monitors segment performance primarily through segment sales and segment adjusted earnings before interest expense, income taxes and depreciaton and amortzaton (“adjusted EBITDA”). We believe that adjusted EBITDA by segment provides useful informaton for analyzing the underlying business results as well as allowing investors a means to evaluate the fnancial results of each reportable segment in relaton to the Company as a whole. These measures are not in accordance with, nor are they a substtute for or superior to, the comparable GAAP fnancial measures.</w:t>
      </w:r>
    </w:p>
    <w:p>
      <w:pPr>
        <w:spacing w:after="0" w:line="211" w:lineRule="exact"/>
        <w:rPr>
          <w:sz w:val="20"/>
          <w:szCs w:val="20"/>
          <w:color w:val="auto"/>
        </w:rPr>
      </w:pPr>
    </w:p>
    <w:p>
      <w:pPr>
        <w:ind w:right="60" w:firstLine="642"/>
        <w:spacing w:after="0" w:line="239" w:lineRule="auto"/>
        <w:rPr>
          <w:sz w:val="20"/>
          <w:szCs w:val="20"/>
          <w:color w:val="auto"/>
        </w:rPr>
      </w:pPr>
      <w:r>
        <w:rPr>
          <w:rFonts w:ascii="Calibri" w:cs="Calibri" w:eastAsia="Calibri" w:hAnsi="Calibri"/>
          <w:sz w:val="16"/>
          <w:szCs w:val="16"/>
          <w:color w:val="auto"/>
        </w:rPr>
        <w:t>Adjusted EBITDA refers to net income (loss), before interest expense, income taxes, depreciaton and amortzaton expense, stock-based compensaton expense, other income (expense), and income (loss) from equity method investees, further adjusted by asset impairment and disposals, net of insurance recoveries, farming costs for nonproductve orchards (which represents land lease costs), noncapitalizable ERP implementaton costs, transacton costs, material legal setlements, and any special, non-recurring, or one-tme items such as impairments that are excluded from the results the CEO reviews uses to assess segment performance and results.</w:t>
      </w:r>
    </w:p>
    <w:p>
      <w:pPr>
        <w:sectPr>
          <w:pgSz w:w="11900" w:h="16838" w:orient="portrait"/>
          <w:cols w:equalWidth="0" w:num="1">
            <w:col w:w="11240"/>
          </w:cols>
          <w:pgMar w:left="320" w:top="1365"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6"/>
          <w:szCs w:val="16"/>
          <w:b w:val="1"/>
          <w:bCs w:val="1"/>
          <w:color w:val="auto"/>
        </w:rPr>
        <w:t>Net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shd w:val="clear" w:color="auto" w:fill="43C0B9"/>
          </w:tcPr>
          <w:p>
            <w:pPr>
              <w:spacing w:after="0"/>
              <w:rPr>
                <w:sz w:val="15"/>
                <w:szCs w:val="15"/>
                <w:color w:val="auto"/>
              </w:rPr>
            </w:pPr>
          </w:p>
        </w:tc>
        <w:tc>
          <w:tcPr>
            <w:tcW w:w="260" w:type="dxa"/>
            <w:vAlign w:val="bottom"/>
            <w:shd w:val="clear" w:color="auto" w:fill="43C0B9"/>
          </w:tcPr>
          <w:p>
            <w:pPr>
              <w:spacing w:after="0"/>
              <w:rPr>
                <w:sz w:val="15"/>
                <w:szCs w:val="15"/>
                <w:color w:val="auto"/>
              </w:rPr>
            </w:pPr>
          </w:p>
        </w:tc>
        <w:tc>
          <w:tcPr>
            <w:tcW w:w="108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Marketng and</w:t>
            </w:r>
          </w:p>
        </w:tc>
        <w:tc>
          <w:tcPr>
            <w:tcW w:w="300" w:type="dxa"/>
            <w:vAlign w:val="bottom"/>
            <w:shd w:val="clear" w:color="auto" w:fill="43C0B9"/>
          </w:tcPr>
          <w:p>
            <w:pPr>
              <w:spacing w:after="0"/>
              <w:rPr>
                <w:sz w:val="15"/>
                <w:szCs w:val="15"/>
                <w:color w:val="auto"/>
              </w:rPr>
            </w:pPr>
          </w:p>
        </w:tc>
        <w:tc>
          <w:tcPr>
            <w:tcW w:w="1040" w:type="dxa"/>
            <w:vAlign w:val="bottom"/>
            <w:shd w:val="clear" w:color="auto" w:fill="43C0B9"/>
          </w:tcPr>
          <w:p>
            <w:pPr>
              <w:spacing w:after="0"/>
              <w:rPr>
                <w:sz w:val="15"/>
                <w:szCs w:val="15"/>
                <w:color w:val="auto"/>
              </w:rPr>
            </w:pPr>
          </w:p>
        </w:tc>
        <w:tc>
          <w:tcPr>
            <w:tcW w:w="480" w:type="dxa"/>
            <w:vAlign w:val="bottom"/>
            <w:shd w:val="clear" w:color="auto" w:fill="43C0B9"/>
          </w:tcPr>
          <w:p>
            <w:pPr>
              <w:spacing w:after="0"/>
              <w:rPr>
                <w:sz w:val="15"/>
                <w:szCs w:val="15"/>
                <w:color w:val="auto"/>
              </w:rPr>
            </w:pPr>
          </w:p>
        </w:tc>
        <w:tc>
          <w:tcPr>
            <w:tcW w:w="1000" w:type="dxa"/>
            <w:vAlign w:val="bottom"/>
            <w:shd w:val="clear" w:color="auto" w:fill="43C0B9"/>
          </w:tcPr>
          <w:p>
            <w:pPr>
              <w:spacing w:after="0"/>
              <w:rPr>
                <w:sz w:val="15"/>
                <w:szCs w:val="15"/>
                <w:color w:val="auto"/>
              </w:rPr>
            </w:pPr>
          </w:p>
        </w:tc>
        <w:tc>
          <w:tcPr>
            <w:tcW w:w="56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Marketng and</w:t>
            </w:r>
          </w:p>
        </w:tc>
        <w:tc>
          <w:tcPr>
            <w:tcW w:w="320" w:type="dxa"/>
            <w:vAlign w:val="bottom"/>
            <w:shd w:val="clear" w:color="auto" w:fill="43C0B9"/>
          </w:tcPr>
          <w:p>
            <w:pPr>
              <w:spacing w:after="0"/>
              <w:rPr>
                <w:sz w:val="15"/>
                <w:szCs w:val="15"/>
                <w:color w:val="auto"/>
              </w:rPr>
            </w:pPr>
          </w:p>
        </w:tc>
        <w:tc>
          <w:tcPr>
            <w:tcW w:w="1040" w:type="dxa"/>
            <w:vAlign w:val="bottom"/>
            <w:shd w:val="clear" w:color="auto" w:fill="43C0B9"/>
          </w:tcPr>
          <w:p>
            <w:pPr>
              <w:spacing w:after="0"/>
              <w:rPr>
                <w:sz w:val="15"/>
                <w:szCs w:val="15"/>
                <w:color w:val="auto"/>
              </w:rPr>
            </w:pPr>
          </w:p>
        </w:tc>
        <w:tc>
          <w:tcPr>
            <w:tcW w:w="520" w:type="dxa"/>
            <w:vAlign w:val="bottom"/>
            <w:shd w:val="clear" w:color="auto" w:fill="43C0B9"/>
          </w:tcPr>
          <w:p>
            <w:pPr>
              <w:spacing w:after="0"/>
              <w:rPr>
                <w:sz w:val="15"/>
                <w:szCs w:val="15"/>
                <w:color w:val="auto"/>
              </w:rPr>
            </w:pPr>
          </w:p>
        </w:tc>
        <w:tc>
          <w:tcPr>
            <w:tcW w:w="820" w:type="dxa"/>
            <w:vAlign w:val="bottom"/>
            <w:shd w:val="clear" w:color="auto" w:fill="43C0B9"/>
          </w:tcPr>
          <w:p>
            <w:pPr>
              <w:spacing w:after="0"/>
              <w:rPr>
                <w:sz w:val="15"/>
                <w:szCs w:val="15"/>
                <w:color w:val="auto"/>
              </w:rPr>
            </w:pPr>
          </w:p>
        </w:tc>
      </w:tr>
      <w:tr>
        <w:trPr>
          <w:trHeight w:val="169"/>
        </w:trPr>
        <w:tc>
          <w:tcPr>
            <w:tcW w:w="2900" w:type="dxa"/>
            <w:vAlign w:val="bottom"/>
            <w:shd w:val="clear" w:color="auto" w:fill="43C0B9"/>
          </w:tcPr>
          <w:p>
            <w:pPr>
              <w:spacing w:after="0"/>
              <w:rPr>
                <w:sz w:val="14"/>
                <w:szCs w:val="14"/>
                <w:color w:val="auto"/>
              </w:rPr>
            </w:pPr>
          </w:p>
        </w:tc>
        <w:tc>
          <w:tcPr>
            <w:tcW w:w="260" w:type="dxa"/>
            <w:vAlign w:val="bottom"/>
            <w:shd w:val="clear" w:color="auto" w:fill="43C0B9"/>
          </w:tcPr>
          <w:p>
            <w:pPr>
              <w:spacing w:after="0"/>
              <w:rPr>
                <w:sz w:val="14"/>
                <w:szCs w:val="14"/>
                <w:color w:val="auto"/>
              </w:rPr>
            </w:pPr>
          </w:p>
        </w:tc>
        <w:tc>
          <w:tcPr>
            <w:tcW w:w="1080" w:type="dxa"/>
            <w:vAlign w:val="bottom"/>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Distributon</w:t>
            </w:r>
          </w:p>
        </w:tc>
        <w:tc>
          <w:tcPr>
            <w:tcW w:w="1340" w:type="dxa"/>
            <w:vAlign w:val="bottom"/>
            <w:gridSpan w:val="2"/>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Internatonal Farming</w:t>
            </w:r>
          </w:p>
        </w:tc>
        <w:tc>
          <w:tcPr>
            <w:tcW w:w="480" w:type="dxa"/>
            <w:vAlign w:val="bottom"/>
            <w:shd w:val="clear" w:color="auto" w:fill="43C0B9"/>
          </w:tcPr>
          <w:p>
            <w:pPr>
              <w:spacing w:after="0"/>
              <w:rPr>
                <w:sz w:val="14"/>
                <w:szCs w:val="14"/>
                <w:color w:val="auto"/>
              </w:rPr>
            </w:pPr>
          </w:p>
        </w:tc>
        <w:tc>
          <w:tcPr>
            <w:tcW w:w="1000" w:type="dxa"/>
            <w:vAlign w:val="bottom"/>
            <w:shd w:val="clear" w:color="auto" w:fill="43C0B9"/>
          </w:tcPr>
          <w:p>
            <w:pPr>
              <w:jc w:val="right"/>
              <w:ind w:right="89"/>
              <w:spacing w:after="0" w:line="169" w:lineRule="exact"/>
              <w:rPr>
                <w:sz w:val="20"/>
                <w:szCs w:val="20"/>
                <w:color w:val="auto"/>
              </w:rPr>
            </w:pPr>
            <w:r>
              <w:rPr>
                <w:rFonts w:ascii="Calibri" w:cs="Calibri" w:eastAsia="Calibri" w:hAnsi="Calibri"/>
                <w:sz w:val="14"/>
                <w:szCs w:val="14"/>
                <w:b w:val="1"/>
                <w:bCs w:val="1"/>
                <w:color w:val="FFFFFF"/>
              </w:rPr>
              <w:t>Total</w:t>
            </w:r>
          </w:p>
        </w:tc>
        <w:tc>
          <w:tcPr>
            <w:tcW w:w="560" w:type="dxa"/>
            <w:vAlign w:val="bottom"/>
            <w:shd w:val="clear" w:color="auto" w:fill="43C0B9"/>
          </w:tcPr>
          <w:p>
            <w:pPr>
              <w:spacing w:after="0"/>
              <w:rPr>
                <w:sz w:val="14"/>
                <w:szCs w:val="14"/>
                <w:color w:val="auto"/>
              </w:rPr>
            </w:pPr>
          </w:p>
        </w:tc>
        <w:tc>
          <w:tcPr>
            <w:tcW w:w="920" w:type="dxa"/>
            <w:vAlign w:val="bottom"/>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Distributon</w:t>
            </w:r>
          </w:p>
        </w:tc>
        <w:tc>
          <w:tcPr>
            <w:tcW w:w="1360" w:type="dxa"/>
            <w:vAlign w:val="bottom"/>
            <w:gridSpan w:val="2"/>
            <w:shd w:val="clear" w:color="auto" w:fill="43C0B9"/>
          </w:tcPr>
          <w:p>
            <w:pPr>
              <w:jc w:val="center"/>
              <w:spacing w:after="0" w:line="169" w:lineRule="exact"/>
              <w:rPr>
                <w:sz w:val="20"/>
                <w:szCs w:val="20"/>
                <w:color w:val="auto"/>
              </w:rPr>
            </w:pPr>
            <w:r>
              <w:rPr>
                <w:rFonts w:ascii="Calibri" w:cs="Calibri" w:eastAsia="Calibri" w:hAnsi="Calibri"/>
                <w:sz w:val="14"/>
                <w:szCs w:val="14"/>
                <w:b w:val="1"/>
                <w:bCs w:val="1"/>
                <w:color w:val="FFFFFF"/>
              </w:rPr>
              <w:t>Internatonal Farming</w:t>
            </w:r>
          </w:p>
        </w:tc>
        <w:tc>
          <w:tcPr>
            <w:tcW w:w="520" w:type="dxa"/>
            <w:vAlign w:val="bottom"/>
            <w:shd w:val="clear" w:color="auto" w:fill="43C0B9"/>
          </w:tcPr>
          <w:p>
            <w:pPr>
              <w:spacing w:after="0"/>
              <w:rPr>
                <w:sz w:val="14"/>
                <w:szCs w:val="14"/>
                <w:color w:val="auto"/>
              </w:rPr>
            </w:pPr>
          </w:p>
        </w:tc>
        <w:tc>
          <w:tcPr>
            <w:tcW w:w="820" w:type="dxa"/>
            <w:vAlign w:val="bottom"/>
            <w:shd w:val="clear" w:color="auto" w:fill="43C0B9"/>
          </w:tcPr>
          <w:p>
            <w:pPr>
              <w:jc w:val="right"/>
              <w:spacing w:after="0" w:line="169" w:lineRule="exact"/>
              <w:rPr>
                <w:sz w:val="20"/>
                <w:szCs w:val="20"/>
                <w:color w:val="auto"/>
              </w:rPr>
            </w:pPr>
            <w:r>
              <w:rPr>
                <w:rFonts w:ascii="Calibri" w:cs="Calibri" w:eastAsia="Calibri" w:hAnsi="Calibri"/>
                <w:sz w:val="14"/>
                <w:szCs w:val="14"/>
                <w:b w:val="1"/>
                <w:bCs w:val="1"/>
                <w:color w:val="FFFFFF"/>
              </w:rPr>
              <w:t>Total</w:t>
            </w:r>
          </w:p>
        </w:tc>
      </w:tr>
      <w:tr>
        <w:trPr>
          <w:trHeight w:val="241"/>
        </w:trPr>
        <w:tc>
          <w:tcPr>
            <w:tcW w:w="2900" w:type="dxa"/>
            <w:vAlign w:val="bottom"/>
            <w:shd w:val="clear" w:color="auto" w:fill="43C0B9"/>
          </w:tcPr>
          <w:p>
            <w:pPr>
              <w:spacing w:after="0"/>
              <w:rPr>
                <w:sz w:val="20"/>
                <w:szCs w:val="20"/>
                <w:color w:val="auto"/>
              </w:rPr>
            </w:pPr>
          </w:p>
        </w:tc>
        <w:tc>
          <w:tcPr>
            <w:tcW w:w="260" w:type="dxa"/>
            <w:vAlign w:val="bottom"/>
            <w:shd w:val="clear" w:color="auto" w:fill="43C0B9"/>
          </w:tcPr>
          <w:p>
            <w:pPr>
              <w:spacing w:after="0"/>
              <w:rPr>
                <w:sz w:val="20"/>
                <w:szCs w:val="20"/>
                <w:color w:val="auto"/>
              </w:rPr>
            </w:pPr>
          </w:p>
        </w:tc>
        <w:tc>
          <w:tcPr>
            <w:tcW w:w="1080" w:type="dxa"/>
            <w:vAlign w:val="bottom"/>
            <w:shd w:val="clear" w:color="auto" w:fill="43C0B9"/>
          </w:tcPr>
          <w:p>
            <w:pPr>
              <w:spacing w:after="0"/>
              <w:rPr>
                <w:sz w:val="20"/>
                <w:szCs w:val="20"/>
                <w:color w:val="auto"/>
              </w:rPr>
            </w:pPr>
          </w:p>
        </w:tc>
        <w:tc>
          <w:tcPr>
            <w:tcW w:w="300" w:type="dxa"/>
            <w:vAlign w:val="bottom"/>
            <w:shd w:val="clear" w:color="auto" w:fill="43C0B9"/>
          </w:tcPr>
          <w:p>
            <w:pPr>
              <w:spacing w:after="0"/>
              <w:rPr>
                <w:sz w:val="20"/>
                <w:szCs w:val="20"/>
                <w:color w:val="auto"/>
              </w:rPr>
            </w:pPr>
          </w:p>
        </w:tc>
        <w:tc>
          <w:tcPr>
            <w:tcW w:w="1040" w:type="dxa"/>
            <w:vAlign w:val="bottom"/>
            <w:shd w:val="clear" w:color="auto" w:fill="43C0B9"/>
          </w:tcPr>
          <w:p>
            <w:pPr>
              <w:spacing w:after="0"/>
              <w:rPr>
                <w:sz w:val="20"/>
                <w:szCs w:val="20"/>
                <w:color w:val="auto"/>
              </w:rPr>
            </w:pPr>
          </w:p>
        </w:tc>
        <w:tc>
          <w:tcPr>
            <w:tcW w:w="480" w:type="dxa"/>
            <w:vAlign w:val="bottom"/>
            <w:shd w:val="clear" w:color="auto" w:fill="43C0B9"/>
          </w:tcPr>
          <w:p>
            <w:pPr>
              <w:spacing w:after="0"/>
              <w:rPr>
                <w:sz w:val="20"/>
                <w:szCs w:val="20"/>
                <w:color w:val="auto"/>
              </w:rPr>
            </w:pPr>
          </w:p>
        </w:tc>
        <w:tc>
          <w:tcPr>
            <w:tcW w:w="2480" w:type="dxa"/>
            <w:vAlign w:val="bottom"/>
            <w:gridSpan w:val="3"/>
            <w:shd w:val="clear" w:color="auto" w:fill="43C0B9"/>
          </w:tcPr>
          <w:p>
            <w:pPr>
              <w:jc w:val="center"/>
              <w:ind w:right="389"/>
              <w:spacing w:after="0"/>
              <w:rPr>
                <w:sz w:val="20"/>
                <w:szCs w:val="20"/>
                <w:color w:val="auto"/>
              </w:rPr>
            </w:pPr>
            <w:r>
              <w:rPr>
                <w:rFonts w:ascii="Calibri" w:cs="Calibri" w:eastAsia="Calibri" w:hAnsi="Calibri"/>
                <w:sz w:val="14"/>
                <w:szCs w:val="14"/>
                <w:b w:val="1"/>
                <w:bCs w:val="1"/>
                <w:color w:val="FFFFFF"/>
              </w:rPr>
              <w:t>Three Months Ended</w:t>
            </w:r>
          </w:p>
        </w:tc>
        <w:tc>
          <w:tcPr>
            <w:tcW w:w="320" w:type="dxa"/>
            <w:vAlign w:val="bottom"/>
            <w:shd w:val="clear" w:color="auto" w:fill="43C0B9"/>
          </w:tcPr>
          <w:p>
            <w:pPr>
              <w:spacing w:after="0"/>
              <w:rPr>
                <w:sz w:val="20"/>
                <w:szCs w:val="20"/>
                <w:color w:val="auto"/>
              </w:rPr>
            </w:pPr>
          </w:p>
        </w:tc>
        <w:tc>
          <w:tcPr>
            <w:tcW w:w="1040" w:type="dxa"/>
            <w:vAlign w:val="bottom"/>
            <w:shd w:val="clear" w:color="auto" w:fill="43C0B9"/>
          </w:tcPr>
          <w:p>
            <w:pPr>
              <w:spacing w:after="0"/>
              <w:rPr>
                <w:sz w:val="20"/>
                <w:szCs w:val="20"/>
                <w:color w:val="auto"/>
              </w:rPr>
            </w:pPr>
          </w:p>
        </w:tc>
        <w:tc>
          <w:tcPr>
            <w:tcW w:w="520" w:type="dxa"/>
            <w:vAlign w:val="bottom"/>
            <w:shd w:val="clear" w:color="auto" w:fill="43C0B9"/>
          </w:tcPr>
          <w:p>
            <w:pPr>
              <w:spacing w:after="0"/>
              <w:rPr>
                <w:sz w:val="20"/>
                <w:szCs w:val="20"/>
                <w:color w:val="auto"/>
              </w:rPr>
            </w:pPr>
          </w:p>
        </w:tc>
        <w:tc>
          <w:tcPr>
            <w:tcW w:w="820" w:type="dxa"/>
            <w:vAlign w:val="bottom"/>
            <w:shd w:val="clear" w:color="auto" w:fill="43C0B9"/>
          </w:tcPr>
          <w:p>
            <w:pPr>
              <w:spacing w:after="0"/>
              <w:rPr>
                <w:sz w:val="20"/>
                <w:szCs w:val="20"/>
                <w:color w:val="auto"/>
              </w:rPr>
            </w:pPr>
          </w:p>
        </w:tc>
      </w:tr>
      <w:tr>
        <w:trPr>
          <w:trHeight w:val="174"/>
        </w:trPr>
        <w:tc>
          <w:tcPr>
            <w:tcW w:w="2900" w:type="dxa"/>
            <w:vAlign w:val="bottom"/>
            <w:shd w:val="clear" w:color="auto" w:fill="43C0B9"/>
          </w:tcPr>
          <w:p>
            <w:pPr>
              <w:spacing w:after="0"/>
              <w:rPr>
                <w:sz w:val="15"/>
                <w:szCs w:val="15"/>
                <w:color w:val="auto"/>
              </w:rPr>
            </w:pPr>
          </w:p>
        </w:tc>
        <w:tc>
          <w:tcPr>
            <w:tcW w:w="260" w:type="dxa"/>
            <w:vAlign w:val="bottom"/>
            <w:shd w:val="clear" w:color="auto" w:fill="43C0B9"/>
          </w:tcPr>
          <w:p>
            <w:pPr>
              <w:spacing w:after="0"/>
              <w:rPr>
                <w:sz w:val="15"/>
                <w:szCs w:val="15"/>
                <w:color w:val="auto"/>
              </w:rPr>
            </w:pPr>
          </w:p>
        </w:tc>
        <w:tc>
          <w:tcPr>
            <w:tcW w:w="1080" w:type="dxa"/>
            <w:vAlign w:val="bottom"/>
            <w:shd w:val="clear" w:color="auto" w:fill="43C0B9"/>
          </w:tcPr>
          <w:p>
            <w:pPr>
              <w:spacing w:after="0"/>
              <w:rPr>
                <w:sz w:val="15"/>
                <w:szCs w:val="15"/>
                <w:color w:val="auto"/>
              </w:rPr>
            </w:pPr>
          </w:p>
        </w:tc>
        <w:tc>
          <w:tcPr>
            <w:tcW w:w="300" w:type="dxa"/>
            <w:vAlign w:val="bottom"/>
            <w:shd w:val="clear" w:color="auto" w:fill="43C0B9"/>
          </w:tcPr>
          <w:p>
            <w:pPr>
              <w:spacing w:after="0"/>
              <w:rPr>
                <w:sz w:val="15"/>
                <w:szCs w:val="15"/>
                <w:color w:val="auto"/>
              </w:rPr>
            </w:pPr>
          </w:p>
        </w:tc>
        <w:tc>
          <w:tcPr>
            <w:tcW w:w="1040" w:type="dxa"/>
            <w:vAlign w:val="bottom"/>
            <w:shd w:val="clear" w:color="auto" w:fill="43C0B9"/>
          </w:tcPr>
          <w:p>
            <w:pPr>
              <w:spacing w:after="0"/>
              <w:rPr>
                <w:sz w:val="15"/>
                <w:szCs w:val="15"/>
                <w:color w:val="auto"/>
              </w:rPr>
            </w:pPr>
          </w:p>
        </w:tc>
        <w:tc>
          <w:tcPr>
            <w:tcW w:w="480" w:type="dxa"/>
            <w:vAlign w:val="bottom"/>
            <w:shd w:val="clear" w:color="auto" w:fill="43C0B9"/>
          </w:tcPr>
          <w:p>
            <w:pPr>
              <w:spacing w:after="0"/>
              <w:rPr>
                <w:sz w:val="15"/>
                <w:szCs w:val="15"/>
                <w:color w:val="auto"/>
              </w:rPr>
            </w:pPr>
          </w:p>
        </w:tc>
        <w:tc>
          <w:tcPr>
            <w:tcW w:w="1560" w:type="dxa"/>
            <w:vAlign w:val="bottom"/>
            <w:gridSpan w:val="2"/>
            <w:shd w:val="clear" w:color="auto" w:fill="43C0B9"/>
          </w:tcPr>
          <w:p>
            <w:pPr>
              <w:jc w:val="center"/>
              <w:ind w:left="389"/>
              <w:spacing w:after="0"/>
              <w:rPr>
                <w:sz w:val="20"/>
                <w:szCs w:val="20"/>
                <w:color w:val="auto"/>
              </w:rPr>
            </w:pPr>
            <w:r>
              <w:rPr>
                <w:rFonts w:ascii="Calibri" w:cs="Calibri" w:eastAsia="Calibri" w:hAnsi="Calibri"/>
                <w:sz w:val="14"/>
                <w:szCs w:val="14"/>
                <w:b w:val="1"/>
                <w:bCs w:val="1"/>
                <w:color w:val="FFFFFF"/>
              </w:rPr>
              <w:t>April 30,</w:t>
            </w:r>
          </w:p>
        </w:tc>
        <w:tc>
          <w:tcPr>
            <w:tcW w:w="920" w:type="dxa"/>
            <w:vAlign w:val="bottom"/>
            <w:shd w:val="clear" w:color="auto" w:fill="43C0B9"/>
          </w:tcPr>
          <w:p>
            <w:pPr>
              <w:spacing w:after="0"/>
              <w:rPr>
                <w:sz w:val="15"/>
                <w:szCs w:val="15"/>
                <w:color w:val="auto"/>
              </w:rPr>
            </w:pPr>
          </w:p>
        </w:tc>
        <w:tc>
          <w:tcPr>
            <w:tcW w:w="320" w:type="dxa"/>
            <w:vAlign w:val="bottom"/>
            <w:shd w:val="clear" w:color="auto" w:fill="43C0B9"/>
          </w:tcPr>
          <w:p>
            <w:pPr>
              <w:spacing w:after="0"/>
              <w:rPr>
                <w:sz w:val="15"/>
                <w:szCs w:val="15"/>
                <w:color w:val="auto"/>
              </w:rPr>
            </w:pPr>
          </w:p>
        </w:tc>
        <w:tc>
          <w:tcPr>
            <w:tcW w:w="1040" w:type="dxa"/>
            <w:vAlign w:val="bottom"/>
            <w:shd w:val="clear" w:color="auto" w:fill="43C0B9"/>
          </w:tcPr>
          <w:p>
            <w:pPr>
              <w:spacing w:after="0"/>
              <w:rPr>
                <w:sz w:val="15"/>
                <w:szCs w:val="15"/>
                <w:color w:val="auto"/>
              </w:rPr>
            </w:pPr>
          </w:p>
        </w:tc>
        <w:tc>
          <w:tcPr>
            <w:tcW w:w="520" w:type="dxa"/>
            <w:vAlign w:val="bottom"/>
            <w:shd w:val="clear" w:color="auto" w:fill="43C0B9"/>
          </w:tcPr>
          <w:p>
            <w:pPr>
              <w:spacing w:after="0"/>
              <w:rPr>
                <w:sz w:val="15"/>
                <w:szCs w:val="15"/>
                <w:color w:val="auto"/>
              </w:rPr>
            </w:pPr>
          </w:p>
        </w:tc>
        <w:tc>
          <w:tcPr>
            <w:tcW w:w="820" w:type="dxa"/>
            <w:vAlign w:val="bottom"/>
            <w:shd w:val="clear" w:color="auto" w:fill="43C0B9"/>
          </w:tcPr>
          <w:p>
            <w:pPr>
              <w:spacing w:after="0"/>
              <w:rPr>
                <w:sz w:val="15"/>
                <w:szCs w:val="15"/>
                <w:color w:val="auto"/>
              </w:rPr>
            </w:pPr>
          </w:p>
        </w:tc>
      </w:tr>
      <w:tr>
        <w:trPr>
          <w:trHeight w:val="280"/>
        </w:trPr>
        <w:tc>
          <w:tcPr>
            <w:tcW w:w="290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260" w:type="dxa"/>
            <w:vAlign w:val="bottom"/>
            <w:tcBorders>
              <w:bottom w:val="single" w:sz="8" w:color="43C0B9"/>
            </w:tcBorders>
            <w:shd w:val="clear" w:color="auto" w:fill="43C0B9"/>
          </w:tcPr>
          <w:p>
            <w:pPr>
              <w:spacing w:after="0"/>
              <w:rPr>
                <w:sz w:val="24"/>
                <w:szCs w:val="24"/>
                <w:color w:val="auto"/>
              </w:rPr>
            </w:pPr>
          </w:p>
        </w:tc>
        <w:tc>
          <w:tcPr>
            <w:tcW w:w="1080" w:type="dxa"/>
            <w:vAlign w:val="bottom"/>
            <w:tcBorders>
              <w:bottom w:val="single" w:sz="8" w:color="43C0B9"/>
            </w:tcBorders>
            <w:shd w:val="clear" w:color="auto" w:fill="43C0B9"/>
          </w:tcPr>
          <w:p>
            <w:pPr>
              <w:spacing w:after="0"/>
              <w:rPr>
                <w:sz w:val="24"/>
                <w:szCs w:val="24"/>
                <w:color w:val="auto"/>
              </w:rPr>
            </w:pPr>
          </w:p>
        </w:tc>
        <w:tc>
          <w:tcPr>
            <w:tcW w:w="30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449"/>
              <w:spacing w:after="0"/>
              <w:rPr>
                <w:sz w:val="20"/>
                <w:szCs w:val="20"/>
                <w:color w:val="auto"/>
              </w:rPr>
            </w:pPr>
            <w:r>
              <w:rPr>
                <w:rFonts w:ascii="Calibri" w:cs="Calibri" w:eastAsia="Calibri" w:hAnsi="Calibri"/>
                <w:sz w:val="14"/>
                <w:szCs w:val="14"/>
                <w:b w:val="1"/>
                <w:bCs w:val="1"/>
                <w:color w:val="FFFFFF"/>
              </w:rPr>
              <w:t>2022</w:t>
            </w:r>
          </w:p>
        </w:tc>
        <w:tc>
          <w:tcPr>
            <w:tcW w:w="480" w:type="dxa"/>
            <w:vAlign w:val="bottom"/>
            <w:tcBorders>
              <w:bottom w:val="single" w:sz="8" w:color="43C0B9"/>
            </w:tcBorders>
            <w:shd w:val="clear" w:color="auto" w:fill="43C0B9"/>
          </w:tcPr>
          <w:p>
            <w:pPr>
              <w:spacing w:after="0"/>
              <w:rPr>
                <w:sz w:val="24"/>
                <w:szCs w:val="24"/>
                <w:color w:val="auto"/>
              </w:rPr>
            </w:pPr>
          </w:p>
        </w:tc>
        <w:tc>
          <w:tcPr>
            <w:tcW w:w="1000" w:type="dxa"/>
            <w:vAlign w:val="bottom"/>
            <w:tcBorders>
              <w:bottom w:val="single" w:sz="8" w:color="43C0B9"/>
            </w:tcBorders>
            <w:shd w:val="clear" w:color="auto" w:fill="43C0B9"/>
          </w:tcPr>
          <w:p>
            <w:pPr>
              <w:spacing w:after="0"/>
              <w:rPr>
                <w:sz w:val="24"/>
                <w:szCs w:val="24"/>
                <w:color w:val="auto"/>
              </w:rPr>
            </w:pPr>
          </w:p>
        </w:tc>
        <w:tc>
          <w:tcPr>
            <w:tcW w:w="560" w:type="dxa"/>
            <w:vAlign w:val="bottom"/>
            <w:tcBorders>
              <w:bottom w:val="single" w:sz="8" w:color="43C0B9"/>
            </w:tcBorders>
            <w:shd w:val="clear" w:color="auto" w:fill="43C0B9"/>
          </w:tcPr>
          <w:p>
            <w:pPr>
              <w:spacing w:after="0"/>
              <w:rPr>
                <w:sz w:val="24"/>
                <w:szCs w:val="24"/>
                <w:color w:val="auto"/>
              </w:rPr>
            </w:pPr>
          </w:p>
        </w:tc>
        <w:tc>
          <w:tcPr>
            <w:tcW w:w="920" w:type="dxa"/>
            <w:vAlign w:val="bottom"/>
            <w:tcBorders>
              <w:bottom w:val="single" w:sz="8" w:color="43C0B9"/>
            </w:tcBorders>
            <w:shd w:val="clear" w:color="auto" w:fill="43C0B9"/>
          </w:tcPr>
          <w:p>
            <w:pPr>
              <w:spacing w:after="0"/>
              <w:rPr>
                <w:sz w:val="24"/>
                <w:szCs w:val="24"/>
                <w:color w:val="auto"/>
              </w:rPr>
            </w:pPr>
          </w:p>
        </w:tc>
        <w:tc>
          <w:tcPr>
            <w:tcW w:w="32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center"/>
              <w:ind w:right="249"/>
              <w:spacing w:after="0"/>
              <w:rPr>
                <w:sz w:val="20"/>
                <w:szCs w:val="20"/>
                <w:color w:val="auto"/>
              </w:rPr>
            </w:pPr>
            <w:r>
              <w:rPr>
                <w:rFonts w:ascii="Calibri" w:cs="Calibri" w:eastAsia="Calibri" w:hAnsi="Calibri"/>
                <w:sz w:val="14"/>
                <w:szCs w:val="14"/>
                <w:b w:val="1"/>
                <w:bCs w:val="1"/>
                <w:color w:val="FFFFFF"/>
                <w:w w:val="98"/>
              </w:rPr>
              <w:t>2021</w:t>
            </w:r>
          </w:p>
        </w:tc>
        <w:tc>
          <w:tcPr>
            <w:tcW w:w="520" w:type="dxa"/>
            <w:vAlign w:val="bottom"/>
            <w:tcBorders>
              <w:bottom w:val="single" w:sz="8" w:color="43C0B9"/>
            </w:tcBorders>
            <w:shd w:val="clear" w:color="auto" w:fill="43C0B9"/>
          </w:tcPr>
          <w:p>
            <w:pPr>
              <w:spacing w:after="0"/>
              <w:rPr>
                <w:sz w:val="24"/>
                <w:szCs w:val="24"/>
                <w:color w:val="auto"/>
              </w:rPr>
            </w:pPr>
          </w:p>
        </w:tc>
        <w:tc>
          <w:tcPr>
            <w:tcW w:w="820" w:type="dxa"/>
            <w:vAlign w:val="bottom"/>
            <w:tcBorders>
              <w:bottom w:val="single" w:sz="8" w:color="43C0B9"/>
            </w:tcBorders>
            <w:shd w:val="clear" w:color="auto" w:fill="43C0B9"/>
          </w:tcPr>
          <w:p>
            <w:pPr>
              <w:spacing w:after="0"/>
              <w:rPr>
                <w:sz w:val="24"/>
                <w:szCs w:val="24"/>
                <w:color w:val="auto"/>
              </w:rPr>
            </w:pPr>
          </w:p>
        </w:tc>
      </w:tr>
      <w:tr>
        <w:trPr>
          <w:trHeight w:val="207"/>
        </w:trPr>
        <w:tc>
          <w:tcPr>
            <w:tcW w:w="29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Third party sales</w:t>
            </w:r>
          </w:p>
        </w:tc>
        <w:tc>
          <w:tcPr>
            <w:tcW w:w="260" w:type="dxa"/>
            <w:vAlign w:val="bottom"/>
            <w:tcBorders>
              <w:bottom w:val="single" w:sz="8" w:color="DBDBDB"/>
            </w:tcBorders>
            <w:shd w:val="clear" w:color="auto" w:fill="DBDBDB"/>
          </w:tcPr>
          <w:p>
            <w:pPr>
              <w:jc w:val="right"/>
              <w:ind w:right="109"/>
              <w:spacing w:after="0" w:line="169" w:lineRule="exact"/>
              <w:rPr>
                <w:sz w:val="20"/>
                <w:szCs w:val="20"/>
                <w:color w:val="auto"/>
              </w:rPr>
            </w:pPr>
            <w:r>
              <w:rPr>
                <w:rFonts w:ascii="Calibri" w:cs="Calibri" w:eastAsia="Calibri" w:hAnsi="Calibri"/>
                <w:sz w:val="14"/>
                <w:szCs w:val="14"/>
                <w:color w:val="auto"/>
                <w:w w:val="83"/>
              </w:rPr>
              <w:t>$</w:t>
            </w:r>
          </w:p>
        </w:tc>
        <w:tc>
          <w:tcPr>
            <w:tcW w:w="10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273.7</w:t>
            </w:r>
          </w:p>
        </w:tc>
        <w:tc>
          <w:tcPr>
            <w:tcW w:w="300" w:type="dxa"/>
            <w:vAlign w:val="bottom"/>
            <w:tcBorders>
              <w:bottom w:val="single" w:sz="8" w:color="DBDBDB"/>
            </w:tcBorders>
            <w:shd w:val="clear" w:color="auto" w:fill="DBDBDB"/>
          </w:tcPr>
          <w:p>
            <w:pPr>
              <w:jc w:val="right"/>
              <w:ind w:right="149"/>
              <w:spacing w:after="0" w:line="169"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4.4</w:t>
            </w:r>
          </w:p>
        </w:tc>
        <w:tc>
          <w:tcPr>
            <w:tcW w:w="480" w:type="dxa"/>
            <w:vAlign w:val="bottom"/>
            <w:tcBorders>
              <w:bottom w:val="single" w:sz="8" w:color="DBDBDB"/>
            </w:tcBorders>
            <w:shd w:val="clear" w:color="auto" w:fill="DBDBDB"/>
          </w:tcPr>
          <w:p>
            <w:pPr>
              <w:jc w:val="right"/>
              <w:ind w:right="30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129"/>
              <w:spacing w:after="0" w:line="169" w:lineRule="exact"/>
              <w:rPr>
                <w:sz w:val="20"/>
                <w:szCs w:val="20"/>
                <w:color w:val="auto"/>
              </w:rPr>
            </w:pPr>
            <w:r>
              <w:rPr>
                <w:rFonts w:ascii="Calibri" w:cs="Calibri" w:eastAsia="Calibri" w:hAnsi="Calibri"/>
                <w:sz w:val="14"/>
                <w:szCs w:val="14"/>
                <w:color w:val="auto"/>
              </w:rPr>
              <w:t>278.1</w:t>
            </w:r>
          </w:p>
        </w:tc>
        <w:tc>
          <w:tcPr>
            <w:tcW w:w="560" w:type="dxa"/>
            <w:vAlign w:val="bottom"/>
            <w:tcBorders>
              <w:bottom w:val="single" w:sz="8" w:color="DBDBDB"/>
            </w:tcBorders>
            <w:shd w:val="clear" w:color="auto" w:fill="DBDBDB"/>
          </w:tcPr>
          <w:p>
            <w:pPr>
              <w:jc w:val="right"/>
              <w:ind w:right="269"/>
              <w:spacing w:after="0" w:line="169"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232.4</w:t>
            </w:r>
          </w:p>
        </w:tc>
        <w:tc>
          <w:tcPr>
            <w:tcW w:w="320" w:type="dxa"/>
            <w:vAlign w:val="bottom"/>
            <w:tcBorders>
              <w:bottom w:val="single" w:sz="8" w:color="DBDBDB"/>
            </w:tcBorders>
            <w:shd w:val="clear" w:color="auto" w:fill="DBDBDB"/>
          </w:tcPr>
          <w:p>
            <w:pPr>
              <w:jc w:val="right"/>
              <w:ind w:right="169"/>
              <w:spacing w:after="0" w:line="169"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center"/>
              <w:ind w:left="669"/>
              <w:spacing w:after="0" w:line="169" w:lineRule="exact"/>
              <w:rPr>
                <w:sz w:val="20"/>
                <w:szCs w:val="20"/>
                <w:color w:val="auto"/>
              </w:rPr>
            </w:pPr>
            <w:r>
              <w:rPr>
                <w:rFonts w:ascii="Calibri" w:cs="Calibri" w:eastAsia="Calibri" w:hAnsi="Calibri"/>
                <w:sz w:val="14"/>
                <w:szCs w:val="14"/>
                <w:color w:val="auto"/>
              </w:rPr>
              <w:t>2.3</w:t>
            </w:r>
          </w:p>
        </w:tc>
        <w:tc>
          <w:tcPr>
            <w:tcW w:w="520" w:type="dxa"/>
            <w:vAlign w:val="bottom"/>
            <w:tcBorders>
              <w:bottom w:val="single" w:sz="8" w:color="DBDBDB"/>
            </w:tcBorders>
            <w:shd w:val="clear" w:color="auto" w:fill="DBDBDB"/>
          </w:tcPr>
          <w:p>
            <w:pPr>
              <w:jc w:val="right"/>
              <w:ind w:right="369"/>
              <w:spacing w:after="0" w:line="169" w:lineRule="exact"/>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234.7</w:t>
            </w:r>
          </w:p>
        </w:tc>
      </w:tr>
      <w:tr>
        <w:trPr>
          <w:trHeight w:val="169"/>
        </w:trPr>
        <w:tc>
          <w:tcPr>
            <w:tcW w:w="2900" w:type="dxa"/>
            <w:vAlign w:val="bottom"/>
          </w:tcPr>
          <w:p>
            <w:pPr>
              <w:ind w:left="20"/>
              <w:spacing w:after="0" w:line="169" w:lineRule="exact"/>
              <w:rPr>
                <w:sz w:val="20"/>
                <w:szCs w:val="20"/>
                <w:color w:val="auto"/>
              </w:rPr>
            </w:pPr>
            <w:r>
              <w:rPr>
                <w:rFonts w:ascii="Calibri" w:cs="Calibri" w:eastAsia="Calibri" w:hAnsi="Calibri"/>
                <w:sz w:val="14"/>
                <w:szCs w:val="14"/>
                <w:color w:val="auto"/>
              </w:rPr>
              <w:t>Afliated sales</w:t>
            </w:r>
          </w:p>
        </w:tc>
        <w:tc>
          <w:tcPr>
            <w:tcW w:w="26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2.6</w:t>
            </w:r>
          </w:p>
        </w:tc>
        <w:tc>
          <w:tcPr>
            <w:tcW w:w="480" w:type="dxa"/>
            <w:vAlign w:val="bottom"/>
          </w:tcPr>
          <w:p>
            <w:pPr>
              <w:spacing w:after="0"/>
              <w:rPr>
                <w:sz w:val="14"/>
                <w:szCs w:val="14"/>
                <w:color w:val="auto"/>
              </w:rPr>
            </w:pPr>
          </w:p>
        </w:tc>
        <w:tc>
          <w:tcPr>
            <w:tcW w:w="1000" w:type="dxa"/>
            <w:vAlign w:val="bottom"/>
          </w:tcPr>
          <w:p>
            <w:pPr>
              <w:jc w:val="right"/>
              <w:ind w:right="129"/>
              <w:spacing w:after="0" w:line="169" w:lineRule="exact"/>
              <w:rPr>
                <w:sz w:val="20"/>
                <w:szCs w:val="20"/>
                <w:color w:val="auto"/>
              </w:rPr>
            </w:pPr>
            <w:r>
              <w:rPr>
                <w:rFonts w:ascii="Calibri" w:cs="Calibri" w:eastAsia="Calibri" w:hAnsi="Calibri"/>
                <w:sz w:val="14"/>
                <w:szCs w:val="14"/>
                <w:color w:val="auto"/>
              </w:rPr>
              <w:t>2.6</w:t>
            </w:r>
          </w:p>
        </w:tc>
        <w:tc>
          <w:tcPr>
            <w:tcW w:w="5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4"/>
                <w:szCs w:val="14"/>
                <w:color w:val="auto"/>
              </w:rPr>
            </w:pPr>
          </w:p>
        </w:tc>
        <w:tc>
          <w:tcPr>
            <w:tcW w:w="1040" w:type="dxa"/>
            <w:vAlign w:val="bottom"/>
          </w:tcPr>
          <w:p>
            <w:pPr>
              <w:jc w:val="center"/>
              <w:ind w:left="669"/>
              <w:spacing w:after="0" w:line="169" w:lineRule="exact"/>
              <w:rPr>
                <w:sz w:val="20"/>
                <w:szCs w:val="20"/>
                <w:color w:val="auto"/>
              </w:rPr>
            </w:pPr>
            <w:r>
              <w:rPr>
                <w:rFonts w:ascii="Calibri" w:cs="Calibri" w:eastAsia="Calibri" w:hAnsi="Calibri"/>
                <w:sz w:val="14"/>
                <w:szCs w:val="14"/>
                <w:color w:val="auto"/>
              </w:rPr>
              <w:t>2.0</w:t>
            </w:r>
          </w:p>
        </w:tc>
        <w:tc>
          <w:tcPr>
            <w:tcW w:w="52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2.0</w:t>
            </w:r>
          </w:p>
        </w:tc>
      </w:tr>
      <w:tr>
        <w:trPr>
          <w:trHeight w:val="58"/>
        </w:trPr>
        <w:tc>
          <w:tcPr>
            <w:tcW w:w="29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01"/>
        </w:trPr>
        <w:tc>
          <w:tcPr>
            <w:tcW w:w="29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segment sales</w:t>
            </w:r>
          </w:p>
        </w:tc>
        <w:tc>
          <w:tcPr>
            <w:tcW w:w="26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273.7</w:t>
            </w:r>
          </w:p>
        </w:tc>
        <w:tc>
          <w:tcPr>
            <w:tcW w:w="30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7.0</w:t>
            </w:r>
          </w:p>
        </w:tc>
        <w:tc>
          <w:tcPr>
            <w:tcW w:w="4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129"/>
              <w:spacing w:after="0" w:line="162" w:lineRule="exact"/>
              <w:rPr>
                <w:sz w:val="20"/>
                <w:szCs w:val="20"/>
                <w:color w:val="auto"/>
              </w:rPr>
            </w:pPr>
            <w:r>
              <w:rPr>
                <w:rFonts w:ascii="Calibri" w:cs="Calibri" w:eastAsia="Calibri" w:hAnsi="Calibri"/>
                <w:sz w:val="14"/>
                <w:szCs w:val="14"/>
                <w:color w:val="auto"/>
              </w:rPr>
              <w:t>280.7</w:t>
            </w:r>
          </w:p>
        </w:tc>
        <w:tc>
          <w:tcPr>
            <w:tcW w:w="56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232.4</w:t>
            </w:r>
          </w:p>
        </w:tc>
        <w:tc>
          <w:tcPr>
            <w:tcW w:w="32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jc w:val="center"/>
              <w:ind w:left="669"/>
              <w:spacing w:after="0" w:line="162" w:lineRule="exact"/>
              <w:rPr>
                <w:sz w:val="20"/>
                <w:szCs w:val="20"/>
                <w:color w:val="auto"/>
              </w:rPr>
            </w:pPr>
            <w:r>
              <w:rPr>
                <w:rFonts w:ascii="Calibri" w:cs="Calibri" w:eastAsia="Calibri" w:hAnsi="Calibri"/>
                <w:sz w:val="14"/>
                <w:szCs w:val="14"/>
                <w:color w:val="auto"/>
              </w:rPr>
              <w:t>4.3</w:t>
            </w:r>
          </w:p>
        </w:tc>
        <w:tc>
          <w:tcPr>
            <w:tcW w:w="52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236.7</w:t>
            </w:r>
          </w:p>
        </w:tc>
      </w:tr>
      <w:tr>
        <w:trPr>
          <w:trHeight w:val="169"/>
        </w:trPr>
        <w:tc>
          <w:tcPr>
            <w:tcW w:w="2900" w:type="dxa"/>
            <w:vAlign w:val="bottom"/>
          </w:tcPr>
          <w:p>
            <w:pPr>
              <w:ind w:left="20"/>
              <w:spacing w:after="0" w:line="169" w:lineRule="exact"/>
              <w:rPr>
                <w:sz w:val="20"/>
                <w:szCs w:val="20"/>
                <w:color w:val="auto"/>
              </w:rPr>
            </w:pPr>
            <w:r>
              <w:rPr>
                <w:rFonts w:ascii="Calibri" w:cs="Calibri" w:eastAsia="Calibri" w:hAnsi="Calibri"/>
                <w:sz w:val="14"/>
                <w:szCs w:val="14"/>
                <w:color w:val="auto"/>
              </w:rPr>
              <w:t>Intercompany eliminatons</w:t>
            </w:r>
          </w:p>
        </w:tc>
        <w:tc>
          <w:tcPr>
            <w:tcW w:w="26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(2.6)</w:t>
            </w:r>
          </w:p>
        </w:tc>
        <w:tc>
          <w:tcPr>
            <w:tcW w:w="480" w:type="dxa"/>
            <w:vAlign w:val="bottom"/>
          </w:tcPr>
          <w:p>
            <w:pPr>
              <w:spacing w:after="0"/>
              <w:rPr>
                <w:sz w:val="14"/>
                <w:szCs w:val="14"/>
                <w:color w:val="auto"/>
              </w:rPr>
            </w:pPr>
          </w:p>
        </w:tc>
        <w:tc>
          <w:tcPr>
            <w:tcW w:w="100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(2.6)</w:t>
            </w:r>
          </w:p>
        </w:tc>
        <w:tc>
          <w:tcPr>
            <w:tcW w:w="5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4"/>
                <w:szCs w:val="14"/>
                <w:color w:val="auto"/>
              </w:rPr>
            </w:pPr>
          </w:p>
        </w:tc>
        <w:tc>
          <w:tcPr>
            <w:tcW w:w="1040" w:type="dxa"/>
            <w:vAlign w:val="bottom"/>
          </w:tcPr>
          <w:p>
            <w:pPr>
              <w:jc w:val="center"/>
              <w:ind w:left="629"/>
              <w:spacing w:after="0" w:line="169" w:lineRule="exact"/>
              <w:rPr>
                <w:sz w:val="20"/>
                <w:szCs w:val="20"/>
                <w:color w:val="auto"/>
              </w:rPr>
            </w:pPr>
            <w:r>
              <w:rPr>
                <w:rFonts w:ascii="Calibri" w:cs="Calibri" w:eastAsia="Calibri" w:hAnsi="Calibri"/>
                <w:sz w:val="14"/>
                <w:szCs w:val="14"/>
                <w:color w:val="auto"/>
                <w:w w:val="99"/>
              </w:rPr>
              <w:t>(2.0)</w:t>
            </w:r>
          </w:p>
        </w:tc>
        <w:tc>
          <w:tcPr>
            <w:tcW w:w="52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(2.0)</w:t>
            </w:r>
          </w:p>
        </w:tc>
      </w:tr>
      <w:tr>
        <w:trPr>
          <w:trHeight w:val="58"/>
        </w:trPr>
        <w:tc>
          <w:tcPr>
            <w:tcW w:w="29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01"/>
        </w:trPr>
        <w:tc>
          <w:tcPr>
            <w:tcW w:w="290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260" w:type="dxa"/>
            <w:vAlign w:val="bottom"/>
            <w:tcBorders>
              <w:bottom w:val="single" w:sz="8" w:color="DBDBDB"/>
            </w:tcBorders>
            <w:shd w:val="clear" w:color="auto" w:fill="DBDBDB"/>
          </w:tcPr>
          <w:p>
            <w:pPr>
              <w:jc w:val="right"/>
              <w:ind w:right="109"/>
              <w:spacing w:after="0" w:line="162" w:lineRule="exact"/>
              <w:rPr>
                <w:sz w:val="20"/>
                <w:szCs w:val="20"/>
                <w:color w:val="auto"/>
              </w:rPr>
            </w:pPr>
            <w:r>
              <w:rPr>
                <w:rFonts w:ascii="Calibri" w:cs="Calibri" w:eastAsia="Calibri" w:hAnsi="Calibri"/>
                <w:sz w:val="14"/>
                <w:szCs w:val="14"/>
                <w:color w:val="auto"/>
                <w:w w:val="83"/>
              </w:rPr>
              <w:t>$</w:t>
            </w:r>
          </w:p>
        </w:tc>
        <w:tc>
          <w:tcPr>
            <w:tcW w:w="10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273.7</w:t>
            </w:r>
          </w:p>
        </w:tc>
        <w:tc>
          <w:tcPr>
            <w:tcW w:w="300" w:type="dxa"/>
            <w:vAlign w:val="bottom"/>
            <w:tcBorders>
              <w:bottom w:val="single" w:sz="8" w:color="DBDBDB"/>
            </w:tcBorders>
            <w:shd w:val="clear" w:color="auto" w:fill="DBDBDB"/>
          </w:tcPr>
          <w:p>
            <w:pPr>
              <w:jc w:val="right"/>
              <w:ind w:right="14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4.4</w:t>
            </w:r>
          </w:p>
        </w:tc>
        <w:tc>
          <w:tcPr>
            <w:tcW w:w="480" w:type="dxa"/>
            <w:vAlign w:val="bottom"/>
            <w:tcBorders>
              <w:bottom w:val="single" w:sz="8" w:color="DBDBDB"/>
            </w:tcBorders>
            <w:shd w:val="clear" w:color="auto" w:fill="DBDBDB"/>
          </w:tcPr>
          <w:p>
            <w:pPr>
              <w:jc w:val="right"/>
              <w:ind w:right="30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DBDBDB"/>
            </w:tcBorders>
            <w:shd w:val="clear" w:color="auto" w:fill="DBDBDB"/>
          </w:tcPr>
          <w:p>
            <w:pPr>
              <w:jc w:val="right"/>
              <w:ind w:right="129"/>
              <w:spacing w:after="0" w:line="162" w:lineRule="exact"/>
              <w:rPr>
                <w:sz w:val="20"/>
                <w:szCs w:val="20"/>
                <w:color w:val="auto"/>
              </w:rPr>
            </w:pPr>
            <w:r>
              <w:rPr>
                <w:rFonts w:ascii="Calibri" w:cs="Calibri" w:eastAsia="Calibri" w:hAnsi="Calibri"/>
                <w:sz w:val="14"/>
                <w:szCs w:val="14"/>
                <w:color w:val="auto"/>
              </w:rPr>
              <w:t>278.1</w:t>
            </w:r>
          </w:p>
        </w:tc>
        <w:tc>
          <w:tcPr>
            <w:tcW w:w="560" w:type="dxa"/>
            <w:vAlign w:val="bottom"/>
            <w:tcBorders>
              <w:bottom w:val="single" w:sz="8" w:color="DBDBDB"/>
            </w:tcBorders>
            <w:shd w:val="clear" w:color="auto" w:fill="DBDBDB"/>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232.4</w:t>
            </w:r>
          </w:p>
        </w:tc>
        <w:tc>
          <w:tcPr>
            <w:tcW w:w="320" w:type="dxa"/>
            <w:vAlign w:val="bottom"/>
            <w:tcBorders>
              <w:bottom w:val="single" w:sz="8" w:color="DBDBDB"/>
            </w:tcBorders>
            <w:shd w:val="clear" w:color="auto" w:fill="DBDBDB"/>
          </w:tcPr>
          <w:p>
            <w:pPr>
              <w:jc w:val="right"/>
              <w:ind w:right="16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center"/>
              <w:ind w:left="669"/>
              <w:spacing w:after="0" w:line="162" w:lineRule="exact"/>
              <w:rPr>
                <w:sz w:val="20"/>
                <w:szCs w:val="20"/>
                <w:color w:val="auto"/>
              </w:rPr>
            </w:pPr>
            <w:r>
              <w:rPr>
                <w:rFonts w:ascii="Calibri" w:cs="Calibri" w:eastAsia="Calibri" w:hAnsi="Calibri"/>
                <w:sz w:val="14"/>
                <w:szCs w:val="14"/>
                <w:color w:val="auto"/>
              </w:rPr>
              <w:t>2.3</w:t>
            </w:r>
          </w:p>
        </w:tc>
        <w:tc>
          <w:tcPr>
            <w:tcW w:w="520" w:type="dxa"/>
            <w:vAlign w:val="bottom"/>
            <w:tcBorders>
              <w:bottom w:val="single" w:sz="8" w:color="DBDBDB"/>
            </w:tcBorders>
            <w:shd w:val="clear" w:color="auto" w:fill="DBDBDB"/>
          </w:tcPr>
          <w:p>
            <w:pPr>
              <w:jc w:val="right"/>
              <w:ind w:right="369"/>
              <w:spacing w:after="0" w:line="162" w:lineRule="exact"/>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234.7</w:t>
            </w:r>
          </w:p>
        </w:tc>
      </w:tr>
      <w:tr>
        <w:trPr>
          <w:trHeight w:val="169"/>
        </w:trPr>
        <w:tc>
          <w:tcPr>
            <w:tcW w:w="2900" w:type="dxa"/>
            <w:vAlign w:val="bottom"/>
            <w:shd w:val="clear" w:color="auto" w:fill="43C0B9"/>
          </w:tcPr>
          <w:p>
            <w:pPr>
              <w:spacing w:after="0"/>
              <w:rPr>
                <w:sz w:val="14"/>
                <w:szCs w:val="14"/>
                <w:color w:val="auto"/>
              </w:rPr>
            </w:pPr>
          </w:p>
        </w:tc>
        <w:tc>
          <w:tcPr>
            <w:tcW w:w="260" w:type="dxa"/>
            <w:vAlign w:val="bottom"/>
            <w:shd w:val="clear" w:color="auto" w:fill="43C0B9"/>
          </w:tcPr>
          <w:p>
            <w:pPr>
              <w:spacing w:after="0"/>
              <w:rPr>
                <w:sz w:val="14"/>
                <w:szCs w:val="14"/>
                <w:color w:val="auto"/>
              </w:rPr>
            </w:pPr>
          </w:p>
        </w:tc>
        <w:tc>
          <w:tcPr>
            <w:tcW w:w="1080" w:type="dxa"/>
            <w:vAlign w:val="bottom"/>
            <w:shd w:val="clear" w:color="auto" w:fill="43C0B9"/>
          </w:tcPr>
          <w:p>
            <w:pPr>
              <w:spacing w:after="0"/>
              <w:rPr>
                <w:sz w:val="14"/>
                <w:szCs w:val="14"/>
                <w:color w:val="auto"/>
              </w:rPr>
            </w:pPr>
          </w:p>
        </w:tc>
        <w:tc>
          <w:tcPr>
            <w:tcW w:w="300" w:type="dxa"/>
            <w:vAlign w:val="bottom"/>
            <w:shd w:val="clear" w:color="auto" w:fill="43C0B9"/>
          </w:tcPr>
          <w:p>
            <w:pPr>
              <w:spacing w:after="0"/>
              <w:rPr>
                <w:sz w:val="14"/>
                <w:szCs w:val="14"/>
                <w:color w:val="auto"/>
              </w:rPr>
            </w:pPr>
          </w:p>
        </w:tc>
        <w:tc>
          <w:tcPr>
            <w:tcW w:w="1040" w:type="dxa"/>
            <w:vAlign w:val="bottom"/>
            <w:shd w:val="clear" w:color="auto" w:fill="43C0B9"/>
          </w:tcPr>
          <w:p>
            <w:pPr>
              <w:spacing w:after="0"/>
              <w:rPr>
                <w:sz w:val="14"/>
                <w:szCs w:val="14"/>
                <w:color w:val="auto"/>
              </w:rPr>
            </w:pPr>
          </w:p>
        </w:tc>
        <w:tc>
          <w:tcPr>
            <w:tcW w:w="480" w:type="dxa"/>
            <w:vAlign w:val="bottom"/>
            <w:shd w:val="clear" w:color="auto" w:fill="43C0B9"/>
          </w:tcPr>
          <w:p>
            <w:pPr>
              <w:spacing w:after="0"/>
              <w:rPr>
                <w:sz w:val="14"/>
                <w:szCs w:val="14"/>
                <w:color w:val="auto"/>
              </w:rPr>
            </w:pPr>
          </w:p>
        </w:tc>
        <w:tc>
          <w:tcPr>
            <w:tcW w:w="1560" w:type="dxa"/>
            <w:vAlign w:val="bottom"/>
            <w:gridSpan w:val="2"/>
            <w:shd w:val="clear" w:color="auto" w:fill="43C0B9"/>
          </w:tcPr>
          <w:p>
            <w:pPr>
              <w:jc w:val="center"/>
              <w:ind w:left="389"/>
              <w:spacing w:after="0" w:line="169" w:lineRule="exact"/>
              <w:rPr>
                <w:sz w:val="20"/>
                <w:szCs w:val="20"/>
                <w:color w:val="auto"/>
              </w:rPr>
            </w:pPr>
            <w:r>
              <w:rPr>
                <w:rFonts w:ascii="Calibri" w:cs="Calibri" w:eastAsia="Calibri" w:hAnsi="Calibri"/>
                <w:sz w:val="14"/>
                <w:szCs w:val="14"/>
                <w:b w:val="1"/>
                <w:bCs w:val="1"/>
                <w:color w:val="FFFFFF"/>
              </w:rPr>
              <w:t>Six Months Ended</w:t>
            </w:r>
          </w:p>
        </w:tc>
        <w:tc>
          <w:tcPr>
            <w:tcW w:w="920" w:type="dxa"/>
            <w:vAlign w:val="bottom"/>
            <w:shd w:val="clear" w:color="auto" w:fill="43C0B9"/>
          </w:tcPr>
          <w:p>
            <w:pPr>
              <w:spacing w:after="0"/>
              <w:rPr>
                <w:sz w:val="14"/>
                <w:szCs w:val="14"/>
                <w:color w:val="auto"/>
              </w:rPr>
            </w:pPr>
          </w:p>
        </w:tc>
        <w:tc>
          <w:tcPr>
            <w:tcW w:w="320" w:type="dxa"/>
            <w:vAlign w:val="bottom"/>
            <w:shd w:val="clear" w:color="auto" w:fill="43C0B9"/>
          </w:tcPr>
          <w:p>
            <w:pPr>
              <w:spacing w:after="0"/>
              <w:rPr>
                <w:sz w:val="14"/>
                <w:szCs w:val="14"/>
                <w:color w:val="auto"/>
              </w:rPr>
            </w:pPr>
          </w:p>
        </w:tc>
        <w:tc>
          <w:tcPr>
            <w:tcW w:w="1040" w:type="dxa"/>
            <w:vAlign w:val="bottom"/>
            <w:shd w:val="clear" w:color="auto" w:fill="43C0B9"/>
          </w:tcPr>
          <w:p>
            <w:pPr>
              <w:spacing w:after="0"/>
              <w:rPr>
                <w:sz w:val="14"/>
                <w:szCs w:val="14"/>
                <w:color w:val="auto"/>
              </w:rPr>
            </w:pPr>
          </w:p>
        </w:tc>
        <w:tc>
          <w:tcPr>
            <w:tcW w:w="520" w:type="dxa"/>
            <w:vAlign w:val="bottom"/>
            <w:shd w:val="clear" w:color="auto" w:fill="43C0B9"/>
          </w:tcPr>
          <w:p>
            <w:pPr>
              <w:spacing w:after="0"/>
              <w:rPr>
                <w:sz w:val="14"/>
                <w:szCs w:val="14"/>
                <w:color w:val="auto"/>
              </w:rPr>
            </w:pPr>
          </w:p>
        </w:tc>
        <w:tc>
          <w:tcPr>
            <w:tcW w:w="820" w:type="dxa"/>
            <w:vAlign w:val="bottom"/>
            <w:shd w:val="clear" w:color="auto" w:fill="43C0B9"/>
          </w:tcPr>
          <w:p>
            <w:pPr>
              <w:spacing w:after="0"/>
              <w:rPr>
                <w:sz w:val="14"/>
                <w:szCs w:val="14"/>
                <w:color w:val="auto"/>
              </w:rPr>
            </w:pPr>
          </w:p>
        </w:tc>
      </w:tr>
      <w:tr>
        <w:trPr>
          <w:trHeight w:val="173"/>
        </w:trPr>
        <w:tc>
          <w:tcPr>
            <w:tcW w:w="2900" w:type="dxa"/>
            <w:vAlign w:val="bottom"/>
            <w:shd w:val="clear" w:color="auto" w:fill="43C0B9"/>
          </w:tcPr>
          <w:p>
            <w:pPr>
              <w:spacing w:after="0"/>
              <w:rPr>
                <w:sz w:val="15"/>
                <w:szCs w:val="15"/>
                <w:color w:val="auto"/>
              </w:rPr>
            </w:pPr>
          </w:p>
        </w:tc>
        <w:tc>
          <w:tcPr>
            <w:tcW w:w="260" w:type="dxa"/>
            <w:vAlign w:val="bottom"/>
            <w:shd w:val="clear" w:color="auto" w:fill="43C0B9"/>
          </w:tcPr>
          <w:p>
            <w:pPr>
              <w:spacing w:after="0"/>
              <w:rPr>
                <w:sz w:val="15"/>
                <w:szCs w:val="15"/>
                <w:color w:val="auto"/>
              </w:rPr>
            </w:pPr>
          </w:p>
        </w:tc>
        <w:tc>
          <w:tcPr>
            <w:tcW w:w="1080" w:type="dxa"/>
            <w:vAlign w:val="bottom"/>
            <w:shd w:val="clear" w:color="auto" w:fill="43C0B9"/>
          </w:tcPr>
          <w:p>
            <w:pPr>
              <w:spacing w:after="0"/>
              <w:rPr>
                <w:sz w:val="15"/>
                <w:szCs w:val="15"/>
                <w:color w:val="auto"/>
              </w:rPr>
            </w:pPr>
          </w:p>
        </w:tc>
        <w:tc>
          <w:tcPr>
            <w:tcW w:w="300" w:type="dxa"/>
            <w:vAlign w:val="bottom"/>
            <w:shd w:val="clear" w:color="auto" w:fill="43C0B9"/>
          </w:tcPr>
          <w:p>
            <w:pPr>
              <w:spacing w:after="0"/>
              <w:rPr>
                <w:sz w:val="15"/>
                <w:szCs w:val="15"/>
                <w:color w:val="auto"/>
              </w:rPr>
            </w:pPr>
          </w:p>
        </w:tc>
        <w:tc>
          <w:tcPr>
            <w:tcW w:w="1040" w:type="dxa"/>
            <w:vAlign w:val="bottom"/>
            <w:shd w:val="clear" w:color="auto" w:fill="43C0B9"/>
          </w:tcPr>
          <w:p>
            <w:pPr>
              <w:spacing w:after="0"/>
              <w:rPr>
                <w:sz w:val="15"/>
                <w:szCs w:val="15"/>
                <w:color w:val="auto"/>
              </w:rPr>
            </w:pPr>
          </w:p>
        </w:tc>
        <w:tc>
          <w:tcPr>
            <w:tcW w:w="480" w:type="dxa"/>
            <w:vAlign w:val="bottom"/>
            <w:shd w:val="clear" w:color="auto" w:fill="43C0B9"/>
          </w:tcPr>
          <w:p>
            <w:pPr>
              <w:spacing w:after="0"/>
              <w:rPr>
                <w:sz w:val="15"/>
                <w:szCs w:val="15"/>
                <w:color w:val="auto"/>
              </w:rPr>
            </w:pPr>
          </w:p>
        </w:tc>
        <w:tc>
          <w:tcPr>
            <w:tcW w:w="1560" w:type="dxa"/>
            <w:vAlign w:val="bottom"/>
            <w:gridSpan w:val="2"/>
            <w:shd w:val="clear" w:color="auto" w:fill="43C0B9"/>
          </w:tcPr>
          <w:p>
            <w:pPr>
              <w:jc w:val="center"/>
              <w:ind w:left="389"/>
              <w:spacing w:after="0"/>
              <w:rPr>
                <w:sz w:val="20"/>
                <w:szCs w:val="20"/>
                <w:color w:val="auto"/>
              </w:rPr>
            </w:pPr>
            <w:r>
              <w:rPr>
                <w:rFonts w:ascii="Calibri" w:cs="Calibri" w:eastAsia="Calibri" w:hAnsi="Calibri"/>
                <w:sz w:val="14"/>
                <w:szCs w:val="14"/>
                <w:b w:val="1"/>
                <w:bCs w:val="1"/>
                <w:color w:val="FFFFFF"/>
              </w:rPr>
              <w:t>April 30,</w:t>
            </w:r>
          </w:p>
        </w:tc>
        <w:tc>
          <w:tcPr>
            <w:tcW w:w="920" w:type="dxa"/>
            <w:vAlign w:val="bottom"/>
            <w:shd w:val="clear" w:color="auto" w:fill="43C0B9"/>
          </w:tcPr>
          <w:p>
            <w:pPr>
              <w:spacing w:after="0"/>
              <w:rPr>
                <w:sz w:val="15"/>
                <w:szCs w:val="15"/>
                <w:color w:val="auto"/>
              </w:rPr>
            </w:pPr>
          </w:p>
        </w:tc>
        <w:tc>
          <w:tcPr>
            <w:tcW w:w="320" w:type="dxa"/>
            <w:vAlign w:val="bottom"/>
            <w:shd w:val="clear" w:color="auto" w:fill="43C0B9"/>
          </w:tcPr>
          <w:p>
            <w:pPr>
              <w:spacing w:after="0"/>
              <w:rPr>
                <w:sz w:val="15"/>
                <w:szCs w:val="15"/>
                <w:color w:val="auto"/>
              </w:rPr>
            </w:pPr>
          </w:p>
        </w:tc>
        <w:tc>
          <w:tcPr>
            <w:tcW w:w="1040" w:type="dxa"/>
            <w:vAlign w:val="bottom"/>
            <w:shd w:val="clear" w:color="auto" w:fill="43C0B9"/>
          </w:tcPr>
          <w:p>
            <w:pPr>
              <w:spacing w:after="0"/>
              <w:rPr>
                <w:sz w:val="15"/>
                <w:szCs w:val="15"/>
                <w:color w:val="auto"/>
              </w:rPr>
            </w:pPr>
          </w:p>
        </w:tc>
        <w:tc>
          <w:tcPr>
            <w:tcW w:w="520" w:type="dxa"/>
            <w:vAlign w:val="bottom"/>
            <w:shd w:val="clear" w:color="auto" w:fill="43C0B9"/>
          </w:tcPr>
          <w:p>
            <w:pPr>
              <w:spacing w:after="0"/>
              <w:rPr>
                <w:sz w:val="15"/>
                <w:szCs w:val="15"/>
                <w:color w:val="auto"/>
              </w:rPr>
            </w:pPr>
          </w:p>
        </w:tc>
        <w:tc>
          <w:tcPr>
            <w:tcW w:w="820" w:type="dxa"/>
            <w:vAlign w:val="bottom"/>
            <w:shd w:val="clear" w:color="auto" w:fill="43C0B9"/>
          </w:tcPr>
          <w:p>
            <w:pPr>
              <w:spacing w:after="0"/>
              <w:rPr>
                <w:sz w:val="15"/>
                <w:szCs w:val="15"/>
                <w:color w:val="auto"/>
              </w:rPr>
            </w:pPr>
          </w:p>
        </w:tc>
      </w:tr>
      <w:tr>
        <w:trPr>
          <w:trHeight w:val="280"/>
        </w:trPr>
        <w:tc>
          <w:tcPr>
            <w:tcW w:w="2900" w:type="dxa"/>
            <w:vAlign w:val="bottom"/>
            <w:tcBorders>
              <w:bottom w:val="single" w:sz="8" w:color="43C0B9"/>
            </w:tcBorders>
            <w:shd w:val="clear" w:color="auto" w:fill="43C0B9"/>
          </w:tcPr>
          <w:p>
            <w:pPr>
              <w:spacing w:after="0"/>
              <w:rPr>
                <w:sz w:val="24"/>
                <w:szCs w:val="24"/>
                <w:color w:val="auto"/>
              </w:rPr>
            </w:pPr>
          </w:p>
        </w:tc>
        <w:tc>
          <w:tcPr>
            <w:tcW w:w="260" w:type="dxa"/>
            <w:vAlign w:val="bottom"/>
            <w:tcBorders>
              <w:bottom w:val="single" w:sz="8" w:color="43C0B9"/>
            </w:tcBorders>
            <w:shd w:val="clear" w:color="auto" w:fill="43C0B9"/>
          </w:tcPr>
          <w:p>
            <w:pPr>
              <w:spacing w:after="0"/>
              <w:rPr>
                <w:sz w:val="24"/>
                <w:szCs w:val="24"/>
                <w:color w:val="auto"/>
              </w:rPr>
            </w:pPr>
          </w:p>
        </w:tc>
        <w:tc>
          <w:tcPr>
            <w:tcW w:w="1080" w:type="dxa"/>
            <w:vAlign w:val="bottom"/>
            <w:tcBorders>
              <w:bottom w:val="single" w:sz="8" w:color="43C0B9"/>
            </w:tcBorders>
            <w:shd w:val="clear" w:color="auto" w:fill="43C0B9"/>
          </w:tcPr>
          <w:p>
            <w:pPr>
              <w:spacing w:after="0"/>
              <w:rPr>
                <w:sz w:val="24"/>
                <w:szCs w:val="24"/>
                <w:color w:val="auto"/>
              </w:rPr>
            </w:pPr>
          </w:p>
        </w:tc>
        <w:tc>
          <w:tcPr>
            <w:tcW w:w="30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449"/>
              <w:spacing w:after="0"/>
              <w:rPr>
                <w:sz w:val="20"/>
                <w:szCs w:val="20"/>
                <w:color w:val="auto"/>
              </w:rPr>
            </w:pPr>
            <w:r>
              <w:rPr>
                <w:rFonts w:ascii="Calibri" w:cs="Calibri" w:eastAsia="Calibri" w:hAnsi="Calibri"/>
                <w:sz w:val="14"/>
                <w:szCs w:val="14"/>
                <w:b w:val="1"/>
                <w:bCs w:val="1"/>
                <w:color w:val="FFFFFF"/>
              </w:rPr>
              <w:t>2022</w:t>
            </w:r>
          </w:p>
        </w:tc>
        <w:tc>
          <w:tcPr>
            <w:tcW w:w="480" w:type="dxa"/>
            <w:vAlign w:val="bottom"/>
            <w:tcBorders>
              <w:bottom w:val="single" w:sz="8" w:color="43C0B9"/>
            </w:tcBorders>
            <w:shd w:val="clear" w:color="auto" w:fill="43C0B9"/>
          </w:tcPr>
          <w:p>
            <w:pPr>
              <w:spacing w:after="0"/>
              <w:rPr>
                <w:sz w:val="24"/>
                <w:szCs w:val="24"/>
                <w:color w:val="auto"/>
              </w:rPr>
            </w:pPr>
          </w:p>
        </w:tc>
        <w:tc>
          <w:tcPr>
            <w:tcW w:w="1000" w:type="dxa"/>
            <w:vAlign w:val="bottom"/>
            <w:tcBorders>
              <w:bottom w:val="single" w:sz="8" w:color="43C0B9"/>
            </w:tcBorders>
            <w:shd w:val="clear" w:color="auto" w:fill="43C0B9"/>
          </w:tcPr>
          <w:p>
            <w:pPr>
              <w:spacing w:after="0"/>
              <w:rPr>
                <w:sz w:val="24"/>
                <w:szCs w:val="24"/>
                <w:color w:val="auto"/>
              </w:rPr>
            </w:pPr>
          </w:p>
        </w:tc>
        <w:tc>
          <w:tcPr>
            <w:tcW w:w="560" w:type="dxa"/>
            <w:vAlign w:val="bottom"/>
            <w:tcBorders>
              <w:bottom w:val="single" w:sz="8" w:color="43C0B9"/>
            </w:tcBorders>
            <w:shd w:val="clear" w:color="auto" w:fill="43C0B9"/>
          </w:tcPr>
          <w:p>
            <w:pPr>
              <w:spacing w:after="0"/>
              <w:rPr>
                <w:sz w:val="24"/>
                <w:szCs w:val="24"/>
                <w:color w:val="auto"/>
              </w:rPr>
            </w:pPr>
          </w:p>
        </w:tc>
        <w:tc>
          <w:tcPr>
            <w:tcW w:w="920" w:type="dxa"/>
            <w:vAlign w:val="bottom"/>
            <w:tcBorders>
              <w:bottom w:val="single" w:sz="8" w:color="43C0B9"/>
            </w:tcBorders>
            <w:shd w:val="clear" w:color="auto" w:fill="43C0B9"/>
          </w:tcPr>
          <w:p>
            <w:pPr>
              <w:spacing w:after="0"/>
              <w:rPr>
                <w:sz w:val="24"/>
                <w:szCs w:val="24"/>
                <w:color w:val="auto"/>
              </w:rPr>
            </w:pPr>
          </w:p>
        </w:tc>
        <w:tc>
          <w:tcPr>
            <w:tcW w:w="32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center"/>
              <w:ind w:right="249"/>
              <w:spacing w:after="0"/>
              <w:rPr>
                <w:sz w:val="20"/>
                <w:szCs w:val="20"/>
                <w:color w:val="auto"/>
              </w:rPr>
            </w:pPr>
            <w:r>
              <w:rPr>
                <w:rFonts w:ascii="Calibri" w:cs="Calibri" w:eastAsia="Calibri" w:hAnsi="Calibri"/>
                <w:sz w:val="14"/>
                <w:szCs w:val="14"/>
                <w:b w:val="1"/>
                <w:bCs w:val="1"/>
                <w:color w:val="FFFFFF"/>
                <w:w w:val="98"/>
              </w:rPr>
              <w:t>2021</w:t>
            </w:r>
          </w:p>
        </w:tc>
        <w:tc>
          <w:tcPr>
            <w:tcW w:w="520" w:type="dxa"/>
            <w:vAlign w:val="bottom"/>
            <w:tcBorders>
              <w:bottom w:val="single" w:sz="8" w:color="43C0B9"/>
            </w:tcBorders>
            <w:shd w:val="clear" w:color="auto" w:fill="43C0B9"/>
          </w:tcPr>
          <w:p>
            <w:pPr>
              <w:spacing w:after="0"/>
              <w:rPr>
                <w:sz w:val="24"/>
                <w:szCs w:val="24"/>
                <w:color w:val="auto"/>
              </w:rPr>
            </w:pPr>
          </w:p>
        </w:tc>
        <w:tc>
          <w:tcPr>
            <w:tcW w:w="820" w:type="dxa"/>
            <w:vAlign w:val="bottom"/>
            <w:tcBorders>
              <w:bottom w:val="single" w:sz="8" w:color="43C0B9"/>
            </w:tcBorders>
            <w:shd w:val="clear" w:color="auto" w:fill="43C0B9"/>
          </w:tcPr>
          <w:p>
            <w:pPr>
              <w:spacing w:after="0"/>
              <w:rPr>
                <w:sz w:val="24"/>
                <w:szCs w:val="24"/>
                <w:color w:val="auto"/>
              </w:rPr>
            </w:pPr>
          </w:p>
        </w:tc>
      </w:tr>
      <w:tr>
        <w:trPr>
          <w:trHeight w:val="169"/>
        </w:trPr>
        <w:tc>
          <w:tcPr>
            <w:tcW w:w="2900" w:type="dxa"/>
            <w:vAlign w:val="bottom"/>
          </w:tcPr>
          <w:p>
            <w:pPr>
              <w:ind w:left="20"/>
              <w:spacing w:after="0" w:line="169" w:lineRule="exact"/>
              <w:rPr>
                <w:sz w:val="20"/>
                <w:szCs w:val="20"/>
                <w:color w:val="auto"/>
              </w:rPr>
            </w:pPr>
            <w:r>
              <w:rPr>
                <w:rFonts w:ascii="Calibri" w:cs="Calibri" w:eastAsia="Calibri" w:hAnsi="Calibri"/>
                <w:sz w:val="14"/>
                <w:szCs w:val="14"/>
                <w:color w:val="auto"/>
              </w:rPr>
              <w:t>Third party sales</w:t>
            </w:r>
          </w:p>
        </w:tc>
        <w:tc>
          <w:tcPr>
            <w:tcW w:w="260" w:type="dxa"/>
            <w:vAlign w:val="bottom"/>
          </w:tcPr>
          <w:p>
            <w:pPr>
              <w:jc w:val="right"/>
              <w:ind w:right="109"/>
              <w:spacing w:after="0" w:line="169" w:lineRule="exact"/>
              <w:rPr>
                <w:sz w:val="20"/>
                <w:szCs w:val="20"/>
                <w:color w:val="auto"/>
              </w:rPr>
            </w:pPr>
            <w:r>
              <w:rPr>
                <w:rFonts w:ascii="Calibri" w:cs="Calibri" w:eastAsia="Calibri" w:hAnsi="Calibri"/>
                <w:sz w:val="14"/>
                <w:szCs w:val="14"/>
                <w:color w:val="auto"/>
                <w:w w:val="83"/>
              </w:rPr>
              <w:t>$</w:t>
            </w: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486.0</w:t>
            </w:r>
          </w:p>
        </w:tc>
        <w:tc>
          <w:tcPr>
            <w:tcW w:w="300" w:type="dxa"/>
            <w:vAlign w:val="bottom"/>
          </w:tcPr>
          <w:p>
            <w:pPr>
              <w:jc w:val="right"/>
              <w:ind w:right="149"/>
              <w:spacing w:after="0" w:line="169" w:lineRule="exact"/>
              <w:rPr>
                <w:sz w:val="20"/>
                <w:szCs w:val="20"/>
                <w:color w:val="auto"/>
              </w:rPr>
            </w:pPr>
            <w:r>
              <w:rPr>
                <w:rFonts w:ascii="Calibri" w:cs="Calibri" w:eastAsia="Calibri" w:hAnsi="Calibri"/>
                <w:sz w:val="14"/>
                <w:szCs w:val="14"/>
                <w:color w:val="auto"/>
                <w:w w:val="83"/>
              </w:rPr>
              <w:t>$</w:t>
            </w: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8.7</w:t>
            </w:r>
          </w:p>
        </w:tc>
        <w:tc>
          <w:tcPr>
            <w:tcW w:w="480" w:type="dxa"/>
            <w:vAlign w:val="bottom"/>
          </w:tcPr>
          <w:p>
            <w:pPr>
              <w:jc w:val="right"/>
              <w:ind w:right="30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129"/>
              <w:spacing w:after="0" w:line="169" w:lineRule="exact"/>
              <w:rPr>
                <w:sz w:val="20"/>
                <w:szCs w:val="20"/>
                <w:color w:val="auto"/>
              </w:rPr>
            </w:pPr>
            <w:r>
              <w:rPr>
                <w:rFonts w:ascii="Calibri" w:cs="Calibri" w:eastAsia="Calibri" w:hAnsi="Calibri"/>
                <w:sz w:val="14"/>
                <w:szCs w:val="14"/>
                <w:color w:val="auto"/>
              </w:rPr>
              <w:t>494.7</w:t>
            </w:r>
          </w:p>
        </w:tc>
        <w:tc>
          <w:tcPr>
            <w:tcW w:w="560" w:type="dxa"/>
            <w:vAlign w:val="bottom"/>
          </w:tcPr>
          <w:p>
            <w:pPr>
              <w:jc w:val="right"/>
              <w:ind w:right="269"/>
              <w:spacing w:after="0" w:line="169" w:lineRule="exact"/>
              <w:rPr>
                <w:sz w:val="20"/>
                <w:szCs w:val="20"/>
                <w:color w:val="auto"/>
              </w:rPr>
            </w:pPr>
            <w:r>
              <w:rPr>
                <w:rFonts w:ascii="Calibri" w:cs="Calibri" w:eastAsia="Calibri" w:hAnsi="Calibri"/>
                <w:sz w:val="14"/>
                <w:szCs w:val="14"/>
                <w:color w:val="auto"/>
              </w:rPr>
              <w:t>$</w:t>
            </w:r>
          </w:p>
        </w:tc>
        <w:tc>
          <w:tcPr>
            <w:tcW w:w="920" w:type="dxa"/>
            <w:vAlign w:val="bottom"/>
          </w:tcPr>
          <w:p>
            <w:pPr>
              <w:jc w:val="right"/>
              <w:spacing w:after="0" w:line="169" w:lineRule="exact"/>
              <w:rPr>
                <w:sz w:val="20"/>
                <w:szCs w:val="20"/>
                <w:color w:val="auto"/>
              </w:rPr>
            </w:pPr>
            <w:r>
              <w:rPr>
                <w:rFonts w:ascii="Calibri" w:cs="Calibri" w:eastAsia="Calibri" w:hAnsi="Calibri"/>
                <w:sz w:val="14"/>
                <w:szCs w:val="14"/>
                <w:color w:val="auto"/>
              </w:rPr>
              <w:t>402.0</w:t>
            </w:r>
          </w:p>
        </w:tc>
        <w:tc>
          <w:tcPr>
            <w:tcW w:w="320" w:type="dxa"/>
            <w:vAlign w:val="bottom"/>
          </w:tcPr>
          <w:p>
            <w:pPr>
              <w:jc w:val="right"/>
              <w:ind w:right="169"/>
              <w:spacing w:after="0" w:line="169" w:lineRule="exact"/>
              <w:rPr>
                <w:sz w:val="20"/>
                <w:szCs w:val="20"/>
                <w:color w:val="auto"/>
              </w:rPr>
            </w:pPr>
            <w:r>
              <w:rPr>
                <w:rFonts w:ascii="Calibri" w:cs="Calibri" w:eastAsia="Calibri" w:hAnsi="Calibri"/>
                <w:sz w:val="14"/>
                <w:szCs w:val="14"/>
                <w:color w:val="auto"/>
                <w:w w:val="83"/>
              </w:rPr>
              <w:t>$</w:t>
            </w:r>
          </w:p>
        </w:tc>
        <w:tc>
          <w:tcPr>
            <w:tcW w:w="1040" w:type="dxa"/>
            <w:vAlign w:val="bottom"/>
          </w:tcPr>
          <w:p>
            <w:pPr>
              <w:jc w:val="center"/>
              <w:ind w:left="669"/>
              <w:spacing w:after="0" w:line="169" w:lineRule="exact"/>
              <w:rPr>
                <w:sz w:val="20"/>
                <w:szCs w:val="20"/>
                <w:color w:val="auto"/>
              </w:rPr>
            </w:pPr>
            <w:r>
              <w:rPr>
                <w:rFonts w:ascii="Calibri" w:cs="Calibri" w:eastAsia="Calibri" w:hAnsi="Calibri"/>
                <w:sz w:val="14"/>
                <w:szCs w:val="14"/>
                <w:color w:val="auto"/>
              </w:rPr>
              <w:t>5.9</w:t>
            </w:r>
          </w:p>
        </w:tc>
        <w:tc>
          <w:tcPr>
            <w:tcW w:w="520" w:type="dxa"/>
            <w:vAlign w:val="bottom"/>
          </w:tcPr>
          <w:p>
            <w:pPr>
              <w:jc w:val="right"/>
              <w:ind w:right="369"/>
              <w:spacing w:after="0" w:line="169" w:lineRule="exact"/>
              <w:rPr>
                <w:sz w:val="20"/>
                <w:szCs w:val="20"/>
                <w:color w:val="auto"/>
              </w:rPr>
            </w:pPr>
            <w:r>
              <w:rPr>
                <w:rFonts w:ascii="Calibri" w:cs="Calibri" w:eastAsia="Calibri" w:hAnsi="Calibri"/>
                <w:sz w:val="14"/>
                <w:szCs w:val="14"/>
                <w:color w:val="auto"/>
                <w:w w:val="83"/>
              </w:rPr>
              <w:t>$</w:t>
            </w: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407.9</w:t>
            </w:r>
          </w:p>
        </w:tc>
      </w:tr>
      <w:tr>
        <w:trPr>
          <w:trHeight w:val="58"/>
        </w:trPr>
        <w:tc>
          <w:tcPr>
            <w:tcW w:w="2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32"/>
        </w:trPr>
        <w:tc>
          <w:tcPr>
            <w:tcW w:w="29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Afliated sales</w:t>
            </w:r>
          </w:p>
        </w:tc>
        <w:tc>
          <w:tcPr>
            <w:tcW w:w="26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1.6</w:t>
            </w:r>
          </w:p>
        </w:tc>
        <w:tc>
          <w:tcPr>
            <w:tcW w:w="48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ind w:right="129"/>
              <w:spacing w:after="0" w:line="169" w:lineRule="exact"/>
              <w:rPr>
                <w:sz w:val="20"/>
                <w:szCs w:val="20"/>
                <w:color w:val="auto"/>
              </w:rPr>
            </w:pPr>
            <w:r>
              <w:rPr>
                <w:rFonts w:ascii="Calibri" w:cs="Calibri" w:eastAsia="Calibri" w:hAnsi="Calibri"/>
                <w:sz w:val="14"/>
                <w:szCs w:val="14"/>
                <w:color w:val="auto"/>
              </w:rPr>
              <w:t>1.6</w:t>
            </w:r>
          </w:p>
        </w:tc>
        <w:tc>
          <w:tcPr>
            <w:tcW w:w="560" w:type="dxa"/>
            <w:vAlign w:val="bottom"/>
            <w:tcBorders>
              <w:bottom w:val="single" w:sz="8" w:color="DBDBDB"/>
            </w:tcBorders>
            <w:shd w:val="clear" w:color="auto" w:fill="DBDBDB"/>
          </w:tcPr>
          <w:p>
            <w:pPr>
              <w:spacing w:after="0"/>
              <w:rPr>
                <w:sz w:val="19"/>
                <w:szCs w:val="19"/>
                <w:color w:val="auto"/>
              </w:rPr>
            </w:pPr>
          </w:p>
        </w:tc>
        <w:tc>
          <w:tcPr>
            <w:tcW w:w="9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center"/>
              <w:ind w:left="669"/>
              <w:spacing w:after="0" w:line="169" w:lineRule="exact"/>
              <w:rPr>
                <w:sz w:val="20"/>
                <w:szCs w:val="20"/>
                <w:color w:val="auto"/>
              </w:rPr>
            </w:pPr>
            <w:r>
              <w:rPr>
                <w:rFonts w:ascii="Calibri" w:cs="Calibri" w:eastAsia="Calibri" w:hAnsi="Calibri"/>
                <w:sz w:val="14"/>
                <w:szCs w:val="14"/>
                <w:color w:val="auto"/>
              </w:rPr>
              <w:t>2.2</w:t>
            </w:r>
          </w:p>
        </w:tc>
        <w:tc>
          <w:tcPr>
            <w:tcW w:w="52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2.2</w:t>
            </w:r>
          </w:p>
        </w:tc>
      </w:tr>
      <w:tr>
        <w:trPr>
          <w:trHeight w:val="162"/>
        </w:trPr>
        <w:tc>
          <w:tcPr>
            <w:tcW w:w="290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Total segment sales</w:t>
            </w: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486.0</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10.3</w:t>
            </w:r>
          </w:p>
        </w:tc>
        <w:tc>
          <w:tcPr>
            <w:tcW w:w="4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29"/>
              <w:spacing w:after="0" w:line="162" w:lineRule="exact"/>
              <w:rPr>
                <w:sz w:val="20"/>
                <w:szCs w:val="20"/>
                <w:color w:val="auto"/>
              </w:rPr>
            </w:pPr>
            <w:r>
              <w:rPr>
                <w:rFonts w:ascii="Calibri" w:cs="Calibri" w:eastAsia="Calibri" w:hAnsi="Calibri"/>
                <w:sz w:val="14"/>
                <w:szCs w:val="14"/>
                <w:color w:val="auto"/>
              </w:rPr>
              <w:t>496.3</w:t>
            </w: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402.0</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left="669"/>
              <w:spacing w:after="0" w:line="162" w:lineRule="exact"/>
              <w:rPr>
                <w:sz w:val="20"/>
                <w:szCs w:val="20"/>
                <w:color w:val="auto"/>
              </w:rPr>
            </w:pPr>
            <w:r>
              <w:rPr>
                <w:rFonts w:ascii="Calibri" w:cs="Calibri" w:eastAsia="Calibri" w:hAnsi="Calibri"/>
                <w:sz w:val="14"/>
                <w:szCs w:val="14"/>
                <w:color w:val="auto"/>
              </w:rPr>
              <w:t>8.1</w:t>
            </w:r>
          </w:p>
        </w:tc>
        <w:tc>
          <w:tcPr>
            <w:tcW w:w="5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410.1</w:t>
            </w:r>
          </w:p>
        </w:tc>
      </w:tr>
      <w:tr>
        <w:trPr>
          <w:trHeight w:val="58"/>
        </w:trPr>
        <w:tc>
          <w:tcPr>
            <w:tcW w:w="2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32"/>
        </w:trPr>
        <w:tc>
          <w:tcPr>
            <w:tcW w:w="290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Intercompany eliminatons</w:t>
            </w:r>
          </w:p>
        </w:tc>
        <w:tc>
          <w:tcPr>
            <w:tcW w:w="26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(1.6)</w:t>
            </w:r>
          </w:p>
        </w:tc>
        <w:tc>
          <w:tcPr>
            <w:tcW w:w="480" w:type="dxa"/>
            <w:vAlign w:val="bottom"/>
            <w:tcBorders>
              <w:bottom w:val="single" w:sz="8" w:color="DBDBDB"/>
            </w:tcBorders>
            <w:shd w:val="clear" w:color="auto" w:fill="DBDBDB"/>
          </w:tcPr>
          <w:p>
            <w:pPr>
              <w:spacing w:after="0"/>
              <w:rPr>
                <w:sz w:val="19"/>
                <w:szCs w:val="19"/>
                <w:color w:val="auto"/>
              </w:rPr>
            </w:pPr>
          </w:p>
        </w:tc>
        <w:tc>
          <w:tcPr>
            <w:tcW w:w="1000" w:type="dxa"/>
            <w:vAlign w:val="bottom"/>
            <w:tcBorders>
              <w:bottom w:val="single" w:sz="8" w:color="DBDBDB"/>
            </w:tcBorders>
            <w:shd w:val="clear" w:color="auto" w:fill="DBDBDB"/>
          </w:tcPr>
          <w:p>
            <w:pPr>
              <w:jc w:val="right"/>
              <w:ind w:right="89"/>
              <w:spacing w:after="0" w:line="169" w:lineRule="exact"/>
              <w:rPr>
                <w:sz w:val="20"/>
                <w:szCs w:val="20"/>
                <w:color w:val="auto"/>
              </w:rPr>
            </w:pPr>
            <w:r>
              <w:rPr>
                <w:rFonts w:ascii="Calibri" w:cs="Calibri" w:eastAsia="Calibri" w:hAnsi="Calibri"/>
                <w:sz w:val="14"/>
                <w:szCs w:val="14"/>
                <w:color w:val="auto"/>
              </w:rPr>
              <w:t>(1.6)</w:t>
            </w:r>
          </w:p>
        </w:tc>
        <w:tc>
          <w:tcPr>
            <w:tcW w:w="560" w:type="dxa"/>
            <w:vAlign w:val="bottom"/>
            <w:tcBorders>
              <w:bottom w:val="single" w:sz="8" w:color="DBDBDB"/>
            </w:tcBorders>
            <w:shd w:val="clear" w:color="auto" w:fill="DBDBDB"/>
          </w:tcPr>
          <w:p>
            <w:pPr>
              <w:spacing w:after="0"/>
              <w:rPr>
                <w:sz w:val="19"/>
                <w:szCs w:val="19"/>
                <w:color w:val="auto"/>
              </w:rPr>
            </w:pPr>
          </w:p>
        </w:tc>
        <w:tc>
          <w:tcPr>
            <w:tcW w:w="9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center"/>
              <w:ind w:left="629"/>
              <w:spacing w:after="0" w:line="169" w:lineRule="exact"/>
              <w:rPr>
                <w:sz w:val="20"/>
                <w:szCs w:val="20"/>
                <w:color w:val="auto"/>
              </w:rPr>
            </w:pPr>
            <w:r>
              <w:rPr>
                <w:rFonts w:ascii="Calibri" w:cs="Calibri" w:eastAsia="Calibri" w:hAnsi="Calibri"/>
                <w:sz w:val="14"/>
                <w:szCs w:val="14"/>
                <w:color w:val="auto"/>
                <w:w w:val="99"/>
              </w:rPr>
              <w:t>(2.2)</w:t>
            </w:r>
          </w:p>
        </w:tc>
        <w:tc>
          <w:tcPr>
            <w:tcW w:w="52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(2.2)</w:t>
            </w:r>
          </w:p>
        </w:tc>
      </w:tr>
      <w:tr>
        <w:trPr>
          <w:trHeight w:val="162"/>
        </w:trPr>
        <w:tc>
          <w:tcPr>
            <w:tcW w:w="290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Total net sales</w:t>
            </w:r>
          </w:p>
        </w:tc>
        <w:tc>
          <w:tcPr>
            <w:tcW w:w="260" w:type="dxa"/>
            <w:vAlign w:val="bottom"/>
            <w:tcBorders>
              <w:top w:val="single" w:sz="8" w:color="auto"/>
            </w:tcBorders>
          </w:tcPr>
          <w:p>
            <w:pPr>
              <w:jc w:val="right"/>
              <w:ind w:right="109"/>
              <w:spacing w:after="0" w:line="162" w:lineRule="exact"/>
              <w:rPr>
                <w:sz w:val="20"/>
                <w:szCs w:val="20"/>
                <w:color w:val="auto"/>
              </w:rPr>
            </w:pPr>
            <w:r>
              <w:rPr>
                <w:rFonts w:ascii="Calibri" w:cs="Calibri" w:eastAsia="Calibri" w:hAnsi="Calibri"/>
                <w:sz w:val="14"/>
                <w:szCs w:val="14"/>
                <w:color w:val="auto"/>
                <w:w w:val="83"/>
              </w:rPr>
              <w:t>$</w:t>
            </w:r>
          </w:p>
        </w:tc>
        <w:tc>
          <w:tcPr>
            <w:tcW w:w="108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486.0</w:t>
            </w:r>
          </w:p>
        </w:tc>
        <w:tc>
          <w:tcPr>
            <w:tcW w:w="300" w:type="dxa"/>
            <w:vAlign w:val="bottom"/>
            <w:tcBorders>
              <w:top w:val="single" w:sz="8" w:color="auto"/>
            </w:tcBorders>
          </w:tcPr>
          <w:p>
            <w:pPr>
              <w:jc w:val="right"/>
              <w:ind w:right="14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8.7</w:t>
            </w:r>
          </w:p>
        </w:tc>
        <w:tc>
          <w:tcPr>
            <w:tcW w:w="480" w:type="dxa"/>
            <w:vAlign w:val="bottom"/>
            <w:tcBorders>
              <w:top w:val="single" w:sz="8" w:color="auto"/>
            </w:tcBorders>
          </w:tcPr>
          <w:p>
            <w:pPr>
              <w:jc w:val="right"/>
              <w:ind w:right="30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Borders>
              <w:top w:val="single" w:sz="8" w:color="auto"/>
            </w:tcBorders>
          </w:tcPr>
          <w:p>
            <w:pPr>
              <w:jc w:val="right"/>
              <w:ind w:right="129"/>
              <w:spacing w:after="0" w:line="162" w:lineRule="exact"/>
              <w:rPr>
                <w:sz w:val="20"/>
                <w:szCs w:val="20"/>
                <w:color w:val="auto"/>
              </w:rPr>
            </w:pPr>
            <w:r>
              <w:rPr>
                <w:rFonts w:ascii="Calibri" w:cs="Calibri" w:eastAsia="Calibri" w:hAnsi="Calibri"/>
                <w:sz w:val="14"/>
                <w:szCs w:val="14"/>
                <w:color w:val="auto"/>
              </w:rPr>
              <w:t>494.7</w:t>
            </w:r>
          </w:p>
        </w:tc>
        <w:tc>
          <w:tcPr>
            <w:tcW w:w="560" w:type="dxa"/>
            <w:vAlign w:val="bottom"/>
            <w:tcBorders>
              <w:top w:val="single" w:sz="8" w:color="auto"/>
            </w:tcBorders>
          </w:tcPr>
          <w:p>
            <w:pPr>
              <w:jc w:val="right"/>
              <w:ind w:right="269"/>
              <w:spacing w:after="0" w:line="162" w:lineRule="exact"/>
              <w:rPr>
                <w:sz w:val="20"/>
                <w:szCs w:val="20"/>
                <w:color w:val="auto"/>
              </w:rPr>
            </w:pPr>
            <w:r>
              <w:rPr>
                <w:rFonts w:ascii="Calibri" w:cs="Calibri" w:eastAsia="Calibri" w:hAnsi="Calibri"/>
                <w:sz w:val="14"/>
                <w:szCs w:val="14"/>
                <w:color w:val="auto"/>
              </w:rPr>
              <w:t>$</w:t>
            </w:r>
          </w:p>
        </w:tc>
        <w:tc>
          <w:tcPr>
            <w:tcW w:w="9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402.0</w:t>
            </w:r>
          </w:p>
        </w:tc>
        <w:tc>
          <w:tcPr>
            <w:tcW w:w="320" w:type="dxa"/>
            <w:vAlign w:val="bottom"/>
            <w:tcBorders>
              <w:top w:val="single" w:sz="8" w:color="auto"/>
            </w:tcBorders>
          </w:tcPr>
          <w:p>
            <w:pPr>
              <w:jc w:val="right"/>
              <w:ind w:right="16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top w:val="single" w:sz="8" w:color="auto"/>
            </w:tcBorders>
          </w:tcPr>
          <w:p>
            <w:pPr>
              <w:jc w:val="center"/>
              <w:ind w:left="669"/>
              <w:spacing w:after="0" w:line="162" w:lineRule="exact"/>
              <w:rPr>
                <w:sz w:val="20"/>
                <w:szCs w:val="20"/>
                <w:color w:val="auto"/>
              </w:rPr>
            </w:pPr>
            <w:r>
              <w:rPr>
                <w:rFonts w:ascii="Calibri" w:cs="Calibri" w:eastAsia="Calibri" w:hAnsi="Calibri"/>
                <w:sz w:val="14"/>
                <w:szCs w:val="14"/>
                <w:color w:val="auto"/>
              </w:rPr>
              <w:t>5.9</w:t>
            </w:r>
          </w:p>
        </w:tc>
        <w:tc>
          <w:tcPr>
            <w:tcW w:w="520" w:type="dxa"/>
            <w:vAlign w:val="bottom"/>
            <w:tcBorders>
              <w:top w:val="single" w:sz="8" w:color="auto"/>
            </w:tcBorders>
          </w:tcPr>
          <w:p>
            <w:pPr>
              <w:jc w:val="right"/>
              <w:ind w:right="369"/>
              <w:spacing w:after="0" w:line="162" w:lineRule="exact"/>
              <w:rPr>
                <w:sz w:val="20"/>
                <w:szCs w:val="20"/>
                <w:color w:val="auto"/>
              </w:rPr>
            </w:pPr>
            <w:r>
              <w:rPr>
                <w:rFonts w:ascii="Calibri" w:cs="Calibri" w:eastAsia="Calibri" w:hAnsi="Calibri"/>
                <w:sz w:val="14"/>
                <w:szCs w:val="14"/>
                <w:color w:val="auto"/>
                <w:w w:val="83"/>
              </w:rPr>
              <w:t>$</w:t>
            </w:r>
          </w:p>
        </w:tc>
        <w:tc>
          <w:tcPr>
            <w:tcW w:w="8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407.9</w:t>
            </w:r>
          </w:p>
        </w:tc>
      </w:tr>
      <w:tr>
        <w:trPr>
          <w:trHeight w:val="58"/>
        </w:trPr>
        <w:tc>
          <w:tcPr>
            <w:tcW w:w="29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-899795</wp:posOffset>
            </wp:positionV>
            <wp:extent cx="52990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9907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-2045970</wp:posOffset>
            </wp:positionV>
            <wp:extent cx="52990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9907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-2309495</wp:posOffset>
            </wp:positionV>
            <wp:extent cx="52990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9907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Adjusted EBITDA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shd w:val="clear" w:color="auto" w:fill="43C0B9"/>
          </w:tcPr>
          <w:p>
            <w:pPr>
              <w:spacing w:after="0"/>
              <w:rPr>
                <w:sz w:val="15"/>
                <w:szCs w:val="15"/>
                <w:color w:val="auto"/>
              </w:rPr>
            </w:pPr>
          </w:p>
        </w:tc>
        <w:tc>
          <w:tcPr>
            <w:tcW w:w="560" w:type="dxa"/>
            <w:vAlign w:val="bottom"/>
            <w:shd w:val="clear" w:color="auto" w:fill="43C0B9"/>
          </w:tcPr>
          <w:p>
            <w:pPr>
              <w:spacing w:after="0"/>
              <w:rPr>
                <w:sz w:val="15"/>
                <w:szCs w:val="15"/>
                <w:color w:val="auto"/>
              </w:rPr>
            </w:pPr>
          </w:p>
        </w:tc>
        <w:tc>
          <w:tcPr>
            <w:tcW w:w="1960" w:type="dxa"/>
            <w:vAlign w:val="bottom"/>
            <w:gridSpan w:val="2"/>
            <w:shd w:val="clear" w:color="auto" w:fill="43C0B9"/>
          </w:tcPr>
          <w:p>
            <w:pPr>
              <w:jc w:val="right"/>
              <w:ind w:right="209"/>
              <w:spacing w:after="0"/>
              <w:rPr>
                <w:sz w:val="20"/>
                <w:szCs w:val="20"/>
                <w:color w:val="auto"/>
              </w:rPr>
            </w:pPr>
            <w:r>
              <w:rPr>
                <w:rFonts w:ascii="Calibri" w:cs="Calibri" w:eastAsia="Calibri" w:hAnsi="Calibri"/>
                <w:sz w:val="14"/>
                <w:szCs w:val="14"/>
                <w:b w:val="1"/>
                <w:bCs w:val="1"/>
                <w:color w:val="FFFFFF"/>
              </w:rPr>
              <w:t>Three Months Ended</w:t>
            </w:r>
          </w:p>
        </w:tc>
        <w:tc>
          <w:tcPr>
            <w:tcW w:w="760" w:type="dxa"/>
            <w:vAlign w:val="bottom"/>
            <w:shd w:val="clear" w:color="auto" w:fill="43C0B9"/>
          </w:tcPr>
          <w:p>
            <w:pPr>
              <w:spacing w:after="0"/>
              <w:rPr>
                <w:sz w:val="15"/>
                <w:szCs w:val="15"/>
                <w:color w:val="auto"/>
              </w:rPr>
            </w:pPr>
          </w:p>
        </w:tc>
        <w:tc>
          <w:tcPr>
            <w:tcW w:w="680" w:type="dxa"/>
            <w:vAlign w:val="bottom"/>
            <w:shd w:val="clear" w:color="auto" w:fill="43C0B9"/>
          </w:tcPr>
          <w:p>
            <w:pPr>
              <w:spacing w:after="0"/>
              <w:rPr>
                <w:sz w:val="15"/>
                <w:szCs w:val="15"/>
                <w:color w:val="auto"/>
              </w:rPr>
            </w:pPr>
          </w:p>
        </w:tc>
        <w:tc>
          <w:tcPr>
            <w:tcW w:w="1900" w:type="dxa"/>
            <w:vAlign w:val="bottom"/>
            <w:gridSpan w:val="2"/>
            <w:shd w:val="clear" w:color="auto" w:fill="43C0B9"/>
          </w:tcPr>
          <w:p>
            <w:pPr>
              <w:jc w:val="right"/>
              <w:ind w:right="269"/>
              <w:spacing w:after="0"/>
              <w:rPr>
                <w:sz w:val="20"/>
                <w:szCs w:val="20"/>
                <w:color w:val="auto"/>
              </w:rPr>
            </w:pPr>
            <w:r>
              <w:rPr>
                <w:rFonts w:ascii="Calibri" w:cs="Calibri" w:eastAsia="Calibri" w:hAnsi="Calibri"/>
                <w:sz w:val="14"/>
                <w:szCs w:val="14"/>
                <w:b w:val="1"/>
                <w:bCs w:val="1"/>
                <w:color w:val="FFFFFF"/>
              </w:rPr>
              <w:t>Six Months Ended</w:t>
            </w:r>
          </w:p>
        </w:tc>
        <w:tc>
          <w:tcPr>
            <w:tcW w:w="740" w:type="dxa"/>
            <w:vAlign w:val="bottom"/>
            <w:shd w:val="clear" w:color="auto" w:fill="43C0B9"/>
          </w:tcPr>
          <w:p>
            <w:pPr>
              <w:spacing w:after="0"/>
              <w:rPr>
                <w:sz w:val="15"/>
                <w:szCs w:val="15"/>
                <w:color w:val="auto"/>
              </w:rPr>
            </w:pPr>
          </w:p>
        </w:tc>
      </w:tr>
      <w:tr>
        <w:trPr>
          <w:trHeight w:val="169"/>
        </w:trPr>
        <w:tc>
          <w:tcPr>
            <w:tcW w:w="46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1960" w:type="dxa"/>
            <w:vAlign w:val="bottom"/>
            <w:gridSpan w:val="2"/>
            <w:shd w:val="clear" w:color="auto" w:fill="43C0B9"/>
          </w:tcPr>
          <w:p>
            <w:pPr>
              <w:jc w:val="right"/>
              <w:ind w:right="589"/>
              <w:spacing w:after="0" w:line="169" w:lineRule="exact"/>
              <w:rPr>
                <w:sz w:val="20"/>
                <w:szCs w:val="20"/>
                <w:color w:val="auto"/>
              </w:rPr>
            </w:pPr>
            <w:r>
              <w:rPr>
                <w:rFonts w:ascii="Calibri" w:cs="Calibri" w:eastAsia="Calibri" w:hAnsi="Calibri"/>
                <w:sz w:val="14"/>
                <w:szCs w:val="14"/>
                <w:b w:val="1"/>
                <w:bCs w:val="1"/>
                <w:color w:val="FFFFFF"/>
              </w:rPr>
              <w:t>April 30,</w:t>
            </w:r>
          </w:p>
        </w:tc>
        <w:tc>
          <w:tcPr>
            <w:tcW w:w="760" w:type="dxa"/>
            <w:vAlign w:val="bottom"/>
            <w:shd w:val="clear" w:color="auto" w:fill="43C0B9"/>
          </w:tcPr>
          <w:p>
            <w:pPr>
              <w:spacing w:after="0"/>
              <w:rPr>
                <w:sz w:val="14"/>
                <w:szCs w:val="14"/>
                <w:color w:val="auto"/>
              </w:rPr>
            </w:pPr>
          </w:p>
        </w:tc>
        <w:tc>
          <w:tcPr>
            <w:tcW w:w="680" w:type="dxa"/>
            <w:vAlign w:val="bottom"/>
            <w:shd w:val="clear" w:color="auto" w:fill="43C0B9"/>
          </w:tcPr>
          <w:p>
            <w:pPr>
              <w:spacing w:after="0"/>
              <w:rPr>
                <w:sz w:val="14"/>
                <w:szCs w:val="14"/>
                <w:color w:val="auto"/>
              </w:rPr>
            </w:pPr>
          </w:p>
        </w:tc>
        <w:tc>
          <w:tcPr>
            <w:tcW w:w="1900" w:type="dxa"/>
            <w:vAlign w:val="bottom"/>
            <w:gridSpan w:val="2"/>
            <w:shd w:val="clear" w:color="auto" w:fill="43C0B9"/>
          </w:tcPr>
          <w:p>
            <w:pPr>
              <w:jc w:val="right"/>
              <w:ind w:right="549"/>
              <w:spacing w:after="0" w:line="169" w:lineRule="exact"/>
              <w:rPr>
                <w:sz w:val="20"/>
                <w:szCs w:val="20"/>
                <w:color w:val="auto"/>
              </w:rPr>
            </w:pPr>
            <w:r>
              <w:rPr>
                <w:rFonts w:ascii="Calibri" w:cs="Calibri" w:eastAsia="Calibri" w:hAnsi="Calibri"/>
                <w:sz w:val="14"/>
                <w:szCs w:val="14"/>
                <w:b w:val="1"/>
                <w:bCs w:val="1"/>
                <w:color w:val="FFFFFF"/>
              </w:rPr>
              <w:t>April 30,</w:t>
            </w:r>
          </w:p>
        </w:tc>
        <w:tc>
          <w:tcPr>
            <w:tcW w:w="740" w:type="dxa"/>
            <w:vAlign w:val="bottom"/>
            <w:shd w:val="clear" w:color="auto" w:fill="43C0B9"/>
          </w:tcPr>
          <w:p>
            <w:pPr>
              <w:spacing w:after="0"/>
              <w:rPr>
                <w:sz w:val="14"/>
                <w:szCs w:val="14"/>
                <w:color w:val="auto"/>
              </w:rPr>
            </w:pPr>
          </w:p>
        </w:tc>
      </w:tr>
      <w:tr>
        <w:trPr>
          <w:trHeight w:val="280"/>
        </w:trPr>
        <w:tc>
          <w:tcPr>
            <w:tcW w:w="46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56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920" w:type="dxa"/>
            <w:vAlign w:val="bottom"/>
            <w:tcBorders>
              <w:bottom w:val="single" w:sz="8" w:color="43C0B9"/>
            </w:tcBorders>
            <w:shd w:val="clear" w:color="auto" w:fill="43C0B9"/>
          </w:tcPr>
          <w:p>
            <w:pPr>
              <w:spacing w:after="0"/>
              <w:rPr>
                <w:sz w:val="24"/>
                <w:szCs w:val="24"/>
                <w:color w:val="auto"/>
              </w:rPr>
            </w:pPr>
          </w:p>
        </w:tc>
        <w:tc>
          <w:tcPr>
            <w:tcW w:w="760" w:type="dxa"/>
            <w:vAlign w:val="bottom"/>
            <w:tcBorders>
              <w:bottom w:val="single" w:sz="8" w:color="43C0B9"/>
            </w:tcBorders>
            <w:shd w:val="clear" w:color="auto" w:fill="43C0B9"/>
          </w:tcPr>
          <w:p>
            <w:pPr>
              <w:jc w:val="right"/>
              <w:ind w:right="109"/>
              <w:spacing w:after="0"/>
              <w:rPr>
                <w:sz w:val="20"/>
                <w:szCs w:val="20"/>
                <w:color w:val="auto"/>
              </w:rPr>
            </w:pPr>
            <w:r>
              <w:rPr>
                <w:rFonts w:ascii="Calibri" w:cs="Calibri" w:eastAsia="Calibri" w:hAnsi="Calibri"/>
                <w:sz w:val="14"/>
                <w:szCs w:val="14"/>
                <w:b w:val="1"/>
                <w:bCs w:val="1"/>
                <w:color w:val="FFFFFF"/>
              </w:rPr>
              <w:t>2021</w:t>
            </w:r>
          </w:p>
        </w:tc>
        <w:tc>
          <w:tcPr>
            <w:tcW w:w="680" w:type="dxa"/>
            <w:vAlign w:val="bottom"/>
            <w:tcBorders>
              <w:bottom w:val="single" w:sz="8" w:color="43C0B9"/>
            </w:tcBorders>
            <w:shd w:val="clear" w:color="auto" w:fill="43C0B9"/>
          </w:tcPr>
          <w:p>
            <w:pPr>
              <w:spacing w:after="0"/>
              <w:rPr>
                <w:sz w:val="24"/>
                <w:szCs w:val="24"/>
                <w:color w:val="auto"/>
              </w:rPr>
            </w:pPr>
          </w:p>
        </w:tc>
        <w:tc>
          <w:tcPr>
            <w:tcW w:w="1020" w:type="dxa"/>
            <w:vAlign w:val="bottom"/>
            <w:tcBorders>
              <w:bottom w:val="single" w:sz="8" w:color="43C0B9"/>
            </w:tcBorders>
            <w:shd w:val="clear" w:color="auto" w:fill="43C0B9"/>
          </w:tcPr>
          <w:p>
            <w:pPr>
              <w:jc w:val="right"/>
              <w:ind w:right="89"/>
              <w:spacing w:after="0"/>
              <w:rPr>
                <w:sz w:val="20"/>
                <w:szCs w:val="20"/>
                <w:color w:val="auto"/>
              </w:rPr>
            </w:pPr>
            <w:r>
              <w:rPr>
                <w:rFonts w:ascii="Calibri" w:cs="Calibri" w:eastAsia="Calibri" w:hAnsi="Calibri"/>
                <w:sz w:val="14"/>
                <w:szCs w:val="14"/>
                <w:b w:val="1"/>
                <w:bCs w:val="1"/>
                <w:color w:val="FFFFFF"/>
              </w:rPr>
              <w:t>2022</w:t>
            </w:r>
          </w:p>
        </w:tc>
        <w:tc>
          <w:tcPr>
            <w:tcW w:w="880" w:type="dxa"/>
            <w:vAlign w:val="bottom"/>
            <w:tcBorders>
              <w:bottom w:val="single" w:sz="8" w:color="43C0B9"/>
            </w:tcBorders>
            <w:shd w:val="clear" w:color="auto" w:fill="43C0B9"/>
          </w:tcPr>
          <w:p>
            <w:pPr>
              <w:spacing w:after="0"/>
              <w:rPr>
                <w:sz w:val="24"/>
                <w:szCs w:val="24"/>
                <w:color w:val="auto"/>
              </w:rPr>
            </w:pPr>
          </w:p>
        </w:tc>
        <w:tc>
          <w:tcPr>
            <w:tcW w:w="74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Marketng and Distributon adjusted EBITDA</w:t>
            </w:r>
          </w:p>
        </w:tc>
        <w:tc>
          <w:tcPr>
            <w:tcW w:w="560" w:type="dxa"/>
            <w:vAlign w:val="bottom"/>
            <w:tcBorders>
              <w:bottom w:val="single" w:sz="8" w:color="DBDBDB"/>
            </w:tcBorders>
            <w:shd w:val="clear" w:color="auto" w:fill="DBDBDB"/>
          </w:tcPr>
          <w:p>
            <w:pPr>
              <w:jc w:val="right"/>
              <w:ind w:right="38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11.7</w:t>
            </w:r>
          </w:p>
        </w:tc>
        <w:tc>
          <w:tcPr>
            <w:tcW w:w="920" w:type="dxa"/>
            <w:vAlign w:val="bottom"/>
            <w:tcBorders>
              <w:bottom w:val="single" w:sz="8" w:color="DBDBDB"/>
            </w:tcBorders>
            <w:shd w:val="clear" w:color="auto" w:fill="DBDBDB"/>
          </w:tcPr>
          <w:p>
            <w:pPr>
              <w:jc w:val="right"/>
              <w:ind w:right="70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16.2</w:t>
            </w:r>
          </w:p>
        </w:tc>
        <w:tc>
          <w:tcPr>
            <w:tcW w:w="680" w:type="dxa"/>
            <w:vAlign w:val="bottom"/>
            <w:tcBorders>
              <w:bottom w:val="single" w:sz="8" w:color="DBDBDB"/>
            </w:tcBorders>
            <w:shd w:val="clear" w:color="auto" w:fill="DBDBDB"/>
          </w:tcPr>
          <w:p>
            <w:pPr>
              <w:jc w:val="right"/>
              <w:ind w:right="42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4.0</w:t>
            </w:r>
          </w:p>
        </w:tc>
        <w:tc>
          <w:tcPr>
            <w:tcW w:w="880" w:type="dxa"/>
            <w:vAlign w:val="bottom"/>
            <w:tcBorders>
              <w:bottom w:val="single" w:sz="8" w:color="DBDBDB"/>
            </w:tcBorders>
            <w:shd w:val="clear" w:color="auto" w:fill="DBDBDB"/>
          </w:tcPr>
          <w:p>
            <w:pPr>
              <w:jc w:val="right"/>
              <w:ind w:right="669"/>
              <w:spacing w:after="0" w:line="169"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29.9</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Internatonal Farming adjusted EBITDA</w:t>
            </w:r>
          </w:p>
        </w:tc>
        <w:tc>
          <w:tcPr>
            <w:tcW w:w="5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(2.5)</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0.1</w:t>
            </w:r>
          </w:p>
        </w:tc>
        <w:tc>
          <w:tcPr>
            <w:tcW w:w="6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(5.2)</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(1.1)</w:t>
            </w:r>
          </w:p>
        </w:tc>
      </w:tr>
      <w:tr>
        <w:trPr>
          <w:trHeight w:val="58"/>
        </w:trPr>
        <w:tc>
          <w:tcPr>
            <w:tcW w:w="46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26"/>
        </w:trPr>
        <w:tc>
          <w:tcPr>
            <w:tcW w:w="46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Total reportable segment adjusted EBITDA</w:t>
            </w:r>
          </w:p>
        </w:tc>
        <w:tc>
          <w:tcPr>
            <w:tcW w:w="56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ind w:right="9"/>
              <w:spacing w:after="0" w:line="162" w:lineRule="exact"/>
              <w:rPr>
                <w:sz w:val="20"/>
                <w:szCs w:val="20"/>
                <w:color w:val="auto"/>
              </w:rPr>
            </w:pPr>
            <w:r>
              <w:rPr>
                <w:rFonts w:ascii="Calibri" w:cs="Calibri" w:eastAsia="Calibri" w:hAnsi="Calibri"/>
                <w:sz w:val="14"/>
                <w:szCs w:val="14"/>
                <w:color w:val="auto"/>
              </w:rPr>
              <w:t>9.2</w:t>
            </w:r>
          </w:p>
        </w:tc>
        <w:tc>
          <w:tcPr>
            <w:tcW w:w="9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16.3</w:t>
            </w:r>
          </w:p>
        </w:tc>
        <w:tc>
          <w:tcPr>
            <w:tcW w:w="6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(1.2)</w:t>
            </w:r>
          </w:p>
        </w:tc>
        <w:tc>
          <w:tcPr>
            <w:tcW w:w="88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28.8</w:t>
            </w:r>
          </w:p>
        </w:tc>
      </w:tr>
      <w:tr>
        <w:trPr>
          <w:trHeight w:val="162"/>
        </w:trPr>
        <w:tc>
          <w:tcPr>
            <w:tcW w:w="464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Net income (loss)</w:t>
            </w:r>
          </w:p>
        </w:tc>
        <w:tc>
          <w:tcPr>
            <w:tcW w:w="5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9"/>
              <w:spacing w:after="0" w:line="162" w:lineRule="exact"/>
              <w:rPr>
                <w:sz w:val="20"/>
                <w:szCs w:val="20"/>
                <w:color w:val="auto"/>
              </w:rPr>
            </w:pPr>
            <w:r>
              <w:rPr>
                <w:rFonts w:ascii="Calibri" w:cs="Calibri" w:eastAsia="Calibri" w:hAnsi="Calibri"/>
                <w:sz w:val="14"/>
                <w:szCs w:val="14"/>
                <w:color w:val="auto"/>
              </w:rPr>
              <w:t>2.4</w:t>
            </w:r>
          </w:p>
        </w:tc>
        <w:tc>
          <w:tcPr>
            <w:tcW w:w="9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7.4</w:t>
            </w:r>
          </w:p>
        </w:tc>
        <w:tc>
          <w:tcPr>
            <w:tcW w:w="6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(11.0)</w:t>
            </w:r>
          </w:p>
        </w:tc>
        <w:tc>
          <w:tcPr>
            <w:tcW w:w="8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9.6</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Interest expense</w:t>
            </w:r>
          </w:p>
        </w:tc>
        <w:tc>
          <w:tcPr>
            <w:tcW w:w="5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1.1</w:t>
            </w:r>
          </w:p>
        </w:tc>
        <w:tc>
          <w:tcPr>
            <w:tcW w:w="9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0.8</w:t>
            </w:r>
          </w:p>
        </w:tc>
        <w:tc>
          <w:tcPr>
            <w:tcW w:w="6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2.0</w:t>
            </w: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1.7</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Provision (beneft) for income taxes</w:t>
            </w:r>
          </w:p>
        </w:tc>
        <w:tc>
          <w:tcPr>
            <w:tcW w:w="560" w:type="dxa"/>
            <w:vAlign w:val="bottom"/>
          </w:tcPr>
          <w:p>
            <w:pPr>
              <w:spacing w:after="0"/>
              <w:rPr>
                <w:sz w:val="14"/>
                <w:szCs w:val="14"/>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0.8</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2.1</w:t>
            </w:r>
          </w:p>
        </w:tc>
        <w:tc>
          <w:tcPr>
            <w:tcW w:w="6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(1.7)</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9.4</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Depreciaton and amortzaton</w:t>
            </w:r>
          </w:p>
        </w:tc>
        <w:tc>
          <w:tcPr>
            <w:tcW w:w="5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5.6</w:t>
            </w:r>
          </w:p>
        </w:tc>
        <w:tc>
          <w:tcPr>
            <w:tcW w:w="9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4.0</w:t>
            </w:r>
          </w:p>
        </w:tc>
        <w:tc>
          <w:tcPr>
            <w:tcW w:w="6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10.1</w:t>
            </w: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7.6</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Equity method (income) loss</w:t>
            </w:r>
          </w:p>
        </w:tc>
        <w:tc>
          <w:tcPr>
            <w:tcW w:w="5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(0.3)</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0.2</w:t>
            </w:r>
          </w:p>
        </w:tc>
        <w:tc>
          <w:tcPr>
            <w:tcW w:w="6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(1.9)</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(2.1)</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Stock-based compensaton</w:t>
            </w:r>
          </w:p>
        </w:tc>
        <w:tc>
          <w:tcPr>
            <w:tcW w:w="5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0.9</w:t>
            </w:r>
          </w:p>
        </w:tc>
        <w:tc>
          <w:tcPr>
            <w:tcW w:w="9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0.7</w:t>
            </w:r>
          </w:p>
        </w:tc>
        <w:tc>
          <w:tcPr>
            <w:tcW w:w="6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1.7</w:t>
            </w: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Legal setlement</w:t>
            </w:r>
          </w:p>
        </w:tc>
        <w:tc>
          <w:tcPr>
            <w:tcW w:w="560" w:type="dxa"/>
            <w:vAlign w:val="bottom"/>
          </w:tcPr>
          <w:p>
            <w:pPr>
              <w:spacing w:after="0"/>
              <w:rPr>
                <w:sz w:val="14"/>
                <w:szCs w:val="14"/>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0.8</w:t>
            </w:r>
          </w:p>
        </w:tc>
        <w:tc>
          <w:tcPr>
            <w:tcW w:w="680" w:type="dxa"/>
            <w:vAlign w:val="bottom"/>
          </w:tcPr>
          <w:p>
            <w:pPr>
              <w:spacing w:after="0"/>
              <w:rPr>
                <w:sz w:val="14"/>
                <w:szCs w:val="14"/>
                <w:color w:val="auto"/>
              </w:rPr>
            </w:pPr>
          </w:p>
        </w:tc>
        <w:tc>
          <w:tcPr>
            <w:tcW w:w="10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0.8</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Asset impairment and disposals, net of insurance recoveries</w:t>
            </w:r>
          </w:p>
        </w:tc>
        <w:tc>
          <w:tcPr>
            <w:tcW w:w="5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(0.1)</w:t>
            </w:r>
          </w:p>
        </w:tc>
        <w:tc>
          <w:tcPr>
            <w:tcW w:w="9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Farming costs for nonproductve orchards</w:t>
            </w:r>
          </w:p>
        </w:tc>
        <w:tc>
          <w:tcPr>
            <w:tcW w:w="560" w:type="dxa"/>
            <w:vAlign w:val="bottom"/>
          </w:tcPr>
          <w:p>
            <w:pPr>
              <w:spacing w:after="0"/>
              <w:rPr>
                <w:sz w:val="14"/>
                <w:szCs w:val="14"/>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0.3</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Pr>
          <w:p>
            <w:pPr>
              <w:spacing w:after="0"/>
              <w:rPr>
                <w:sz w:val="14"/>
                <w:szCs w:val="14"/>
                <w:color w:val="auto"/>
              </w:rPr>
            </w:pPr>
          </w:p>
        </w:tc>
        <w:tc>
          <w:tcPr>
            <w:tcW w:w="10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0.8</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7"/>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Noncapitalizable ERP implementaton costs</w:t>
            </w:r>
          </w:p>
        </w:tc>
        <w:tc>
          <w:tcPr>
            <w:tcW w:w="5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9"/>
              <w:spacing w:after="0" w:line="169" w:lineRule="exact"/>
              <w:rPr>
                <w:sz w:val="20"/>
                <w:szCs w:val="20"/>
                <w:color w:val="auto"/>
              </w:rPr>
            </w:pPr>
            <w:r>
              <w:rPr>
                <w:rFonts w:ascii="Calibri" w:cs="Calibri" w:eastAsia="Calibri" w:hAnsi="Calibri"/>
                <w:sz w:val="14"/>
                <w:szCs w:val="14"/>
                <w:color w:val="auto"/>
              </w:rPr>
              <w:t>1.3</w:t>
            </w:r>
          </w:p>
        </w:tc>
        <w:tc>
          <w:tcPr>
            <w:tcW w:w="9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2.8</w:t>
            </w:r>
          </w:p>
        </w:tc>
        <w:tc>
          <w:tcPr>
            <w:tcW w:w="8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4640" w:type="dxa"/>
            <w:vAlign w:val="bottom"/>
          </w:tcPr>
          <w:p>
            <w:pPr>
              <w:ind w:left="20"/>
              <w:spacing w:after="0" w:line="169" w:lineRule="exact"/>
              <w:rPr>
                <w:sz w:val="20"/>
                <w:szCs w:val="20"/>
                <w:color w:val="auto"/>
              </w:rPr>
            </w:pPr>
            <w:r>
              <w:rPr>
                <w:rFonts w:ascii="Calibri" w:cs="Calibri" w:eastAsia="Calibri" w:hAnsi="Calibri"/>
                <w:sz w:val="14"/>
                <w:szCs w:val="14"/>
                <w:color w:val="auto"/>
              </w:rPr>
              <w:t>Transacton costs</w:t>
            </w:r>
          </w:p>
        </w:tc>
        <w:tc>
          <w:tcPr>
            <w:tcW w:w="560" w:type="dxa"/>
            <w:vAlign w:val="bottom"/>
          </w:tcPr>
          <w:p>
            <w:pPr>
              <w:spacing w:after="0"/>
              <w:rPr>
                <w:sz w:val="14"/>
                <w:szCs w:val="14"/>
                <w:color w:val="auto"/>
              </w:rPr>
            </w:pPr>
          </w:p>
        </w:tc>
        <w:tc>
          <w:tcPr>
            <w:tcW w:w="10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0.1</w:t>
            </w:r>
          </w:p>
        </w:tc>
        <w:tc>
          <w:tcPr>
            <w:tcW w:w="920" w:type="dxa"/>
            <w:vAlign w:val="bottom"/>
          </w:tcPr>
          <w:p>
            <w:pPr>
              <w:spacing w:after="0"/>
              <w:rPr>
                <w:sz w:val="14"/>
                <w:szCs w:val="14"/>
                <w:color w:val="auto"/>
              </w:rPr>
            </w:pPr>
          </w:p>
        </w:tc>
        <w:tc>
          <w:tcPr>
            <w:tcW w:w="7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Pr>
          <w:p>
            <w:pPr>
              <w:spacing w:after="0"/>
              <w:rPr>
                <w:sz w:val="14"/>
                <w:szCs w:val="14"/>
                <w:color w:val="auto"/>
              </w:rPr>
            </w:pPr>
          </w:p>
        </w:tc>
        <w:tc>
          <w:tcPr>
            <w:tcW w:w="10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0.5</w:t>
            </w:r>
          </w:p>
        </w:tc>
        <w:tc>
          <w:tcPr>
            <w:tcW w:w="8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58"/>
        </w:trPr>
        <w:tc>
          <w:tcPr>
            <w:tcW w:w="4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32"/>
        </w:trPr>
        <w:tc>
          <w:tcPr>
            <w:tcW w:w="4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Other (income) expense</w:t>
            </w:r>
          </w:p>
        </w:tc>
        <w:tc>
          <w:tcPr>
            <w:tcW w:w="56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(2.9)</w:t>
            </w:r>
          </w:p>
        </w:tc>
        <w:tc>
          <w:tcPr>
            <w:tcW w:w="9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6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(4.5)</w:t>
            </w:r>
          </w:p>
        </w:tc>
        <w:tc>
          <w:tcPr>
            <w:tcW w:w="88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0.3</w:t>
            </w:r>
          </w:p>
        </w:tc>
      </w:tr>
      <w:tr>
        <w:trPr>
          <w:trHeight w:val="162"/>
        </w:trPr>
        <w:tc>
          <w:tcPr>
            <w:tcW w:w="4640" w:type="dxa"/>
            <w:vAlign w:val="bottom"/>
            <w:tcBorders>
              <w:top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Total adjusted EBITDA</w:t>
            </w:r>
          </w:p>
        </w:tc>
        <w:tc>
          <w:tcPr>
            <w:tcW w:w="560" w:type="dxa"/>
            <w:vAlign w:val="bottom"/>
            <w:tcBorders>
              <w:top w:val="single" w:sz="8" w:color="auto"/>
            </w:tcBorders>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top w:val="single" w:sz="8" w:color="auto"/>
            </w:tcBorders>
          </w:tcPr>
          <w:p>
            <w:pPr>
              <w:jc w:val="right"/>
              <w:ind w:right="9"/>
              <w:spacing w:after="0" w:line="162" w:lineRule="exact"/>
              <w:rPr>
                <w:sz w:val="20"/>
                <w:szCs w:val="20"/>
                <w:color w:val="auto"/>
              </w:rPr>
            </w:pPr>
            <w:r>
              <w:rPr>
                <w:rFonts w:ascii="Calibri" w:cs="Calibri" w:eastAsia="Calibri" w:hAnsi="Calibri"/>
                <w:sz w:val="14"/>
                <w:szCs w:val="14"/>
                <w:color w:val="auto"/>
              </w:rPr>
              <w:t>9.2</w:t>
            </w:r>
          </w:p>
        </w:tc>
        <w:tc>
          <w:tcPr>
            <w:tcW w:w="920" w:type="dxa"/>
            <w:vAlign w:val="bottom"/>
            <w:tcBorders>
              <w:top w:val="single" w:sz="8" w:color="auto"/>
            </w:tcBorders>
          </w:tcPr>
          <w:p>
            <w:pPr>
              <w:jc w:val="right"/>
              <w:ind w:right="709"/>
              <w:spacing w:after="0" w:line="162" w:lineRule="exact"/>
              <w:rPr>
                <w:sz w:val="20"/>
                <w:szCs w:val="20"/>
                <w:color w:val="auto"/>
              </w:rPr>
            </w:pPr>
            <w:r>
              <w:rPr>
                <w:rFonts w:ascii="Calibri" w:cs="Calibri" w:eastAsia="Calibri" w:hAnsi="Calibri"/>
                <w:sz w:val="14"/>
                <w:szCs w:val="14"/>
                <w:color w:val="auto"/>
              </w:rPr>
              <w:t>$</w:t>
            </w:r>
          </w:p>
        </w:tc>
        <w:tc>
          <w:tcPr>
            <w:tcW w:w="760" w:type="dxa"/>
            <w:vAlign w:val="bottom"/>
            <w:tcBorders>
              <w:top w:val="single" w:sz="8" w:color="auto"/>
            </w:tcBorders>
          </w:tcPr>
          <w:p>
            <w:pPr>
              <w:jc w:val="right"/>
              <w:ind w:right="29"/>
              <w:spacing w:after="0" w:line="162" w:lineRule="exact"/>
              <w:rPr>
                <w:sz w:val="20"/>
                <w:szCs w:val="20"/>
                <w:color w:val="auto"/>
              </w:rPr>
            </w:pPr>
            <w:r>
              <w:rPr>
                <w:rFonts w:ascii="Calibri" w:cs="Calibri" w:eastAsia="Calibri" w:hAnsi="Calibri"/>
                <w:sz w:val="14"/>
                <w:szCs w:val="14"/>
                <w:color w:val="auto"/>
              </w:rPr>
              <w:t>16.3</w:t>
            </w:r>
          </w:p>
        </w:tc>
        <w:tc>
          <w:tcPr>
            <w:tcW w:w="680" w:type="dxa"/>
            <w:vAlign w:val="bottom"/>
            <w:tcBorders>
              <w:top w:val="single" w:sz="8" w:color="auto"/>
            </w:tcBorders>
          </w:tcPr>
          <w:p>
            <w:pPr>
              <w:jc w:val="right"/>
              <w:ind w:right="429"/>
              <w:spacing w:after="0" w:line="162" w:lineRule="exact"/>
              <w:rPr>
                <w:sz w:val="20"/>
                <w:szCs w:val="20"/>
                <w:color w:val="auto"/>
              </w:rPr>
            </w:pPr>
            <w:r>
              <w:rPr>
                <w:rFonts w:ascii="Calibri" w:cs="Calibri" w:eastAsia="Calibri" w:hAnsi="Calibri"/>
                <w:sz w:val="14"/>
                <w:szCs w:val="14"/>
                <w:color w:val="auto"/>
              </w:rPr>
              <w:t>$</w:t>
            </w:r>
          </w:p>
        </w:tc>
        <w:tc>
          <w:tcPr>
            <w:tcW w:w="102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(1.2)</w:t>
            </w:r>
          </w:p>
        </w:tc>
        <w:tc>
          <w:tcPr>
            <w:tcW w:w="880" w:type="dxa"/>
            <w:vAlign w:val="bottom"/>
            <w:tcBorders>
              <w:top w:val="single" w:sz="8" w:color="auto"/>
            </w:tcBorders>
          </w:tcPr>
          <w:p>
            <w:pPr>
              <w:jc w:val="right"/>
              <w:ind w:right="669"/>
              <w:spacing w:after="0" w:line="162" w:lineRule="exact"/>
              <w:rPr>
                <w:sz w:val="20"/>
                <w:szCs w:val="20"/>
                <w:color w:val="auto"/>
              </w:rPr>
            </w:pPr>
            <w:r>
              <w:rPr>
                <w:rFonts w:ascii="Calibri" w:cs="Calibri" w:eastAsia="Calibri" w:hAnsi="Calibri"/>
                <w:sz w:val="14"/>
                <w:szCs w:val="14"/>
                <w:color w:val="auto"/>
              </w:rPr>
              <w:t>$</w:t>
            </w:r>
          </w:p>
        </w:tc>
        <w:tc>
          <w:tcPr>
            <w:tcW w:w="740" w:type="dxa"/>
            <w:vAlign w:val="bottom"/>
            <w:tcBorders>
              <w:top w:val="single" w:sz="8" w:color="auto"/>
            </w:tcBorders>
          </w:tcPr>
          <w:p>
            <w:pPr>
              <w:jc w:val="right"/>
              <w:spacing w:after="0" w:line="162" w:lineRule="exact"/>
              <w:rPr>
                <w:sz w:val="20"/>
                <w:szCs w:val="20"/>
                <w:color w:val="auto"/>
              </w:rPr>
            </w:pPr>
            <w:r>
              <w:rPr>
                <w:rFonts w:ascii="Calibri" w:cs="Calibri" w:eastAsia="Calibri" w:hAnsi="Calibri"/>
                <w:sz w:val="14"/>
                <w:szCs w:val="14"/>
                <w:color w:val="auto"/>
              </w:rPr>
              <w:t>28.8</w:t>
            </w:r>
          </w:p>
        </w:tc>
      </w:tr>
      <w:tr>
        <w:trPr>
          <w:trHeight w:val="58"/>
        </w:trPr>
        <w:tc>
          <w:tcPr>
            <w:tcW w:w="46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-2496185</wp:posOffset>
            </wp:positionV>
            <wp:extent cx="41865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8655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Marketng and Distributon</w:t>
      </w:r>
    </w:p>
    <w:p>
      <w:pPr>
        <w:spacing w:after="0" w:line="209" w:lineRule="exact"/>
        <w:rPr>
          <w:sz w:val="20"/>
          <w:szCs w:val="20"/>
          <w:color w:val="auto"/>
        </w:rPr>
      </w:pPr>
    </w:p>
    <w:p>
      <w:pPr>
        <w:ind w:right="240" w:firstLine="642"/>
        <w:spacing w:after="0" w:line="233" w:lineRule="auto"/>
        <w:rPr>
          <w:sz w:val="20"/>
          <w:szCs w:val="20"/>
          <w:color w:val="auto"/>
        </w:rPr>
      </w:pPr>
      <w:r>
        <w:rPr>
          <w:rFonts w:ascii="Calibri" w:cs="Calibri" w:eastAsia="Calibri" w:hAnsi="Calibri"/>
          <w:sz w:val="16"/>
          <w:szCs w:val="16"/>
          <w:color w:val="auto"/>
        </w:rPr>
        <w:t>Net sales in our Marketng and Distributon segment increased $41.3 million or 18% and $84.0 million or 21% in the three and six months ended April 30, 2022, compared to the same periods last year, respectvely. The increases were due to the same drivers impactng consolidated revenue.</w:t>
      </w:r>
    </w:p>
    <w:p>
      <w:pPr>
        <w:spacing w:after="0" w:line="223" w:lineRule="exact"/>
        <w:rPr>
          <w:sz w:val="20"/>
          <w:szCs w:val="20"/>
          <w:color w:val="auto"/>
        </w:rPr>
      </w:pPr>
    </w:p>
    <w:p>
      <w:pPr>
        <w:ind w:right="300" w:firstLine="642"/>
        <w:spacing w:after="0" w:line="233" w:lineRule="auto"/>
        <w:rPr>
          <w:sz w:val="20"/>
          <w:szCs w:val="20"/>
          <w:color w:val="auto"/>
        </w:rPr>
      </w:pPr>
      <w:r>
        <w:rPr>
          <w:rFonts w:ascii="Calibri" w:cs="Calibri" w:eastAsia="Calibri" w:hAnsi="Calibri"/>
          <w:sz w:val="16"/>
          <w:szCs w:val="16"/>
          <w:color w:val="auto"/>
        </w:rPr>
        <w:t>Segment adjusted EBITDA decreased $4.5 million or 28% in the three months ended April 30, 2022 compared to the same period last year due primarily to the impact of lower avocado volume sold on gross margin and higher selling, general and administratve expenses.</w:t>
      </w:r>
    </w:p>
    <w:p>
      <w:pPr>
        <w:spacing w:after="0" w:line="223" w:lineRule="exact"/>
        <w:rPr>
          <w:sz w:val="20"/>
          <w:szCs w:val="20"/>
          <w:color w:val="auto"/>
        </w:rPr>
      </w:pPr>
    </w:p>
    <w:p>
      <w:pPr>
        <w:ind w:right="280" w:firstLine="642"/>
        <w:spacing w:after="0" w:line="232" w:lineRule="auto"/>
        <w:rPr>
          <w:sz w:val="20"/>
          <w:szCs w:val="20"/>
          <w:color w:val="auto"/>
        </w:rPr>
      </w:pPr>
      <w:r>
        <w:rPr>
          <w:rFonts w:ascii="Calibri" w:cs="Calibri" w:eastAsia="Calibri" w:hAnsi="Calibri"/>
          <w:sz w:val="16"/>
          <w:szCs w:val="16"/>
          <w:color w:val="auto"/>
        </w:rPr>
        <w:t>Segment adjusted EBITDA decreased $25.9 million or 87% in the six months ended April 30, 2022 compared to the same period last year due to lower gross margin, atributed to ERP-related issues in the frst quarter of 2022 and lower avocado volume sold, and higher selling, general and administratve expenses as described above.</w:t>
      </w:r>
    </w:p>
    <w:p>
      <w:pPr>
        <w:sectPr>
          <w:pgSz w:w="11900" w:h="16838" w:orient="portrait"/>
          <w:cols w:equalWidth="0" w:num="1">
            <w:col w:w="11240"/>
          </w:cols>
          <w:pgMar w:left="320" w:top="1362"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6"/>
          <w:szCs w:val="16"/>
          <w:i w:val="1"/>
          <w:iCs w:val="1"/>
          <w:color w:val="auto"/>
        </w:rPr>
        <w:t>Internatonal Farming</w:t>
      </w:r>
    </w:p>
    <w:p>
      <w:pPr>
        <w:spacing w:after="0" w:line="209" w:lineRule="exact"/>
        <w:rPr>
          <w:sz w:val="20"/>
          <w:szCs w:val="20"/>
          <w:color w:val="auto"/>
        </w:rPr>
      </w:pPr>
    </w:p>
    <w:p>
      <w:pPr>
        <w:ind w:firstLine="642"/>
        <w:spacing w:after="0" w:line="236" w:lineRule="auto"/>
        <w:rPr>
          <w:sz w:val="20"/>
          <w:szCs w:val="20"/>
          <w:color w:val="auto"/>
        </w:rPr>
      </w:pPr>
      <w:r>
        <w:rPr>
          <w:rFonts w:ascii="Calibri" w:cs="Calibri" w:eastAsia="Calibri" w:hAnsi="Calibri"/>
          <w:sz w:val="16"/>
          <w:szCs w:val="16"/>
          <w:color w:val="auto"/>
        </w:rPr>
        <w:t>Substantally all sales of fruit from our Internatonal Farming segment are to the Marketng and Distributon segment, with the remainder of revenue largely derived from services provided to third partes. Afliated sales are concentrated in the second half of the fscal year in alignment with the Peruvian avocado harvest season, which typically runs from April through August of each year. As a result, adjusted EBITDA for Internatonal Farming is generally concentrated in the third and fourth quarters of the fscal year in alignment with sales. The Company operates approximately 300 hectares of mangos in Peru that are largely in an early-stage of producton. The tming of the mango harvest is concentrated in the fscal second quarter and, as a result, mangos have a more pronounced impact on segment fnancial performance during this tmeframe.</w:t>
      </w:r>
    </w:p>
    <w:p>
      <w:pPr>
        <w:spacing w:after="0" w:line="225" w:lineRule="exact"/>
        <w:rPr>
          <w:sz w:val="20"/>
          <w:szCs w:val="20"/>
          <w:color w:val="auto"/>
        </w:rPr>
      </w:pPr>
    </w:p>
    <w:p>
      <w:pPr>
        <w:ind w:right="80" w:firstLine="642"/>
        <w:spacing w:after="0" w:line="233" w:lineRule="auto"/>
        <w:rPr>
          <w:sz w:val="20"/>
          <w:szCs w:val="20"/>
          <w:color w:val="auto"/>
        </w:rPr>
      </w:pPr>
      <w:r>
        <w:rPr>
          <w:rFonts w:ascii="Calibri" w:cs="Calibri" w:eastAsia="Calibri" w:hAnsi="Calibri"/>
          <w:sz w:val="16"/>
          <w:szCs w:val="16"/>
          <w:color w:val="auto"/>
        </w:rPr>
        <w:t>Net sales in our Internatonal Farming segment increased $2.1 million or 91% and $2.8 million or 47% in the three and six months ended April 30, 2022 compared to the same periods last year, respectvely, due to both higher third-party service revenue and higher mango harvest volumes.</w:t>
      </w:r>
    </w:p>
    <w:p>
      <w:pPr>
        <w:spacing w:after="0" w:line="209" w:lineRule="exact"/>
        <w:rPr>
          <w:sz w:val="20"/>
          <w:szCs w:val="20"/>
          <w:color w:val="auto"/>
        </w:rPr>
      </w:pPr>
    </w:p>
    <w:p>
      <w:pPr>
        <w:ind w:right="220" w:firstLine="642"/>
        <w:spacing w:after="0" w:line="242" w:lineRule="auto"/>
        <w:rPr>
          <w:sz w:val="20"/>
          <w:szCs w:val="20"/>
          <w:color w:val="auto"/>
        </w:rPr>
      </w:pPr>
      <w:r>
        <w:rPr>
          <w:rFonts w:ascii="Calibri" w:cs="Calibri" w:eastAsia="Calibri" w:hAnsi="Calibri"/>
          <w:sz w:val="16"/>
          <w:szCs w:val="16"/>
          <w:color w:val="auto"/>
        </w:rPr>
        <w:t>Segment adjusted EBITDA was $(2.5) million in the three months ended April 30, 2022 to compared to $0.1 million in the same period last year primarily due to the tming of cost incurred and impact of pricing at early-stage mango farms.</w:t>
      </w:r>
    </w:p>
    <w:p>
      <w:pPr>
        <w:spacing w:after="0" w:line="208" w:lineRule="exact"/>
        <w:rPr>
          <w:sz w:val="20"/>
          <w:szCs w:val="20"/>
          <w:color w:val="auto"/>
        </w:rPr>
      </w:pPr>
    </w:p>
    <w:p>
      <w:pPr>
        <w:ind w:right="160" w:firstLine="642"/>
        <w:spacing w:after="0" w:line="237" w:lineRule="auto"/>
        <w:rPr>
          <w:sz w:val="20"/>
          <w:szCs w:val="20"/>
          <w:color w:val="auto"/>
        </w:rPr>
      </w:pPr>
      <w:r>
        <w:rPr>
          <w:rFonts w:ascii="Calibri" w:cs="Calibri" w:eastAsia="Calibri" w:hAnsi="Calibri"/>
          <w:sz w:val="16"/>
          <w:szCs w:val="16"/>
          <w:color w:val="auto"/>
        </w:rPr>
        <w:t>Segment adjusted EBITDA decreased $4.1 million or 373% in the six months ended April 30, 2022 to $(5.2) million, due to losses at early-stage mango farms that were mainly driven by lower than expected sales prices and higher costs associated with strategic initatves in farming maintenance and operatons that are intended to drive yield enhancements.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Operatng actvites</w:t>
      </w:r>
    </w:p>
    <w:p>
      <w:pPr>
        <w:spacing w:after="0" w:line="209" w:lineRule="exact"/>
        <w:rPr>
          <w:sz w:val="20"/>
          <w:szCs w:val="20"/>
          <w:color w:val="auto"/>
        </w:rPr>
      </w:pPr>
    </w:p>
    <w:p>
      <w:pPr>
        <w:ind w:right="20" w:firstLine="642"/>
        <w:spacing w:after="0" w:line="237" w:lineRule="auto"/>
        <w:rPr>
          <w:sz w:val="20"/>
          <w:szCs w:val="20"/>
          <w:color w:val="auto"/>
        </w:rPr>
      </w:pPr>
      <w:r>
        <w:rPr>
          <w:rFonts w:ascii="Calibri" w:cs="Calibri" w:eastAsia="Calibri" w:hAnsi="Calibri"/>
          <w:sz w:val="16"/>
          <w:szCs w:val="16"/>
          <w:color w:val="auto"/>
        </w:rPr>
        <w:t>Operatng cash fows are seasonal in nature. We typically see increases in working capital during the frst half of our fscal year as our supply is predominantly sourced from Mexico under payment terms that are shorter than terms established for other source markets. In additon, we are building our growing crops inventory in our Internatonal Farming segment during the frst half of the year for ultmate harvest and sale that will occur during the second half of the fscal year. While these increases in working capital can cause operatng cash fows to be unfavorable in individual quarters, it is not indicatve of operatng cash performance that we expect to realize for the full year.</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shd w:val="clear" w:color="auto" w:fill="43C0B9"/>
          </w:tcPr>
          <w:p>
            <w:pPr>
              <w:spacing w:after="0"/>
              <w:rPr>
                <w:sz w:val="15"/>
                <w:szCs w:val="15"/>
                <w:color w:val="auto"/>
              </w:rPr>
            </w:pPr>
          </w:p>
        </w:tc>
        <w:tc>
          <w:tcPr>
            <w:tcW w:w="620" w:type="dxa"/>
            <w:vAlign w:val="bottom"/>
            <w:shd w:val="clear" w:color="auto" w:fill="43C0B9"/>
          </w:tcPr>
          <w:p>
            <w:pPr>
              <w:spacing w:after="0"/>
              <w:rPr>
                <w:sz w:val="15"/>
                <w:szCs w:val="15"/>
                <w:color w:val="auto"/>
              </w:rPr>
            </w:pPr>
          </w:p>
        </w:tc>
        <w:tc>
          <w:tcPr>
            <w:tcW w:w="1920" w:type="dxa"/>
            <w:vAlign w:val="bottom"/>
            <w:gridSpan w:val="2"/>
            <w:shd w:val="clear" w:color="auto" w:fill="43C0B9"/>
          </w:tcPr>
          <w:p>
            <w:pPr>
              <w:jc w:val="right"/>
              <w:ind w:right="269"/>
              <w:spacing w:after="0"/>
              <w:rPr>
                <w:sz w:val="20"/>
                <w:szCs w:val="20"/>
                <w:color w:val="auto"/>
              </w:rPr>
            </w:pPr>
            <w:r>
              <w:rPr>
                <w:rFonts w:ascii="Calibri" w:cs="Calibri" w:eastAsia="Calibri" w:hAnsi="Calibri"/>
                <w:sz w:val="14"/>
                <w:szCs w:val="14"/>
                <w:b w:val="1"/>
                <w:bCs w:val="1"/>
                <w:color w:val="FFFFFF"/>
              </w:rPr>
              <w:t>Six Months Ended</w:t>
            </w:r>
          </w:p>
        </w:tc>
        <w:tc>
          <w:tcPr>
            <w:tcW w:w="780" w:type="dxa"/>
            <w:vAlign w:val="bottom"/>
            <w:shd w:val="clear" w:color="auto" w:fill="43C0B9"/>
          </w:tcPr>
          <w:p>
            <w:pPr>
              <w:spacing w:after="0"/>
              <w:rPr>
                <w:sz w:val="15"/>
                <w:szCs w:val="15"/>
                <w:color w:val="auto"/>
              </w:rPr>
            </w:pPr>
          </w:p>
        </w:tc>
        <w:tc>
          <w:tcPr>
            <w:tcW w:w="260" w:type="dxa"/>
            <w:vAlign w:val="bottom"/>
            <w:shd w:val="clear" w:color="auto" w:fill="43C0B9"/>
          </w:tcPr>
          <w:p>
            <w:pPr>
              <w:spacing w:after="0"/>
              <w:rPr>
                <w:sz w:val="15"/>
                <w:szCs w:val="15"/>
                <w:color w:val="auto"/>
              </w:rPr>
            </w:pPr>
          </w:p>
        </w:tc>
      </w:tr>
      <w:tr>
        <w:trPr>
          <w:trHeight w:val="169"/>
        </w:trPr>
        <w:tc>
          <w:tcPr>
            <w:tcW w:w="7640" w:type="dxa"/>
            <w:vAlign w:val="bottom"/>
            <w:shd w:val="clear" w:color="auto" w:fill="43C0B9"/>
          </w:tcPr>
          <w:p>
            <w:pPr>
              <w:spacing w:after="0"/>
              <w:rPr>
                <w:sz w:val="14"/>
                <w:szCs w:val="14"/>
                <w:color w:val="auto"/>
              </w:rPr>
            </w:pPr>
          </w:p>
        </w:tc>
        <w:tc>
          <w:tcPr>
            <w:tcW w:w="620" w:type="dxa"/>
            <w:vAlign w:val="bottom"/>
            <w:shd w:val="clear" w:color="auto" w:fill="43C0B9"/>
          </w:tcPr>
          <w:p>
            <w:pPr>
              <w:spacing w:after="0"/>
              <w:rPr>
                <w:sz w:val="14"/>
                <w:szCs w:val="14"/>
                <w:color w:val="auto"/>
              </w:rPr>
            </w:pPr>
          </w:p>
        </w:tc>
        <w:tc>
          <w:tcPr>
            <w:tcW w:w="1920" w:type="dxa"/>
            <w:vAlign w:val="bottom"/>
            <w:gridSpan w:val="2"/>
            <w:shd w:val="clear" w:color="auto" w:fill="43C0B9"/>
          </w:tcPr>
          <w:p>
            <w:pPr>
              <w:jc w:val="right"/>
              <w:ind w:right="549"/>
              <w:spacing w:after="0" w:line="169" w:lineRule="exact"/>
              <w:rPr>
                <w:sz w:val="20"/>
                <w:szCs w:val="20"/>
                <w:color w:val="auto"/>
              </w:rPr>
            </w:pPr>
            <w:r>
              <w:rPr>
                <w:rFonts w:ascii="Calibri" w:cs="Calibri" w:eastAsia="Calibri" w:hAnsi="Calibri"/>
                <w:sz w:val="14"/>
                <w:szCs w:val="14"/>
                <w:b w:val="1"/>
                <w:bCs w:val="1"/>
                <w:color w:val="FFFFFF"/>
              </w:rPr>
              <w:t>April 30,</w:t>
            </w:r>
          </w:p>
        </w:tc>
        <w:tc>
          <w:tcPr>
            <w:tcW w:w="780" w:type="dxa"/>
            <w:vAlign w:val="bottom"/>
            <w:shd w:val="clear" w:color="auto" w:fill="43C0B9"/>
          </w:tcPr>
          <w:p>
            <w:pPr>
              <w:spacing w:after="0"/>
              <w:rPr>
                <w:sz w:val="14"/>
                <w:szCs w:val="14"/>
                <w:color w:val="auto"/>
              </w:rPr>
            </w:pPr>
          </w:p>
        </w:tc>
        <w:tc>
          <w:tcPr>
            <w:tcW w:w="260" w:type="dxa"/>
            <w:vAlign w:val="bottom"/>
            <w:shd w:val="clear" w:color="auto" w:fill="43C0B9"/>
          </w:tcPr>
          <w:p>
            <w:pPr>
              <w:spacing w:after="0"/>
              <w:rPr>
                <w:sz w:val="14"/>
                <w:szCs w:val="14"/>
                <w:color w:val="auto"/>
              </w:rPr>
            </w:pPr>
          </w:p>
        </w:tc>
      </w:tr>
      <w:tr>
        <w:trPr>
          <w:trHeight w:val="280"/>
        </w:trPr>
        <w:tc>
          <w:tcPr>
            <w:tcW w:w="764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62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109"/>
              <w:spacing w:after="0"/>
              <w:rPr>
                <w:sz w:val="20"/>
                <w:szCs w:val="20"/>
                <w:color w:val="auto"/>
              </w:rPr>
            </w:pPr>
            <w:r>
              <w:rPr>
                <w:rFonts w:ascii="Calibri" w:cs="Calibri" w:eastAsia="Calibri" w:hAnsi="Calibri"/>
                <w:sz w:val="14"/>
                <w:szCs w:val="14"/>
                <w:b w:val="1"/>
                <w:bCs w:val="1"/>
                <w:color w:val="FFFFFF"/>
              </w:rPr>
              <w:t>2022</w:t>
            </w:r>
          </w:p>
        </w:tc>
        <w:tc>
          <w:tcPr>
            <w:tcW w:w="880" w:type="dxa"/>
            <w:vAlign w:val="bottom"/>
            <w:tcBorders>
              <w:bottom w:val="single" w:sz="8" w:color="43C0B9"/>
            </w:tcBorders>
            <w:shd w:val="clear" w:color="auto" w:fill="43C0B9"/>
          </w:tcPr>
          <w:p>
            <w:pPr>
              <w:spacing w:after="0"/>
              <w:rPr>
                <w:sz w:val="24"/>
                <w:szCs w:val="24"/>
                <w:color w:val="auto"/>
              </w:rPr>
            </w:pPr>
          </w:p>
        </w:tc>
        <w:tc>
          <w:tcPr>
            <w:tcW w:w="78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c>
          <w:tcPr>
            <w:tcW w:w="260" w:type="dxa"/>
            <w:vAlign w:val="bottom"/>
            <w:tcBorders>
              <w:bottom w:val="single" w:sz="8" w:color="43C0B9"/>
            </w:tcBorders>
            <w:shd w:val="clear" w:color="auto" w:fill="43C0B9"/>
          </w:tcPr>
          <w:p>
            <w:pPr>
              <w:spacing w:after="0"/>
              <w:rPr>
                <w:sz w:val="24"/>
                <w:szCs w:val="24"/>
                <w:color w:val="auto"/>
              </w:rPr>
            </w:pPr>
          </w:p>
        </w:tc>
      </w:tr>
      <w:tr>
        <w:trPr>
          <w:trHeight w:val="207"/>
        </w:trPr>
        <w:tc>
          <w:tcPr>
            <w:tcW w:w="764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Net (loss) income</w:t>
            </w:r>
          </w:p>
        </w:tc>
        <w:tc>
          <w:tcPr>
            <w:tcW w:w="620" w:type="dxa"/>
            <w:vAlign w:val="bottom"/>
            <w:tcBorders>
              <w:bottom w:val="single" w:sz="8" w:color="DBDBDB"/>
            </w:tcBorders>
            <w:shd w:val="clear" w:color="auto" w:fill="DBDBDB"/>
          </w:tcPr>
          <w:p>
            <w:pPr>
              <w:jc w:val="right"/>
              <w:ind w:right="44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(11.0)</w:t>
            </w:r>
          </w:p>
        </w:tc>
        <w:tc>
          <w:tcPr>
            <w:tcW w:w="880" w:type="dxa"/>
            <w:vAlign w:val="bottom"/>
            <w:tcBorders>
              <w:bottom w:val="single" w:sz="8" w:color="DBDBDB"/>
            </w:tcBorders>
            <w:shd w:val="clear" w:color="auto" w:fill="DBDBDB"/>
          </w:tcPr>
          <w:p>
            <w:pPr>
              <w:jc w:val="right"/>
              <w:ind w:right="649"/>
              <w:spacing w:after="0" w:line="169"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9.6</w:t>
            </w:r>
          </w:p>
        </w:tc>
        <w:tc>
          <w:tcPr>
            <w:tcW w:w="260" w:type="dxa"/>
            <w:vAlign w:val="bottom"/>
            <w:tcBorders>
              <w:bottom w:val="single" w:sz="8" w:color="DBDBDB"/>
            </w:tcBorders>
            <w:shd w:val="clear" w:color="auto" w:fill="DBDBDB"/>
          </w:tcPr>
          <w:p>
            <w:pPr>
              <w:spacing w:after="0"/>
              <w:rPr>
                <w:sz w:val="18"/>
                <w:szCs w:val="18"/>
                <w:color w:val="auto"/>
              </w:rPr>
            </w:pPr>
          </w:p>
        </w:tc>
      </w:tr>
      <w:tr>
        <w:trPr>
          <w:trHeight w:val="169"/>
        </w:trPr>
        <w:tc>
          <w:tcPr>
            <w:tcW w:w="7640" w:type="dxa"/>
            <w:vAlign w:val="bottom"/>
          </w:tcPr>
          <w:p>
            <w:pPr>
              <w:ind w:left="340"/>
              <w:spacing w:after="0" w:line="169" w:lineRule="exact"/>
              <w:rPr>
                <w:sz w:val="20"/>
                <w:szCs w:val="20"/>
                <w:color w:val="auto"/>
              </w:rPr>
            </w:pPr>
            <w:r>
              <w:rPr>
                <w:rFonts w:ascii="Calibri" w:cs="Calibri" w:eastAsia="Calibri" w:hAnsi="Calibri"/>
                <w:sz w:val="14"/>
                <w:szCs w:val="14"/>
                <w:color w:val="auto"/>
              </w:rPr>
              <w:t>Depreciaton and amortzaton</w:t>
            </w:r>
          </w:p>
        </w:tc>
        <w:tc>
          <w:tcPr>
            <w:tcW w:w="62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10.1</w:t>
            </w:r>
          </w:p>
        </w:tc>
        <w:tc>
          <w:tcPr>
            <w:tcW w:w="8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Calibri" w:cs="Calibri" w:eastAsia="Calibri" w:hAnsi="Calibri"/>
                <w:sz w:val="14"/>
                <w:szCs w:val="14"/>
                <w:color w:val="auto"/>
              </w:rPr>
              <w:t>7.6</w:t>
            </w:r>
          </w:p>
        </w:tc>
        <w:tc>
          <w:tcPr>
            <w:tcW w:w="260" w:type="dxa"/>
            <w:vAlign w:val="bottom"/>
          </w:tcPr>
          <w:p>
            <w:pPr>
              <w:spacing w:after="0"/>
              <w:rPr>
                <w:sz w:val="14"/>
                <w:szCs w:val="14"/>
                <w:color w:val="auto"/>
              </w:rPr>
            </w:pPr>
          </w:p>
        </w:tc>
      </w:tr>
      <w:tr>
        <w:trPr>
          <w:trHeight w:val="58"/>
        </w:trPr>
        <w:tc>
          <w:tcPr>
            <w:tcW w:w="7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07"/>
        </w:trPr>
        <w:tc>
          <w:tcPr>
            <w:tcW w:w="764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Noncash lease expense</w:t>
            </w:r>
          </w:p>
        </w:tc>
        <w:tc>
          <w:tcPr>
            <w:tcW w:w="6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2.5</w:t>
            </w:r>
          </w:p>
        </w:tc>
        <w:tc>
          <w:tcPr>
            <w:tcW w:w="88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2.0</w:t>
            </w:r>
          </w:p>
        </w:tc>
        <w:tc>
          <w:tcPr>
            <w:tcW w:w="260" w:type="dxa"/>
            <w:vAlign w:val="bottom"/>
            <w:tcBorders>
              <w:bottom w:val="single" w:sz="8" w:color="DBDBDB"/>
            </w:tcBorders>
            <w:shd w:val="clear" w:color="auto" w:fill="DBDBDB"/>
          </w:tcPr>
          <w:p>
            <w:pPr>
              <w:jc w:val="right"/>
              <w:ind w:right="94"/>
              <w:spacing w:after="0"/>
              <w:rPr>
                <w:sz w:val="20"/>
                <w:szCs w:val="20"/>
                <w:color w:val="auto"/>
              </w:rPr>
            </w:pPr>
            <w:r>
              <w:rPr>
                <w:rFonts w:ascii="Calibri" w:cs="Calibri" w:eastAsia="Calibri" w:hAnsi="Calibri"/>
                <w:sz w:val="9"/>
                <w:szCs w:val="9"/>
                <w:color w:val="auto"/>
                <w:w w:val="99"/>
              </w:rPr>
              <w:t>(1)</w:t>
            </w:r>
          </w:p>
        </w:tc>
      </w:tr>
      <w:tr>
        <w:trPr>
          <w:trHeight w:val="169"/>
        </w:trPr>
        <w:tc>
          <w:tcPr>
            <w:tcW w:w="7640" w:type="dxa"/>
            <w:vAlign w:val="bottom"/>
          </w:tcPr>
          <w:p>
            <w:pPr>
              <w:ind w:left="340"/>
              <w:spacing w:after="0" w:line="169" w:lineRule="exact"/>
              <w:rPr>
                <w:sz w:val="20"/>
                <w:szCs w:val="20"/>
                <w:color w:val="auto"/>
              </w:rPr>
            </w:pPr>
            <w:r>
              <w:rPr>
                <w:rFonts w:ascii="Calibri" w:cs="Calibri" w:eastAsia="Calibri" w:hAnsi="Calibri"/>
                <w:sz w:val="14"/>
                <w:szCs w:val="14"/>
                <w:color w:val="auto"/>
              </w:rPr>
              <w:t>Equity method income</w:t>
            </w:r>
          </w:p>
        </w:tc>
        <w:tc>
          <w:tcPr>
            <w:tcW w:w="620" w:type="dxa"/>
            <w:vAlign w:val="bottom"/>
          </w:tcPr>
          <w:p>
            <w:pPr>
              <w:spacing w:after="0"/>
              <w:rPr>
                <w:sz w:val="14"/>
                <w:szCs w:val="14"/>
                <w:color w:val="auto"/>
              </w:rPr>
            </w:pPr>
          </w:p>
        </w:tc>
        <w:tc>
          <w:tcPr>
            <w:tcW w:w="10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(1.9)</w:t>
            </w:r>
          </w:p>
        </w:tc>
        <w:tc>
          <w:tcPr>
            <w:tcW w:w="8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Calibri" w:cs="Calibri" w:eastAsia="Calibri" w:hAnsi="Calibri"/>
                <w:sz w:val="14"/>
                <w:szCs w:val="14"/>
                <w:color w:val="auto"/>
              </w:rPr>
              <w:t>(2.1)</w:t>
            </w:r>
          </w:p>
        </w:tc>
        <w:tc>
          <w:tcPr>
            <w:tcW w:w="260" w:type="dxa"/>
            <w:vAlign w:val="bottom"/>
          </w:tcPr>
          <w:p>
            <w:pPr>
              <w:spacing w:after="0"/>
              <w:rPr>
                <w:sz w:val="14"/>
                <w:szCs w:val="14"/>
                <w:color w:val="auto"/>
              </w:rPr>
            </w:pPr>
          </w:p>
        </w:tc>
      </w:tr>
      <w:tr>
        <w:trPr>
          <w:trHeight w:val="58"/>
        </w:trPr>
        <w:tc>
          <w:tcPr>
            <w:tcW w:w="7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07"/>
        </w:trPr>
        <w:tc>
          <w:tcPr>
            <w:tcW w:w="764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Stock-based compensaton</w:t>
            </w:r>
          </w:p>
        </w:tc>
        <w:tc>
          <w:tcPr>
            <w:tcW w:w="6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1.7</w:t>
            </w:r>
          </w:p>
        </w:tc>
        <w:tc>
          <w:tcPr>
            <w:tcW w:w="88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w:t>
            </w:r>
          </w:p>
        </w:tc>
        <w:tc>
          <w:tcPr>
            <w:tcW w:w="260" w:type="dxa"/>
            <w:vAlign w:val="bottom"/>
            <w:tcBorders>
              <w:bottom w:val="single" w:sz="8" w:color="DBDBDB"/>
            </w:tcBorders>
            <w:shd w:val="clear" w:color="auto" w:fill="DBDBDB"/>
          </w:tcPr>
          <w:p>
            <w:pPr>
              <w:spacing w:after="0"/>
              <w:rPr>
                <w:sz w:val="18"/>
                <w:szCs w:val="18"/>
                <w:color w:val="auto"/>
              </w:rPr>
            </w:pPr>
          </w:p>
        </w:tc>
      </w:tr>
      <w:tr>
        <w:trPr>
          <w:trHeight w:val="169"/>
        </w:trPr>
        <w:tc>
          <w:tcPr>
            <w:tcW w:w="7640" w:type="dxa"/>
            <w:vAlign w:val="bottom"/>
          </w:tcPr>
          <w:p>
            <w:pPr>
              <w:ind w:left="340"/>
              <w:spacing w:after="0" w:line="169" w:lineRule="exact"/>
              <w:rPr>
                <w:sz w:val="20"/>
                <w:szCs w:val="20"/>
                <w:color w:val="auto"/>
              </w:rPr>
            </w:pPr>
            <w:r>
              <w:rPr>
                <w:rFonts w:ascii="Calibri" w:cs="Calibri" w:eastAsia="Calibri" w:hAnsi="Calibri"/>
                <w:sz w:val="14"/>
                <w:szCs w:val="14"/>
                <w:color w:val="auto"/>
              </w:rPr>
              <w:t>Dividends received from equity method investees</w:t>
            </w:r>
          </w:p>
        </w:tc>
        <w:tc>
          <w:tcPr>
            <w:tcW w:w="62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2.2</w:t>
            </w:r>
          </w:p>
        </w:tc>
        <w:tc>
          <w:tcPr>
            <w:tcW w:w="8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r>
      <w:tr>
        <w:trPr>
          <w:trHeight w:val="58"/>
        </w:trPr>
        <w:tc>
          <w:tcPr>
            <w:tcW w:w="7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07"/>
        </w:trPr>
        <w:tc>
          <w:tcPr>
            <w:tcW w:w="764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Losses (gains) on asset impairment, disposals and sales, net of insurance recoveries</w:t>
            </w:r>
          </w:p>
        </w:tc>
        <w:tc>
          <w:tcPr>
            <w:tcW w:w="6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0.3</w:t>
            </w:r>
          </w:p>
        </w:tc>
        <w:tc>
          <w:tcPr>
            <w:tcW w:w="260" w:type="dxa"/>
            <w:vAlign w:val="bottom"/>
            <w:tcBorders>
              <w:bottom w:val="single" w:sz="8" w:color="DBDBDB"/>
            </w:tcBorders>
            <w:shd w:val="clear" w:color="auto" w:fill="DBDBDB"/>
          </w:tcPr>
          <w:p>
            <w:pPr>
              <w:spacing w:after="0"/>
              <w:rPr>
                <w:sz w:val="18"/>
                <w:szCs w:val="18"/>
                <w:color w:val="auto"/>
              </w:rPr>
            </w:pPr>
          </w:p>
        </w:tc>
      </w:tr>
      <w:tr>
        <w:trPr>
          <w:trHeight w:val="169"/>
        </w:trPr>
        <w:tc>
          <w:tcPr>
            <w:tcW w:w="7640" w:type="dxa"/>
            <w:vAlign w:val="bottom"/>
          </w:tcPr>
          <w:p>
            <w:pPr>
              <w:ind w:left="340"/>
              <w:spacing w:after="0" w:line="169" w:lineRule="exact"/>
              <w:rPr>
                <w:sz w:val="20"/>
                <w:szCs w:val="20"/>
                <w:color w:val="auto"/>
              </w:rPr>
            </w:pPr>
            <w:r>
              <w:rPr>
                <w:rFonts w:ascii="Calibri" w:cs="Calibri" w:eastAsia="Calibri" w:hAnsi="Calibri"/>
                <w:sz w:val="14"/>
                <w:szCs w:val="14"/>
                <w:color w:val="auto"/>
              </w:rPr>
              <w:t>Deferred income taxes</w:t>
            </w:r>
          </w:p>
        </w:tc>
        <w:tc>
          <w:tcPr>
            <w:tcW w:w="620" w:type="dxa"/>
            <w:vAlign w:val="bottom"/>
          </w:tcPr>
          <w:p>
            <w:pPr>
              <w:spacing w:after="0"/>
              <w:rPr>
                <w:sz w:val="14"/>
                <w:szCs w:val="14"/>
                <w:color w:val="auto"/>
              </w:rPr>
            </w:pPr>
          </w:p>
        </w:tc>
        <w:tc>
          <w:tcPr>
            <w:tcW w:w="10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(0.1)</w:t>
            </w:r>
          </w:p>
        </w:tc>
        <w:tc>
          <w:tcPr>
            <w:tcW w:w="8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Calibri" w:cs="Calibri" w:eastAsia="Calibri" w:hAnsi="Calibri"/>
                <w:sz w:val="14"/>
                <w:szCs w:val="14"/>
                <w:color w:val="auto"/>
              </w:rPr>
              <w:t>5.0</w:t>
            </w:r>
          </w:p>
        </w:tc>
        <w:tc>
          <w:tcPr>
            <w:tcW w:w="260" w:type="dxa"/>
            <w:vAlign w:val="bottom"/>
          </w:tcPr>
          <w:p>
            <w:pPr>
              <w:spacing w:after="0"/>
              <w:rPr>
                <w:sz w:val="14"/>
                <w:szCs w:val="14"/>
                <w:color w:val="auto"/>
              </w:rPr>
            </w:pPr>
          </w:p>
        </w:tc>
      </w:tr>
      <w:tr>
        <w:trPr>
          <w:trHeight w:val="58"/>
        </w:trPr>
        <w:tc>
          <w:tcPr>
            <w:tcW w:w="7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07"/>
        </w:trPr>
        <w:tc>
          <w:tcPr>
            <w:tcW w:w="7640" w:type="dxa"/>
            <w:vAlign w:val="bottom"/>
            <w:tcBorders>
              <w:bottom w:val="single" w:sz="8" w:color="DBDBDB"/>
            </w:tcBorders>
            <w:shd w:val="clear" w:color="auto" w:fill="DBDBDB"/>
          </w:tcPr>
          <w:p>
            <w:pPr>
              <w:ind w:left="340"/>
              <w:spacing w:after="0" w:line="169" w:lineRule="exact"/>
              <w:rPr>
                <w:sz w:val="20"/>
                <w:szCs w:val="20"/>
                <w:color w:val="auto"/>
              </w:rPr>
            </w:pPr>
            <w:r>
              <w:rPr>
                <w:rFonts w:ascii="Calibri" w:cs="Calibri" w:eastAsia="Calibri" w:hAnsi="Calibri"/>
                <w:sz w:val="14"/>
                <w:szCs w:val="14"/>
                <w:color w:val="auto"/>
              </w:rPr>
              <w:t>Other</w:t>
            </w:r>
          </w:p>
        </w:tc>
        <w:tc>
          <w:tcPr>
            <w:tcW w:w="62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(2.7)</w:t>
            </w:r>
          </w:p>
        </w:tc>
        <w:tc>
          <w:tcPr>
            <w:tcW w:w="88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0.3</w:t>
            </w:r>
          </w:p>
        </w:tc>
        <w:tc>
          <w:tcPr>
            <w:tcW w:w="260" w:type="dxa"/>
            <w:vAlign w:val="bottom"/>
            <w:tcBorders>
              <w:bottom w:val="single" w:sz="8" w:color="DBDBDB"/>
            </w:tcBorders>
            <w:shd w:val="clear" w:color="auto" w:fill="DBDBDB"/>
          </w:tcPr>
          <w:p>
            <w:pPr>
              <w:spacing w:after="0"/>
              <w:rPr>
                <w:sz w:val="18"/>
                <w:szCs w:val="18"/>
                <w:color w:val="auto"/>
              </w:rPr>
            </w:pPr>
          </w:p>
        </w:tc>
      </w:tr>
      <w:tr>
        <w:trPr>
          <w:trHeight w:val="169"/>
        </w:trPr>
        <w:tc>
          <w:tcPr>
            <w:tcW w:w="7640" w:type="dxa"/>
            <w:vAlign w:val="bottom"/>
          </w:tcPr>
          <w:p>
            <w:pPr>
              <w:ind w:left="20"/>
              <w:spacing w:after="0" w:line="169" w:lineRule="exact"/>
              <w:rPr>
                <w:sz w:val="20"/>
                <w:szCs w:val="20"/>
                <w:color w:val="auto"/>
              </w:rPr>
            </w:pPr>
            <w:r>
              <w:rPr>
                <w:rFonts w:ascii="Calibri" w:cs="Calibri" w:eastAsia="Calibri" w:hAnsi="Calibri"/>
                <w:sz w:val="14"/>
                <w:szCs w:val="14"/>
                <w:color w:val="auto"/>
              </w:rPr>
              <w:t>Changes in working capital</w:t>
            </w:r>
          </w:p>
        </w:tc>
        <w:tc>
          <w:tcPr>
            <w:tcW w:w="620" w:type="dxa"/>
            <w:vAlign w:val="bottom"/>
          </w:tcPr>
          <w:p>
            <w:pPr>
              <w:spacing w:after="0"/>
              <w:rPr>
                <w:sz w:val="14"/>
                <w:szCs w:val="14"/>
                <w:color w:val="auto"/>
              </w:rPr>
            </w:pPr>
          </w:p>
        </w:tc>
        <w:tc>
          <w:tcPr>
            <w:tcW w:w="10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(37.8)</w:t>
            </w:r>
          </w:p>
        </w:tc>
        <w:tc>
          <w:tcPr>
            <w:tcW w:w="880" w:type="dxa"/>
            <w:vAlign w:val="bottom"/>
          </w:tcPr>
          <w:p>
            <w:pPr>
              <w:spacing w:after="0"/>
              <w:rPr>
                <w:sz w:val="14"/>
                <w:szCs w:val="14"/>
                <w:color w:val="auto"/>
              </w:rPr>
            </w:pPr>
          </w:p>
        </w:tc>
        <w:tc>
          <w:tcPr>
            <w:tcW w:w="1040" w:type="dxa"/>
            <w:vAlign w:val="bottom"/>
            <w:gridSpan w:val="2"/>
          </w:tcPr>
          <w:p>
            <w:pPr>
              <w:jc w:val="right"/>
              <w:ind w:right="94"/>
              <w:spacing w:after="0" w:line="169" w:lineRule="exact"/>
              <w:rPr>
                <w:sz w:val="20"/>
                <w:szCs w:val="20"/>
                <w:color w:val="auto"/>
              </w:rPr>
            </w:pPr>
            <w:r>
              <w:rPr>
                <w:rFonts w:ascii="Calibri" w:cs="Calibri" w:eastAsia="Calibri" w:hAnsi="Calibri"/>
                <w:sz w:val="14"/>
                <w:szCs w:val="14"/>
                <w:color w:val="auto"/>
              </w:rPr>
              <w:t xml:space="preserve">(44.4) </w:t>
            </w:r>
            <w:r>
              <w:rPr>
                <w:rFonts w:ascii="Calibri" w:cs="Calibri" w:eastAsia="Calibri" w:hAnsi="Calibri"/>
                <w:sz w:val="9"/>
                <w:szCs w:val="9"/>
                <w:color w:val="auto"/>
              </w:rPr>
              <w:t>(1)</w:t>
            </w:r>
          </w:p>
        </w:tc>
      </w:tr>
      <w:tr>
        <w:trPr>
          <w:trHeight w:val="58"/>
        </w:trPr>
        <w:tc>
          <w:tcPr>
            <w:tcW w:w="76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DBDBDB"/>
            </w:tcBorders>
          </w:tcPr>
          <w:p>
            <w:pPr>
              <w:spacing w:after="0"/>
              <w:rPr>
                <w:sz w:val="5"/>
                <w:szCs w:val="5"/>
                <w:color w:val="auto"/>
              </w:rPr>
            </w:pPr>
          </w:p>
        </w:tc>
      </w:tr>
      <w:tr>
        <w:trPr>
          <w:trHeight w:val="201"/>
        </w:trPr>
        <w:tc>
          <w:tcPr>
            <w:tcW w:w="764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cash used in operatng actvites</w:t>
            </w:r>
          </w:p>
        </w:tc>
        <w:tc>
          <w:tcPr>
            <w:tcW w:w="620" w:type="dxa"/>
            <w:vAlign w:val="bottom"/>
            <w:tcBorders>
              <w:bottom w:val="single" w:sz="8" w:color="DBDBDB"/>
            </w:tcBorders>
            <w:shd w:val="clear" w:color="auto" w:fill="DBDBDB"/>
          </w:tcPr>
          <w:p>
            <w:pPr>
              <w:jc w:val="right"/>
              <w:ind w:right="449"/>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(37.0)</w:t>
            </w:r>
          </w:p>
        </w:tc>
        <w:tc>
          <w:tcPr>
            <w:tcW w:w="880" w:type="dxa"/>
            <w:vAlign w:val="bottom"/>
            <w:tcBorders>
              <w:bottom w:val="single" w:sz="8" w:color="DBDBDB"/>
            </w:tcBorders>
            <w:shd w:val="clear" w:color="auto" w:fill="DBDBDB"/>
          </w:tcPr>
          <w:p>
            <w:pPr>
              <w:jc w:val="right"/>
              <w:ind w:right="649"/>
              <w:spacing w:after="0" w:line="162"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(20.2)</w:t>
            </w:r>
          </w:p>
        </w:tc>
        <w:tc>
          <w:tcPr>
            <w:tcW w:w="260" w:type="dxa"/>
            <w:vAlign w:val="bottom"/>
            <w:tcBorders>
              <w:bottom w:val="single" w:sz="8" w:color="DBDBDB"/>
            </w:tcBorders>
            <w:shd w:val="clear" w:color="auto" w:fill="DBDBDB"/>
          </w:tcPr>
          <w:p>
            <w:pPr>
              <w:spacing w:after="0"/>
              <w:rPr>
                <w:sz w:val="17"/>
                <w:szCs w:val="17"/>
                <w:color w:val="auto"/>
              </w:rPr>
            </w:pPr>
          </w:p>
        </w:tc>
      </w:tr>
      <w:tr>
        <w:trPr>
          <w:trHeight w:val="20"/>
        </w:trPr>
        <w:tc>
          <w:tcPr>
            <w:tcW w:w="7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-1757045</wp:posOffset>
            </wp:positionV>
            <wp:extent cx="21062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06295" cy="8255"/>
                    </a:xfrm>
                    <a:prstGeom prst="rect">
                      <a:avLst/>
                    </a:prstGeom>
                    <a:noFill/>
                  </pic:spPr>
                </pic:pic>
              </a:graphicData>
            </a:graphic>
          </wp:anchor>
        </w:drawing>
      </w:r>
    </w:p>
    <w:p>
      <w:pPr>
        <w:spacing w:after="0" w:line="117" w:lineRule="exact"/>
        <w:rPr>
          <w:sz w:val="20"/>
          <w:szCs w:val="20"/>
          <w:color w:val="auto"/>
        </w:rPr>
      </w:pPr>
    </w:p>
    <w:p>
      <w:pPr>
        <w:ind w:left="160" w:right="120" w:hanging="153"/>
        <w:spacing w:after="0"/>
        <w:tabs>
          <w:tab w:leader="none" w:pos="156" w:val="left"/>
        </w:tabs>
        <w:numPr>
          <w:ilvl w:val="0"/>
          <w:numId w:val="12"/>
        </w:numPr>
        <w:rPr>
          <w:rFonts w:ascii="Calibri" w:cs="Calibri" w:eastAsia="Calibri" w:hAnsi="Calibri"/>
          <w:sz w:val="16"/>
          <w:szCs w:val="16"/>
          <w:color w:val="auto"/>
          <w:vertAlign w:val="superscript"/>
        </w:rPr>
      </w:pPr>
      <w:r>
        <w:rPr>
          <w:rFonts w:ascii="Calibri" w:cs="Calibri" w:eastAsia="Calibri" w:hAnsi="Calibri"/>
          <w:sz w:val="12"/>
          <w:szCs w:val="12"/>
          <w:color w:val="auto"/>
        </w:rPr>
        <w:t>Prior period amounts difer from those previously reported due to the adopton of ASC 842, Leases, efectve November 1, 2020, which was frst presented in our annual report on Form-10K for the year ended October 31, 2021.</w:t>
      </w:r>
    </w:p>
    <w:p>
      <w:pPr>
        <w:spacing w:after="0" w:line="305" w:lineRule="exact"/>
        <w:rPr>
          <w:sz w:val="20"/>
          <w:szCs w:val="20"/>
          <w:color w:val="auto"/>
        </w:rPr>
      </w:pPr>
    </w:p>
    <w:p>
      <w:pPr>
        <w:ind w:firstLine="642"/>
        <w:spacing w:after="0" w:line="237" w:lineRule="auto"/>
        <w:rPr>
          <w:sz w:val="20"/>
          <w:szCs w:val="20"/>
          <w:color w:val="auto"/>
        </w:rPr>
      </w:pPr>
      <w:r>
        <w:rPr>
          <w:rFonts w:ascii="Calibri" w:cs="Calibri" w:eastAsia="Calibri" w:hAnsi="Calibri"/>
          <w:sz w:val="16"/>
          <w:szCs w:val="16"/>
          <w:color w:val="auto"/>
        </w:rPr>
        <w:t>Net cash used in operatng actvites was higher by $16.8 million for the six months ended April 30, 2022 compared to the respectve period last year, refectng our net loss in fscal 2022, partally ofset by favorable net change in working capital. Within working capital, favorable changes in grower payables were partally ofset by unfavorable changes in inventory. Changes in grower payables were due to higher fruit prices compared to prior year. Changes in inventory were due to increased per-box value of fruit on hand in North America and higher growing crop inventory in Peru, driven by infatonary pressures on farming costs and additonal productve acreage, compared to last year.</w:t>
      </w:r>
    </w:p>
    <w:p>
      <w:pPr>
        <w:spacing w:after="0" w:line="200" w:lineRule="exact"/>
        <w:rPr>
          <w:sz w:val="20"/>
          <w:szCs w:val="20"/>
          <w:color w:val="auto"/>
        </w:rPr>
      </w:pPr>
    </w:p>
    <w:p>
      <w:pPr>
        <w:spacing w:after="0" w:line="255"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62" w:right="359" w:bottom="1440" w:gutter="0" w:footer="0" w:header="0"/>
        </w:sectPr>
      </w:pPr>
    </w:p>
    <w:bookmarkStart w:id="21" w:name="page22"/>
    <w:bookmarkEnd w:id="21"/>
    <w:p>
      <w:pPr>
        <w:spacing w:after="0"/>
        <w:rPr>
          <w:sz w:val="20"/>
          <w:szCs w:val="20"/>
          <w:color w:val="auto"/>
        </w:rPr>
      </w:pPr>
      <w:r>
        <w:rPr>
          <w:rFonts w:ascii="Calibri" w:cs="Calibri" w:eastAsia="Calibri" w:hAnsi="Calibri"/>
          <w:sz w:val="16"/>
          <w:szCs w:val="16"/>
          <w:b w:val="1"/>
          <w:bCs w:val="1"/>
          <w:color w:val="auto"/>
        </w:rPr>
        <w:t>Investng actvites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60" w:type="dxa"/>
            <w:vAlign w:val="bottom"/>
            <w:shd w:val="clear" w:color="auto" w:fill="43C0B9"/>
          </w:tcPr>
          <w:p>
            <w:pPr>
              <w:spacing w:after="0"/>
              <w:rPr>
                <w:sz w:val="15"/>
                <w:szCs w:val="15"/>
                <w:color w:val="auto"/>
              </w:rPr>
            </w:pPr>
          </w:p>
        </w:tc>
        <w:tc>
          <w:tcPr>
            <w:tcW w:w="600" w:type="dxa"/>
            <w:vAlign w:val="bottom"/>
            <w:shd w:val="clear" w:color="auto" w:fill="43C0B9"/>
          </w:tcPr>
          <w:p>
            <w:pPr>
              <w:spacing w:after="0"/>
              <w:rPr>
                <w:sz w:val="15"/>
                <w:szCs w:val="15"/>
                <w:color w:val="auto"/>
              </w:rPr>
            </w:pPr>
          </w:p>
        </w:tc>
        <w:tc>
          <w:tcPr>
            <w:tcW w:w="1920" w:type="dxa"/>
            <w:vAlign w:val="bottom"/>
            <w:gridSpan w:val="2"/>
            <w:shd w:val="clear" w:color="auto" w:fill="43C0B9"/>
          </w:tcPr>
          <w:p>
            <w:pPr>
              <w:jc w:val="right"/>
              <w:ind w:right="289"/>
              <w:spacing w:after="0"/>
              <w:rPr>
                <w:sz w:val="20"/>
                <w:szCs w:val="20"/>
                <w:color w:val="auto"/>
              </w:rPr>
            </w:pPr>
            <w:r>
              <w:rPr>
                <w:rFonts w:ascii="Calibri" w:cs="Calibri" w:eastAsia="Calibri" w:hAnsi="Calibri"/>
                <w:sz w:val="14"/>
                <w:szCs w:val="14"/>
                <w:b w:val="1"/>
                <w:bCs w:val="1"/>
                <w:color w:val="FFFFFF"/>
              </w:rPr>
              <w:t>Six Months Ended</w:t>
            </w:r>
          </w:p>
        </w:tc>
        <w:tc>
          <w:tcPr>
            <w:tcW w:w="760" w:type="dxa"/>
            <w:vAlign w:val="bottom"/>
            <w:shd w:val="clear" w:color="auto" w:fill="43C0B9"/>
          </w:tcPr>
          <w:p>
            <w:pPr>
              <w:spacing w:after="0"/>
              <w:rPr>
                <w:sz w:val="15"/>
                <w:szCs w:val="15"/>
                <w:color w:val="auto"/>
              </w:rPr>
            </w:pPr>
          </w:p>
        </w:tc>
      </w:tr>
      <w:tr>
        <w:trPr>
          <w:trHeight w:val="169"/>
        </w:trPr>
        <w:tc>
          <w:tcPr>
            <w:tcW w:w="7960" w:type="dxa"/>
            <w:vAlign w:val="bottom"/>
            <w:shd w:val="clear" w:color="auto" w:fill="43C0B9"/>
          </w:tcPr>
          <w:p>
            <w:pPr>
              <w:spacing w:after="0"/>
              <w:rPr>
                <w:sz w:val="14"/>
                <w:szCs w:val="14"/>
                <w:color w:val="auto"/>
              </w:rPr>
            </w:pPr>
          </w:p>
        </w:tc>
        <w:tc>
          <w:tcPr>
            <w:tcW w:w="600" w:type="dxa"/>
            <w:vAlign w:val="bottom"/>
            <w:shd w:val="clear" w:color="auto" w:fill="43C0B9"/>
          </w:tcPr>
          <w:p>
            <w:pPr>
              <w:spacing w:after="0"/>
              <w:rPr>
                <w:sz w:val="14"/>
                <w:szCs w:val="14"/>
                <w:color w:val="auto"/>
              </w:rPr>
            </w:pPr>
          </w:p>
        </w:tc>
        <w:tc>
          <w:tcPr>
            <w:tcW w:w="1920" w:type="dxa"/>
            <w:vAlign w:val="bottom"/>
            <w:gridSpan w:val="2"/>
            <w:shd w:val="clear" w:color="auto" w:fill="43C0B9"/>
          </w:tcPr>
          <w:p>
            <w:pPr>
              <w:jc w:val="right"/>
              <w:ind w:right="569"/>
              <w:spacing w:after="0" w:line="169" w:lineRule="exact"/>
              <w:rPr>
                <w:sz w:val="20"/>
                <w:szCs w:val="20"/>
                <w:color w:val="auto"/>
              </w:rPr>
            </w:pPr>
            <w:r>
              <w:rPr>
                <w:rFonts w:ascii="Calibri" w:cs="Calibri" w:eastAsia="Calibri" w:hAnsi="Calibri"/>
                <w:sz w:val="14"/>
                <w:szCs w:val="14"/>
                <w:b w:val="1"/>
                <w:bCs w:val="1"/>
                <w:color w:val="FFFFFF"/>
              </w:rPr>
              <w:t>April 30,</w:t>
            </w:r>
          </w:p>
        </w:tc>
        <w:tc>
          <w:tcPr>
            <w:tcW w:w="760" w:type="dxa"/>
            <w:vAlign w:val="bottom"/>
            <w:shd w:val="clear" w:color="auto" w:fill="43C0B9"/>
          </w:tcPr>
          <w:p>
            <w:pPr>
              <w:spacing w:after="0"/>
              <w:rPr>
                <w:sz w:val="14"/>
                <w:szCs w:val="14"/>
                <w:color w:val="auto"/>
              </w:rPr>
            </w:pPr>
          </w:p>
        </w:tc>
      </w:tr>
      <w:tr>
        <w:trPr>
          <w:trHeight w:val="280"/>
        </w:trPr>
        <w:tc>
          <w:tcPr>
            <w:tcW w:w="796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60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129"/>
              <w:spacing w:after="0"/>
              <w:rPr>
                <w:sz w:val="20"/>
                <w:szCs w:val="20"/>
                <w:color w:val="auto"/>
              </w:rPr>
            </w:pPr>
            <w:r>
              <w:rPr>
                <w:rFonts w:ascii="Calibri" w:cs="Calibri" w:eastAsia="Calibri" w:hAnsi="Calibri"/>
                <w:sz w:val="14"/>
                <w:szCs w:val="14"/>
                <w:b w:val="1"/>
                <w:bCs w:val="1"/>
                <w:color w:val="FFFFFF"/>
              </w:rPr>
              <w:t>2022</w:t>
            </w:r>
          </w:p>
        </w:tc>
        <w:tc>
          <w:tcPr>
            <w:tcW w:w="880" w:type="dxa"/>
            <w:vAlign w:val="bottom"/>
            <w:tcBorders>
              <w:bottom w:val="single" w:sz="8" w:color="43C0B9"/>
            </w:tcBorders>
            <w:shd w:val="clear" w:color="auto" w:fill="43C0B9"/>
          </w:tcPr>
          <w:p>
            <w:pPr>
              <w:spacing w:after="0"/>
              <w:rPr>
                <w:sz w:val="24"/>
                <w:szCs w:val="24"/>
                <w:color w:val="auto"/>
              </w:rPr>
            </w:pPr>
          </w:p>
        </w:tc>
        <w:tc>
          <w:tcPr>
            <w:tcW w:w="76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7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Purchases of property and equipment</w:t>
            </w:r>
          </w:p>
        </w:tc>
        <w:tc>
          <w:tcPr>
            <w:tcW w:w="600" w:type="dxa"/>
            <w:vAlign w:val="bottom"/>
            <w:tcBorders>
              <w:bottom w:val="single" w:sz="8" w:color="DBDBDB"/>
            </w:tcBorders>
            <w:shd w:val="clear" w:color="auto" w:fill="DBDBDB"/>
          </w:tcPr>
          <w:p>
            <w:pPr>
              <w:jc w:val="right"/>
              <w:ind w:right="449"/>
              <w:spacing w:after="0" w:line="169"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(29.1)</w:t>
            </w:r>
          </w:p>
        </w:tc>
        <w:tc>
          <w:tcPr>
            <w:tcW w:w="880" w:type="dxa"/>
            <w:vAlign w:val="bottom"/>
            <w:tcBorders>
              <w:bottom w:val="single" w:sz="8" w:color="DBDBDB"/>
            </w:tcBorders>
            <w:shd w:val="clear" w:color="auto" w:fill="DBDBDB"/>
          </w:tcPr>
          <w:p>
            <w:pPr>
              <w:jc w:val="right"/>
              <w:ind w:right="64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(46.8)</w:t>
            </w:r>
          </w:p>
        </w:tc>
      </w:tr>
      <w:tr>
        <w:trPr>
          <w:trHeight w:val="169"/>
        </w:trPr>
        <w:tc>
          <w:tcPr>
            <w:tcW w:w="7960" w:type="dxa"/>
            <w:vAlign w:val="bottom"/>
          </w:tcPr>
          <w:p>
            <w:pPr>
              <w:ind w:left="20"/>
              <w:spacing w:after="0" w:line="169" w:lineRule="exact"/>
              <w:rPr>
                <w:sz w:val="20"/>
                <w:szCs w:val="20"/>
                <w:color w:val="auto"/>
              </w:rPr>
            </w:pPr>
            <w:r>
              <w:rPr>
                <w:rFonts w:ascii="Calibri" w:cs="Calibri" w:eastAsia="Calibri" w:hAnsi="Calibri"/>
                <w:sz w:val="14"/>
                <w:szCs w:val="14"/>
                <w:color w:val="auto"/>
              </w:rPr>
              <w:t>Proceeds from sale of property, plant and equipment</w:t>
            </w:r>
          </w:p>
        </w:tc>
        <w:tc>
          <w:tcPr>
            <w:tcW w:w="60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2.9</w:t>
            </w:r>
          </w:p>
        </w:tc>
        <w:tc>
          <w:tcPr>
            <w:tcW w:w="8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Calibri" w:cs="Calibri" w:eastAsia="Calibri" w:hAnsi="Calibri"/>
                <w:sz w:val="14"/>
                <w:szCs w:val="14"/>
                <w:color w:val="auto"/>
              </w:rPr>
              <w:t>2.3</w:t>
            </w:r>
          </w:p>
        </w:tc>
      </w:tr>
      <w:tr>
        <w:trPr>
          <w:trHeight w:val="58"/>
        </w:trPr>
        <w:tc>
          <w:tcPr>
            <w:tcW w:w="7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07"/>
        </w:trPr>
        <w:tc>
          <w:tcPr>
            <w:tcW w:w="7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Investment in equity method investees</w:t>
            </w:r>
          </w:p>
        </w:tc>
        <w:tc>
          <w:tcPr>
            <w:tcW w:w="60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88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(0.2)</w:t>
            </w:r>
          </w:p>
        </w:tc>
      </w:tr>
      <w:tr>
        <w:trPr>
          <w:trHeight w:val="169"/>
        </w:trPr>
        <w:tc>
          <w:tcPr>
            <w:tcW w:w="7960" w:type="dxa"/>
            <w:vAlign w:val="bottom"/>
          </w:tcPr>
          <w:p>
            <w:pPr>
              <w:ind w:left="20"/>
              <w:spacing w:after="0" w:line="169" w:lineRule="exact"/>
              <w:rPr>
                <w:sz w:val="20"/>
                <w:szCs w:val="20"/>
                <w:color w:val="auto"/>
              </w:rPr>
            </w:pPr>
            <w:r>
              <w:rPr>
                <w:rFonts w:ascii="Calibri" w:cs="Calibri" w:eastAsia="Calibri" w:hAnsi="Calibri"/>
                <w:sz w:val="14"/>
                <w:szCs w:val="14"/>
                <w:color w:val="auto"/>
              </w:rPr>
              <w:t>Loans to equity method investees</w:t>
            </w:r>
          </w:p>
        </w:tc>
        <w:tc>
          <w:tcPr>
            <w:tcW w:w="600" w:type="dxa"/>
            <w:vAlign w:val="bottom"/>
          </w:tcPr>
          <w:p>
            <w:pPr>
              <w:spacing w:after="0"/>
              <w:rPr>
                <w:sz w:val="14"/>
                <w:szCs w:val="14"/>
                <w:color w:val="auto"/>
              </w:rPr>
            </w:pPr>
          </w:p>
        </w:tc>
        <w:tc>
          <w:tcPr>
            <w:tcW w:w="10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Calibri" w:cs="Calibri" w:eastAsia="Calibri" w:hAnsi="Calibri"/>
                <w:sz w:val="14"/>
                <w:szCs w:val="14"/>
                <w:color w:val="auto"/>
              </w:rPr>
              <w:t>(1.5)</w:t>
            </w:r>
          </w:p>
        </w:tc>
      </w:tr>
      <w:tr>
        <w:trPr>
          <w:trHeight w:val="58"/>
        </w:trPr>
        <w:tc>
          <w:tcPr>
            <w:tcW w:w="7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07"/>
        </w:trPr>
        <w:tc>
          <w:tcPr>
            <w:tcW w:w="7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Loan repayments from equity method investees</w:t>
            </w:r>
          </w:p>
        </w:tc>
        <w:tc>
          <w:tcPr>
            <w:tcW w:w="60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1.0</w:t>
            </w:r>
          </w:p>
        </w:tc>
        <w:tc>
          <w:tcPr>
            <w:tcW w:w="88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1.5</w:t>
            </w:r>
          </w:p>
        </w:tc>
      </w:tr>
      <w:tr>
        <w:trPr>
          <w:trHeight w:val="169"/>
        </w:trPr>
        <w:tc>
          <w:tcPr>
            <w:tcW w:w="7960" w:type="dxa"/>
            <w:vAlign w:val="bottom"/>
          </w:tcPr>
          <w:p>
            <w:pPr>
              <w:ind w:left="20"/>
              <w:spacing w:after="0" w:line="169" w:lineRule="exact"/>
              <w:rPr>
                <w:sz w:val="20"/>
                <w:szCs w:val="20"/>
                <w:color w:val="auto"/>
              </w:rPr>
            </w:pPr>
            <w:r>
              <w:rPr>
                <w:rFonts w:ascii="Calibri" w:cs="Calibri" w:eastAsia="Calibri" w:hAnsi="Calibri"/>
                <w:sz w:val="14"/>
                <w:szCs w:val="14"/>
                <w:color w:val="auto"/>
              </w:rPr>
              <w:t>Other</w:t>
            </w:r>
          </w:p>
        </w:tc>
        <w:tc>
          <w:tcPr>
            <w:tcW w:w="600" w:type="dxa"/>
            <w:vAlign w:val="bottom"/>
          </w:tcPr>
          <w:p>
            <w:pPr>
              <w:spacing w:after="0"/>
              <w:rPr>
                <w:sz w:val="14"/>
                <w:szCs w:val="14"/>
                <w:color w:val="auto"/>
              </w:rPr>
            </w:pPr>
          </w:p>
        </w:tc>
        <w:tc>
          <w:tcPr>
            <w:tcW w:w="10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(0.3)</w:t>
            </w:r>
          </w:p>
        </w:tc>
        <w:tc>
          <w:tcPr>
            <w:tcW w:w="8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Calibri" w:cs="Calibri" w:eastAsia="Calibri" w:hAnsi="Calibri"/>
                <w:sz w:val="14"/>
                <w:szCs w:val="14"/>
                <w:color w:val="auto"/>
              </w:rPr>
              <w:t>(0.3)</w:t>
            </w:r>
          </w:p>
        </w:tc>
      </w:tr>
      <w:tr>
        <w:trPr>
          <w:trHeight w:val="58"/>
        </w:trPr>
        <w:tc>
          <w:tcPr>
            <w:tcW w:w="7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201"/>
        </w:trPr>
        <w:tc>
          <w:tcPr>
            <w:tcW w:w="7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cash used in investng actvites</w:t>
            </w:r>
          </w:p>
        </w:tc>
        <w:tc>
          <w:tcPr>
            <w:tcW w:w="600" w:type="dxa"/>
            <w:vAlign w:val="bottom"/>
            <w:tcBorders>
              <w:bottom w:val="single" w:sz="8" w:color="DBDBDB"/>
            </w:tcBorders>
            <w:shd w:val="clear" w:color="auto" w:fill="DBDBDB"/>
          </w:tcPr>
          <w:p>
            <w:pPr>
              <w:jc w:val="right"/>
              <w:ind w:right="44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(25.8)</w:t>
            </w:r>
          </w:p>
        </w:tc>
        <w:tc>
          <w:tcPr>
            <w:tcW w:w="880" w:type="dxa"/>
            <w:vAlign w:val="bottom"/>
            <w:tcBorders>
              <w:bottom w:val="single" w:sz="8" w:color="DBDBDB"/>
            </w:tcBorders>
            <w:shd w:val="clear" w:color="auto" w:fill="DBDBDB"/>
          </w:tcPr>
          <w:p>
            <w:pPr>
              <w:jc w:val="right"/>
              <w:ind w:right="649"/>
              <w:spacing w:after="0" w:line="162"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(45.0)</w:t>
            </w:r>
          </w:p>
        </w:tc>
      </w:tr>
      <w:tr>
        <w:trPr>
          <w:trHeight w:val="20"/>
        </w:trPr>
        <w:tc>
          <w:tcPr>
            <w:tcW w:w="7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-1179830</wp:posOffset>
            </wp:positionV>
            <wp:extent cx="2089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Property, plant and equipment</w:t>
      </w:r>
    </w:p>
    <w:p>
      <w:pPr>
        <w:spacing w:after="0" w:line="209" w:lineRule="exact"/>
        <w:rPr>
          <w:sz w:val="20"/>
          <w:szCs w:val="20"/>
          <w:color w:val="auto"/>
        </w:rPr>
      </w:pPr>
    </w:p>
    <w:p>
      <w:pPr>
        <w:ind w:right="320" w:firstLine="642"/>
        <w:spacing w:after="0" w:line="242" w:lineRule="auto"/>
        <w:rPr>
          <w:sz w:val="20"/>
          <w:szCs w:val="20"/>
          <w:color w:val="auto"/>
        </w:rPr>
      </w:pPr>
      <w:r>
        <w:rPr>
          <w:rFonts w:ascii="Calibri" w:cs="Calibri" w:eastAsia="Calibri" w:hAnsi="Calibri"/>
          <w:sz w:val="16"/>
          <w:szCs w:val="16"/>
          <w:color w:val="auto"/>
        </w:rPr>
        <w:t>In the six months ended April 30, 2022, capital expenditures were concentrated in the purchase of farmland in Peru as well as land improvements and orchard development in Peru and Guatemala.</w:t>
      </w:r>
    </w:p>
    <w:p>
      <w:pPr>
        <w:spacing w:after="0" w:line="208" w:lineRule="exact"/>
        <w:rPr>
          <w:sz w:val="20"/>
          <w:szCs w:val="20"/>
          <w:color w:val="auto"/>
        </w:rPr>
      </w:pPr>
    </w:p>
    <w:p>
      <w:pPr>
        <w:ind w:right="220" w:firstLine="642"/>
        <w:spacing w:after="0" w:line="233" w:lineRule="auto"/>
        <w:rPr>
          <w:sz w:val="20"/>
          <w:szCs w:val="20"/>
          <w:color w:val="auto"/>
        </w:rPr>
      </w:pPr>
      <w:r>
        <w:rPr>
          <w:rFonts w:ascii="Calibri" w:cs="Calibri" w:eastAsia="Calibri" w:hAnsi="Calibri"/>
          <w:sz w:val="16"/>
          <w:szCs w:val="16"/>
          <w:color w:val="auto"/>
        </w:rPr>
        <w:t>In the six months ended April 30, 2021, capital expenditures were for the constructon of the Laredo facility, which formally opened in May 2021, as well as land improvements and orchard development in Peru and Guatemala.</w:t>
      </w:r>
    </w:p>
    <w:p>
      <w:pPr>
        <w:spacing w:after="0" w:line="223" w:lineRule="exact"/>
        <w:rPr>
          <w:sz w:val="20"/>
          <w:szCs w:val="20"/>
          <w:color w:val="auto"/>
        </w:rPr>
      </w:pPr>
    </w:p>
    <w:p>
      <w:pPr>
        <w:ind w:right="100" w:firstLine="642"/>
        <w:spacing w:after="0" w:line="237" w:lineRule="auto"/>
        <w:rPr>
          <w:sz w:val="20"/>
          <w:szCs w:val="20"/>
          <w:color w:val="auto"/>
        </w:rPr>
      </w:pPr>
      <w:r>
        <w:rPr>
          <w:rFonts w:ascii="Calibri" w:cs="Calibri" w:eastAsia="Calibri" w:hAnsi="Calibri"/>
          <w:sz w:val="16"/>
          <w:szCs w:val="16"/>
          <w:color w:val="auto"/>
        </w:rPr>
        <w:t>Proceeds from the sale of property, plant and equipment in the six months ended April 30, 2022 were for land that had been originally intended for use as our corporate headquarters, and in the six months ended April 30, 2021, proceeds were primarily from the sale of two mult-unit housing propertes in California that had been used for housing seasonal avocado labor contractors.</w:t>
      </w:r>
    </w:p>
    <w:p>
      <w:pPr>
        <w:spacing w:after="0" w:line="207"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Equity method investees</w:t>
      </w:r>
    </w:p>
    <w:p>
      <w:pPr>
        <w:spacing w:after="0" w:line="209" w:lineRule="exact"/>
        <w:rPr>
          <w:sz w:val="20"/>
          <w:szCs w:val="20"/>
          <w:color w:val="auto"/>
        </w:rPr>
      </w:pPr>
    </w:p>
    <w:p>
      <w:pPr>
        <w:ind w:right="200" w:firstLine="642"/>
        <w:spacing w:after="0" w:line="242" w:lineRule="auto"/>
        <w:rPr>
          <w:sz w:val="20"/>
          <w:szCs w:val="20"/>
          <w:color w:val="auto"/>
        </w:rPr>
      </w:pPr>
      <w:r>
        <w:rPr>
          <w:rFonts w:ascii="Calibri" w:cs="Calibri" w:eastAsia="Calibri" w:hAnsi="Calibri"/>
          <w:sz w:val="16"/>
          <w:szCs w:val="16"/>
          <w:color w:val="auto"/>
        </w:rPr>
        <w:t>In the six months ended April 30, 2022 and 2021, we made capital contributons to our joint venture Copaltas, to support the purchase of additonal farmland in Colombia. We also received installment payments in both years on outstanding loans made to Moruga.</w:t>
      </w:r>
    </w:p>
    <w:p>
      <w:pPr>
        <w:spacing w:after="0" w:line="205"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In the six months ended April 30, 2022 we also made a capital contributon to Mr. Avocado to support the additon of a new distributon facility in southern China.</w:t>
      </w:r>
    </w:p>
    <w:p>
      <w:pPr>
        <w:spacing w:after="0" w:line="222" w:lineRule="exact"/>
        <w:rPr>
          <w:sz w:val="20"/>
          <w:szCs w:val="20"/>
          <w:color w:val="auto"/>
        </w:rPr>
      </w:pPr>
    </w:p>
    <w:p>
      <w:pPr>
        <w:ind w:right="300" w:firstLine="642"/>
        <w:spacing w:after="0" w:line="233" w:lineRule="auto"/>
        <w:rPr>
          <w:sz w:val="20"/>
          <w:szCs w:val="20"/>
          <w:color w:val="auto"/>
        </w:rPr>
      </w:pPr>
      <w:r>
        <w:rPr>
          <w:rFonts w:ascii="Calibri" w:cs="Calibri" w:eastAsia="Calibri" w:hAnsi="Calibri"/>
          <w:sz w:val="16"/>
          <w:szCs w:val="16"/>
          <w:color w:val="auto"/>
        </w:rPr>
        <w:t>In the six months ended April 30, 2021 we issued a $1.5 million loan to Copaltas to support the working capital needs of the entty and received an installment payment on our outstanding loan to Moruga.</w:t>
      </w:r>
    </w:p>
    <w:p>
      <w:pPr>
        <w:spacing w:after="0" w:line="20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Financing actvites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60" w:type="dxa"/>
            <w:vAlign w:val="bottom"/>
            <w:shd w:val="clear" w:color="auto" w:fill="43C0B9"/>
          </w:tcPr>
          <w:p>
            <w:pPr>
              <w:spacing w:after="0"/>
              <w:rPr>
                <w:sz w:val="15"/>
                <w:szCs w:val="15"/>
                <w:color w:val="auto"/>
              </w:rPr>
            </w:pPr>
          </w:p>
        </w:tc>
        <w:tc>
          <w:tcPr>
            <w:tcW w:w="600" w:type="dxa"/>
            <w:vAlign w:val="bottom"/>
            <w:shd w:val="clear" w:color="auto" w:fill="43C0B9"/>
          </w:tcPr>
          <w:p>
            <w:pPr>
              <w:spacing w:after="0"/>
              <w:rPr>
                <w:sz w:val="15"/>
                <w:szCs w:val="15"/>
                <w:color w:val="auto"/>
              </w:rPr>
            </w:pPr>
          </w:p>
        </w:tc>
        <w:tc>
          <w:tcPr>
            <w:tcW w:w="1920" w:type="dxa"/>
            <w:vAlign w:val="bottom"/>
            <w:gridSpan w:val="2"/>
            <w:shd w:val="clear" w:color="auto" w:fill="43C0B9"/>
          </w:tcPr>
          <w:p>
            <w:pPr>
              <w:jc w:val="right"/>
              <w:ind w:right="289"/>
              <w:spacing w:after="0"/>
              <w:rPr>
                <w:sz w:val="20"/>
                <w:szCs w:val="20"/>
                <w:color w:val="auto"/>
              </w:rPr>
            </w:pPr>
            <w:r>
              <w:rPr>
                <w:rFonts w:ascii="Calibri" w:cs="Calibri" w:eastAsia="Calibri" w:hAnsi="Calibri"/>
                <w:sz w:val="14"/>
                <w:szCs w:val="14"/>
                <w:b w:val="1"/>
                <w:bCs w:val="1"/>
                <w:color w:val="FFFFFF"/>
              </w:rPr>
              <w:t>Six Months Ended</w:t>
            </w:r>
          </w:p>
        </w:tc>
        <w:tc>
          <w:tcPr>
            <w:tcW w:w="760" w:type="dxa"/>
            <w:vAlign w:val="bottom"/>
            <w:shd w:val="clear" w:color="auto" w:fill="43C0B9"/>
          </w:tcPr>
          <w:p>
            <w:pPr>
              <w:spacing w:after="0"/>
              <w:rPr>
                <w:sz w:val="15"/>
                <w:szCs w:val="15"/>
                <w:color w:val="auto"/>
              </w:rPr>
            </w:pPr>
          </w:p>
        </w:tc>
      </w:tr>
      <w:tr>
        <w:trPr>
          <w:trHeight w:val="169"/>
        </w:trPr>
        <w:tc>
          <w:tcPr>
            <w:tcW w:w="7960" w:type="dxa"/>
            <w:vAlign w:val="bottom"/>
            <w:shd w:val="clear" w:color="auto" w:fill="43C0B9"/>
          </w:tcPr>
          <w:p>
            <w:pPr>
              <w:spacing w:after="0"/>
              <w:rPr>
                <w:sz w:val="14"/>
                <w:szCs w:val="14"/>
                <w:color w:val="auto"/>
              </w:rPr>
            </w:pPr>
          </w:p>
        </w:tc>
        <w:tc>
          <w:tcPr>
            <w:tcW w:w="600" w:type="dxa"/>
            <w:vAlign w:val="bottom"/>
            <w:shd w:val="clear" w:color="auto" w:fill="43C0B9"/>
          </w:tcPr>
          <w:p>
            <w:pPr>
              <w:spacing w:after="0"/>
              <w:rPr>
                <w:sz w:val="14"/>
                <w:szCs w:val="14"/>
                <w:color w:val="auto"/>
              </w:rPr>
            </w:pPr>
          </w:p>
        </w:tc>
        <w:tc>
          <w:tcPr>
            <w:tcW w:w="1920" w:type="dxa"/>
            <w:vAlign w:val="bottom"/>
            <w:gridSpan w:val="2"/>
            <w:shd w:val="clear" w:color="auto" w:fill="43C0B9"/>
          </w:tcPr>
          <w:p>
            <w:pPr>
              <w:jc w:val="right"/>
              <w:ind w:right="569"/>
              <w:spacing w:after="0" w:line="169" w:lineRule="exact"/>
              <w:rPr>
                <w:sz w:val="20"/>
                <w:szCs w:val="20"/>
                <w:color w:val="auto"/>
              </w:rPr>
            </w:pPr>
            <w:r>
              <w:rPr>
                <w:rFonts w:ascii="Calibri" w:cs="Calibri" w:eastAsia="Calibri" w:hAnsi="Calibri"/>
                <w:sz w:val="14"/>
                <w:szCs w:val="14"/>
                <w:b w:val="1"/>
                <w:bCs w:val="1"/>
                <w:color w:val="FFFFFF"/>
              </w:rPr>
              <w:t>April 30,</w:t>
            </w:r>
          </w:p>
        </w:tc>
        <w:tc>
          <w:tcPr>
            <w:tcW w:w="760" w:type="dxa"/>
            <w:vAlign w:val="bottom"/>
            <w:shd w:val="clear" w:color="auto" w:fill="43C0B9"/>
          </w:tcPr>
          <w:p>
            <w:pPr>
              <w:spacing w:after="0"/>
              <w:rPr>
                <w:sz w:val="14"/>
                <w:szCs w:val="14"/>
                <w:color w:val="auto"/>
              </w:rPr>
            </w:pPr>
          </w:p>
        </w:tc>
      </w:tr>
      <w:tr>
        <w:trPr>
          <w:trHeight w:val="280"/>
        </w:trPr>
        <w:tc>
          <w:tcPr>
            <w:tcW w:w="796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600" w:type="dxa"/>
            <w:vAlign w:val="bottom"/>
            <w:tcBorders>
              <w:bottom w:val="single" w:sz="8" w:color="43C0B9"/>
            </w:tcBorders>
            <w:shd w:val="clear" w:color="auto" w:fill="43C0B9"/>
          </w:tcPr>
          <w:p>
            <w:pPr>
              <w:spacing w:after="0"/>
              <w:rPr>
                <w:sz w:val="24"/>
                <w:szCs w:val="24"/>
                <w:color w:val="auto"/>
              </w:rPr>
            </w:pPr>
          </w:p>
        </w:tc>
        <w:tc>
          <w:tcPr>
            <w:tcW w:w="1040" w:type="dxa"/>
            <w:vAlign w:val="bottom"/>
            <w:tcBorders>
              <w:bottom w:val="single" w:sz="8" w:color="43C0B9"/>
            </w:tcBorders>
            <w:shd w:val="clear" w:color="auto" w:fill="43C0B9"/>
          </w:tcPr>
          <w:p>
            <w:pPr>
              <w:jc w:val="right"/>
              <w:ind w:right="129"/>
              <w:spacing w:after="0"/>
              <w:rPr>
                <w:sz w:val="20"/>
                <w:szCs w:val="20"/>
                <w:color w:val="auto"/>
              </w:rPr>
            </w:pPr>
            <w:r>
              <w:rPr>
                <w:rFonts w:ascii="Calibri" w:cs="Calibri" w:eastAsia="Calibri" w:hAnsi="Calibri"/>
                <w:sz w:val="14"/>
                <w:szCs w:val="14"/>
                <w:b w:val="1"/>
                <w:bCs w:val="1"/>
                <w:color w:val="FFFFFF"/>
              </w:rPr>
              <w:t>2022</w:t>
            </w:r>
          </w:p>
        </w:tc>
        <w:tc>
          <w:tcPr>
            <w:tcW w:w="880" w:type="dxa"/>
            <w:vAlign w:val="bottom"/>
            <w:tcBorders>
              <w:bottom w:val="single" w:sz="8" w:color="43C0B9"/>
            </w:tcBorders>
            <w:shd w:val="clear" w:color="auto" w:fill="43C0B9"/>
          </w:tcPr>
          <w:p>
            <w:pPr>
              <w:spacing w:after="0"/>
              <w:rPr>
                <w:sz w:val="24"/>
                <w:szCs w:val="24"/>
                <w:color w:val="auto"/>
              </w:rPr>
            </w:pPr>
          </w:p>
        </w:tc>
        <w:tc>
          <w:tcPr>
            <w:tcW w:w="760" w:type="dxa"/>
            <w:vAlign w:val="bottom"/>
            <w:tcBorders>
              <w:bottom w:val="single" w:sz="8" w:color="43C0B9"/>
            </w:tcBorders>
            <w:shd w:val="clear" w:color="auto" w:fill="43C0B9"/>
          </w:tcPr>
          <w:p>
            <w:pPr>
              <w:jc w:val="right"/>
              <w:ind w:right="49"/>
              <w:spacing w:after="0"/>
              <w:rPr>
                <w:sz w:val="20"/>
                <w:szCs w:val="20"/>
                <w:color w:val="auto"/>
              </w:rPr>
            </w:pPr>
            <w:r>
              <w:rPr>
                <w:rFonts w:ascii="Calibri" w:cs="Calibri" w:eastAsia="Calibri" w:hAnsi="Calibri"/>
                <w:sz w:val="14"/>
                <w:szCs w:val="14"/>
                <w:b w:val="1"/>
                <w:bCs w:val="1"/>
                <w:color w:val="FFFFFF"/>
              </w:rPr>
              <w:t>2021</w:t>
            </w:r>
          </w:p>
        </w:tc>
      </w:tr>
      <w:tr>
        <w:trPr>
          <w:trHeight w:val="207"/>
        </w:trPr>
        <w:tc>
          <w:tcPr>
            <w:tcW w:w="7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Borrowings on revolving credit facility</w:t>
            </w:r>
          </w:p>
        </w:tc>
        <w:tc>
          <w:tcPr>
            <w:tcW w:w="600" w:type="dxa"/>
            <w:vAlign w:val="bottom"/>
            <w:tcBorders>
              <w:bottom w:val="single" w:sz="8" w:color="DBDBDB"/>
            </w:tcBorders>
            <w:shd w:val="clear" w:color="auto" w:fill="DBDBDB"/>
          </w:tcPr>
          <w:p>
            <w:pPr>
              <w:jc w:val="right"/>
              <w:ind w:right="449"/>
              <w:spacing w:after="0" w:line="169"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right"/>
              <w:ind w:right="49"/>
              <w:spacing w:after="0" w:line="169" w:lineRule="exact"/>
              <w:rPr>
                <w:sz w:val="20"/>
                <w:szCs w:val="20"/>
                <w:color w:val="auto"/>
              </w:rPr>
            </w:pPr>
            <w:r>
              <w:rPr>
                <w:rFonts w:ascii="Calibri" w:cs="Calibri" w:eastAsia="Calibri" w:hAnsi="Calibri"/>
                <w:sz w:val="14"/>
                <w:szCs w:val="14"/>
                <w:color w:val="auto"/>
              </w:rPr>
              <w:t>20.0</w:t>
            </w:r>
          </w:p>
        </w:tc>
        <w:tc>
          <w:tcPr>
            <w:tcW w:w="880" w:type="dxa"/>
            <w:vAlign w:val="bottom"/>
            <w:tcBorders>
              <w:bottom w:val="single" w:sz="8" w:color="DBDBDB"/>
            </w:tcBorders>
            <w:shd w:val="clear" w:color="auto" w:fill="DBDBDB"/>
          </w:tcPr>
          <w:p>
            <w:pPr>
              <w:jc w:val="right"/>
              <w:ind w:right="64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69"/>
        </w:trPr>
        <w:tc>
          <w:tcPr>
            <w:tcW w:w="7960" w:type="dxa"/>
            <w:vAlign w:val="bottom"/>
          </w:tcPr>
          <w:p>
            <w:pPr>
              <w:ind w:left="20"/>
              <w:spacing w:after="0" w:line="169" w:lineRule="exact"/>
              <w:rPr>
                <w:sz w:val="20"/>
                <w:szCs w:val="20"/>
                <w:color w:val="auto"/>
              </w:rPr>
            </w:pPr>
            <w:r>
              <w:rPr>
                <w:rFonts w:ascii="Calibri" w:cs="Calibri" w:eastAsia="Calibri" w:hAnsi="Calibri"/>
                <w:sz w:val="14"/>
                <w:szCs w:val="14"/>
                <w:color w:val="auto"/>
              </w:rPr>
              <w:t>Payments on revolving credit facility</w:t>
            </w:r>
          </w:p>
        </w:tc>
        <w:tc>
          <w:tcPr>
            <w:tcW w:w="600" w:type="dxa"/>
            <w:vAlign w:val="bottom"/>
          </w:tcPr>
          <w:p>
            <w:pPr>
              <w:spacing w:after="0"/>
              <w:rPr>
                <w:sz w:val="14"/>
                <w:szCs w:val="14"/>
                <w:color w:val="auto"/>
              </w:rPr>
            </w:pPr>
          </w:p>
        </w:tc>
        <w:tc>
          <w:tcPr>
            <w:tcW w:w="10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(20.0)</w:t>
            </w:r>
          </w:p>
        </w:tc>
        <w:tc>
          <w:tcPr>
            <w:tcW w:w="8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58"/>
        </w:trPr>
        <w:tc>
          <w:tcPr>
            <w:tcW w:w="7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07"/>
        </w:trPr>
        <w:tc>
          <w:tcPr>
            <w:tcW w:w="796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Principal payments on long-term borrowings</w:t>
            </w:r>
          </w:p>
        </w:tc>
        <w:tc>
          <w:tcPr>
            <w:tcW w:w="60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(4.4)</w:t>
            </w:r>
          </w:p>
        </w:tc>
        <w:tc>
          <w:tcPr>
            <w:tcW w:w="88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(3.9)</w:t>
            </w:r>
          </w:p>
        </w:tc>
      </w:tr>
      <w:tr>
        <w:trPr>
          <w:trHeight w:val="169"/>
        </w:trPr>
        <w:tc>
          <w:tcPr>
            <w:tcW w:w="7960" w:type="dxa"/>
            <w:vAlign w:val="bottom"/>
          </w:tcPr>
          <w:p>
            <w:pPr>
              <w:ind w:left="20"/>
              <w:spacing w:after="0" w:line="169" w:lineRule="exact"/>
              <w:rPr>
                <w:sz w:val="20"/>
                <w:szCs w:val="20"/>
                <w:color w:val="auto"/>
              </w:rPr>
            </w:pPr>
            <w:r>
              <w:rPr>
                <w:rFonts w:ascii="Calibri" w:cs="Calibri" w:eastAsia="Calibri" w:hAnsi="Calibri"/>
                <w:sz w:val="14"/>
                <w:szCs w:val="14"/>
                <w:color w:val="auto"/>
              </w:rPr>
              <w:t>Principal payments on fnance lease obligatons</w:t>
            </w:r>
          </w:p>
        </w:tc>
        <w:tc>
          <w:tcPr>
            <w:tcW w:w="600" w:type="dxa"/>
            <w:vAlign w:val="bottom"/>
          </w:tcPr>
          <w:p>
            <w:pPr>
              <w:spacing w:after="0"/>
              <w:rPr>
                <w:sz w:val="14"/>
                <w:szCs w:val="14"/>
                <w:color w:val="auto"/>
              </w:rPr>
            </w:pPr>
          </w:p>
        </w:tc>
        <w:tc>
          <w:tcPr>
            <w:tcW w:w="10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(0.6)</w:t>
            </w:r>
          </w:p>
        </w:tc>
        <w:tc>
          <w:tcPr>
            <w:tcW w:w="8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Calibri" w:cs="Calibri" w:eastAsia="Calibri" w:hAnsi="Calibri"/>
                <w:sz w:val="14"/>
                <w:szCs w:val="14"/>
                <w:color w:val="auto"/>
              </w:rPr>
              <w:t>(0.6)</w:t>
            </w:r>
          </w:p>
        </w:tc>
      </w:tr>
      <w:tr>
        <w:trPr>
          <w:trHeight w:val="58"/>
        </w:trPr>
        <w:tc>
          <w:tcPr>
            <w:tcW w:w="7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201"/>
        </w:trPr>
        <w:tc>
          <w:tcPr>
            <w:tcW w:w="7960" w:type="dxa"/>
            <w:vAlign w:val="bottom"/>
            <w:tcBorders>
              <w:bottom w:val="single" w:sz="8" w:color="DBDBDB"/>
            </w:tcBorders>
            <w:shd w:val="clear" w:color="auto" w:fill="DBDBDB"/>
          </w:tcPr>
          <w:p>
            <w:pPr>
              <w:ind w:left="20"/>
              <w:spacing w:after="0" w:line="162" w:lineRule="exact"/>
              <w:rPr>
                <w:sz w:val="20"/>
                <w:szCs w:val="20"/>
                <w:color w:val="auto"/>
              </w:rPr>
            </w:pPr>
            <w:r>
              <w:rPr>
                <w:rFonts w:ascii="Calibri" w:cs="Calibri" w:eastAsia="Calibri" w:hAnsi="Calibri"/>
                <w:sz w:val="14"/>
                <w:szCs w:val="14"/>
                <w:color w:val="auto"/>
              </w:rPr>
              <w:t>Net cash used in fnancing actvites</w:t>
            </w:r>
          </w:p>
        </w:tc>
        <w:tc>
          <w:tcPr>
            <w:tcW w:w="600" w:type="dxa"/>
            <w:vAlign w:val="bottom"/>
            <w:tcBorders>
              <w:bottom w:val="single" w:sz="8" w:color="DBDBDB"/>
            </w:tcBorders>
            <w:shd w:val="clear" w:color="auto" w:fill="DBDBDB"/>
          </w:tcPr>
          <w:p>
            <w:pPr>
              <w:jc w:val="right"/>
              <w:ind w:right="449"/>
              <w:spacing w:after="0" w:line="162" w:lineRule="exact"/>
              <w:rPr>
                <w:sz w:val="20"/>
                <w:szCs w:val="20"/>
                <w:color w:val="auto"/>
              </w:rPr>
            </w:pPr>
            <w:r>
              <w:rPr>
                <w:rFonts w:ascii="Calibri" w:cs="Calibri" w:eastAsia="Calibri" w:hAnsi="Calibri"/>
                <w:sz w:val="14"/>
                <w:szCs w:val="14"/>
                <w:color w:val="auto"/>
                <w:w w:val="83"/>
              </w:rPr>
              <w:t>$</w:t>
            </w:r>
          </w:p>
        </w:tc>
        <w:tc>
          <w:tcPr>
            <w:tcW w:w="1040" w:type="dxa"/>
            <w:vAlign w:val="bottom"/>
            <w:tcBorders>
              <w:bottom w:val="single" w:sz="8" w:color="DBDBDB"/>
            </w:tcBorders>
            <w:shd w:val="clear" w:color="auto" w:fill="DBDBDB"/>
          </w:tcPr>
          <w:p>
            <w:pPr>
              <w:jc w:val="right"/>
              <w:ind w:right="29"/>
              <w:spacing w:after="0" w:line="162" w:lineRule="exact"/>
              <w:rPr>
                <w:sz w:val="20"/>
                <w:szCs w:val="20"/>
                <w:color w:val="auto"/>
              </w:rPr>
            </w:pPr>
            <w:r>
              <w:rPr>
                <w:rFonts w:ascii="Calibri" w:cs="Calibri" w:eastAsia="Calibri" w:hAnsi="Calibri"/>
                <w:sz w:val="14"/>
                <w:szCs w:val="14"/>
                <w:color w:val="auto"/>
              </w:rPr>
              <w:t>(5.0)</w:t>
            </w:r>
          </w:p>
        </w:tc>
        <w:tc>
          <w:tcPr>
            <w:tcW w:w="880" w:type="dxa"/>
            <w:vAlign w:val="bottom"/>
            <w:tcBorders>
              <w:bottom w:val="single" w:sz="8" w:color="DBDBDB"/>
            </w:tcBorders>
            <w:shd w:val="clear" w:color="auto" w:fill="DBDBDB"/>
          </w:tcPr>
          <w:p>
            <w:pPr>
              <w:jc w:val="right"/>
              <w:ind w:right="649"/>
              <w:spacing w:after="0" w:line="162"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DBDBDB"/>
            </w:tcBorders>
            <w:shd w:val="clear" w:color="auto" w:fill="DBDBDB"/>
          </w:tcPr>
          <w:p>
            <w:pPr>
              <w:jc w:val="right"/>
              <w:spacing w:after="0" w:line="162" w:lineRule="exact"/>
              <w:rPr>
                <w:sz w:val="20"/>
                <w:szCs w:val="20"/>
                <w:color w:val="auto"/>
              </w:rPr>
            </w:pPr>
            <w:r>
              <w:rPr>
                <w:rFonts w:ascii="Calibri" w:cs="Calibri" w:eastAsia="Calibri" w:hAnsi="Calibri"/>
                <w:sz w:val="14"/>
                <w:szCs w:val="14"/>
                <w:color w:val="auto"/>
              </w:rPr>
              <w:t>(4.5)</w:t>
            </w:r>
          </w:p>
        </w:tc>
      </w:tr>
      <w:tr>
        <w:trPr>
          <w:trHeight w:val="20"/>
        </w:trPr>
        <w:tc>
          <w:tcPr>
            <w:tcW w:w="7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-890905</wp:posOffset>
            </wp:positionV>
            <wp:extent cx="20891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Borrowings and repayments of debt</w:t>
      </w:r>
    </w:p>
    <w:p>
      <w:pPr>
        <w:spacing w:after="0" w:line="222" w:lineRule="exact"/>
        <w:rPr>
          <w:sz w:val="20"/>
          <w:szCs w:val="20"/>
          <w:color w:val="auto"/>
        </w:rPr>
      </w:pPr>
    </w:p>
    <w:p>
      <w:pPr>
        <w:jc w:val="both"/>
        <w:ind w:firstLine="642"/>
        <w:spacing w:after="0" w:line="233" w:lineRule="auto"/>
        <w:rPr>
          <w:sz w:val="20"/>
          <w:szCs w:val="20"/>
          <w:color w:val="auto"/>
        </w:rPr>
      </w:pPr>
      <w:r>
        <w:rPr>
          <w:rFonts w:ascii="Calibri" w:cs="Calibri" w:eastAsia="Calibri" w:hAnsi="Calibri"/>
          <w:sz w:val="16"/>
          <w:szCs w:val="16"/>
          <w:color w:val="auto"/>
        </w:rPr>
        <w:t>We utlize a revolving line of credit for short-term working capital purposes. Principal payments on our term loans and other notes payable are made in accordance with debt maturity schedules.</w:t>
      </w:r>
    </w:p>
    <w:p>
      <w:pPr>
        <w:spacing w:after="0" w:line="22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Capital resources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Borders>
              <w:bottom w:val="single" w:sz="8" w:color="43C0B9"/>
            </w:tcBorders>
            <w:shd w:val="clear" w:color="auto" w:fill="43C0B9"/>
          </w:tcPr>
          <w:p>
            <w:pPr>
              <w:ind w:left="20"/>
              <w:spacing w:after="0"/>
              <w:rPr>
                <w:sz w:val="20"/>
                <w:szCs w:val="20"/>
                <w:color w:val="auto"/>
              </w:rPr>
            </w:pPr>
            <w:r>
              <w:rPr>
                <w:rFonts w:ascii="Calibri" w:cs="Calibri" w:eastAsia="Calibri" w:hAnsi="Calibri"/>
                <w:sz w:val="14"/>
                <w:szCs w:val="14"/>
                <w:b w:val="1"/>
                <w:bCs w:val="1"/>
                <w:color w:val="FFFFFF"/>
              </w:rPr>
              <w:t>(In millions)</w:t>
            </w:r>
          </w:p>
        </w:tc>
        <w:tc>
          <w:tcPr>
            <w:tcW w:w="3640" w:type="dxa"/>
            <w:vAlign w:val="bottom"/>
            <w:tcBorders>
              <w:bottom w:val="single" w:sz="8" w:color="43C0B9"/>
            </w:tcBorders>
            <w:shd w:val="clear" w:color="auto" w:fill="43C0B9"/>
          </w:tcPr>
          <w:p>
            <w:pPr>
              <w:spacing w:after="0"/>
              <w:rPr>
                <w:sz w:val="18"/>
                <w:szCs w:val="18"/>
                <w:color w:val="auto"/>
              </w:rPr>
            </w:pPr>
          </w:p>
        </w:tc>
        <w:tc>
          <w:tcPr>
            <w:tcW w:w="120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April 30, 2022</w:t>
            </w:r>
          </w:p>
        </w:tc>
        <w:tc>
          <w:tcPr>
            <w:tcW w:w="360" w:type="dxa"/>
            <w:vAlign w:val="bottom"/>
            <w:tcBorders>
              <w:bottom w:val="single" w:sz="8" w:color="43C0B9"/>
            </w:tcBorders>
            <w:shd w:val="clear" w:color="auto" w:fill="43C0B9"/>
          </w:tcPr>
          <w:p>
            <w:pPr>
              <w:spacing w:after="0"/>
              <w:rPr>
                <w:sz w:val="18"/>
                <w:szCs w:val="18"/>
                <w:color w:val="auto"/>
              </w:rPr>
            </w:pPr>
          </w:p>
        </w:tc>
        <w:tc>
          <w:tcPr>
            <w:tcW w:w="1260" w:type="dxa"/>
            <w:vAlign w:val="bottom"/>
            <w:tcBorders>
              <w:bottom w:val="single" w:sz="8" w:color="43C0B9"/>
            </w:tcBorders>
            <w:shd w:val="clear" w:color="auto" w:fill="43C0B9"/>
          </w:tcPr>
          <w:p>
            <w:pPr>
              <w:jc w:val="right"/>
              <w:spacing w:after="0"/>
              <w:rPr>
                <w:sz w:val="20"/>
                <w:szCs w:val="20"/>
                <w:color w:val="auto"/>
              </w:rPr>
            </w:pPr>
            <w:r>
              <w:rPr>
                <w:rFonts w:ascii="Calibri" w:cs="Calibri" w:eastAsia="Calibri" w:hAnsi="Calibri"/>
                <w:sz w:val="14"/>
                <w:szCs w:val="14"/>
                <w:b w:val="1"/>
                <w:bCs w:val="1"/>
                <w:color w:val="FFFFFF"/>
              </w:rPr>
              <w:t>October 31, 2021</w:t>
            </w:r>
          </w:p>
        </w:tc>
      </w:tr>
      <w:tr>
        <w:trPr>
          <w:trHeight w:val="207"/>
        </w:trPr>
        <w:tc>
          <w:tcPr>
            <w:tcW w:w="4780" w:type="dxa"/>
            <w:vAlign w:val="bottom"/>
            <w:tcBorders>
              <w:bottom w:val="single" w:sz="8" w:color="DBDBDB"/>
            </w:tcBorders>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Cash and cash equivalents</w:t>
            </w:r>
          </w:p>
        </w:tc>
        <w:tc>
          <w:tcPr>
            <w:tcW w:w="3640" w:type="dxa"/>
            <w:vAlign w:val="bottom"/>
            <w:tcBorders>
              <w:bottom w:val="single" w:sz="8" w:color="DBDBDB"/>
            </w:tcBorders>
            <w:shd w:val="clear" w:color="auto" w:fill="DBDBDB"/>
          </w:tcPr>
          <w:p>
            <w:pPr>
              <w:jc w:val="right"/>
              <w:ind w:right="249"/>
              <w:spacing w:after="0" w:line="169"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DBDBDB"/>
            </w:tcBorders>
            <w:shd w:val="clear" w:color="auto" w:fill="DBDBDB"/>
          </w:tcPr>
          <w:p>
            <w:pPr>
              <w:jc w:val="right"/>
              <w:ind w:right="29"/>
              <w:spacing w:after="0" w:line="169" w:lineRule="exact"/>
              <w:rPr>
                <w:sz w:val="20"/>
                <w:szCs w:val="20"/>
                <w:color w:val="auto"/>
              </w:rPr>
            </w:pPr>
            <w:r>
              <w:rPr>
                <w:rFonts w:ascii="Calibri" w:cs="Calibri" w:eastAsia="Calibri" w:hAnsi="Calibri"/>
                <w:sz w:val="14"/>
                <w:szCs w:val="14"/>
                <w:color w:val="auto"/>
              </w:rPr>
              <w:t>21.4</w:t>
            </w:r>
          </w:p>
        </w:tc>
        <w:tc>
          <w:tcPr>
            <w:tcW w:w="360" w:type="dxa"/>
            <w:vAlign w:val="bottom"/>
            <w:tcBorders>
              <w:bottom w:val="single" w:sz="8" w:color="DBDBDB"/>
            </w:tcBorders>
            <w:shd w:val="clear" w:color="auto" w:fill="DBDBDB"/>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84.5</w:t>
            </w:r>
          </w:p>
        </w:tc>
      </w:tr>
      <w:tr>
        <w:trPr>
          <w:trHeight w:val="221"/>
        </w:trPr>
        <w:tc>
          <w:tcPr>
            <w:tcW w:w="4780" w:type="dxa"/>
            <w:vAlign w:val="bottom"/>
            <w:tcBorders>
              <w:bottom w:val="single" w:sz="8" w:color="auto"/>
            </w:tcBorders>
          </w:tcPr>
          <w:p>
            <w:pPr>
              <w:ind w:left="20"/>
              <w:spacing w:after="0" w:line="214" w:lineRule="exact"/>
              <w:rPr>
                <w:sz w:val="20"/>
                <w:szCs w:val="20"/>
                <w:color w:val="auto"/>
              </w:rPr>
            </w:pPr>
            <w:r>
              <w:rPr>
                <w:rFonts w:ascii="Calibri" w:cs="Calibri" w:eastAsia="Calibri" w:hAnsi="Calibri"/>
                <w:sz w:val="14"/>
                <w:szCs w:val="14"/>
                <w:color w:val="auto"/>
              </w:rPr>
              <w:t>Working capital</w:t>
            </w:r>
            <w:r>
              <w:rPr>
                <w:rFonts w:ascii="Calibri" w:cs="Calibri" w:eastAsia="Calibri" w:hAnsi="Calibri"/>
                <w:sz w:val="18"/>
                <w:szCs w:val="18"/>
                <w:color w:val="auto"/>
                <w:vertAlign w:val="superscript"/>
              </w:rPr>
              <w:t>(1)</w:t>
            </w:r>
          </w:p>
        </w:tc>
        <w:tc>
          <w:tcPr>
            <w:tcW w:w="3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
              <w:spacing w:after="0" w:line="169" w:lineRule="exact"/>
              <w:rPr>
                <w:sz w:val="20"/>
                <w:szCs w:val="20"/>
                <w:color w:val="auto"/>
              </w:rPr>
            </w:pPr>
            <w:r>
              <w:rPr>
                <w:rFonts w:ascii="Calibri" w:cs="Calibri" w:eastAsia="Calibri" w:hAnsi="Calibri"/>
                <w:sz w:val="14"/>
                <w:szCs w:val="14"/>
                <w:color w:val="auto"/>
              </w:rPr>
              <w:t>126.3</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157.9</w:t>
            </w:r>
          </w:p>
        </w:tc>
      </w:tr>
    </w:tbl>
    <w:p>
      <w:pPr>
        <w:spacing w:after="0" w:line="89" w:lineRule="exact"/>
        <w:rPr>
          <w:sz w:val="20"/>
          <w:szCs w:val="20"/>
          <w:color w:val="auto"/>
        </w:rPr>
      </w:pPr>
    </w:p>
    <w:p>
      <w:pPr>
        <w:ind w:left="160" w:hanging="153"/>
        <w:spacing w:after="0"/>
        <w:tabs>
          <w:tab w:leader="none" w:pos="160" w:val="left"/>
        </w:tabs>
        <w:numPr>
          <w:ilvl w:val="0"/>
          <w:numId w:val="13"/>
        </w:numPr>
        <w:rPr>
          <w:rFonts w:ascii="Calibri" w:cs="Calibri" w:eastAsia="Calibri" w:hAnsi="Calibri"/>
          <w:sz w:val="16"/>
          <w:szCs w:val="16"/>
          <w:color w:val="auto"/>
          <w:vertAlign w:val="superscript"/>
        </w:rPr>
      </w:pPr>
      <w:r>
        <w:rPr>
          <w:rFonts w:ascii="Calibri" w:cs="Calibri" w:eastAsia="Calibri" w:hAnsi="Calibri"/>
          <w:sz w:val="12"/>
          <w:szCs w:val="12"/>
          <w:color w:val="auto"/>
        </w:rPr>
        <w:t>Includes cash and cash equivalents</w:t>
      </w:r>
    </w:p>
    <w:p>
      <w:pPr>
        <w:sectPr>
          <w:pgSz w:w="11900" w:h="16838" w:orient="portrait"/>
          <w:cols w:equalWidth="0" w:num="1">
            <w:col w:w="11240"/>
          </w:cols>
          <w:pgMar w:left="320" w:top="1362"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type w:val="continuous"/>
        </w:sectPr>
      </w:pPr>
    </w:p>
    <w:bookmarkStart w:id="22" w:name="page23"/>
    <w:bookmarkEnd w:id="22"/>
    <w:p>
      <w:pPr>
        <w:ind w:left="640"/>
        <w:spacing w:after="0"/>
        <w:rPr>
          <w:sz w:val="20"/>
          <w:szCs w:val="20"/>
          <w:color w:val="auto"/>
        </w:rPr>
      </w:pPr>
      <w:r>
        <w:rPr>
          <w:rFonts w:ascii="Calibri" w:cs="Calibri" w:eastAsia="Calibri" w:hAnsi="Calibri"/>
          <w:sz w:val="16"/>
          <w:szCs w:val="16"/>
          <w:color w:val="auto"/>
        </w:rPr>
        <w:t>Capital resources include cash fows from operatons, cash and cash equivalents, and debt fnancing.</w:t>
      </w:r>
    </w:p>
    <w:p>
      <w:pPr>
        <w:spacing w:after="0" w:line="209" w:lineRule="exact"/>
        <w:rPr>
          <w:sz w:val="20"/>
          <w:szCs w:val="20"/>
          <w:color w:val="auto"/>
        </w:rPr>
      </w:pPr>
    </w:p>
    <w:p>
      <w:pPr>
        <w:jc w:val="both"/>
        <w:ind w:right="180" w:firstLine="642"/>
        <w:spacing w:after="0" w:line="235" w:lineRule="auto"/>
        <w:rPr>
          <w:sz w:val="20"/>
          <w:szCs w:val="20"/>
          <w:color w:val="auto"/>
        </w:rPr>
      </w:pPr>
      <w:r>
        <w:rPr>
          <w:rFonts w:ascii="Calibri" w:cs="Calibri" w:eastAsia="Calibri" w:hAnsi="Calibri"/>
          <w:sz w:val="16"/>
          <w:szCs w:val="16"/>
          <w:color w:val="auto"/>
        </w:rPr>
        <w:t>We have a syndicated credit facility with Bank of America, N.A., comprised of two term loans and a revolving credit facility (“revolver”) that provides up to $100 million in borrowings. The credit facility also includes a swing line facility and an accordion feature which allows us to increase the borrowings by up to $125 million, with bank approval. We did not have any outstanding borrowings under the revolver as of April 30, 2022 and October 31, 2021. Interest on the revolver bears rates at a spread over LIBOR that varies with our leverage rato. As of April 30, 2022 and October 31, 2021, interest rates on the revolver were 2.45% and 1.84%, respectvely.</w:t>
      </w:r>
    </w:p>
    <w:p>
      <w:pPr>
        <w:spacing w:after="0" w:line="225" w:lineRule="exact"/>
        <w:rPr>
          <w:sz w:val="20"/>
          <w:szCs w:val="20"/>
          <w:color w:val="auto"/>
        </w:rPr>
      </w:pPr>
    </w:p>
    <w:p>
      <w:pPr>
        <w:ind w:right="20" w:firstLine="642"/>
        <w:spacing w:after="0" w:line="235" w:lineRule="auto"/>
        <w:rPr>
          <w:sz w:val="20"/>
          <w:szCs w:val="20"/>
          <w:color w:val="auto"/>
        </w:rPr>
      </w:pPr>
      <w:r>
        <w:rPr>
          <w:rFonts w:ascii="Calibri" w:cs="Calibri" w:eastAsia="Calibri" w:hAnsi="Calibri"/>
          <w:sz w:val="16"/>
          <w:szCs w:val="16"/>
          <w:color w:val="auto"/>
        </w:rPr>
        <w:t>In April 2022, we entered into an amendment to our agreement for the credit facility, which, among other things provides for: (i) an increase to the maximum annual aggregate purchase consideraton for a permited acquisiton from $20 million to $30 million; (ii) an increase to the consolidated total net leverage rato for the fscal quarter ending April 30, 2022 from 2.75:1.0 to 3.75:1.0 and for the fscal quarter ending July 31, 2022, from 2.75:1.0 to 3.25:1.0; and (iii) certain other administratve updates.</w:t>
      </w:r>
    </w:p>
    <w:p>
      <w:pPr>
        <w:spacing w:after="0" w:line="211" w:lineRule="exact"/>
        <w:rPr>
          <w:sz w:val="20"/>
          <w:szCs w:val="20"/>
          <w:color w:val="auto"/>
        </w:rPr>
      </w:pPr>
    </w:p>
    <w:p>
      <w:pPr>
        <w:ind w:right="120" w:firstLine="642"/>
        <w:spacing w:after="0" w:line="235" w:lineRule="auto"/>
        <w:rPr>
          <w:sz w:val="20"/>
          <w:szCs w:val="20"/>
          <w:color w:val="auto"/>
        </w:rPr>
      </w:pPr>
      <w:r>
        <w:rPr>
          <w:rFonts w:ascii="Calibri" w:cs="Calibri" w:eastAsia="Calibri" w:hAnsi="Calibri"/>
          <w:sz w:val="16"/>
          <w:szCs w:val="16"/>
          <w:color w:val="auto"/>
        </w:rPr>
        <w:t>As of April 30, 2022, we were required to comply with the following fnancial covenants: (a) a quarterly consolidated leverage rato of not more than 3.75 to 1.00 and (b) a quarterly consolidated fxed charge coverage rato of not less than 1.50 to 1.00. As of April 30, 2022, our consolidated leverage rato was 2.56 to 1.00 and our consolidated fxed charge coverage rato was 1.68 to 1.00 and we were in compliance with all such covenants of the credit facility. The loans are secured by real property, personal property and the capital stock of our subsidiaries. We pay fees on unused commitments on the credit facility.</w:t>
      </w:r>
    </w:p>
    <w:p>
      <w:pPr>
        <w:spacing w:after="0" w:line="22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Material cash requirements</w:t>
      </w:r>
    </w:p>
    <w:p>
      <w:pPr>
        <w:spacing w:after="0" w:line="206"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Capital expenditures</w:t>
      </w:r>
    </w:p>
    <w:p>
      <w:pPr>
        <w:spacing w:after="0" w:line="222" w:lineRule="exact"/>
        <w:rPr>
          <w:sz w:val="20"/>
          <w:szCs w:val="20"/>
          <w:color w:val="auto"/>
        </w:rPr>
      </w:pPr>
    </w:p>
    <w:p>
      <w:pPr>
        <w:jc w:val="both"/>
        <w:ind w:right="120" w:firstLine="642"/>
        <w:spacing w:after="0" w:line="232" w:lineRule="auto"/>
        <w:rPr>
          <w:sz w:val="20"/>
          <w:szCs w:val="20"/>
          <w:color w:val="auto"/>
        </w:rPr>
      </w:pPr>
      <w:r>
        <w:rPr>
          <w:rFonts w:ascii="Calibri" w:cs="Calibri" w:eastAsia="Calibri" w:hAnsi="Calibri"/>
          <w:sz w:val="16"/>
          <w:szCs w:val="16"/>
          <w:color w:val="auto"/>
        </w:rPr>
        <w:t>We have various capital projects in progress for farming expansion and facility improvements which we intend to fund through our operatng cash fow as well as cash and cash equivalents on hand. For fscal 2022, we do not expect a material deviaton from amounts spent in recent fscal years. Cash paid for capital expenditures for the years ended October 31, 2021 and 2020, were $73.4 million and $67.3 million, respectvely.</w:t>
      </w:r>
    </w:p>
    <w:p>
      <w:pPr>
        <w:spacing w:after="0" w:line="220"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Operatng leases</w:t>
      </w:r>
    </w:p>
    <w:p>
      <w:pPr>
        <w:spacing w:after="0" w:line="206"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We are party to various operatng leases for facilites, land, and equipment, for which our undiscounted cash liabilites were $80.6 million as of April 30, 2022.</w:t>
      </w:r>
    </w:p>
    <w:p>
      <w:pPr>
        <w:spacing w:after="0" w:line="219"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Long-term Debt</w:t>
      </w:r>
    </w:p>
    <w:p>
      <w:pPr>
        <w:spacing w:after="0" w:line="209" w:lineRule="exact"/>
        <w:rPr>
          <w:sz w:val="20"/>
          <w:szCs w:val="20"/>
          <w:color w:val="auto"/>
        </w:rPr>
      </w:pPr>
    </w:p>
    <w:p>
      <w:pPr>
        <w:ind w:right="600" w:firstLine="642"/>
        <w:spacing w:after="0" w:line="233" w:lineRule="auto"/>
        <w:rPr>
          <w:sz w:val="20"/>
          <w:szCs w:val="20"/>
          <w:color w:val="auto"/>
        </w:rPr>
      </w:pPr>
      <w:r>
        <w:rPr>
          <w:rFonts w:ascii="Calibri" w:cs="Calibri" w:eastAsia="Calibri" w:hAnsi="Calibri"/>
          <w:sz w:val="16"/>
          <w:szCs w:val="16"/>
          <w:color w:val="auto"/>
        </w:rPr>
        <w:t>As of April 30, 2022, remaining maturites on our term loans and notes were $159.9 million. See Note 4 to the consolidated fnancial statements for more informaton.</w:t>
      </w:r>
    </w:p>
    <w:p>
      <w:pPr>
        <w:spacing w:after="0" w:line="332"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5"/>
          <w:szCs w:val="25"/>
          <w:b w:val="1"/>
          <w:bCs w:val="1"/>
          <w:color w:val="auto"/>
        </w:rPr>
        <w:t>Item 3.</w:t>
        <w:tab/>
        <w:t>Quanttatve and Qualitatve Disclosures About Market Risk</w:t>
      </w:r>
    </w:p>
    <w:p>
      <w:pPr>
        <w:spacing w:after="0" w:line="227" w:lineRule="exact"/>
        <w:rPr>
          <w:sz w:val="20"/>
          <w:szCs w:val="20"/>
          <w:color w:val="auto"/>
        </w:rPr>
      </w:pPr>
    </w:p>
    <w:p>
      <w:pPr>
        <w:ind w:right="100" w:firstLine="642"/>
        <w:spacing w:after="0" w:line="242" w:lineRule="auto"/>
        <w:rPr>
          <w:sz w:val="20"/>
          <w:szCs w:val="20"/>
          <w:color w:val="auto"/>
        </w:rPr>
      </w:pPr>
      <w:r>
        <w:rPr>
          <w:rFonts w:ascii="Calibri" w:cs="Calibri" w:eastAsia="Calibri" w:hAnsi="Calibri"/>
          <w:sz w:val="16"/>
          <w:szCs w:val="16"/>
          <w:color w:val="auto"/>
        </w:rPr>
        <w:t>There have been no material changes to “Part II, Item 7A. Quanttatve and Qualitatve Disclosures About Market Risk” in our Annual Report on Form 10-K for the year ended October 31, 2021.</w:t>
      </w:r>
    </w:p>
    <w:p>
      <w:pPr>
        <w:spacing w:after="0" w:line="318"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5"/>
          <w:szCs w:val="25"/>
          <w:b w:val="1"/>
          <w:bCs w:val="1"/>
          <w:color w:val="auto"/>
        </w:rPr>
        <w:t>Item 4.</w:t>
        <w:tab/>
        <w:t>Controls and Procedures</w:t>
      </w:r>
    </w:p>
    <w:p>
      <w:pPr>
        <w:spacing w:after="0" w:line="22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Evaluaton of Disclosure Controls and Procedures</w:t>
      </w:r>
    </w:p>
    <w:p>
      <w:pPr>
        <w:spacing w:after="0" w:line="222" w:lineRule="exact"/>
        <w:rPr>
          <w:sz w:val="20"/>
          <w:szCs w:val="20"/>
          <w:color w:val="auto"/>
        </w:rPr>
      </w:pPr>
    </w:p>
    <w:p>
      <w:pPr>
        <w:ind w:firstLine="642"/>
        <w:spacing w:after="0" w:line="235" w:lineRule="auto"/>
        <w:rPr>
          <w:sz w:val="20"/>
          <w:szCs w:val="20"/>
          <w:color w:val="auto"/>
        </w:rPr>
      </w:pPr>
      <w:r>
        <w:rPr>
          <w:rFonts w:ascii="Calibri" w:cs="Calibri" w:eastAsia="Calibri" w:hAnsi="Calibri"/>
          <w:sz w:val="16"/>
          <w:szCs w:val="16"/>
          <w:color w:val="auto"/>
        </w:rPr>
        <w:t>Our management, with the partcipaton and supervision of our Chief Executve Ofcer and our Chief Financial Ofcer, have evaluated the efectveness of our disclosure controls and procedures (as defned in Rules 13a-15(e) and 15d-15(e)) under the Securites Exchange Act of 1934, as amended (the “Exchange Act”) as of the end of the period covered by this Quarterly Report on Form 10-Q. Based on that evaluaton, our Chief Executve Ofcer and our Chief Financial Ofcer have concluded that, as of the end of the period covered by this Quarterly Report on Form 10-Q, our disclosure controls and procedures were efectve to provide reasonable assurance that informaton we are required to disclose in reports that we fle or submit under the Exchange Act is recorded, processed, summarized, and reported within the tme periods specifed in SEC rules and forms, and that such informaton is accumulated and communicated to our management, including our Chief Executve Ofcer and our Chief Financial Ofcer, as appropriate, to allow tmely decisions regarding required disclosure.</w:t>
      </w:r>
    </w:p>
    <w:p>
      <w:pPr>
        <w:spacing w:after="0" w:line="200" w:lineRule="exact"/>
        <w:rPr>
          <w:sz w:val="20"/>
          <w:szCs w:val="20"/>
          <w:color w:val="auto"/>
        </w:rPr>
      </w:pPr>
    </w:p>
    <w:p>
      <w:pPr>
        <w:spacing w:after="0" w:line="269"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362" w:right="379" w:bottom="1440" w:gutter="0" w:footer="0" w:header="0"/>
        </w:sectPr>
      </w:pPr>
    </w:p>
    <w:bookmarkStart w:id="23" w:name="page24"/>
    <w:bookmarkEnd w:id="23"/>
    <w:p>
      <w:pPr>
        <w:spacing w:after="0"/>
        <w:rPr>
          <w:sz w:val="20"/>
          <w:szCs w:val="20"/>
          <w:color w:val="auto"/>
        </w:rPr>
      </w:pPr>
      <w:r>
        <w:rPr>
          <w:rFonts w:ascii="Calibri" w:cs="Calibri" w:eastAsia="Calibri" w:hAnsi="Calibri"/>
          <w:sz w:val="16"/>
          <w:szCs w:val="16"/>
          <w:b w:val="1"/>
          <w:bCs w:val="1"/>
          <w:color w:val="auto"/>
        </w:rPr>
        <w:t>Changes in Internal Control Over Financial Reportng</w:t>
      </w:r>
    </w:p>
    <w:p>
      <w:pPr>
        <w:spacing w:after="0" w:line="209" w:lineRule="exact"/>
        <w:rPr>
          <w:sz w:val="20"/>
          <w:szCs w:val="20"/>
          <w:color w:val="auto"/>
        </w:rPr>
      </w:pPr>
    </w:p>
    <w:p>
      <w:pPr>
        <w:ind w:right="220" w:firstLine="642"/>
        <w:spacing w:after="0" w:line="237" w:lineRule="auto"/>
        <w:rPr>
          <w:sz w:val="20"/>
          <w:szCs w:val="20"/>
          <w:color w:val="auto"/>
        </w:rPr>
      </w:pPr>
      <w:r>
        <w:rPr>
          <w:rFonts w:ascii="Calibri" w:cs="Calibri" w:eastAsia="Calibri" w:hAnsi="Calibri"/>
          <w:sz w:val="16"/>
          <w:szCs w:val="16"/>
          <w:color w:val="auto"/>
        </w:rPr>
        <w:t>On November 1, 2021, we implemented a new ERP system in our Marketng and Distributon segment, which impacted recordkeeping processes for the general ledger, accounts receivable, inventory, accounts payable, purchasing, and shipping. We have focused on the maintenance of internal controls and the assessment of the design of new controls through the development and deployment of the new ERP system.</w:t>
      </w:r>
    </w:p>
    <w:p>
      <w:pPr>
        <w:spacing w:after="0" w:line="210" w:lineRule="exact"/>
        <w:rPr>
          <w:sz w:val="20"/>
          <w:szCs w:val="20"/>
          <w:color w:val="auto"/>
        </w:rPr>
      </w:pPr>
    </w:p>
    <w:p>
      <w:pPr>
        <w:ind w:right="680" w:firstLine="642"/>
        <w:spacing w:after="0" w:line="242" w:lineRule="auto"/>
        <w:rPr>
          <w:sz w:val="20"/>
          <w:szCs w:val="20"/>
          <w:color w:val="auto"/>
        </w:rPr>
      </w:pPr>
      <w:r>
        <w:rPr>
          <w:rFonts w:ascii="Calibri" w:cs="Calibri" w:eastAsia="Calibri" w:hAnsi="Calibri"/>
          <w:sz w:val="16"/>
          <w:szCs w:val="16"/>
          <w:color w:val="auto"/>
        </w:rPr>
        <w:t>There were no other changes in our internal control over fnancial reportng during the quarter ended April 30, 2022 that have materially afected, or are reasonably likely to materially afect, our internal control over fnancial reportng.</w:t>
      </w:r>
    </w:p>
    <w:p>
      <w:pPr>
        <w:spacing w:after="0" w:line="20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Limitatons on Efectveness of Controls and Procedures</w:t>
      </w:r>
    </w:p>
    <w:p>
      <w:pPr>
        <w:spacing w:after="0" w:line="222" w:lineRule="exact"/>
        <w:rPr>
          <w:sz w:val="20"/>
          <w:szCs w:val="20"/>
          <w:color w:val="auto"/>
        </w:rPr>
      </w:pPr>
    </w:p>
    <w:p>
      <w:pPr>
        <w:jc w:val="both"/>
        <w:ind w:firstLine="642"/>
        <w:spacing w:after="0" w:line="234" w:lineRule="auto"/>
        <w:rPr>
          <w:sz w:val="20"/>
          <w:szCs w:val="20"/>
          <w:color w:val="auto"/>
        </w:rPr>
      </w:pPr>
      <w:r>
        <w:rPr>
          <w:rFonts w:ascii="Calibri" w:cs="Calibri" w:eastAsia="Calibri" w:hAnsi="Calibri"/>
          <w:sz w:val="16"/>
          <w:szCs w:val="16"/>
          <w:color w:val="auto"/>
        </w:rPr>
        <w:t>Our management does not expect that our disclosure controls and procedures or our internal control over fnancial reportng will prevent all errors and all fraud. A control system, no mater how well designed and operated, can provide only reasonable, not absolute, assurance that the objectves of the control system are met. Further, the design of a control system must refect the fact that there are resource constraints, and the benefts of controls must be considered relatve to their costs. Because of the inherent limitatons in all control systems, no evaluaton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68"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24" w:name="page25"/>
    <w:bookmarkEnd w:id="24"/>
    <w:p>
      <w:pPr>
        <w:jc w:val="center"/>
        <w:ind w:right="-19"/>
        <w:spacing w:after="0"/>
        <w:rPr>
          <w:sz w:val="20"/>
          <w:szCs w:val="20"/>
          <w:color w:val="auto"/>
        </w:rPr>
      </w:pPr>
      <w:r>
        <w:rPr>
          <w:rFonts w:ascii="Calibri" w:cs="Calibri" w:eastAsia="Calibri" w:hAnsi="Calibri"/>
          <w:sz w:val="25"/>
          <w:szCs w:val="25"/>
          <w:b w:val="1"/>
          <w:bCs w:val="1"/>
          <w:color w:val="auto"/>
        </w:rPr>
        <w:t>PART II- OTHER INFORMATION</w:t>
      </w:r>
    </w:p>
    <w:p>
      <w:pPr>
        <w:spacing w:after="0" w:line="203"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5"/>
          <w:szCs w:val="25"/>
          <w:b w:val="1"/>
          <w:bCs w:val="1"/>
          <w:color w:val="auto"/>
        </w:rPr>
        <w:t>Item 1.</w:t>
        <w:tab/>
        <w:t>Legal Proceedings</w:t>
      </w:r>
    </w:p>
    <w:p>
      <w:pPr>
        <w:spacing w:after="0" w:line="240" w:lineRule="exact"/>
        <w:rPr>
          <w:sz w:val="20"/>
          <w:szCs w:val="20"/>
          <w:color w:val="auto"/>
        </w:rPr>
      </w:pPr>
    </w:p>
    <w:p>
      <w:pPr>
        <w:ind w:right="480" w:firstLine="642"/>
        <w:spacing w:after="0" w:line="233" w:lineRule="auto"/>
        <w:rPr>
          <w:sz w:val="20"/>
          <w:szCs w:val="20"/>
          <w:color w:val="auto"/>
        </w:rPr>
      </w:pPr>
      <w:r>
        <w:rPr>
          <w:rFonts w:ascii="Calibri" w:cs="Calibri" w:eastAsia="Calibri" w:hAnsi="Calibri"/>
          <w:sz w:val="16"/>
          <w:szCs w:val="16"/>
          <w:color w:val="auto"/>
        </w:rPr>
        <w:t>We are from tme to tme involved in legal proceedings and investgatons arising in the ordinary course of business, including those relatng to employment maters, relatonships with clients and contractors, intellectual property disputes and other business maters.</w:t>
      </w:r>
    </w:p>
    <w:p>
      <w:pPr>
        <w:spacing w:after="0" w:line="209" w:lineRule="exact"/>
        <w:rPr>
          <w:sz w:val="20"/>
          <w:szCs w:val="20"/>
          <w:color w:val="auto"/>
        </w:rPr>
      </w:pPr>
    </w:p>
    <w:p>
      <w:pPr>
        <w:ind w:right="340" w:firstLine="642"/>
        <w:spacing w:after="0" w:line="242" w:lineRule="auto"/>
        <w:rPr>
          <w:sz w:val="20"/>
          <w:szCs w:val="20"/>
          <w:color w:val="auto"/>
        </w:rPr>
      </w:pPr>
      <w:r>
        <w:rPr>
          <w:rFonts w:ascii="Calibri" w:cs="Calibri" w:eastAsia="Calibri" w:hAnsi="Calibri"/>
          <w:sz w:val="16"/>
          <w:szCs w:val="16"/>
          <w:color w:val="auto"/>
        </w:rPr>
        <w:t>The Company is involved from tme to tme in claims, proceedings, and litgaton, including those discussed in “Part I, Item 3. Legal Proceedings” in our Annual Report on Form 10-K for the year ended October 31, 2021, to which there have been no material updates.</w:t>
      </w:r>
    </w:p>
    <w:p>
      <w:pPr>
        <w:spacing w:after="0" w:line="208" w:lineRule="exact"/>
        <w:rPr>
          <w:sz w:val="20"/>
          <w:szCs w:val="20"/>
          <w:color w:val="auto"/>
        </w:rPr>
      </w:pPr>
    </w:p>
    <w:p>
      <w:pPr>
        <w:ind w:right="100" w:firstLine="642"/>
        <w:spacing w:after="0" w:line="237" w:lineRule="auto"/>
        <w:rPr>
          <w:sz w:val="20"/>
          <w:szCs w:val="20"/>
          <w:color w:val="auto"/>
        </w:rPr>
      </w:pPr>
      <w:r>
        <w:rPr>
          <w:rFonts w:ascii="Calibri" w:cs="Calibri" w:eastAsia="Calibri" w:hAnsi="Calibri"/>
          <w:sz w:val="16"/>
          <w:szCs w:val="16"/>
          <w:color w:val="auto"/>
        </w:rPr>
        <w:t>The outcomes of our legal proceedings and other contngencies are inherently unpredictable, subject to signifcant uncertaintes, and if one or more legal maters were resolved against the Company in a reportng period for amounts above management’s expectatons, the Company’s fnancial conditon and operatng results for that period could be materially adversely afected.</w:t>
      </w:r>
    </w:p>
    <w:p>
      <w:pPr>
        <w:spacing w:after="0" w:line="320"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25"/>
          <w:szCs w:val="25"/>
          <w:b w:val="1"/>
          <w:bCs w:val="1"/>
          <w:color w:val="auto"/>
        </w:rPr>
        <w:t>Item 1A.</w:t>
        <w:tab/>
        <w:t>Risk Factors</w:t>
      </w:r>
    </w:p>
    <w:p>
      <w:pPr>
        <w:spacing w:after="0" w:line="240" w:lineRule="exact"/>
        <w:rPr>
          <w:sz w:val="20"/>
          <w:szCs w:val="20"/>
          <w:color w:val="auto"/>
        </w:rPr>
      </w:pPr>
    </w:p>
    <w:p>
      <w:pPr>
        <w:ind w:firstLine="642"/>
        <w:spacing w:after="0"/>
        <w:rPr>
          <w:sz w:val="20"/>
          <w:szCs w:val="20"/>
          <w:color w:val="auto"/>
        </w:rPr>
      </w:pPr>
      <w:r>
        <w:rPr>
          <w:rFonts w:ascii="Calibri" w:cs="Calibri" w:eastAsia="Calibri" w:hAnsi="Calibri"/>
          <w:sz w:val="16"/>
          <w:szCs w:val="16"/>
          <w:color w:val="auto"/>
        </w:rPr>
        <w:t>For a discussion of our risk factors, see “Part I, Item 1A. Risk Factors” in our Annual Report on Form 10-K for the year ended October 31, 2021, fled with the SEC on December 22, 2021. There have been no material changes from the risk factors previously disclosed in such Annual Report on Form 10-K, except as set forth below. The risks and uncertaintes that we face are not limited to those set forth in the 2021 Form 10-K and in this quarterly report. You should carefully consider the risk factors in the 2021 Form 10-K, together with the other informaton contained in this quarterly report on Form 10-Q, including our fnancial statements and the related notes and “Management’s Discussion and Analysis of Financial Conditon and Results of Operatons,” before making a decision to purchase or sell shares of our common stock. Additonal risks and uncertaintes not presently known to us or that we currently believe to be immaterial may also adversely afect our business and the trading price of our common stock.</w:t>
      </w:r>
    </w:p>
    <w:p>
      <w:pPr>
        <w:spacing w:after="0" w:line="377"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The ongoing confict between Russia and Ukraine may adversely afect our business and results of operatons.</w:t>
      </w:r>
    </w:p>
    <w:p>
      <w:pPr>
        <w:spacing w:after="0" w:line="222" w:lineRule="exact"/>
        <w:rPr>
          <w:sz w:val="20"/>
          <w:szCs w:val="20"/>
          <w:color w:val="auto"/>
        </w:rPr>
      </w:pPr>
    </w:p>
    <w:p>
      <w:pPr>
        <w:ind w:firstLine="642"/>
        <w:spacing w:after="0" w:line="236" w:lineRule="auto"/>
        <w:rPr>
          <w:sz w:val="20"/>
          <w:szCs w:val="20"/>
          <w:color w:val="auto"/>
        </w:rPr>
      </w:pPr>
      <w:r>
        <w:rPr>
          <w:rFonts w:ascii="Calibri" w:cs="Calibri" w:eastAsia="Calibri" w:hAnsi="Calibri"/>
          <w:sz w:val="16"/>
          <w:szCs w:val="16"/>
          <w:color w:val="auto"/>
        </w:rPr>
        <w:t>Given the nature of our business and our global operatons, politcal, economic, and other conditons in foreign countries and regions, including geopolitcal risks such as the current confict between Russia and Ukraine, may adversely afect our business and results of operatons. The broader consequences of this confict, which may include further sanctons, embargoes, regional instability, and geopolitcal shifs; transportaton bans relatng to certain routes, or strategic decisions to alter certain routes; potental retaliatory acton by the Russian government against companies, including us, as a result of the suspension of services in Russia, including natonalizaton of foreign businesses in Russia; increased tensions between the United States and countries in which we operate; and the extent of the confict’s efect on our business and results of operatons as well as the global economy, cannot be predicted.</w:t>
      </w:r>
    </w:p>
    <w:p>
      <w:pPr>
        <w:spacing w:after="0" w:line="212" w:lineRule="exact"/>
        <w:rPr>
          <w:sz w:val="20"/>
          <w:szCs w:val="20"/>
          <w:color w:val="auto"/>
        </w:rPr>
      </w:pPr>
    </w:p>
    <w:p>
      <w:pPr>
        <w:ind w:right="60"/>
        <w:spacing w:after="0" w:line="242" w:lineRule="auto"/>
        <w:rPr>
          <w:sz w:val="20"/>
          <w:szCs w:val="20"/>
          <w:color w:val="auto"/>
        </w:rPr>
      </w:pPr>
      <w:r>
        <w:rPr>
          <w:rFonts w:ascii="Calibri" w:cs="Calibri" w:eastAsia="Calibri" w:hAnsi="Calibri"/>
          <w:sz w:val="16"/>
          <w:szCs w:val="16"/>
          <w:b w:val="1"/>
          <w:bCs w:val="1"/>
          <w:i w:val="1"/>
          <w:iCs w:val="1"/>
          <w:color w:val="auto"/>
        </w:rPr>
        <w:t>System security risks, data protecton breaches, cyber-atacks and systems integraton issues could disrupt our internal operatons or services provided to customers, and any such disrupton could reduce our expected revenue, increase our expenses, damage our reputaton and adversely afect our stock price.</w:t>
      </w:r>
    </w:p>
    <w:p>
      <w:pPr>
        <w:spacing w:after="0" w:line="221" w:lineRule="exact"/>
        <w:rPr>
          <w:sz w:val="20"/>
          <w:szCs w:val="20"/>
          <w:color w:val="auto"/>
        </w:rPr>
      </w:pPr>
    </w:p>
    <w:p>
      <w:pPr>
        <w:ind w:right="100" w:firstLine="642"/>
        <w:spacing w:after="0" w:line="222" w:lineRule="auto"/>
        <w:rPr>
          <w:sz w:val="20"/>
          <w:szCs w:val="20"/>
          <w:color w:val="auto"/>
        </w:rPr>
      </w:pPr>
      <w:r>
        <w:rPr>
          <w:rFonts w:ascii="Calibri" w:cs="Calibri" w:eastAsia="Calibri" w:hAnsi="Calibri"/>
          <w:sz w:val="16"/>
          <w:szCs w:val="16"/>
          <w:color w:val="auto"/>
        </w:rPr>
        <w:t>Our internal computer systems and those of our current and any future partners, contractors and consultants are vulnerable to damage from cyber-atacks, computer viruses, unauthorized access, natural disasters, terrorism, war and telecommunicaton and electrical failures. System failures, accidents or security breaches can cause interruptons in our operatons and can result in a material disrupton of our business operatons. Experienced computer programmers and hackers may be able to penetrate our informaton technology security and misappropriate or compromise our confdental informaton or that of third partes, create system disruptons or cause shutdowns, or develop and deploy viruses, worms, and other malicious sofware programs that atack our programs or otherwise exploit any security vulnerabilites of our products. In additon, sophistcated hardware and operatng system sofware and applicatons that we produce or procure from third partes may contain defects in design or manufacture, including “bugs” and other problems that could unexpectedly interfere with the operaton of the system. The costs to us to eliminate or alleviate cyber or other security problems, bugs, viruses, worms, malicious sofware programs and security vulnerabilites could be signifcant, and our eforts to address these problems may not be successful and could result in interruptons, delays, cessaton of service and loss of existng or potental customers that may impede our sales, producton, distributon or other critcal functons.</w:t>
      </w:r>
    </w:p>
    <w:p>
      <w:pPr>
        <w:spacing w:after="0" w:line="226" w:lineRule="exact"/>
        <w:rPr>
          <w:sz w:val="20"/>
          <w:szCs w:val="20"/>
          <w:color w:val="auto"/>
        </w:rPr>
      </w:pPr>
    </w:p>
    <w:p>
      <w:pPr>
        <w:ind w:right="20" w:firstLine="642"/>
        <w:spacing w:after="0" w:line="225" w:lineRule="auto"/>
        <w:rPr>
          <w:sz w:val="20"/>
          <w:szCs w:val="20"/>
          <w:color w:val="auto"/>
        </w:rPr>
      </w:pPr>
      <w:r>
        <w:rPr>
          <w:rFonts w:ascii="Calibri" w:cs="Calibri" w:eastAsia="Calibri" w:hAnsi="Calibri"/>
          <w:sz w:val="16"/>
          <w:szCs w:val="16"/>
          <w:color w:val="auto"/>
        </w:rPr>
        <w:t>Portons of our informaton technology infrastructure have and may in the future experience interruptons, delays or cessatons of service or produce errors in connecton with systems integraton or migraton work that takes place from tme to tme. We have experienced difcultes, and may not be successful in the future, with implementng new systems and transitoning data, which have and could cause business disruptons. These difcultes have resulted in and may result in increased costs, tme consuming and resource-intensive remediaton eforts to address issues, and disrupton to the business. Such disruptons have and could adversely impact our ability to fulfll orders and interrupt other key business processes. We have experienced delays and lower proft from these disruptons and may experience such difcultes in the future. As a result, our fnancial results, stock price, or reputaton have and may be adversely afected.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25" w:name="page26"/>
    <w:bookmarkEnd w:id="25"/>
    <w:p>
      <w:pPr>
        <w:spacing w:after="0"/>
        <w:tabs>
          <w:tab w:leader="none" w:pos="960" w:val="left"/>
        </w:tabs>
        <w:rPr>
          <w:sz w:val="20"/>
          <w:szCs w:val="20"/>
          <w:color w:val="auto"/>
        </w:rPr>
      </w:pPr>
      <w:r>
        <w:rPr>
          <w:rFonts w:ascii="Calibri" w:cs="Calibri" w:eastAsia="Calibri" w:hAnsi="Calibri"/>
          <w:sz w:val="25"/>
          <w:szCs w:val="25"/>
          <w:b w:val="1"/>
          <w:bCs w:val="1"/>
          <w:color w:val="auto"/>
        </w:rPr>
        <w:t>Item 2.</w:t>
        <w:tab/>
        <w:t>Unregistered Sales of Equity Securites and Use of Proceeds</w:t>
      </w:r>
    </w:p>
    <w:p>
      <w:pPr>
        <w:spacing w:after="0" w:line="224"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None.</w:t>
      </w:r>
    </w:p>
    <w:p>
      <w:pPr>
        <w:spacing w:after="0" w:line="332"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5"/>
          <w:szCs w:val="25"/>
          <w:b w:val="1"/>
          <w:bCs w:val="1"/>
          <w:color w:val="auto"/>
        </w:rPr>
        <w:t>Item 3.</w:t>
        <w:tab/>
        <w:t>Defaults Upon Senior Securites</w:t>
      </w:r>
    </w:p>
    <w:p>
      <w:pPr>
        <w:spacing w:after="0" w:line="224"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None.</w:t>
      </w:r>
    </w:p>
    <w:p>
      <w:pPr>
        <w:spacing w:after="0" w:line="319"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5"/>
          <w:szCs w:val="25"/>
          <w:b w:val="1"/>
          <w:bCs w:val="1"/>
          <w:color w:val="auto"/>
        </w:rPr>
        <w:t>Item 4.</w:t>
        <w:tab/>
        <w:t>Mine Safety Disclosures</w:t>
      </w:r>
    </w:p>
    <w:p>
      <w:pPr>
        <w:spacing w:after="0" w:line="237"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None.</w:t>
      </w:r>
    </w:p>
    <w:p>
      <w:pPr>
        <w:spacing w:after="0" w:line="319"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5"/>
          <w:szCs w:val="25"/>
          <w:b w:val="1"/>
          <w:bCs w:val="1"/>
          <w:color w:val="auto"/>
        </w:rPr>
        <w:t>Item 5.</w:t>
        <w:tab/>
        <w:t>Other Informaton</w:t>
      </w:r>
    </w:p>
    <w:p>
      <w:pPr>
        <w:spacing w:after="0" w:line="237"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None.</w:t>
      </w:r>
    </w:p>
    <w:p>
      <w:pPr>
        <w:spacing w:after="0" w:line="78"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5"/>
          <w:szCs w:val="25"/>
          <w:b w:val="1"/>
          <w:bCs w:val="1"/>
          <w:color w:val="auto"/>
        </w:rPr>
        <w:t>Item 6.</w:t>
        <w:tab/>
        <w:t>Exhibits</w:t>
      </w:r>
    </w:p>
    <w:p>
      <w:pPr>
        <w:spacing w:after="0" w:line="224"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The documents set forth are fled herewith or incorporated herein by reference.</w:t>
      </w:r>
    </w:p>
    <w:p>
      <w:pPr>
        <w:spacing w:after="0" w:line="205"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b w:val="1"/>
          <w:bCs w:val="1"/>
          <w:color w:val="auto"/>
        </w:rPr>
        <w:t>INDEX</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 w:type="dxa"/>
            <w:vAlign w:val="bottom"/>
            <w:shd w:val="clear" w:color="auto" w:fill="43C0B9"/>
          </w:tcPr>
          <w:p>
            <w:pPr>
              <w:spacing w:after="0"/>
              <w:rPr>
                <w:sz w:val="16"/>
                <w:szCs w:val="16"/>
                <w:color w:val="auto"/>
              </w:rPr>
            </w:pPr>
          </w:p>
        </w:tc>
        <w:tc>
          <w:tcPr>
            <w:tcW w:w="1780" w:type="dxa"/>
            <w:vAlign w:val="bottom"/>
            <w:shd w:val="clear" w:color="auto" w:fill="43C0B9"/>
          </w:tcPr>
          <w:p>
            <w:pPr>
              <w:spacing w:after="0"/>
              <w:rPr>
                <w:sz w:val="16"/>
                <w:szCs w:val="16"/>
                <w:color w:val="auto"/>
              </w:rPr>
            </w:pPr>
          </w:p>
        </w:tc>
        <w:tc>
          <w:tcPr>
            <w:tcW w:w="860" w:type="dxa"/>
            <w:vAlign w:val="bottom"/>
            <w:shd w:val="clear" w:color="auto" w:fill="43C0B9"/>
          </w:tcPr>
          <w:p>
            <w:pPr>
              <w:spacing w:after="0"/>
              <w:rPr>
                <w:sz w:val="16"/>
                <w:szCs w:val="16"/>
                <w:color w:val="auto"/>
              </w:rPr>
            </w:pPr>
          </w:p>
        </w:tc>
        <w:tc>
          <w:tcPr>
            <w:tcW w:w="300" w:type="dxa"/>
            <w:vAlign w:val="bottom"/>
            <w:shd w:val="clear" w:color="auto" w:fill="43C0B9"/>
          </w:tcPr>
          <w:p>
            <w:pPr>
              <w:spacing w:after="0"/>
              <w:rPr>
                <w:sz w:val="16"/>
                <w:szCs w:val="16"/>
                <w:color w:val="auto"/>
              </w:rPr>
            </w:pPr>
          </w:p>
        </w:tc>
        <w:tc>
          <w:tcPr>
            <w:tcW w:w="1140" w:type="dxa"/>
            <w:vAlign w:val="bottom"/>
            <w:shd w:val="clear" w:color="auto" w:fill="43C0B9"/>
          </w:tcPr>
          <w:p>
            <w:pPr>
              <w:spacing w:after="0"/>
              <w:rPr>
                <w:sz w:val="16"/>
                <w:szCs w:val="16"/>
                <w:color w:val="auto"/>
              </w:rPr>
            </w:pPr>
          </w:p>
        </w:tc>
        <w:tc>
          <w:tcPr>
            <w:tcW w:w="60" w:type="dxa"/>
            <w:vAlign w:val="bottom"/>
            <w:shd w:val="clear" w:color="auto" w:fill="43C0B9"/>
          </w:tcPr>
          <w:p>
            <w:pPr>
              <w:spacing w:after="0"/>
              <w:rPr>
                <w:sz w:val="16"/>
                <w:szCs w:val="16"/>
                <w:color w:val="auto"/>
              </w:rPr>
            </w:pPr>
          </w:p>
        </w:tc>
        <w:tc>
          <w:tcPr>
            <w:tcW w:w="1220" w:type="dxa"/>
            <w:vAlign w:val="bottom"/>
            <w:shd w:val="clear" w:color="auto" w:fill="43C0B9"/>
          </w:tcPr>
          <w:p>
            <w:pPr>
              <w:spacing w:after="0"/>
              <w:rPr>
                <w:sz w:val="16"/>
                <w:szCs w:val="16"/>
                <w:color w:val="auto"/>
              </w:rPr>
            </w:pPr>
          </w:p>
        </w:tc>
        <w:tc>
          <w:tcPr>
            <w:tcW w:w="200" w:type="dxa"/>
            <w:vAlign w:val="bottom"/>
            <w:shd w:val="clear" w:color="auto" w:fill="43C0B9"/>
          </w:tcPr>
          <w:p>
            <w:pPr>
              <w:spacing w:after="0"/>
              <w:rPr>
                <w:sz w:val="16"/>
                <w:szCs w:val="16"/>
                <w:color w:val="auto"/>
              </w:rPr>
            </w:pPr>
          </w:p>
        </w:tc>
        <w:tc>
          <w:tcPr>
            <w:tcW w:w="40" w:type="dxa"/>
            <w:vAlign w:val="bottom"/>
            <w:shd w:val="clear" w:color="auto" w:fill="43C0B9"/>
          </w:tcPr>
          <w:p>
            <w:pPr>
              <w:spacing w:after="0"/>
              <w:rPr>
                <w:sz w:val="16"/>
                <w:szCs w:val="16"/>
                <w:color w:val="auto"/>
              </w:rPr>
            </w:pPr>
          </w:p>
        </w:tc>
        <w:tc>
          <w:tcPr>
            <w:tcW w:w="380" w:type="dxa"/>
            <w:vAlign w:val="bottom"/>
            <w:shd w:val="clear" w:color="auto" w:fill="43C0B9"/>
          </w:tcPr>
          <w:p>
            <w:pPr>
              <w:spacing w:after="0"/>
              <w:rPr>
                <w:sz w:val="16"/>
                <w:szCs w:val="16"/>
                <w:color w:val="auto"/>
              </w:rPr>
            </w:pPr>
          </w:p>
        </w:tc>
        <w:tc>
          <w:tcPr>
            <w:tcW w:w="40" w:type="dxa"/>
            <w:vAlign w:val="bottom"/>
            <w:shd w:val="clear" w:color="auto" w:fill="43C0B9"/>
          </w:tcPr>
          <w:p>
            <w:pPr>
              <w:spacing w:after="0"/>
              <w:rPr>
                <w:sz w:val="16"/>
                <w:szCs w:val="16"/>
                <w:color w:val="auto"/>
              </w:rPr>
            </w:pPr>
          </w:p>
        </w:tc>
        <w:tc>
          <w:tcPr>
            <w:tcW w:w="40" w:type="dxa"/>
            <w:vAlign w:val="bottom"/>
            <w:shd w:val="clear" w:color="auto" w:fill="43C0B9"/>
          </w:tcPr>
          <w:p>
            <w:pPr>
              <w:spacing w:after="0"/>
              <w:rPr>
                <w:sz w:val="16"/>
                <w:szCs w:val="16"/>
                <w:color w:val="auto"/>
              </w:rPr>
            </w:pPr>
          </w:p>
        </w:tc>
        <w:tc>
          <w:tcPr>
            <w:tcW w:w="140" w:type="dxa"/>
            <w:vAlign w:val="bottom"/>
            <w:shd w:val="clear" w:color="auto" w:fill="43C0B9"/>
          </w:tcPr>
          <w:p>
            <w:pPr>
              <w:spacing w:after="0"/>
              <w:rPr>
                <w:sz w:val="16"/>
                <w:szCs w:val="16"/>
                <w:color w:val="auto"/>
              </w:rPr>
            </w:pPr>
          </w:p>
        </w:tc>
        <w:tc>
          <w:tcPr>
            <w:tcW w:w="140" w:type="dxa"/>
            <w:vAlign w:val="bottom"/>
            <w:shd w:val="clear" w:color="auto" w:fill="43C0B9"/>
          </w:tcPr>
          <w:p>
            <w:pPr>
              <w:spacing w:after="0"/>
              <w:rPr>
                <w:sz w:val="16"/>
                <w:szCs w:val="16"/>
                <w:color w:val="auto"/>
              </w:rPr>
            </w:pPr>
          </w:p>
        </w:tc>
        <w:tc>
          <w:tcPr>
            <w:tcW w:w="60" w:type="dxa"/>
            <w:vAlign w:val="bottom"/>
            <w:shd w:val="clear" w:color="auto" w:fill="43C0B9"/>
          </w:tcPr>
          <w:p>
            <w:pPr>
              <w:spacing w:after="0"/>
              <w:rPr>
                <w:sz w:val="16"/>
                <w:szCs w:val="16"/>
                <w:color w:val="auto"/>
              </w:rPr>
            </w:pPr>
          </w:p>
        </w:tc>
        <w:tc>
          <w:tcPr>
            <w:tcW w:w="160" w:type="dxa"/>
            <w:vAlign w:val="bottom"/>
            <w:shd w:val="clear" w:color="auto" w:fill="43C0B9"/>
          </w:tcPr>
          <w:p>
            <w:pPr>
              <w:spacing w:after="0"/>
              <w:rPr>
                <w:sz w:val="16"/>
                <w:szCs w:val="16"/>
                <w:color w:val="auto"/>
              </w:rPr>
            </w:pPr>
          </w:p>
        </w:tc>
        <w:tc>
          <w:tcPr>
            <w:tcW w:w="520" w:type="dxa"/>
            <w:vAlign w:val="bottom"/>
            <w:shd w:val="clear" w:color="auto" w:fill="43C0B9"/>
          </w:tcPr>
          <w:p>
            <w:pPr>
              <w:spacing w:after="0"/>
              <w:rPr>
                <w:sz w:val="16"/>
                <w:szCs w:val="16"/>
                <w:color w:val="auto"/>
              </w:rPr>
            </w:pPr>
          </w:p>
        </w:tc>
        <w:tc>
          <w:tcPr>
            <w:tcW w:w="2300" w:type="dxa"/>
            <w:vAlign w:val="bottom"/>
            <w:gridSpan w:val="2"/>
            <w:shd w:val="clear" w:color="auto" w:fill="43C0B9"/>
          </w:tcPr>
          <w:p>
            <w:pPr>
              <w:ind w:left="80"/>
              <w:spacing w:after="0"/>
              <w:rPr>
                <w:sz w:val="20"/>
                <w:szCs w:val="20"/>
                <w:color w:val="auto"/>
              </w:rPr>
            </w:pPr>
            <w:r>
              <w:rPr>
                <w:rFonts w:ascii="Calibri" w:cs="Calibri" w:eastAsia="Calibri" w:hAnsi="Calibri"/>
                <w:sz w:val="14"/>
                <w:szCs w:val="14"/>
                <w:b w:val="1"/>
                <w:bCs w:val="1"/>
                <w:color w:val="FFFFFF"/>
              </w:rPr>
              <w:t>Incorporated by Reference</w:t>
            </w:r>
          </w:p>
        </w:tc>
        <w:tc>
          <w:tcPr>
            <w:tcW w:w="920" w:type="dxa"/>
            <w:vAlign w:val="bottom"/>
            <w:shd w:val="clear" w:color="auto" w:fill="43C0B9"/>
          </w:tcPr>
          <w:p>
            <w:pPr>
              <w:spacing w:after="0"/>
              <w:rPr>
                <w:sz w:val="16"/>
                <w:szCs w:val="16"/>
                <w:color w:val="auto"/>
              </w:rPr>
            </w:pPr>
          </w:p>
        </w:tc>
      </w:tr>
      <w:tr>
        <w:trPr>
          <w:trHeight w:val="206"/>
        </w:trPr>
        <w:tc>
          <w:tcPr>
            <w:tcW w:w="880" w:type="dxa"/>
            <w:vAlign w:val="bottom"/>
            <w:shd w:val="clear" w:color="auto" w:fill="43C0B9"/>
          </w:tcPr>
          <w:p>
            <w:pPr>
              <w:ind w:left="80"/>
              <w:spacing w:after="0"/>
              <w:rPr>
                <w:sz w:val="20"/>
                <w:szCs w:val="20"/>
                <w:color w:val="auto"/>
              </w:rPr>
            </w:pPr>
            <w:r>
              <w:rPr>
                <w:rFonts w:ascii="Calibri" w:cs="Calibri" w:eastAsia="Calibri" w:hAnsi="Calibri"/>
                <w:sz w:val="14"/>
                <w:szCs w:val="14"/>
                <w:b w:val="1"/>
                <w:bCs w:val="1"/>
                <w:color w:val="FFFFFF"/>
              </w:rPr>
              <w:t>Exhibit No.</w:t>
            </w:r>
          </w:p>
        </w:tc>
        <w:tc>
          <w:tcPr>
            <w:tcW w:w="1780" w:type="dxa"/>
            <w:vAlign w:val="bottom"/>
            <w:shd w:val="clear" w:color="auto" w:fill="43C0B9"/>
          </w:tcPr>
          <w:p>
            <w:pPr>
              <w:spacing w:after="0"/>
              <w:rPr>
                <w:sz w:val="17"/>
                <w:szCs w:val="17"/>
                <w:color w:val="auto"/>
              </w:rPr>
            </w:pPr>
          </w:p>
        </w:tc>
        <w:tc>
          <w:tcPr>
            <w:tcW w:w="860" w:type="dxa"/>
            <w:vAlign w:val="bottom"/>
            <w:shd w:val="clear" w:color="auto" w:fill="43C0B9"/>
          </w:tcPr>
          <w:p>
            <w:pPr>
              <w:spacing w:after="0"/>
              <w:rPr>
                <w:sz w:val="17"/>
                <w:szCs w:val="17"/>
                <w:color w:val="auto"/>
              </w:rPr>
            </w:pPr>
          </w:p>
        </w:tc>
        <w:tc>
          <w:tcPr>
            <w:tcW w:w="300" w:type="dxa"/>
            <w:vAlign w:val="bottom"/>
            <w:shd w:val="clear" w:color="auto" w:fill="43C0B9"/>
          </w:tcPr>
          <w:p>
            <w:pPr>
              <w:spacing w:after="0"/>
              <w:rPr>
                <w:sz w:val="17"/>
                <w:szCs w:val="17"/>
                <w:color w:val="auto"/>
              </w:rPr>
            </w:pPr>
          </w:p>
        </w:tc>
        <w:tc>
          <w:tcPr>
            <w:tcW w:w="1140" w:type="dxa"/>
            <w:vAlign w:val="bottom"/>
            <w:shd w:val="clear" w:color="auto" w:fill="43C0B9"/>
          </w:tcPr>
          <w:p>
            <w:pPr>
              <w:spacing w:after="0"/>
              <w:rPr>
                <w:sz w:val="17"/>
                <w:szCs w:val="17"/>
                <w:color w:val="auto"/>
              </w:rPr>
            </w:pPr>
          </w:p>
        </w:tc>
        <w:tc>
          <w:tcPr>
            <w:tcW w:w="60" w:type="dxa"/>
            <w:vAlign w:val="bottom"/>
            <w:shd w:val="clear" w:color="auto" w:fill="43C0B9"/>
          </w:tcPr>
          <w:p>
            <w:pPr>
              <w:spacing w:after="0"/>
              <w:rPr>
                <w:sz w:val="17"/>
                <w:szCs w:val="17"/>
                <w:color w:val="auto"/>
              </w:rPr>
            </w:pPr>
          </w:p>
        </w:tc>
        <w:tc>
          <w:tcPr>
            <w:tcW w:w="1220" w:type="dxa"/>
            <w:vAlign w:val="bottom"/>
            <w:shd w:val="clear" w:color="auto" w:fill="43C0B9"/>
          </w:tcPr>
          <w:p>
            <w:pPr>
              <w:spacing w:after="0"/>
              <w:rPr>
                <w:sz w:val="17"/>
                <w:szCs w:val="17"/>
                <w:color w:val="auto"/>
              </w:rPr>
            </w:pPr>
          </w:p>
        </w:tc>
        <w:tc>
          <w:tcPr>
            <w:tcW w:w="200" w:type="dxa"/>
            <w:vAlign w:val="bottom"/>
            <w:shd w:val="clear" w:color="auto" w:fill="43C0B9"/>
          </w:tcPr>
          <w:p>
            <w:pPr>
              <w:spacing w:after="0"/>
              <w:rPr>
                <w:sz w:val="17"/>
                <w:szCs w:val="17"/>
                <w:color w:val="auto"/>
              </w:rPr>
            </w:pPr>
          </w:p>
        </w:tc>
        <w:tc>
          <w:tcPr>
            <w:tcW w:w="40" w:type="dxa"/>
            <w:vAlign w:val="bottom"/>
            <w:shd w:val="clear" w:color="auto" w:fill="43C0B9"/>
          </w:tcPr>
          <w:p>
            <w:pPr>
              <w:spacing w:after="0"/>
              <w:rPr>
                <w:sz w:val="17"/>
                <w:szCs w:val="17"/>
                <w:color w:val="auto"/>
              </w:rPr>
            </w:pPr>
          </w:p>
        </w:tc>
        <w:tc>
          <w:tcPr>
            <w:tcW w:w="380" w:type="dxa"/>
            <w:vAlign w:val="bottom"/>
            <w:shd w:val="clear" w:color="auto" w:fill="43C0B9"/>
          </w:tcPr>
          <w:p>
            <w:pPr>
              <w:spacing w:after="0"/>
              <w:rPr>
                <w:sz w:val="17"/>
                <w:szCs w:val="17"/>
                <w:color w:val="auto"/>
              </w:rPr>
            </w:pPr>
          </w:p>
        </w:tc>
        <w:tc>
          <w:tcPr>
            <w:tcW w:w="40" w:type="dxa"/>
            <w:vAlign w:val="bottom"/>
            <w:shd w:val="clear" w:color="auto" w:fill="43C0B9"/>
          </w:tcPr>
          <w:p>
            <w:pPr>
              <w:spacing w:after="0"/>
              <w:rPr>
                <w:sz w:val="17"/>
                <w:szCs w:val="17"/>
                <w:color w:val="auto"/>
              </w:rPr>
            </w:pPr>
          </w:p>
        </w:tc>
        <w:tc>
          <w:tcPr>
            <w:tcW w:w="40" w:type="dxa"/>
            <w:vAlign w:val="bottom"/>
            <w:shd w:val="clear" w:color="auto" w:fill="43C0B9"/>
          </w:tcPr>
          <w:p>
            <w:pPr>
              <w:spacing w:after="0"/>
              <w:rPr>
                <w:sz w:val="17"/>
                <w:szCs w:val="17"/>
                <w:color w:val="auto"/>
              </w:rPr>
            </w:pPr>
          </w:p>
        </w:tc>
        <w:tc>
          <w:tcPr>
            <w:tcW w:w="140" w:type="dxa"/>
            <w:vAlign w:val="bottom"/>
            <w:shd w:val="clear" w:color="auto" w:fill="43C0B9"/>
          </w:tcPr>
          <w:p>
            <w:pPr>
              <w:spacing w:after="0"/>
              <w:rPr>
                <w:sz w:val="17"/>
                <w:szCs w:val="17"/>
                <w:color w:val="auto"/>
              </w:rPr>
            </w:pPr>
          </w:p>
        </w:tc>
        <w:tc>
          <w:tcPr>
            <w:tcW w:w="140" w:type="dxa"/>
            <w:vAlign w:val="bottom"/>
            <w:shd w:val="clear" w:color="auto" w:fill="43C0B9"/>
          </w:tcPr>
          <w:p>
            <w:pPr>
              <w:spacing w:after="0"/>
              <w:rPr>
                <w:sz w:val="17"/>
                <w:szCs w:val="17"/>
                <w:color w:val="auto"/>
              </w:rPr>
            </w:pPr>
          </w:p>
        </w:tc>
        <w:tc>
          <w:tcPr>
            <w:tcW w:w="60" w:type="dxa"/>
            <w:vAlign w:val="bottom"/>
            <w:shd w:val="clear" w:color="auto" w:fill="43C0B9"/>
          </w:tcPr>
          <w:p>
            <w:pPr>
              <w:spacing w:after="0"/>
              <w:rPr>
                <w:sz w:val="17"/>
                <w:szCs w:val="17"/>
                <w:color w:val="auto"/>
              </w:rPr>
            </w:pPr>
          </w:p>
        </w:tc>
        <w:tc>
          <w:tcPr>
            <w:tcW w:w="160" w:type="dxa"/>
            <w:vAlign w:val="bottom"/>
            <w:shd w:val="clear" w:color="auto" w:fill="43C0B9"/>
          </w:tcPr>
          <w:p>
            <w:pPr>
              <w:spacing w:after="0"/>
              <w:rPr>
                <w:sz w:val="17"/>
                <w:szCs w:val="17"/>
                <w:color w:val="auto"/>
              </w:rPr>
            </w:pPr>
          </w:p>
        </w:tc>
        <w:tc>
          <w:tcPr>
            <w:tcW w:w="520" w:type="dxa"/>
            <w:vAlign w:val="bottom"/>
            <w:shd w:val="clear" w:color="auto" w:fill="43C0B9"/>
          </w:tcPr>
          <w:p>
            <w:pPr>
              <w:spacing w:after="0"/>
              <w:rPr>
                <w:sz w:val="17"/>
                <w:szCs w:val="17"/>
                <w:color w:val="auto"/>
              </w:rPr>
            </w:pPr>
          </w:p>
        </w:tc>
        <w:tc>
          <w:tcPr>
            <w:tcW w:w="1320" w:type="dxa"/>
            <w:vAlign w:val="bottom"/>
            <w:shd w:val="clear" w:color="auto" w:fill="43C0B9"/>
          </w:tcPr>
          <w:p>
            <w:pPr>
              <w:spacing w:after="0"/>
              <w:rPr>
                <w:sz w:val="17"/>
                <w:szCs w:val="17"/>
                <w:color w:val="auto"/>
              </w:rPr>
            </w:pPr>
          </w:p>
        </w:tc>
        <w:tc>
          <w:tcPr>
            <w:tcW w:w="980" w:type="dxa"/>
            <w:vAlign w:val="bottom"/>
            <w:shd w:val="clear" w:color="auto" w:fill="43C0B9"/>
          </w:tcPr>
          <w:p>
            <w:pPr>
              <w:spacing w:after="0"/>
              <w:rPr>
                <w:sz w:val="17"/>
                <w:szCs w:val="17"/>
                <w:color w:val="auto"/>
              </w:rPr>
            </w:pPr>
          </w:p>
        </w:tc>
        <w:tc>
          <w:tcPr>
            <w:tcW w:w="920" w:type="dxa"/>
            <w:vAlign w:val="bottom"/>
            <w:shd w:val="clear" w:color="auto" w:fill="43C0B9"/>
          </w:tcPr>
          <w:p>
            <w:pPr>
              <w:jc w:val="center"/>
              <w:ind w:left="9"/>
              <w:spacing w:after="0"/>
              <w:rPr>
                <w:sz w:val="20"/>
                <w:szCs w:val="20"/>
                <w:color w:val="auto"/>
              </w:rPr>
            </w:pPr>
            <w:r>
              <w:rPr>
                <w:rFonts w:ascii="Calibri" w:cs="Calibri" w:eastAsia="Calibri" w:hAnsi="Calibri"/>
                <w:sz w:val="14"/>
                <w:szCs w:val="14"/>
                <w:b w:val="1"/>
                <w:bCs w:val="1"/>
                <w:color w:val="FFFFFF"/>
              </w:rPr>
              <w:t>Filed</w:t>
            </w:r>
          </w:p>
        </w:tc>
      </w:tr>
      <w:tr>
        <w:trPr>
          <w:trHeight w:val="213"/>
        </w:trPr>
        <w:tc>
          <w:tcPr>
            <w:tcW w:w="880" w:type="dxa"/>
            <w:vAlign w:val="bottom"/>
            <w:tcBorders>
              <w:bottom w:val="single" w:sz="8" w:color="43C0B9"/>
            </w:tcBorders>
            <w:shd w:val="clear" w:color="auto" w:fill="43C0B9"/>
          </w:tcPr>
          <w:p>
            <w:pPr>
              <w:spacing w:after="0"/>
              <w:rPr>
                <w:sz w:val="18"/>
                <w:szCs w:val="18"/>
                <w:color w:val="auto"/>
              </w:rPr>
            </w:pPr>
          </w:p>
        </w:tc>
        <w:tc>
          <w:tcPr>
            <w:tcW w:w="1780" w:type="dxa"/>
            <w:vAlign w:val="bottom"/>
            <w:tcBorders>
              <w:bottom w:val="single" w:sz="8" w:color="43C0B9"/>
            </w:tcBorders>
            <w:shd w:val="clear" w:color="auto" w:fill="43C0B9"/>
          </w:tcPr>
          <w:p>
            <w:pPr>
              <w:spacing w:after="0"/>
              <w:rPr>
                <w:sz w:val="18"/>
                <w:szCs w:val="18"/>
                <w:color w:val="auto"/>
              </w:rPr>
            </w:pPr>
          </w:p>
        </w:tc>
        <w:tc>
          <w:tcPr>
            <w:tcW w:w="860" w:type="dxa"/>
            <w:vAlign w:val="bottom"/>
            <w:tcBorders>
              <w:bottom w:val="single" w:sz="8" w:color="43C0B9"/>
            </w:tcBorders>
            <w:shd w:val="clear" w:color="auto" w:fill="43C0B9"/>
          </w:tcPr>
          <w:p>
            <w:pPr>
              <w:spacing w:after="0"/>
              <w:rPr>
                <w:sz w:val="18"/>
                <w:szCs w:val="18"/>
                <w:color w:val="auto"/>
              </w:rPr>
            </w:pPr>
          </w:p>
        </w:tc>
        <w:tc>
          <w:tcPr>
            <w:tcW w:w="3920" w:type="dxa"/>
            <w:vAlign w:val="bottom"/>
            <w:tcBorders>
              <w:bottom w:val="single" w:sz="8" w:color="43C0B9"/>
            </w:tcBorders>
            <w:gridSpan w:val="13"/>
            <w:shd w:val="clear" w:color="auto" w:fill="43C0B9"/>
          </w:tcPr>
          <w:p>
            <w:pPr>
              <w:spacing w:after="0"/>
              <w:rPr>
                <w:sz w:val="20"/>
                <w:szCs w:val="20"/>
                <w:color w:val="auto"/>
              </w:rPr>
            </w:pPr>
            <w:r>
              <w:rPr>
                <w:rFonts w:ascii="Calibri" w:cs="Calibri" w:eastAsia="Calibri" w:hAnsi="Calibri"/>
                <w:sz w:val="14"/>
                <w:szCs w:val="14"/>
                <w:b w:val="1"/>
                <w:bCs w:val="1"/>
                <w:color w:val="FFFFFF"/>
              </w:rPr>
              <w:t>Exhibit Descripton</w:t>
            </w:r>
          </w:p>
        </w:tc>
        <w:tc>
          <w:tcPr>
            <w:tcW w:w="520" w:type="dxa"/>
            <w:vAlign w:val="bottom"/>
            <w:tcBorders>
              <w:bottom w:val="single" w:sz="8" w:color="43C0B9"/>
            </w:tcBorders>
            <w:shd w:val="clear" w:color="auto" w:fill="43C0B9"/>
          </w:tcPr>
          <w:p>
            <w:pPr>
              <w:jc w:val="center"/>
              <w:ind w:left="9"/>
              <w:spacing w:after="0"/>
              <w:rPr>
                <w:sz w:val="20"/>
                <w:szCs w:val="20"/>
                <w:color w:val="auto"/>
              </w:rPr>
            </w:pPr>
            <w:r>
              <w:rPr>
                <w:rFonts w:ascii="Calibri" w:cs="Calibri" w:eastAsia="Calibri" w:hAnsi="Calibri"/>
                <w:sz w:val="14"/>
                <w:szCs w:val="14"/>
                <w:b w:val="1"/>
                <w:bCs w:val="1"/>
                <w:color w:val="FFFFFF"/>
              </w:rPr>
              <w:t>Form</w:t>
            </w:r>
          </w:p>
        </w:tc>
        <w:tc>
          <w:tcPr>
            <w:tcW w:w="1320" w:type="dxa"/>
            <w:vAlign w:val="bottom"/>
            <w:tcBorders>
              <w:bottom w:val="single" w:sz="8" w:color="43C0B9"/>
            </w:tcBorders>
            <w:shd w:val="clear" w:color="auto" w:fill="43C0B9"/>
          </w:tcPr>
          <w:p>
            <w:pPr>
              <w:jc w:val="center"/>
              <w:ind w:left="89"/>
              <w:spacing w:after="0"/>
              <w:rPr>
                <w:sz w:val="20"/>
                <w:szCs w:val="20"/>
                <w:color w:val="auto"/>
              </w:rPr>
            </w:pPr>
            <w:r>
              <w:rPr>
                <w:rFonts w:ascii="Calibri" w:cs="Calibri" w:eastAsia="Calibri" w:hAnsi="Calibri"/>
                <w:sz w:val="14"/>
                <w:szCs w:val="14"/>
                <w:b w:val="1"/>
                <w:bCs w:val="1"/>
                <w:color w:val="FFFFFF"/>
              </w:rPr>
              <w:t>Date</w:t>
            </w:r>
          </w:p>
        </w:tc>
        <w:tc>
          <w:tcPr>
            <w:tcW w:w="980" w:type="dxa"/>
            <w:vAlign w:val="bottom"/>
            <w:tcBorders>
              <w:bottom w:val="single" w:sz="8" w:color="43C0B9"/>
            </w:tcBorders>
            <w:shd w:val="clear" w:color="auto" w:fill="43C0B9"/>
          </w:tcPr>
          <w:p>
            <w:pPr>
              <w:ind w:left="260"/>
              <w:spacing w:after="0"/>
              <w:rPr>
                <w:sz w:val="20"/>
                <w:szCs w:val="20"/>
                <w:color w:val="auto"/>
              </w:rPr>
            </w:pPr>
            <w:r>
              <w:rPr>
                <w:rFonts w:ascii="Calibri" w:cs="Calibri" w:eastAsia="Calibri" w:hAnsi="Calibri"/>
                <w:sz w:val="14"/>
                <w:szCs w:val="14"/>
                <w:b w:val="1"/>
                <w:bCs w:val="1"/>
                <w:color w:val="FFFFFF"/>
              </w:rPr>
              <w:t>Number</w:t>
            </w:r>
          </w:p>
        </w:tc>
        <w:tc>
          <w:tcPr>
            <w:tcW w:w="920" w:type="dxa"/>
            <w:vAlign w:val="bottom"/>
            <w:tcBorders>
              <w:bottom w:val="single" w:sz="8" w:color="43C0B9"/>
            </w:tcBorders>
            <w:shd w:val="clear" w:color="auto" w:fill="43C0B9"/>
          </w:tcPr>
          <w:p>
            <w:pPr>
              <w:jc w:val="center"/>
              <w:spacing w:after="0"/>
              <w:rPr>
                <w:sz w:val="20"/>
                <w:szCs w:val="20"/>
                <w:color w:val="auto"/>
              </w:rPr>
            </w:pPr>
            <w:r>
              <w:rPr>
                <w:rFonts w:ascii="Calibri" w:cs="Calibri" w:eastAsia="Calibri" w:hAnsi="Calibri"/>
                <w:sz w:val="14"/>
                <w:szCs w:val="14"/>
                <w:b w:val="1"/>
                <w:bCs w:val="1"/>
                <w:color w:val="FFFFFF"/>
                <w:w w:val="99"/>
              </w:rPr>
              <w:t>Herewith</w:t>
            </w:r>
          </w:p>
        </w:tc>
      </w:tr>
      <w:tr>
        <w:trPr>
          <w:trHeight w:val="147"/>
        </w:trPr>
        <w:tc>
          <w:tcPr>
            <w:tcW w:w="880" w:type="dxa"/>
            <w:vAlign w:val="bottom"/>
            <w:shd w:val="clear" w:color="auto" w:fill="DBDBDB"/>
          </w:tcPr>
          <w:p>
            <w:pPr>
              <w:jc w:val="center"/>
              <w:ind w:right="29"/>
              <w:spacing w:after="0" w:line="147" w:lineRule="exact"/>
              <w:rPr>
                <w:sz w:val="20"/>
                <w:szCs w:val="20"/>
                <w:color w:val="auto"/>
              </w:rPr>
            </w:pPr>
            <w:r>
              <w:rPr>
                <w:rFonts w:ascii="Calibri" w:cs="Calibri" w:eastAsia="Calibri" w:hAnsi="Calibri"/>
                <w:sz w:val="14"/>
                <w:szCs w:val="14"/>
                <w:color w:val="auto"/>
              </w:rPr>
              <w:t>3.1#</w:t>
            </w:r>
          </w:p>
        </w:tc>
        <w:tc>
          <w:tcPr>
            <w:tcW w:w="6560" w:type="dxa"/>
            <w:vAlign w:val="bottom"/>
            <w:gridSpan w:val="15"/>
            <w:shd w:val="clear" w:color="auto" w:fill="DBDBDB"/>
          </w:tcPr>
          <w:p>
            <w:pPr>
              <w:spacing w:after="0" w:line="147" w:lineRule="exact"/>
              <w:rPr>
                <w:rFonts w:ascii="Calibri" w:cs="Calibri" w:eastAsia="Calibri" w:hAnsi="Calibri"/>
                <w:sz w:val="14"/>
                <w:szCs w:val="14"/>
                <w:color w:val="0000FF"/>
              </w:rPr>
            </w:pPr>
            <w:hyperlink r:id="rId70">
              <w:r>
                <w:rPr>
                  <w:rFonts w:ascii="Calibri" w:cs="Calibri" w:eastAsia="Calibri" w:hAnsi="Calibri"/>
                  <w:sz w:val="14"/>
                  <w:szCs w:val="14"/>
                  <w:color w:val="0000FF"/>
                </w:rPr>
                <w:t>Amended and Restated Certfcate of Incorporaton</w:t>
              </w:r>
            </w:hyperlink>
          </w:p>
        </w:tc>
        <w:tc>
          <w:tcPr>
            <w:tcW w:w="520" w:type="dxa"/>
            <w:vAlign w:val="bottom"/>
            <w:shd w:val="clear" w:color="auto" w:fill="DBDBDB"/>
          </w:tcPr>
          <w:p>
            <w:pPr>
              <w:jc w:val="center"/>
              <w:ind w:left="9"/>
              <w:spacing w:after="0" w:line="147" w:lineRule="exact"/>
              <w:rPr>
                <w:sz w:val="20"/>
                <w:szCs w:val="20"/>
                <w:color w:val="auto"/>
              </w:rPr>
            </w:pPr>
            <w:r>
              <w:rPr>
                <w:rFonts w:ascii="Calibri" w:cs="Calibri" w:eastAsia="Calibri" w:hAnsi="Calibri"/>
                <w:sz w:val="14"/>
                <w:szCs w:val="14"/>
                <w:color w:val="auto"/>
              </w:rPr>
              <w:t>8-K</w:t>
            </w:r>
          </w:p>
        </w:tc>
        <w:tc>
          <w:tcPr>
            <w:tcW w:w="1320" w:type="dxa"/>
            <w:vAlign w:val="bottom"/>
            <w:shd w:val="clear" w:color="auto" w:fill="DBDBDB"/>
          </w:tcPr>
          <w:p>
            <w:pPr>
              <w:jc w:val="center"/>
              <w:ind w:left="109"/>
              <w:spacing w:after="0" w:line="147" w:lineRule="exact"/>
              <w:rPr>
                <w:sz w:val="20"/>
                <w:szCs w:val="20"/>
                <w:color w:val="auto"/>
              </w:rPr>
            </w:pPr>
            <w:r>
              <w:rPr>
                <w:rFonts w:ascii="Calibri" w:cs="Calibri" w:eastAsia="Calibri" w:hAnsi="Calibri"/>
                <w:sz w:val="14"/>
                <w:szCs w:val="14"/>
                <w:color w:val="auto"/>
              </w:rPr>
              <w:t>10/7/2020</w:t>
            </w:r>
          </w:p>
        </w:tc>
        <w:tc>
          <w:tcPr>
            <w:tcW w:w="980" w:type="dxa"/>
            <w:vAlign w:val="bottom"/>
            <w:shd w:val="clear" w:color="auto" w:fill="DBDBDB"/>
          </w:tcPr>
          <w:p>
            <w:pPr>
              <w:jc w:val="center"/>
              <w:spacing w:after="0" w:line="147" w:lineRule="exact"/>
              <w:rPr>
                <w:sz w:val="20"/>
                <w:szCs w:val="20"/>
                <w:color w:val="auto"/>
              </w:rPr>
            </w:pPr>
            <w:r>
              <w:rPr>
                <w:rFonts w:ascii="Calibri" w:cs="Calibri" w:eastAsia="Calibri" w:hAnsi="Calibri"/>
                <w:sz w:val="14"/>
                <w:szCs w:val="14"/>
                <w:color w:val="auto"/>
              </w:rPr>
              <w:t>3.1</w:t>
            </w:r>
          </w:p>
        </w:tc>
        <w:tc>
          <w:tcPr>
            <w:tcW w:w="920" w:type="dxa"/>
            <w:vAlign w:val="bottom"/>
            <w:shd w:val="clear" w:color="auto" w:fill="DBDBDB"/>
          </w:tcPr>
          <w:p>
            <w:pPr>
              <w:spacing w:after="0"/>
              <w:rPr>
                <w:sz w:val="12"/>
                <w:szCs w:val="12"/>
                <w:color w:val="auto"/>
              </w:rPr>
            </w:pPr>
          </w:p>
        </w:tc>
      </w:tr>
      <w:tr>
        <w:trPr>
          <w:trHeight w:val="60"/>
        </w:trPr>
        <w:tc>
          <w:tcPr>
            <w:tcW w:w="880" w:type="dxa"/>
            <w:vAlign w:val="bottom"/>
            <w:tcBorders>
              <w:top w:val="single" w:sz="8" w:color="DBDBDB"/>
            </w:tcBorders>
            <w:shd w:val="clear" w:color="auto" w:fill="DBDBDB"/>
          </w:tcPr>
          <w:p>
            <w:pPr>
              <w:spacing w:after="0"/>
              <w:rPr>
                <w:sz w:val="5"/>
                <w:szCs w:val="5"/>
                <w:color w:val="auto"/>
              </w:rPr>
            </w:pPr>
          </w:p>
        </w:tc>
        <w:tc>
          <w:tcPr>
            <w:tcW w:w="1780" w:type="dxa"/>
            <w:vAlign w:val="bottom"/>
            <w:tcBorders>
              <w:top w:val="single" w:sz="8" w:color="0000FF"/>
            </w:tcBorders>
            <w:shd w:val="clear" w:color="auto" w:fill="DBDBDB"/>
          </w:tcPr>
          <w:p>
            <w:pPr>
              <w:spacing w:after="0"/>
              <w:rPr>
                <w:sz w:val="5"/>
                <w:szCs w:val="5"/>
                <w:color w:val="auto"/>
              </w:rPr>
            </w:pPr>
          </w:p>
        </w:tc>
        <w:tc>
          <w:tcPr>
            <w:tcW w:w="86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11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22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520" w:type="dxa"/>
            <w:vAlign w:val="bottom"/>
            <w:tcBorders>
              <w:top w:val="single" w:sz="8" w:color="DBDBDB"/>
            </w:tcBorders>
            <w:shd w:val="clear" w:color="auto" w:fill="DBDBDB"/>
          </w:tcPr>
          <w:p>
            <w:pPr>
              <w:spacing w:after="0"/>
              <w:rPr>
                <w:sz w:val="5"/>
                <w:szCs w:val="5"/>
                <w:color w:val="auto"/>
              </w:rPr>
            </w:pPr>
          </w:p>
        </w:tc>
        <w:tc>
          <w:tcPr>
            <w:tcW w:w="1320" w:type="dxa"/>
            <w:vAlign w:val="bottom"/>
            <w:tcBorders>
              <w:top w:val="single" w:sz="8" w:color="DBDBDB"/>
            </w:tcBorders>
            <w:shd w:val="clear" w:color="auto" w:fill="DBDBDB"/>
          </w:tcPr>
          <w:p>
            <w:pPr>
              <w:spacing w:after="0"/>
              <w:rPr>
                <w:sz w:val="5"/>
                <w:szCs w:val="5"/>
                <w:color w:val="auto"/>
              </w:rPr>
            </w:pPr>
          </w:p>
        </w:tc>
        <w:tc>
          <w:tcPr>
            <w:tcW w:w="980" w:type="dxa"/>
            <w:vAlign w:val="bottom"/>
            <w:tcBorders>
              <w:top w:val="single" w:sz="8" w:color="DBDBDB"/>
            </w:tcBorders>
            <w:shd w:val="clear" w:color="auto" w:fill="DBDBDB"/>
          </w:tcPr>
          <w:p>
            <w:pPr>
              <w:spacing w:after="0"/>
              <w:rPr>
                <w:sz w:val="5"/>
                <w:szCs w:val="5"/>
                <w:color w:val="auto"/>
              </w:rPr>
            </w:pPr>
          </w:p>
        </w:tc>
        <w:tc>
          <w:tcPr>
            <w:tcW w:w="920" w:type="dxa"/>
            <w:vAlign w:val="bottom"/>
            <w:tcBorders>
              <w:top w:val="single" w:sz="8" w:color="DBDBDB"/>
            </w:tcBorders>
            <w:shd w:val="clear" w:color="auto" w:fill="DBDBDB"/>
          </w:tcPr>
          <w:p>
            <w:pPr>
              <w:spacing w:after="0"/>
              <w:rPr>
                <w:sz w:val="5"/>
                <w:szCs w:val="5"/>
                <w:color w:val="auto"/>
              </w:rPr>
            </w:pPr>
          </w:p>
        </w:tc>
      </w:tr>
      <w:tr>
        <w:trPr>
          <w:trHeight w:val="147"/>
        </w:trPr>
        <w:tc>
          <w:tcPr>
            <w:tcW w:w="880" w:type="dxa"/>
            <w:vAlign w:val="bottom"/>
          </w:tcPr>
          <w:p>
            <w:pPr>
              <w:jc w:val="center"/>
              <w:ind w:right="29"/>
              <w:spacing w:after="0" w:line="147" w:lineRule="exact"/>
              <w:rPr>
                <w:sz w:val="20"/>
                <w:szCs w:val="20"/>
                <w:color w:val="auto"/>
              </w:rPr>
            </w:pPr>
            <w:r>
              <w:rPr>
                <w:rFonts w:ascii="Calibri" w:cs="Calibri" w:eastAsia="Calibri" w:hAnsi="Calibri"/>
                <w:sz w:val="14"/>
                <w:szCs w:val="14"/>
                <w:color w:val="auto"/>
              </w:rPr>
              <w:t>3.2#</w:t>
            </w:r>
          </w:p>
        </w:tc>
        <w:tc>
          <w:tcPr>
            <w:tcW w:w="6560" w:type="dxa"/>
            <w:vAlign w:val="bottom"/>
            <w:gridSpan w:val="15"/>
          </w:tcPr>
          <w:p>
            <w:pPr>
              <w:spacing w:after="0" w:line="147" w:lineRule="exact"/>
              <w:rPr>
                <w:rFonts w:ascii="Calibri" w:cs="Calibri" w:eastAsia="Calibri" w:hAnsi="Calibri"/>
                <w:sz w:val="14"/>
                <w:szCs w:val="14"/>
                <w:color w:val="0000FF"/>
              </w:rPr>
            </w:pPr>
            <w:hyperlink r:id="rId71">
              <w:r>
                <w:rPr>
                  <w:rFonts w:ascii="Calibri" w:cs="Calibri" w:eastAsia="Calibri" w:hAnsi="Calibri"/>
                  <w:sz w:val="14"/>
                  <w:szCs w:val="14"/>
                  <w:color w:val="0000FF"/>
                </w:rPr>
                <w:t>Amended and Restated Bylaws</w:t>
              </w:r>
            </w:hyperlink>
          </w:p>
        </w:tc>
        <w:tc>
          <w:tcPr>
            <w:tcW w:w="520" w:type="dxa"/>
            <w:vAlign w:val="bottom"/>
          </w:tcPr>
          <w:p>
            <w:pPr>
              <w:jc w:val="center"/>
              <w:ind w:left="9"/>
              <w:spacing w:after="0" w:line="147" w:lineRule="exact"/>
              <w:rPr>
                <w:sz w:val="20"/>
                <w:szCs w:val="20"/>
                <w:color w:val="auto"/>
              </w:rPr>
            </w:pPr>
            <w:r>
              <w:rPr>
                <w:rFonts w:ascii="Calibri" w:cs="Calibri" w:eastAsia="Calibri" w:hAnsi="Calibri"/>
                <w:sz w:val="14"/>
                <w:szCs w:val="14"/>
                <w:color w:val="auto"/>
              </w:rPr>
              <w:t>8-K</w:t>
            </w:r>
          </w:p>
        </w:tc>
        <w:tc>
          <w:tcPr>
            <w:tcW w:w="1320" w:type="dxa"/>
            <w:vAlign w:val="bottom"/>
          </w:tcPr>
          <w:p>
            <w:pPr>
              <w:jc w:val="center"/>
              <w:ind w:left="109"/>
              <w:spacing w:after="0" w:line="147" w:lineRule="exact"/>
              <w:rPr>
                <w:sz w:val="20"/>
                <w:szCs w:val="20"/>
                <w:color w:val="auto"/>
              </w:rPr>
            </w:pPr>
            <w:r>
              <w:rPr>
                <w:rFonts w:ascii="Calibri" w:cs="Calibri" w:eastAsia="Calibri" w:hAnsi="Calibri"/>
                <w:sz w:val="14"/>
                <w:szCs w:val="14"/>
                <w:color w:val="auto"/>
              </w:rPr>
              <w:t>10/7/2020</w:t>
            </w:r>
          </w:p>
        </w:tc>
        <w:tc>
          <w:tcPr>
            <w:tcW w:w="980" w:type="dxa"/>
            <w:vAlign w:val="bottom"/>
          </w:tcPr>
          <w:p>
            <w:pPr>
              <w:jc w:val="center"/>
              <w:spacing w:after="0" w:line="147" w:lineRule="exact"/>
              <w:rPr>
                <w:sz w:val="20"/>
                <w:szCs w:val="20"/>
                <w:color w:val="auto"/>
              </w:rPr>
            </w:pPr>
            <w:r>
              <w:rPr>
                <w:rFonts w:ascii="Calibri" w:cs="Calibri" w:eastAsia="Calibri" w:hAnsi="Calibri"/>
                <w:sz w:val="14"/>
                <w:szCs w:val="14"/>
                <w:color w:val="auto"/>
              </w:rPr>
              <w:t>3.2</w:t>
            </w:r>
          </w:p>
        </w:tc>
        <w:tc>
          <w:tcPr>
            <w:tcW w:w="920" w:type="dxa"/>
            <w:vAlign w:val="bottom"/>
          </w:tcPr>
          <w:p>
            <w:pPr>
              <w:spacing w:after="0"/>
              <w:rPr>
                <w:sz w:val="12"/>
                <w:szCs w:val="12"/>
                <w:color w:val="auto"/>
              </w:rPr>
            </w:pPr>
          </w:p>
        </w:tc>
      </w:tr>
      <w:tr>
        <w:trPr>
          <w:trHeight w:val="60"/>
        </w:trPr>
        <w:tc>
          <w:tcPr>
            <w:tcW w:w="880" w:type="dxa"/>
            <w:vAlign w:val="bottom"/>
          </w:tcPr>
          <w:p>
            <w:pPr>
              <w:spacing w:after="0"/>
              <w:rPr>
                <w:sz w:val="5"/>
                <w:szCs w:val="5"/>
                <w:color w:val="auto"/>
              </w:rPr>
            </w:pPr>
          </w:p>
        </w:tc>
        <w:tc>
          <w:tcPr>
            <w:tcW w:w="1780" w:type="dxa"/>
            <w:vAlign w:val="bottom"/>
            <w:tcBorders>
              <w:top w:val="single" w:sz="8" w:color="0000FF"/>
            </w:tcBorders>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47"/>
        </w:trPr>
        <w:tc>
          <w:tcPr>
            <w:tcW w:w="880" w:type="dxa"/>
            <w:vAlign w:val="bottom"/>
            <w:tcBorders>
              <w:bottom w:val="single" w:sz="8" w:color="DBDBDB"/>
            </w:tcBorders>
            <w:shd w:val="clear" w:color="auto" w:fill="DBDBDB"/>
          </w:tcPr>
          <w:p>
            <w:pPr>
              <w:jc w:val="center"/>
              <w:ind w:right="9"/>
              <w:spacing w:after="0" w:line="147" w:lineRule="exact"/>
              <w:rPr>
                <w:sz w:val="20"/>
                <w:szCs w:val="20"/>
                <w:color w:val="auto"/>
              </w:rPr>
            </w:pPr>
            <w:r>
              <w:rPr>
                <w:rFonts w:ascii="Calibri" w:cs="Calibri" w:eastAsia="Calibri" w:hAnsi="Calibri"/>
                <w:sz w:val="14"/>
                <w:szCs w:val="14"/>
                <w:color w:val="auto"/>
              </w:rPr>
              <w:t>10.17#</w:t>
            </w:r>
          </w:p>
        </w:tc>
        <w:tc>
          <w:tcPr>
            <w:tcW w:w="6400" w:type="dxa"/>
            <w:vAlign w:val="bottom"/>
            <w:tcBorders>
              <w:bottom w:val="single" w:sz="8" w:color="0000FF"/>
            </w:tcBorders>
            <w:gridSpan w:val="14"/>
            <w:shd w:val="clear" w:color="auto" w:fill="DBDBDB"/>
          </w:tcPr>
          <w:p>
            <w:pPr>
              <w:spacing w:after="0" w:line="147" w:lineRule="exact"/>
              <w:rPr>
                <w:rFonts w:ascii="Calibri" w:cs="Calibri" w:eastAsia="Calibri" w:hAnsi="Calibri"/>
                <w:sz w:val="14"/>
                <w:szCs w:val="14"/>
                <w:color w:val="0000FF"/>
              </w:rPr>
            </w:pPr>
            <w:hyperlink r:id="rId72">
              <w:r>
                <w:rPr>
                  <w:rFonts w:ascii="Calibri" w:cs="Calibri" w:eastAsia="Calibri" w:hAnsi="Calibri"/>
                  <w:sz w:val="14"/>
                  <w:szCs w:val="14"/>
                  <w:color w:val="0000FF"/>
                </w:rPr>
                <w:t>Second Amendment dated April 26, 2022, to the Credit Agreement dated as of October 11, 2018 and amended</w:t>
              </w:r>
            </w:hyperlink>
          </w:p>
        </w:tc>
        <w:tc>
          <w:tcPr>
            <w:tcW w:w="160" w:type="dxa"/>
            <w:vAlign w:val="bottom"/>
            <w:tcBorders>
              <w:bottom w:val="single" w:sz="8" w:color="DBDBDB"/>
            </w:tcBorders>
            <w:shd w:val="clear" w:color="auto" w:fill="DBDBDB"/>
          </w:tcPr>
          <w:p>
            <w:pPr>
              <w:spacing w:after="0"/>
              <w:rPr>
                <w:sz w:val="12"/>
                <w:szCs w:val="12"/>
                <w:color w:val="auto"/>
              </w:rPr>
            </w:pPr>
          </w:p>
        </w:tc>
        <w:tc>
          <w:tcPr>
            <w:tcW w:w="520" w:type="dxa"/>
            <w:vAlign w:val="bottom"/>
            <w:tcBorders>
              <w:bottom w:val="single" w:sz="8" w:color="DBDBDB"/>
            </w:tcBorders>
            <w:shd w:val="clear" w:color="auto" w:fill="DBDBDB"/>
          </w:tcPr>
          <w:p>
            <w:pPr>
              <w:jc w:val="center"/>
              <w:ind w:left="9"/>
              <w:spacing w:after="0" w:line="147" w:lineRule="exact"/>
              <w:rPr>
                <w:sz w:val="20"/>
                <w:szCs w:val="20"/>
                <w:color w:val="auto"/>
              </w:rPr>
            </w:pPr>
            <w:r>
              <w:rPr>
                <w:rFonts w:ascii="Calibri" w:cs="Calibri" w:eastAsia="Calibri" w:hAnsi="Calibri"/>
                <w:sz w:val="14"/>
                <w:szCs w:val="14"/>
                <w:color w:val="auto"/>
              </w:rPr>
              <w:t>8-K</w:t>
            </w:r>
          </w:p>
        </w:tc>
        <w:tc>
          <w:tcPr>
            <w:tcW w:w="1320" w:type="dxa"/>
            <w:vAlign w:val="bottom"/>
            <w:tcBorders>
              <w:bottom w:val="single" w:sz="8" w:color="DBDBDB"/>
            </w:tcBorders>
            <w:shd w:val="clear" w:color="auto" w:fill="DBDBDB"/>
          </w:tcPr>
          <w:p>
            <w:pPr>
              <w:jc w:val="center"/>
              <w:ind w:left="109"/>
              <w:spacing w:after="0" w:line="147" w:lineRule="exact"/>
              <w:rPr>
                <w:sz w:val="20"/>
                <w:szCs w:val="20"/>
                <w:color w:val="auto"/>
              </w:rPr>
            </w:pPr>
            <w:r>
              <w:rPr>
                <w:rFonts w:ascii="Calibri" w:cs="Calibri" w:eastAsia="Calibri" w:hAnsi="Calibri"/>
                <w:sz w:val="14"/>
                <w:szCs w:val="14"/>
                <w:color w:val="auto"/>
              </w:rPr>
              <w:t>4/26/2022</w:t>
            </w:r>
          </w:p>
        </w:tc>
        <w:tc>
          <w:tcPr>
            <w:tcW w:w="980" w:type="dxa"/>
            <w:vAlign w:val="bottom"/>
            <w:tcBorders>
              <w:bottom w:val="single" w:sz="8" w:color="DBDBDB"/>
            </w:tcBorders>
            <w:shd w:val="clear" w:color="auto" w:fill="DBDBDB"/>
          </w:tcPr>
          <w:p>
            <w:pPr>
              <w:jc w:val="center"/>
              <w:spacing w:after="0" w:line="147" w:lineRule="exact"/>
              <w:rPr>
                <w:sz w:val="20"/>
                <w:szCs w:val="20"/>
                <w:color w:val="auto"/>
              </w:rPr>
            </w:pPr>
            <w:r>
              <w:rPr>
                <w:rFonts w:ascii="Calibri" w:cs="Calibri" w:eastAsia="Calibri" w:hAnsi="Calibri"/>
                <w:sz w:val="14"/>
                <w:szCs w:val="14"/>
                <w:color w:val="auto"/>
              </w:rPr>
              <w:t>10.17</w:t>
            </w:r>
          </w:p>
        </w:tc>
        <w:tc>
          <w:tcPr>
            <w:tcW w:w="920" w:type="dxa"/>
            <w:vAlign w:val="bottom"/>
            <w:tcBorders>
              <w:bottom w:val="single" w:sz="8" w:color="DBDBDB"/>
            </w:tcBorders>
            <w:shd w:val="clear" w:color="auto" w:fill="DBDBDB"/>
          </w:tcPr>
          <w:p>
            <w:pPr>
              <w:spacing w:after="0"/>
              <w:rPr>
                <w:sz w:val="12"/>
                <w:szCs w:val="12"/>
                <w:color w:val="auto"/>
              </w:rPr>
            </w:pPr>
          </w:p>
        </w:tc>
      </w:tr>
      <w:tr>
        <w:trPr>
          <w:trHeight w:val="154"/>
        </w:trPr>
        <w:tc>
          <w:tcPr>
            <w:tcW w:w="880" w:type="dxa"/>
            <w:vAlign w:val="bottom"/>
            <w:tcBorders>
              <w:bottom w:val="single" w:sz="8" w:color="DBDBDB"/>
            </w:tcBorders>
            <w:shd w:val="clear" w:color="auto" w:fill="DBDBDB"/>
          </w:tcPr>
          <w:p>
            <w:pPr>
              <w:spacing w:after="0"/>
              <w:rPr>
                <w:sz w:val="13"/>
                <w:szCs w:val="13"/>
                <w:color w:val="auto"/>
              </w:rPr>
            </w:pPr>
          </w:p>
        </w:tc>
        <w:tc>
          <w:tcPr>
            <w:tcW w:w="6400" w:type="dxa"/>
            <w:vAlign w:val="bottom"/>
            <w:tcBorders>
              <w:bottom w:val="single" w:sz="8" w:color="0000FF"/>
            </w:tcBorders>
            <w:gridSpan w:val="14"/>
            <w:shd w:val="clear" w:color="auto" w:fill="DBDBDB"/>
          </w:tcPr>
          <w:p>
            <w:pPr>
              <w:spacing w:after="0" w:line="154" w:lineRule="exact"/>
              <w:rPr>
                <w:rFonts w:ascii="Calibri" w:cs="Calibri" w:eastAsia="Calibri" w:hAnsi="Calibri"/>
                <w:sz w:val="14"/>
                <w:szCs w:val="14"/>
                <w:color w:val="0000FF"/>
              </w:rPr>
            </w:pPr>
            <w:hyperlink r:id="rId72">
              <w:r>
                <w:rPr>
                  <w:rFonts w:ascii="Calibri" w:cs="Calibri" w:eastAsia="Calibri" w:hAnsi="Calibri"/>
                  <w:sz w:val="14"/>
                  <w:szCs w:val="14"/>
                  <w:color w:val="0000FF"/>
                </w:rPr>
                <w:t>on September 18, 2020, by and among Mission Produce, Inc., as Borrower, certain subsidiaries of the Borrower</w:t>
              </w:r>
            </w:hyperlink>
          </w:p>
        </w:tc>
        <w:tc>
          <w:tcPr>
            <w:tcW w:w="160" w:type="dxa"/>
            <w:vAlign w:val="bottom"/>
            <w:tcBorders>
              <w:bottom w:val="single" w:sz="8" w:color="DBDBDB"/>
            </w:tcBorders>
            <w:shd w:val="clear" w:color="auto" w:fill="DBDBDB"/>
          </w:tcPr>
          <w:p>
            <w:pPr>
              <w:spacing w:after="0"/>
              <w:rPr>
                <w:sz w:val="13"/>
                <w:szCs w:val="13"/>
                <w:color w:val="auto"/>
              </w:rPr>
            </w:pPr>
          </w:p>
        </w:tc>
        <w:tc>
          <w:tcPr>
            <w:tcW w:w="520" w:type="dxa"/>
            <w:vAlign w:val="bottom"/>
            <w:tcBorders>
              <w:bottom w:val="single" w:sz="8" w:color="DBDBDB"/>
            </w:tcBorders>
            <w:shd w:val="clear" w:color="auto" w:fill="DBDBDB"/>
          </w:tcPr>
          <w:p>
            <w:pPr>
              <w:spacing w:after="0"/>
              <w:rPr>
                <w:sz w:val="13"/>
                <w:szCs w:val="13"/>
                <w:color w:val="auto"/>
              </w:rPr>
            </w:pPr>
          </w:p>
        </w:tc>
        <w:tc>
          <w:tcPr>
            <w:tcW w:w="1320" w:type="dxa"/>
            <w:vAlign w:val="bottom"/>
            <w:tcBorders>
              <w:bottom w:val="single" w:sz="8" w:color="DBDBDB"/>
            </w:tcBorders>
            <w:shd w:val="clear" w:color="auto" w:fill="DBDBDB"/>
          </w:tcPr>
          <w:p>
            <w:pPr>
              <w:spacing w:after="0"/>
              <w:rPr>
                <w:sz w:val="13"/>
                <w:szCs w:val="13"/>
                <w:color w:val="auto"/>
              </w:rPr>
            </w:pPr>
          </w:p>
        </w:tc>
        <w:tc>
          <w:tcPr>
            <w:tcW w:w="98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spacing w:after="0"/>
              <w:rPr>
                <w:sz w:val="13"/>
                <w:szCs w:val="13"/>
                <w:color w:val="auto"/>
              </w:rPr>
            </w:pPr>
          </w:p>
        </w:tc>
      </w:tr>
      <w:tr>
        <w:trPr>
          <w:trHeight w:val="154"/>
        </w:trPr>
        <w:tc>
          <w:tcPr>
            <w:tcW w:w="880" w:type="dxa"/>
            <w:vAlign w:val="bottom"/>
            <w:shd w:val="clear" w:color="auto" w:fill="DBDBDB"/>
          </w:tcPr>
          <w:p>
            <w:pPr>
              <w:spacing w:after="0"/>
              <w:rPr>
                <w:sz w:val="13"/>
                <w:szCs w:val="13"/>
                <w:color w:val="auto"/>
              </w:rPr>
            </w:pPr>
          </w:p>
        </w:tc>
        <w:tc>
          <w:tcPr>
            <w:tcW w:w="6560" w:type="dxa"/>
            <w:vAlign w:val="bottom"/>
            <w:gridSpan w:val="15"/>
            <w:shd w:val="clear" w:color="auto" w:fill="DBDBDB"/>
          </w:tcPr>
          <w:p>
            <w:pPr>
              <w:spacing w:after="0" w:line="154" w:lineRule="exact"/>
              <w:rPr>
                <w:rFonts w:ascii="Calibri" w:cs="Calibri" w:eastAsia="Calibri" w:hAnsi="Calibri"/>
                <w:sz w:val="14"/>
                <w:szCs w:val="14"/>
                <w:color w:val="0000FF"/>
              </w:rPr>
            </w:pPr>
            <w:hyperlink r:id="rId72">
              <w:r>
                <w:rPr>
                  <w:rFonts w:ascii="Calibri" w:cs="Calibri" w:eastAsia="Calibri" w:hAnsi="Calibri"/>
                  <w:sz w:val="14"/>
                  <w:szCs w:val="14"/>
                  <w:color w:val="0000FF"/>
                </w:rPr>
                <w:t>party thereto as guarantors, Bank of America, N.A. as administratve agent, Swingline Lender and L/C Issuer,</w:t>
              </w:r>
            </w:hyperlink>
          </w:p>
        </w:tc>
        <w:tc>
          <w:tcPr>
            <w:tcW w:w="52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r>
      <w:tr>
        <w:trPr>
          <w:trHeight w:val="140"/>
        </w:trPr>
        <w:tc>
          <w:tcPr>
            <w:tcW w:w="880" w:type="dxa"/>
            <w:vAlign w:val="bottom"/>
            <w:tcBorders>
              <w:top w:val="single" w:sz="8" w:color="DBDBDB"/>
              <w:bottom w:val="single" w:sz="8" w:color="DBDBDB"/>
            </w:tcBorders>
            <w:shd w:val="clear" w:color="auto" w:fill="DBDBDB"/>
          </w:tcPr>
          <w:p>
            <w:pPr>
              <w:spacing w:after="0"/>
              <w:rPr>
                <w:sz w:val="12"/>
                <w:szCs w:val="12"/>
                <w:color w:val="auto"/>
              </w:rPr>
            </w:pPr>
          </w:p>
        </w:tc>
        <w:tc>
          <w:tcPr>
            <w:tcW w:w="5980" w:type="dxa"/>
            <w:vAlign w:val="bottom"/>
            <w:tcBorders>
              <w:top w:val="single" w:sz="8" w:color="0000FF"/>
              <w:bottom w:val="single" w:sz="8" w:color="0000FF"/>
            </w:tcBorders>
            <w:gridSpan w:val="9"/>
            <w:shd w:val="clear" w:color="auto" w:fill="DBDBDB"/>
          </w:tcPr>
          <w:p>
            <w:pPr>
              <w:spacing w:after="0" w:line="141" w:lineRule="exact"/>
              <w:rPr>
                <w:rFonts w:ascii="Calibri" w:cs="Calibri" w:eastAsia="Calibri" w:hAnsi="Calibri"/>
                <w:sz w:val="14"/>
                <w:szCs w:val="14"/>
                <w:color w:val="0000FF"/>
              </w:rPr>
            </w:pPr>
            <w:hyperlink r:id="rId72">
              <w:r>
                <w:rPr>
                  <w:rFonts w:ascii="Calibri" w:cs="Calibri" w:eastAsia="Calibri" w:hAnsi="Calibri"/>
                  <w:sz w:val="14"/>
                  <w:szCs w:val="14"/>
                  <w:color w:val="0000FF"/>
                </w:rPr>
                <w:t>Farm Credit West, PCA as Syndicaton Agent, City Natonal Bank and J.P. Morgan Chase Bank, N.A. as co-</w:t>
              </w:r>
            </w:hyperlink>
          </w:p>
        </w:tc>
        <w:tc>
          <w:tcPr>
            <w:tcW w:w="220" w:type="dxa"/>
            <w:vAlign w:val="bottom"/>
            <w:tcBorders>
              <w:top w:val="single" w:sz="8" w:color="0000FF"/>
              <w:bottom w:val="single" w:sz="8" w:color="DBDBDB"/>
            </w:tcBorders>
            <w:gridSpan w:val="3"/>
            <w:shd w:val="clear" w:color="auto" w:fill="DBDBDB"/>
          </w:tcPr>
          <w:p>
            <w:pPr>
              <w:spacing w:after="0"/>
              <w:rPr>
                <w:sz w:val="12"/>
                <w:szCs w:val="12"/>
                <w:color w:val="auto"/>
              </w:rPr>
            </w:pPr>
          </w:p>
        </w:tc>
        <w:tc>
          <w:tcPr>
            <w:tcW w:w="140" w:type="dxa"/>
            <w:vAlign w:val="bottom"/>
            <w:tcBorders>
              <w:top w:val="single" w:sz="8" w:color="DBDBDB"/>
              <w:bottom w:val="single" w:sz="8" w:color="DBDBDB"/>
            </w:tcBorders>
            <w:shd w:val="clear" w:color="auto" w:fill="DBDBDB"/>
          </w:tcPr>
          <w:p>
            <w:pPr>
              <w:spacing w:after="0"/>
              <w:rPr>
                <w:sz w:val="12"/>
                <w:szCs w:val="12"/>
                <w:color w:val="auto"/>
              </w:rPr>
            </w:pPr>
          </w:p>
        </w:tc>
        <w:tc>
          <w:tcPr>
            <w:tcW w:w="22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520" w:type="dxa"/>
            <w:vAlign w:val="bottom"/>
            <w:tcBorders>
              <w:top w:val="single" w:sz="8" w:color="DBDBDB"/>
              <w:bottom w:val="single" w:sz="8" w:color="DBDBDB"/>
            </w:tcBorders>
            <w:shd w:val="clear" w:color="auto" w:fill="DBDBDB"/>
          </w:tcPr>
          <w:p>
            <w:pPr>
              <w:spacing w:after="0"/>
              <w:rPr>
                <w:sz w:val="12"/>
                <w:szCs w:val="12"/>
                <w:color w:val="auto"/>
              </w:rPr>
            </w:pPr>
          </w:p>
        </w:tc>
        <w:tc>
          <w:tcPr>
            <w:tcW w:w="1320" w:type="dxa"/>
            <w:vAlign w:val="bottom"/>
            <w:tcBorders>
              <w:top w:val="single" w:sz="8" w:color="DBDBDB"/>
              <w:bottom w:val="single" w:sz="8" w:color="DBDBDB"/>
            </w:tcBorders>
            <w:shd w:val="clear" w:color="auto" w:fill="DBDBDB"/>
          </w:tcPr>
          <w:p>
            <w:pPr>
              <w:spacing w:after="0"/>
              <w:rPr>
                <w:sz w:val="12"/>
                <w:szCs w:val="12"/>
                <w:color w:val="auto"/>
              </w:rPr>
            </w:pPr>
          </w:p>
        </w:tc>
        <w:tc>
          <w:tcPr>
            <w:tcW w:w="980" w:type="dxa"/>
            <w:vAlign w:val="bottom"/>
            <w:tcBorders>
              <w:top w:val="single" w:sz="8" w:color="DBDBDB"/>
              <w:bottom w:val="single" w:sz="8" w:color="DBDBDB"/>
            </w:tcBorders>
            <w:shd w:val="clear" w:color="auto" w:fill="DBDBDB"/>
          </w:tcPr>
          <w:p>
            <w:pPr>
              <w:spacing w:after="0"/>
              <w:rPr>
                <w:sz w:val="12"/>
                <w:szCs w:val="12"/>
                <w:color w:val="auto"/>
              </w:rPr>
            </w:pPr>
          </w:p>
        </w:tc>
        <w:tc>
          <w:tcPr>
            <w:tcW w:w="92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54"/>
        </w:trPr>
        <w:tc>
          <w:tcPr>
            <w:tcW w:w="880" w:type="dxa"/>
            <w:vAlign w:val="bottom"/>
            <w:tcBorders>
              <w:bottom w:val="single" w:sz="8" w:color="DBDBDB"/>
            </w:tcBorders>
            <w:shd w:val="clear" w:color="auto" w:fill="DBDBDB"/>
          </w:tcPr>
          <w:p>
            <w:pPr>
              <w:spacing w:after="0"/>
              <w:rPr>
                <w:sz w:val="13"/>
                <w:szCs w:val="13"/>
                <w:color w:val="auto"/>
              </w:rPr>
            </w:pPr>
          </w:p>
        </w:tc>
        <w:tc>
          <w:tcPr>
            <w:tcW w:w="6340" w:type="dxa"/>
            <w:vAlign w:val="bottom"/>
            <w:tcBorders>
              <w:bottom w:val="single" w:sz="8" w:color="0000FF"/>
            </w:tcBorders>
            <w:gridSpan w:val="13"/>
            <w:shd w:val="clear" w:color="auto" w:fill="DBDBDB"/>
          </w:tcPr>
          <w:p>
            <w:pPr>
              <w:spacing w:after="0" w:line="154" w:lineRule="exact"/>
              <w:rPr>
                <w:rFonts w:ascii="Calibri" w:cs="Calibri" w:eastAsia="Calibri" w:hAnsi="Calibri"/>
                <w:sz w:val="14"/>
                <w:szCs w:val="14"/>
                <w:color w:val="0000FF"/>
              </w:rPr>
            </w:pPr>
            <w:hyperlink r:id="rId72">
              <w:r>
                <w:rPr>
                  <w:rFonts w:ascii="Calibri" w:cs="Calibri" w:eastAsia="Calibri" w:hAnsi="Calibri"/>
                  <w:sz w:val="14"/>
                  <w:szCs w:val="14"/>
                  <w:color w:val="0000FF"/>
                </w:rPr>
                <w:t>documentaton agents, Merrill Lynch, Pierce, Fenner &amp; Smith Incorporated and Farm Credit West, PCA as joint</w:t>
              </w:r>
            </w:hyperlink>
          </w:p>
        </w:tc>
        <w:tc>
          <w:tcPr>
            <w:tcW w:w="220" w:type="dxa"/>
            <w:vAlign w:val="bottom"/>
            <w:tcBorders>
              <w:bottom w:val="single" w:sz="8" w:color="DBDBDB"/>
            </w:tcBorders>
            <w:gridSpan w:val="2"/>
            <w:shd w:val="clear" w:color="auto" w:fill="DBDBDB"/>
          </w:tcPr>
          <w:p>
            <w:pPr>
              <w:spacing w:after="0"/>
              <w:rPr>
                <w:sz w:val="13"/>
                <w:szCs w:val="13"/>
                <w:color w:val="auto"/>
              </w:rPr>
            </w:pPr>
          </w:p>
        </w:tc>
        <w:tc>
          <w:tcPr>
            <w:tcW w:w="520" w:type="dxa"/>
            <w:vAlign w:val="bottom"/>
            <w:tcBorders>
              <w:bottom w:val="single" w:sz="8" w:color="DBDBDB"/>
            </w:tcBorders>
            <w:shd w:val="clear" w:color="auto" w:fill="DBDBDB"/>
          </w:tcPr>
          <w:p>
            <w:pPr>
              <w:spacing w:after="0"/>
              <w:rPr>
                <w:sz w:val="13"/>
                <w:szCs w:val="13"/>
                <w:color w:val="auto"/>
              </w:rPr>
            </w:pPr>
          </w:p>
        </w:tc>
        <w:tc>
          <w:tcPr>
            <w:tcW w:w="1320" w:type="dxa"/>
            <w:vAlign w:val="bottom"/>
            <w:tcBorders>
              <w:bottom w:val="single" w:sz="8" w:color="DBDBDB"/>
            </w:tcBorders>
            <w:shd w:val="clear" w:color="auto" w:fill="DBDBDB"/>
          </w:tcPr>
          <w:p>
            <w:pPr>
              <w:spacing w:after="0"/>
              <w:rPr>
                <w:sz w:val="13"/>
                <w:szCs w:val="13"/>
                <w:color w:val="auto"/>
              </w:rPr>
            </w:pPr>
          </w:p>
        </w:tc>
        <w:tc>
          <w:tcPr>
            <w:tcW w:w="98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spacing w:after="0"/>
              <w:rPr>
                <w:sz w:val="13"/>
                <w:szCs w:val="13"/>
                <w:color w:val="auto"/>
              </w:rPr>
            </w:pPr>
          </w:p>
        </w:tc>
      </w:tr>
      <w:tr>
        <w:trPr>
          <w:trHeight w:val="154"/>
        </w:trPr>
        <w:tc>
          <w:tcPr>
            <w:tcW w:w="880" w:type="dxa"/>
            <w:vAlign w:val="bottom"/>
            <w:shd w:val="clear" w:color="auto" w:fill="DBDBDB"/>
          </w:tcPr>
          <w:p>
            <w:pPr>
              <w:spacing w:after="0"/>
              <w:rPr>
                <w:sz w:val="13"/>
                <w:szCs w:val="13"/>
                <w:color w:val="auto"/>
              </w:rPr>
            </w:pPr>
          </w:p>
        </w:tc>
        <w:tc>
          <w:tcPr>
            <w:tcW w:w="6560" w:type="dxa"/>
            <w:vAlign w:val="bottom"/>
            <w:gridSpan w:val="15"/>
            <w:shd w:val="clear" w:color="auto" w:fill="DBDBDB"/>
          </w:tcPr>
          <w:p>
            <w:pPr>
              <w:spacing w:after="0" w:line="154" w:lineRule="exact"/>
              <w:rPr>
                <w:rFonts w:ascii="Calibri" w:cs="Calibri" w:eastAsia="Calibri" w:hAnsi="Calibri"/>
                <w:sz w:val="14"/>
                <w:szCs w:val="14"/>
                <w:color w:val="0000FF"/>
              </w:rPr>
            </w:pPr>
            <w:hyperlink r:id="rId72">
              <w:r>
                <w:rPr>
                  <w:rFonts w:ascii="Calibri" w:cs="Calibri" w:eastAsia="Calibri" w:hAnsi="Calibri"/>
                  <w:sz w:val="14"/>
                  <w:szCs w:val="14"/>
                  <w:color w:val="0000FF"/>
                </w:rPr>
                <w:t>lead arrangers and joint bookrunners, and other lenders party thereto.</w:t>
              </w:r>
            </w:hyperlink>
          </w:p>
        </w:tc>
        <w:tc>
          <w:tcPr>
            <w:tcW w:w="52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r>
      <w:tr>
        <w:trPr>
          <w:trHeight w:val="60"/>
        </w:trPr>
        <w:tc>
          <w:tcPr>
            <w:tcW w:w="880" w:type="dxa"/>
            <w:vAlign w:val="bottom"/>
            <w:tcBorders>
              <w:top w:val="single" w:sz="8" w:color="DBDBDB"/>
            </w:tcBorders>
            <w:shd w:val="clear" w:color="auto" w:fill="DBDBDB"/>
          </w:tcPr>
          <w:p>
            <w:pPr>
              <w:spacing w:after="0"/>
              <w:rPr>
                <w:sz w:val="5"/>
                <w:szCs w:val="5"/>
                <w:color w:val="auto"/>
              </w:rPr>
            </w:pPr>
          </w:p>
        </w:tc>
        <w:tc>
          <w:tcPr>
            <w:tcW w:w="1780" w:type="dxa"/>
            <w:vAlign w:val="bottom"/>
            <w:tcBorders>
              <w:top w:val="single" w:sz="8" w:color="0000FF"/>
            </w:tcBorders>
            <w:shd w:val="clear" w:color="auto" w:fill="DBDBDB"/>
          </w:tcPr>
          <w:p>
            <w:pPr>
              <w:spacing w:after="0"/>
              <w:rPr>
                <w:sz w:val="5"/>
                <w:szCs w:val="5"/>
                <w:color w:val="auto"/>
              </w:rPr>
            </w:pPr>
          </w:p>
        </w:tc>
        <w:tc>
          <w:tcPr>
            <w:tcW w:w="86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11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22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520" w:type="dxa"/>
            <w:vAlign w:val="bottom"/>
            <w:tcBorders>
              <w:top w:val="single" w:sz="8" w:color="DBDBDB"/>
            </w:tcBorders>
            <w:shd w:val="clear" w:color="auto" w:fill="DBDBDB"/>
          </w:tcPr>
          <w:p>
            <w:pPr>
              <w:spacing w:after="0"/>
              <w:rPr>
                <w:sz w:val="5"/>
                <w:szCs w:val="5"/>
                <w:color w:val="auto"/>
              </w:rPr>
            </w:pPr>
          </w:p>
        </w:tc>
        <w:tc>
          <w:tcPr>
            <w:tcW w:w="1320" w:type="dxa"/>
            <w:vAlign w:val="bottom"/>
            <w:tcBorders>
              <w:top w:val="single" w:sz="8" w:color="DBDBDB"/>
            </w:tcBorders>
            <w:shd w:val="clear" w:color="auto" w:fill="DBDBDB"/>
          </w:tcPr>
          <w:p>
            <w:pPr>
              <w:spacing w:after="0"/>
              <w:rPr>
                <w:sz w:val="5"/>
                <w:szCs w:val="5"/>
                <w:color w:val="auto"/>
              </w:rPr>
            </w:pPr>
          </w:p>
        </w:tc>
        <w:tc>
          <w:tcPr>
            <w:tcW w:w="980" w:type="dxa"/>
            <w:vAlign w:val="bottom"/>
            <w:tcBorders>
              <w:top w:val="single" w:sz="8" w:color="DBDBDB"/>
            </w:tcBorders>
            <w:shd w:val="clear" w:color="auto" w:fill="DBDBDB"/>
          </w:tcPr>
          <w:p>
            <w:pPr>
              <w:spacing w:after="0"/>
              <w:rPr>
                <w:sz w:val="5"/>
                <w:szCs w:val="5"/>
                <w:color w:val="auto"/>
              </w:rPr>
            </w:pPr>
          </w:p>
        </w:tc>
        <w:tc>
          <w:tcPr>
            <w:tcW w:w="920" w:type="dxa"/>
            <w:vAlign w:val="bottom"/>
            <w:tcBorders>
              <w:top w:val="single" w:sz="8" w:color="DBDBDB"/>
            </w:tcBorders>
            <w:shd w:val="clear" w:color="auto" w:fill="DBDBDB"/>
          </w:tcPr>
          <w:p>
            <w:pPr>
              <w:spacing w:after="0"/>
              <w:rPr>
                <w:sz w:val="5"/>
                <w:szCs w:val="5"/>
                <w:color w:val="auto"/>
              </w:rPr>
            </w:pPr>
          </w:p>
        </w:tc>
      </w:tr>
      <w:tr>
        <w:trPr>
          <w:trHeight w:val="147"/>
        </w:trPr>
        <w:tc>
          <w:tcPr>
            <w:tcW w:w="880" w:type="dxa"/>
            <w:vAlign w:val="bottom"/>
          </w:tcPr>
          <w:p>
            <w:pPr>
              <w:jc w:val="center"/>
              <w:ind w:right="9"/>
              <w:spacing w:after="0" w:line="147" w:lineRule="exact"/>
              <w:rPr>
                <w:sz w:val="20"/>
                <w:szCs w:val="20"/>
                <w:color w:val="auto"/>
              </w:rPr>
            </w:pPr>
            <w:r>
              <w:rPr>
                <w:rFonts w:ascii="Calibri" w:cs="Calibri" w:eastAsia="Calibri" w:hAnsi="Calibri"/>
                <w:sz w:val="14"/>
                <w:szCs w:val="14"/>
                <w:color w:val="auto"/>
              </w:rPr>
              <w:t>10.18+</w:t>
            </w:r>
          </w:p>
        </w:tc>
        <w:tc>
          <w:tcPr>
            <w:tcW w:w="6560" w:type="dxa"/>
            <w:vAlign w:val="bottom"/>
            <w:gridSpan w:val="15"/>
          </w:tcPr>
          <w:p>
            <w:pPr>
              <w:spacing w:after="0" w:line="147" w:lineRule="exact"/>
              <w:rPr>
                <w:sz w:val="20"/>
                <w:szCs w:val="20"/>
                <w:color w:val="auto"/>
              </w:rPr>
            </w:pPr>
            <w:r>
              <w:rPr>
                <w:rFonts w:ascii="Calibri" w:cs="Calibri" w:eastAsia="Calibri" w:hAnsi="Calibri"/>
                <w:sz w:val="14"/>
                <w:szCs w:val="14"/>
                <w:color w:val="0000FF"/>
              </w:rPr>
              <w:t>Amended and Restated Non-Employee Director Compensaton Program</w:t>
            </w:r>
          </w:p>
        </w:tc>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Calibri" w:cs="Calibri" w:eastAsia="Calibri" w:hAnsi="Calibri"/>
                <w:sz w:val="14"/>
                <w:szCs w:val="14"/>
                <w:color w:val="auto"/>
                <w:w w:val="81"/>
              </w:rPr>
              <w:t>X</w:t>
            </w:r>
          </w:p>
        </w:tc>
      </w:tr>
      <w:tr>
        <w:trPr>
          <w:trHeight w:val="60"/>
        </w:trPr>
        <w:tc>
          <w:tcPr>
            <w:tcW w:w="880" w:type="dxa"/>
            <w:vAlign w:val="bottom"/>
          </w:tcPr>
          <w:p>
            <w:pPr>
              <w:spacing w:after="0"/>
              <w:rPr>
                <w:sz w:val="5"/>
                <w:szCs w:val="5"/>
                <w:color w:val="auto"/>
              </w:rPr>
            </w:pPr>
          </w:p>
        </w:tc>
        <w:tc>
          <w:tcPr>
            <w:tcW w:w="178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1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47"/>
        </w:trPr>
        <w:tc>
          <w:tcPr>
            <w:tcW w:w="880" w:type="dxa"/>
            <w:vAlign w:val="bottom"/>
            <w:shd w:val="clear" w:color="auto" w:fill="DBDBDB"/>
          </w:tcPr>
          <w:p>
            <w:pPr>
              <w:jc w:val="center"/>
              <w:ind w:right="9"/>
              <w:spacing w:after="0" w:line="147" w:lineRule="exact"/>
              <w:rPr>
                <w:sz w:val="20"/>
                <w:szCs w:val="20"/>
                <w:color w:val="auto"/>
              </w:rPr>
            </w:pPr>
            <w:r>
              <w:rPr>
                <w:rFonts w:ascii="Calibri" w:cs="Calibri" w:eastAsia="Calibri" w:hAnsi="Calibri"/>
                <w:sz w:val="14"/>
                <w:szCs w:val="14"/>
                <w:color w:val="auto"/>
              </w:rPr>
              <w:t>10.19+</w:t>
            </w:r>
          </w:p>
        </w:tc>
        <w:tc>
          <w:tcPr>
            <w:tcW w:w="6560" w:type="dxa"/>
            <w:vAlign w:val="bottom"/>
            <w:gridSpan w:val="15"/>
            <w:shd w:val="clear" w:color="auto" w:fill="DBDBDB"/>
          </w:tcPr>
          <w:p>
            <w:pPr>
              <w:spacing w:after="0" w:line="147" w:lineRule="exact"/>
              <w:rPr>
                <w:sz w:val="20"/>
                <w:szCs w:val="20"/>
                <w:color w:val="auto"/>
              </w:rPr>
            </w:pPr>
            <w:r>
              <w:rPr>
                <w:rFonts w:ascii="Calibri" w:cs="Calibri" w:eastAsia="Calibri" w:hAnsi="Calibri"/>
                <w:sz w:val="14"/>
                <w:szCs w:val="14"/>
                <w:color w:val="0000FF"/>
              </w:rPr>
              <w:t>Ofer leter dated April 26, 2022 to Tim Bulow</w:t>
            </w:r>
          </w:p>
        </w:tc>
        <w:tc>
          <w:tcPr>
            <w:tcW w:w="520" w:type="dxa"/>
            <w:vAlign w:val="bottom"/>
            <w:shd w:val="clear" w:color="auto" w:fill="DBDBDB"/>
          </w:tcPr>
          <w:p>
            <w:pPr>
              <w:spacing w:after="0"/>
              <w:rPr>
                <w:sz w:val="12"/>
                <w:szCs w:val="12"/>
                <w:color w:val="auto"/>
              </w:rPr>
            </w:pPr>
          </w:p>
        </w:tc>
        <w:tc>
          <w:tcPr>
            <w:tcW w:w="132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920" w:type="dxa"/>
            <w:vAlign w:val="bottom"/>
            <w:shd w:val="clear" w:color="auto" w:fill="DBDBDB"/>
          </w:tcPr>
          <w:p>
            <w:pPr>
              <w:jc w:val="center"/>
              <w:spacing w:after="0" w:line="147" w:lineRule="exact"/>
              <w:rPr>
                <w:sz w:val="20"/>
                <w:szCs w:val="20"/>
                <w:color w:val="auto"/>
              </w:rPr>
            </w:pPr>
            <w:r>
              <w:rPr>
                <w:rFonts w:ascii="Calibri" w:cs="Calibri" w:eastAsia="Calibri" w:hAnsi="Calibri"/>
                <w:sz w:val="14"/>
                <w:szCs w:val="14"/>
                <w:color w:val="auto"/>
                <w:w w:val="81"/>
              </w:rPr>
              <w:t>X</w:t>
            </w:r>
          </w:p>
        </w:tc>
      </w:tr>
      <w:tr>
        <w:trPr>
          <w:trHeight w:val="60"/>
        </w:trPr>
        <w:tc>
          <w:tcPr>
            <w:tcW w:w="880" w:type="dxa"/>
            <w:vAlign w:val="bottom"/>
            <w:tcBorders>
              <w:top w:val="single" w:sz="8" w:color="DBDBDB"/>
            </w:tcBorders>
            <w:shd w:val="clear" w:color="auto" w:fill="DBDBDB"/>
          </w:tcPr>
          <w:p>
            <w:pPr>
              <w:spacing w:after="0"/>
              <w:rPr>
                <w:sz w:val="5"/>
                <w:szCs w:val="5"/>
                <w:color w:val="auto"/>
              </w:rPr>
            </w:pPr>
          </w:p>
        </w:tc>
        <w:tc>
          <w:tcPr>
            <w:tcW w:w="1780" w:type="dxa"/>
            <w:vAlign w:val="bottom"/>
            <w:tcBorders>
              <w:top w:val="single" w:sz="8" w:color="0000FF"/>
            </w:tcBorders>
            <w:shd w:val="clear" w:color="auto" w:fill="DBDBDB"/>
          </w:tcPr>
          <w:p>
            <w:pPr>
              <w:spacing w:after="0"/>
              <w:rPr>
                <w:sz w:val="5"/>
                <w:szCs w:val="5"/>
                <w:color w:val="auto"/>
              </w:rPr>
            </w:pPr>
          </w:p>
        </w:tc>
        <w:tc>
          <w:tcPr>
            <w:tcW w:w="86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11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22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520" w:type="dxa"/>
            <w:vAlign w:val="bottom"/>
            <w:tcBorders>
              <w:top w:val="single" w:sz="8" w:color="DBDBDB"/>
            </w:tcBorders>
            <w:shd w:val="clear" w:color="auto" w:fill="DBDBDB"/>
          </w:tcPr>
          <w:p>
            <w:pPr>
              <w:spacing w:after="0"/>
              <w:rPr>
                <w:sz w:val="5"/>
                <w:szCs w:val="5"/>
                <w:color w:val="auto"/>
              </w:rPr>
            </w:pPr>
          </w:p>
        </w:tc>
        <w:tc>
          <w:tcPr>
            <w:tcW w:w="1320" w:type="dxa"/>
            <w:vAlign w:val="bottom"/>
            <w:tcBorders>
              <w:top w:val="single" w:sz="8" w:color="DBDBDB"/>
            </w:tcBorders>
            <w:shd w:val="clear" w:color="auto" w:fill="DBDBDB"/>
          </w:tcPr>
          <w:p>
            <w:pPr>
              <w:spacing w:after="0"/>
              <w:rPr>
                <w:sz w:val="5"/>
                <w:szCs w:val="5"/>
                <w:color w:val="auto"/>
              </w:rPr>
            </w:pPr>
          </w:p>
        </w:tc>
        <w:tc>
          <w:tcPr>
            <w:tcW w:w="980" w:type="dxa"/>
            <w:vAlign w:val="bottom"/>
            <w:tcBorders>
              <w:top w:val="single" w:sz="8" w:color="DBDBDB"/>
            </w:tcBorders>
            <w:shd w:val="clear" w:color="auto" w:fill="DBDBDB"/>
          </w:tcPr>
          <w:p>
            <w:pPr>
              <w:spacing w:after="0"/>
              <w:rPr>
                <w:sz w:val="5"/>
                <w:szCs w:val="5"/>
                <w:color w:val="auto"/>
              </w:rPr>
            </w:pPr>
          </w:p>
        </w:tc>
        <w:tc>
          <w:tcPr>
            <w:tcW w:w="920" w:type="dxa"/>
            <w:vAlign w:val="bottom"/>
            <w:tcBorders>
              <w:top w:val="single" w:sz="8" w:color="DBDBDB"/>
            </w:tcBorders>
            <w:shd w:val="clear" w:color="auto" w:fill="DBDBDB"/>
          </w:tcPr>
          <w:p>
            <w:pPr>
              <w:spacing w:after="0"/>
              <w:rPr>
                <w:sz w:val="5"/>
                <w:szCs w:val="5"/>
                <w:color w:val="auto"/>
              </w:rPr>
            </w:pPr>
          </w:p>
        </w:tc>
      </w:tr>
      <w:tr>
        <w:trPr>
          <w:trHeight w:val="147"/>
        </w:trPr>
        <w:tc>
          <w:tcPr>
            <w:tcW w:w="880" w:type="dxa"/>
            <w:vAlign w:val="bottom"/>
          </w:tcPr>
          <w:p>
            <w:pPr>
              <w:jc w:val="center"/>
              <w:ind w:right="9"/>
              <w:spacing w:after="0" w:line="147" w:lineRule="exact"/>
              <w:rPr>
                <w:sz w:val="20"/>
                <w:szCs w:val="20"/>
                <w:color w:val="auto"/>
              </w:rPr>
            </w:pPr>
            <w:r>
              <w:rPr>
                <w:rFonts w:ascii="Calibri" w:cs="Calibri" w:eastAsia="Calibri" w:hAnsi="Calibri"/>
                <w:sz w:val="14"/>
                <w:szCs w:val="14"/>
                <w:color w:val="auto"/>
              </w:rPr>
              <w:t>31.1*</w:t>
            </w:r>
          </w:p>
        </w:tc>
        <w:tc>
          <w:tcPr>
            <w:tcW w:w="6560" w:type="dxa"/>
            <w:vAlign w:val="bottom"/>
            <w:gridSpan w:val="15"/>
          </w:tcPr>
          <w:p>
            <w:pPr>
              <w:spacing w:after="0" w:line="147" w:lineRule="exact"/>
              <w:rPr>
                <w:sz w:val="20"/>
                <w:szCs w:val="20"/>
                <w:color w:val="auto"/>
              </w:rPr>
            </w:pPr>
            <w:r>
              <w:rPr>
                <w:rFonts w:ascii="Calibri" w:cs="Calibri" w:eastAsia="Calibri" w:hAnsi="Calibri"/>
                <w:sz w:val="14"/>
                <w:szCs w:val="14"/>
                <w:color w:val="0000FF"/>
              </w:rPr>
              <w:t>Certfcaton of Principal Executve Ofcer Pursuant to Rules 13a-14(a) and 15d-14(a) under the Securites</w:t>
            </w:r>
          </w:p>
        </w:tc>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Calibri" w:cs="Calibri" w:eastAsia="Calibri" w:hAnsi="Calibri"/>
                <w:sz w:val="14"/>
                <w:szCs w:val="14"/>
                <w:color w:val="auto"/>
                <w:w w:val="81"/>
              </w:rPr>
              <w:t>X</w:t>
            </w:r>
          </w:p>
        </w:tc>
      </w:tr>
      <w:tr>
        <w:trPr>
          <w:trHeight w:val="154"/>
        </w:trPr>
        <w:tc>
          <w:tcPr>
            <w:tcW w:w="880" w:type="dxa"/>
            <w:vAlign w:val="bottom"/>
          </w:tcPr>
          <w:p>
            <w:pPr>
              <w:spacing w:after="0"/>
              <w:rPr>
                <w:sz w:val="13"/>
                <w:szCs w:val="13"/>
                <w:color w:val="auto"/>
              </w:rPr>
            </w:pPr>
          </w:p>
        </w:tc>
        <w:tc>
          <w:tcPr>
            <w:tcW w:w="6060" w:type="dxa"/>
            <w:vAlign w:val="bottom"/>
            <w:tcBorders>
              <w:top w:val="single" w:sz="8" w:color="0000FF"/>
            </w:tcBorders>
            <w:gridSpan w:val="11"/>
          </w:tcPr>
          <w:p>
            <w:pPr>
              <w:spacing w:after="0" w:line="154" w:lineRule="exact"/>
              <w:rPr>
                <w:sz w:val="20"/>
                <w:szCs w:val="20"/>
                <w:color w:val="auto"/>
              </w:rPr>
            </w:pPr>
            <w:r>
              <w:rPr>
                <w:rFonts w:ascii="Calibri" w:cs="Calibri" w:eastAsia="Calibri" w:hAnsi="Calibri"/>
                <w:sz w:val="14"/>
                <w:szCs w:val="14"/>
                <w:color w:val="0000FF"/>
              </w:rPr>
              <w:t>Exchange Act of 1934, as Adopted Pursuant to Secton 302 of the Sarbanes-Oxley Act of 2002</w:t>
            </w:r>
          </w:p>
        </w:tc>
        <w:tc>
          <w:tcPr>
            <w:tcW w:w="50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60"/>
        </w:trPr>
        <w:tc>
          <w:tcPr>
            <w:tcW w:w="880" w:type="dxa"/>
            <w:vAlign w:val="bottom"/>
          </w:tcPr>
          <w:p>
            <w:pPr>
              <w:spacing w:after="0"/>
              <w:rPr>
                <w:sz w:val="5"/>
                <w:szCs w:val="5"/>
                <w:color w:val="auto"/>
              </w:rPr>
            </w:pPr>
          </w:p>
        </w:tc>
        <w:tc>
          <w:tcPr>
            <w:tcW w:w="178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1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2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47"/>
        </w:trPr>
        <w:tc>
          <w:tcPr>
            <w:tcW w:w="880" w:type="dxa"/>
            <w:vAlign w:val="bottom"/>
            <w:shd w:val="clear" w:color="auto" w:fill="DBDBDB"/>
          </w:tcPr>
          <w:p>
            <w:pPr>
              <w:jc w:val="center"/>
              <w:ind w:right="9"/>
              <w:spacing w:after="0" w:line="147" w:lineRule="exact"/>
              <w:rPr>
                <w:sz w:val="20"/>
                <w:szCs w:val="20"/>
                <w:color w:val="auto"/>
              </w:rPr>
            </w:pPr>
            <w:r>
              <w:rPr>
                <w:rFonts w:ascii="Calibri" w:cs="Calibri" w:eastAsia="Calibri" w:hAnsi="Calibri"/>
                <w:sz w:val="14"/>
                <w:szCs w:val="14"/>
                <w:color w:val="auto"/>
              </w:rPr>
              <w:t>31.2*</w:t>
            </w:r>
          </w:p>
        </w:tc>
        <w:tc>
          <w:tcPr>
            <w:tcW w:w="6560" w:type="dxa"/>
            <w:vAlign w:val="bottom"/>
            <w:gridSpan w:val="15"/>
            <w:shd w:val="clear" w:color="auto" w:fill="DBDBDB"/>
          </w:tcPr>
          <w:p>
            <w:pPr>
              <w:spacing w:after="0" w:line="147" w:lineRule="exact"/>
              <w:rPr>
                <w:sz w:val="20"/>
                <w:szCs w:val="20"/>
                <w:color w:val="auto"/>
              </w:rPr>
            </w:pPr>
            <w:r>
              <w:rPr>
                <w:rFonts w:ascii="Calibri" w:cs="Calibri" w:eastAsia="Calibri" w:hAnsi="Calibri"/>
                <w:sz w:val="14"/>
                <w:szCs w:val="14"/>
                <w:color w:val="0000FF"/>
              </w:rPr>
              <w:t>Certfcaton of Principal Financial Ofcer Pursuant to Rules 13a-14(a) and 15d-14(a) under the Securites</w:t>
            </w:r>
          </w:p>
        </w:tc>
        <w:tc>
          <w:tcPr>
            <w:tcW w:w="520" w:type="dxa"/>
            <w:vAlign w:val="bottom"/>
            <w:shd w:val="clear" w:color="auto" w:fill="DBDBDB"/>
          </w:tcPr>
          <w:p>
            <w:pPr>
              <w:spacing w:after="0"/>
              <w:rPr>
                <w:sz w:val="12"/>
                <w:szCs w:val="12"/>
                <w:color w:val="auto"/>
              </w:rPr>
            </w:pPr>
          </w:p>
        </w:tc>
        <w:tc>
          <w:tcPr>
            <w:tcW w:w="132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920" w:type="dxa"/>
            <w:vAlign w:val="bottom"/>
            <w:shd w:val="clear" w:color="auto" w:fill="DBDBDB"/>
          </w:tcPr>
          <w:p>
            <w:pPr>
              <w:jc w:val="center"/>
              <w:spacing w:after="0" w:line="147" w:lineRule="exact"/>
              <w:rPr>
                <w:sz w:val="20"/>
                <w:szCs w:val="20"/>
                <w:color w:val="auto"/>
              </w:rPr>
            </w:pPr>
            <w:r>
              <w:rPr>
                <w:rFonts w:ascii="Calibri" w:cs="Calibri" w:eastAsia="Calibri" w:hAnsi="Calibri"/>
                <w:sz w:val="14"/>
                <w:szCs w:val="14"/>
                <w:color w:val="auto"/>
                <w:w w:val="81"/>
              </w:rPr>
              <w:t>X</w:t>
            </w:r>
          </w:p>
        </w:tc>
      </w:tr>
      <w:tr>
        <w:trPr>
          <w:trHeight w:val="154"/>
        </w:trPr>
        <w:tc>
          <w:tcPr>
            <w:tcW w:w="880" w:type="dxa"/>
            <w:vAlign w:val="bottom"/>
            <w:tcBorders>
              <w:top w:val="single" w:sz="8" w:color="DBDBDB"/>
            </w:tcBorders>
            <w:shd w:val="clear" w:color="auto" w:fill="DBDBDB"/>
          </w:tcPr>
          <w:p>
            <w:pPr>
              <w:spacing w:after="0"/>
              <w:rPr>
                <w:sz w:val="13"/>
                <w:szCs w:val="13"/>
                <w:color w:val="auto"/>
              </w:rPr>
            </w:pPr>
          </w:p>
        </w:tc>
        <w:tc>
          <w:tcPr>
            <w:tcW w:w="6020" w:type="dxa"/>
            <w:vAlign w:val="bottom"/>
            <w:tcBorders>
              <w:top w:val="single" w:sz="8" w:color="0000FF"/>
            </w:tcBorders>
            <w:gridSpan w:val="10"/>
            <w:shd w:val="clear" w:color="auto" w:fill="DBDBDB"/>
          </w:tcPr>
          <w:p>
            <w:pPr>
              <w:spacing w:after="0" w:line="154" w:lineRule="exact"/>
              <w:rPr>
                <w:sz w:val="20"/>
                <w:szCs w:val="20"/>
                <w:color w:val="auto"/>
              </w:rPr>
            </w:pPr>
            <w:r>
              <w:rPr>
                <w:rFonts w:ascii="Calibri" w:cs="Calibri" w:eastAsia="Calibri" w:hAnsi="Calibri"/>
                <w:sz w:val="14"/>
                <w:szCs w:val="14"/>
                <w:color w:val="0000FF"/>
              </w:rPr>
              <w:t>Exchange Act of 1934, as Adopted Pursuant to Secton 302 of the Sarbanes-Oxley Act of 2002</w:t>
            </w:r>
          </w:p>
        </w:tc>
        <w:tc>
          <w:tcPr>
            <w:tcW w:w="540" w:type="dxa"/>
            <w:vAlign w:val="bottom"/>
            <w:tcBorders>
              <w:top w:val="single" w:sz="8" w:color="DBDBDB"/>
            </w:tcBorders>
            <w:gridSpan w:val="5"/>
            <w:shd w:val="clear" w:color="auto" w:fill="DBDBDB"/>
          </w:tcPr>
          <w:p>
            <w:pPr>
              <w:spacing w:after="0"/>
              <w:rPr>
                <w:sz w:val="13"/>
                <w:szCs w:val="13"/>
                <w:color w:val="auto"/>
              </w:rPr>
            </w:pPr>
          </w:p>
        </w:tc>
        <w:tc>
          <w:tcPr>
            <w:tcW w:w="520" w:type="dxa"/>
            <w:vAlign w:val="bottom"/>
            <w:tcBorders>
              <w:top w:val="single" w:sz="8" w:color="DBDBDB"/>
            </w:tcBorders>
            <w:shd w:val="clear" w:color="auto" w:fill="DBDBDB"/>
          </w:tcPr>
          <w:p>
            <w:pPr>
              <w:spacing w:after="0"/>
              <w:rPr>
                <w:sz w:val="13"/>
                <w:szCs w:val="13"/>
                <w:color w:val="auto"/>
              </w:rPr>
            </w:pPr>
          </w:p>
        </w:tc>
        <w:tc>
          <w:tcPr>
            <w:tcW w:w="1320" w:type="dxa"/>
            <w:vAlign w:val="bottom"/>
            <w:tcBorders>
              <w:top w:val="single" w:sz="8" w:color="DBDBDB"/>
            </w:tcBorders>
            <w:shd w:val="clear" w:color="auto" w:fill="DBDBDB"/>
          </w:tcPr>
          <w:p>
            <w:pPr>
              <w:spacing w:after="0"/>
              <w:rPr>
                <w:sz w:val="13"/>
                <w:szCs w:val="13"/>
                <w:color w:val="auto"/>
              </w:rPr>
            </w:pPr>
          </w:p>
        </w:tc>
        <w:tc>
          <w:tcPr>
            <w:tcW w:w="980" w:type="dxa"/>
            <w:vAlign w:val="bottom"/>
            <w:tcBorders>
              <w:top w:val="single" w:sz="8" w:color="DBDBDB"/>
            </w:tcBorders>
            <w:shd w:val="clear" w:color="auto" w:fill="DBDBDB"/>
          </w:tcPr>
          <w:p>
            <w:pPr>
              <w:spacing w:after="0"/>
              <w:rPr>
                <w:sz w:val="13"/>
                <w:szCs w:val="13"/>
                <w:color w:val="auto"/>
              </w:rPr>
            </w:pPr>
          </w:p>
        </w:tc>
        <w:tc>
          <w:tcPr>
            <w:tcW w:w="920" w:type="dxa"/>
            <w:vAlign w:val="bottom"/>
            <w:tcBorders>
              <w:top w:val="single" w:sz="8" w:color="DBDBDB"/>
            </w:tcBorders>
            <w:shd w:val="clear" w:color="auto" w:fill="DBDBDB"/>
          </w:tcPr>
          <w:p>
            <w:pPr>
              <w:spacing w:after="0"/>
              <w:rPr>
                <w:sz w:val="13"/>
                <w:szCs w:val="13"/>
                <w:color w:val="auto"/>
              </w:rPr>
            </w:pPr>
          </w:p>
        </w:tc>
      </w:tr>
      <w:tr>
        <w:trPr>
          <w:trHeight w:val="60"/>
        </w:trPr>
        <w:tc>
          <w:tcPr>
            <w:tcW w:w="880" w:type="dxa"/>
            <w:vAlign w:val="bottom"/>
            <w:tcBorders>
              <w:top w:val="single" w:sz="8" w:color="DBDBDB"/>
            </w:tcBorders>
            <w:shd w:val="clear" w:color="auto" w:fill="DBDBDB"/>
          </w:tcPr>
          <w:p>
            <w:pPr>
              <w:spacing w:after="0"/>
              <w:rPr>
                <w:sz w:val="5"/>
                <w:szCs w:val="5"/>
                <w:color w:val="auto"/>
              </w:rPr>
            </w:pPr>
          </w:p>
        </w:tc>
        <w:tc>
          <w:tcPr>
            <w:tcW w:w="1780" w:type="dxa"/>
            <w:vAlign w:val="bottom"/>
            <w:tcBorders>
              <w:top w:val="single" w:sz="8" w:color="0000FF"/>
            </w:tcBorders>
            <w:shd w:val="clear" w:color="auto" w:fill="DBDBDB"/>
          </w:tcPr>
          <w:p>
            <w:pPr>
              <w:spacing w:after="0"/>
              <w:rPr>
                <w:sz w:val="5"/>
                <w:szCs w:val="5"/>
                <w:color w:val="auto"/>
              </w:rPr>
            </w:pPr>
          </w:p>
        </w:tc>
        <w:tc>
          <w:tcPr>
            <w:tcW w:w="86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11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22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520" w:type="dxa"/>
            <w:vAlign w:val="bottom"/>
            <w:tcBorders>
              <w:top w:val="single" w:sz="8" w:color="DBDBDB"/>
            </w:tcBorders>
            <w:shd w:val="clear" w:color="auto" w:fill="DBDBDB"/>
          </w:tcPr>
          <w:p>
            <w:pPr>
              <w:spacing w:after="0"/>
              <w:rPr>
                <w:sz w:val="5"/>
                <w:szCs w:val="5"/>
                <w:color w:val="auto"/>
              </w:rPr>
            </w:pPr>
          </w:p>
        </w:tc>
        <w:tc>
          <w:tcPr>
            <w:tcW w:w="1320" w:type="dxa"/>
            <w:vAlign w:val="bottom"/>
            <w:tcBorders>
              <w:top w:val="single" w:sz="8" w:color="DBDBDB"/>
            </w:tcBorders>
            <w:shd w:val="clear" w:color="auto" w:fill="DBDBDB"/>
          </w:tcPr>
          <w:p>
            <w:pPr>
              <w:spacing w:after="0"/>
              <w:rPr>
                <w:sz w:val="5"/>
                <w:szCs w:val="5"/>
                <w:color w:val="auto"/>
              </w:rPr>
            </w:pPr>
          </w:p>
        </w:tc>
        <w:tc>
          <w:tcPr>
            <w:tcW w:w="980" w:type="dxa"/>
            <w:vAlign w:val="bottom"/>
            <w:tcBorders>
              <w:top w:val="single" w:sz="8" w:color="DBDBDB"/>
            </w:tcBorders>
            <w:shd w:val="clear" w:color="auto" w:fill="DBDBDB"/>
          </w:tcPr>
          <w:p>
            <w:pPr>
              <w:spacing w:after="0"/>
              <w:rPr>
                <w:sz w:val="5"/>
                <w:szCs w:val="5"/>
                <w:color w:val="auto"/>
              </w:rPr>
            </w:pPr>
          </w:p>
        </w:tc>
        <w:tc>
          <w:tcPr>
            <w:tcW w:w="920" w:type="dxa"/>
            <w:vAlign w:val="bottom"/>
            <w:tcBorders>
              <w:top w:val="single" w:sz="8" w:color="DBDBDB"/>
            </w:tcBorders>
            <w:shd w:val="clear" w:color="auto" w:fill="DBDBDB"/>
          </w:tcPr>
          <w:p>
            <w:pPr>
              <w:spacing w:after="0"/>
              <w:rPr>
                <w:sz w:val="5"/>
                <w:szCs w:val="5"/>
                <w:color w:val="auto"/>
              </w:rPr>
            </w:pPr>
          </w:p>
        </w:tc>
      </w:tr>
      <w:tr>
        <w:trPr>
          <w:trHeight w:val="147"/>
        </w:trPr>
        <w:tc>
          <w:tcPr>
            <w:tcW w:w="880" w:type="dxa"/>
            <w:vAlign w:val="bottom"/>
          </w:tcPr>
          <w:p>
            <w:pPr>
              <w:jc w:val="center"/>
              <w:ind w:right="9"/>
              <w:spacing w:after="0" w:line="147" w:lineRule="exact"/>
              <w:rPr>
                <w:sz w:val="20"/>
                <w:szCs w:val="20"/>
                <w:color w:val="auto"/>
              </w:rPr>
            </w:pPr>
            <w:r>
              <w:rPr>
                <w:rFonts w:ascii="Calibri" w:cs="Calibri" w:eastAsia="Calibri" w:hAnsi="Calibri"/>
                <w:sz w:val="14"/>
                <w:szCs w:val="14"/>
                <w:color w:val="auto"/>
              </w:rPr>
              <w:t>32.1*</w:t>
            </w:r>
          </w:p>
        </w:tc>
        <w:tc>
          <w:tcPr>
            <w:tcW w:w="6560" w:type="dxa"/>
            <w:vAlign w:val="bottom"/>
            <w:gridSpan w:val="15"/>
          </w:tcPr>
          <w:p>
            <w:pPr>
              <w:spacing w:after="0" w:line="147" w:lineRule="exact"/>
              <w:rPr>
                <w:sz w:val="20"/>
                <w:szCs w:val="20"/>
                <w:color w:val="auto"/>
              </w:rPr>
            </w:pPr>
            <w:r>
              <w:rPr>
                <w:rFonts w:ascii="Calibri" w:cs="Calibri" w:eastAsia="Calibri" w:hAnsi="Calibri"/>
                <w:sz w:val="14"/>
                <w:szCs w:val="14"/>
                <w:color w:val="0000FF"/>
              </w:rPr>
              <w:t>Certfcaton of Chief Executve Ofcer pursuant to Secton 906 of the Sarbanes-Oxley Act of 2002</w:t>
            </w:r>
          </w:p>
        </w:tc>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Calibri" w:cs="Calibri" w:eastAsia="Calibri" w:hAnsi="Calibri"/>
                <w:sz w:val="14"/>
                <w:szCs w:val="14"/>
                <w:color w:val="auto"/>
                <w:w w:val="81"/>
              </w:rPr>
              <w:t>X</w:t>
            </w:r>
          </w:p>
        </w:tc>
      </w:tr>
      <w:tr>
        <w:trPr>
          <w:trHeight w:val="60"/>
        </w:trPr>
        <w:tc>
          <w:tcPr>
            <w:tcW w:w="880" w:type="dxa"/>
            <w:vAlign w:val="bottom"/>
          </w:tcPr>
          <w:p>
            <w:pPr>
              <w:spacing w:after="0"/>
              <w:rPr>
                <w:sz w:val="5"/>
                <w:szCs w:val="5"/>
                <w:color w:val="auto"/>
              </w:rPr>
            </w:pPr>
          </w:p>
        </w:tc>
        <w:tc>
          <w:tcPr>
            <w:tcW w:w="178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1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47"/>
        </w:trPr>
        <w:tc>
          <w:tcPr>
            <w:tcW w:w="880" w:type="dxa"/>
            <w:vAlign w:val="bottom"/>
            <w:shd w:val="clear" w:color="auto" w:fill="DBDBDB"/>
          </w:tcPr>
          <w:p>
            <w:pPr>
              <w:jc w:val="center"/>
              <w:ind w:right="9"/>
              <w:spacing w:after="0" w:line="147" w:lineRule="exact"/>
              <w:rPr>
                <w:sz w:val="20"/>
                <w:szCs w:val="20"/>
                <w:color w:val="auto"/>
              </w:rPr>
            </w:pPr>
            <w:r>
              <w:rPr>
                <w:rFonts w:ascii="Calibri" w:cs="Calibri" w:eastAsia="Calibri" w:hAnsi="Calibri"/>
                <w:sz w:val="14"/>
                <w:szCs w:val="14"/>
                <w:color w:val="auto"/>
              </w:rPr>
              <w:t>32.2*</w:t>
            </w:r>
          </w:p>
        </w:tc>
        <w:tc>
          <w:tcPr>
            <w:tcW w:w="6560" w:type="dxa"/>
            <w:vAlign w:val="bottom"/>
            <w:gridSpan w:val="15"/>
            <w:shd w:val="clear" w:color="auto" w:fill="DBDBDB"/>
          </w:tcPr>
          <w:p>
            <w:pPr>
              <w:spacing w:after="0" w:line="147" w:lineRule="exact"/>
              <w:rPr>
                <w:sz w:val="20"/>
                <w:szCs w:val="20"/>
                <w:color w:val="auto"/>
              </w:rPr>
            </w:pPr>
            <w:r>
              <w:rPr>
                <w:rFonts w:ascii="Calibri" w:cs="Calibri" w:eastAsia="Calibri" w:hAnsi="Calibri"/>
                <w:sz w:val="14"/>
                <w:szCs w:val="14"/>
                <w:color w:val="0000FF"/>
              </w:rPr>
              <w:t>Certfcaton of Chief Financial Ofcer pursuant to Secton 906 of the Sarbanes-Oxley Act of 2002</w:t>
            </w:r>
          </w:p>
        </w:tc>
        <w:tc>
          <w:tcPr>
            <w:tcW w:w="520" w:type="dxa"/>
            <w:vAlign w:val="bottom"/>
            <w:shd w:val="clear" w:color="auto" w:fill="DBDBDB"/>
          </w:tcPr>
          <w:p>
            <w:pPr>
              <w:spacing w:after="0"/>
              <w:rPr>
                <w:sz w:val="12"/>
                <w:szCs w:val="12"/>
                <w:color w:val="auto"/>
              </w:rPr>
            </w:pPr>
          </w:p>
        </w:tc>
        <w:tc>
          <w:tcPr>
            <w:tcW w:w="132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920" w:type="dxa"/>
            <w:vAlign w:val="bottom"/>
            <w:shd w:val="clear" w:color="auto" w:fill="DBDBDB"/>
          </w:tcPr>
          <w:p>
            <w:pPr>
              <w:jc w:val="center"/>
              <w:spacing w:after="0" w:line="147" w:lineRule="exact"/>
              <w:rPr>
                <w:sz w:val="20"/>
                <w:szCs w:val="20"/>
                <w:color w:val="auto"/>
              </w:rPr>
            </w:pPr>
            <w:r>
              <w:rPr>
                <w:rFonts w:ascii="Calibri" w:cs="Calibri" w:eastAsia="Calibri" w:hAnsi="Calibri"/>
                <w:sz w:val="14"/>
                <w:szCs w:val="14"/>
                <w:color w:val="auto"/>
                <w:w w:val="81"/>
              </w:rPr>
              <w:t>X</w:t>
            </w:r>
          </w:p>
        </w:tc>
      </w:tr>
      <w:tr>
        <w:trPr>
          <w:trHeight w:val="60"/>
        </w:trPr>
        <w:tc>
          <w:tcPr>
            <w:tcW w:w="880" w:type="dxa"/>
            <w:vAlign w:val="bottom"/>
            <w:tcBorders>
              <w:top w:val="single" w:sz="8" w:color="DBDBDB"/>
            </w:tcBorders>
            <w:shd w:val="clear" w:color="auto" w:fill="DBDBDB"/>
          </w:tcPr>
          <w:p>
            <w:pPr>
              <w:spacing w:after="0"/>
              <w:rPr>
                <w:sz w:val="5"/>
                <w:szCs w:val="5"/>
                <w:color w:val="auto"/>
              </w:rPr>
            </w:pPr>
          </w:p>
        </w:tc>
        <w:tc>
          <w:tcPr>
            <w:tcW w:w="1780" w:type="dxa"/>
            <w:vAlign w:val="bottom"/>
            <w:tcBorders>
              <w:top w:val="single" w:sz="8" w:color="0000FF"/>
            </w:tcBorders>
            <w:shd w:val="clear" w:color="auto" w:fill="DBDBDB"/>
          </w:tcPr>
          <w:p>
            <w:pPr>
              <w:spacing w:after="0"/>
              <w:rPr>
                <w:sz w:val="5"/>
                <w:szCs w:val="5"/>
                <w:color w:val="auto"/>
              </w:rPr>
            </w:pPr>
          </w:p>
        </w:tc>
        <w:tc>
          <w:tcPr>
            <w:tcW w:w="86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11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22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520" w:type="dxa"/>
            <w:vAlign w:val="bottom"/>
            <w:tcBorders>
              <w:top w:val="single" w:sz="8" w:color="DBDBDB"/>
            </w:tcBorders>
            <w:shd w:val="clear" w:color="auto" w:fill="DBDBDB"/>
          </w:tcPr>
          <w:p>
            <w:pPr>
              <w:spacing w:after="0"/>
              <w:rPr>
                <w:sz w:val="5"/>
                <w:szCs w:val="5"/>
                <w:color w:val="auto"/>
              </w:rPr>
            </w:pPr>
          </w:p>
        </w:tc>
        <w:tc>
          <w:tcPr>
            <w:tcW w:w="1320" w:type="dxa"/>
            <w:vAlign w:val="bottom"/>
            <w:tcBorders>
              <w:top w:val="single" w:sz="8" w:color="DBDBDB"/>
            </w:tcBorders>
            <w:shd w:val="clear" w:color="auto" w:fill="DBDBDB"/>
          </w:tcPr>
          <w:p>
            <w:pPr>
              <w:spacing w:after="0"/>
              <w:rPr>
                <w:sz w:val="5"/>
                <w:szCs w:val="5"/>
                <w:color w:val="auto"/>
              </w:rPr>
            </w:pPr>
          </w:p>
        </w:tc>
        <w:tc>
          <w:tcPr>
            <w:tcW w:w="980" w:type="dxa"/>
            <w:vAlign w:val="bottom"/>
            <w:tcBorders>
              <w:top w:val="single" w:sz="8" w:color="DBDBDB"/>
            </w:tcBorders>
            <w:shd w:val="clear" w:color="auto" w:fill="DBDBDB"/>
          </w:tcPr>
          <w:p>
            <w:pPr>
              <w:spacing w:after="0"/>
              <w:rPr>
                <w:sz w:val="5"/>
                <w:szCs w:val="5"/>
                <w:color w:val="auto"/>
              </w:rPr>
            </w:pPr>
          </w:p>
        </w:tc>
        <w:tc>
          <w:tcPr>
            <w:tcW w:w="920" w:type="dxa"/>
            <w:vAlign w:val="bottom"/>
            <w:tcBorders>
              <w:top w:val="single" w:sz="8" w:color="DBDBDB"/>
            </w:tcBorders>
            <w:shd w:val="clear" w:color="auto" w:fill="DBDBDB"/>
          </w:tcPr>
          <w:p>
            <w:pPr>
              <w:spacing w:after="0"/>
              <w:rPr>
                <w:sz w:val="5"/>
                <w:szCs w:val="5"/>
                <w:color w:val="auto"/>
              </w:rPr>
            </w:pPr>
          </w:p>
        </w:tc>
      </w:tr>
      <w:tr>
        <w:trPr>
          <w:trHeight w:val="169"/>
        </w:trPr>
        <w:tc>
          <w:tcPr>
            <w:tcW w:w="880" w:type="dxa"/>
            <w:vAlign w:val="bottom"/>
          </w:tcPr>
          <w:p>
            <w:pPr>
              <w:jc w:val="center"/>
              <w:ind w:right="29"/>
              <w:spacing w:after="0" w:line="169" w:lineRule="exact"/>
              <w:rPr>
                <w:sz w:val="20"/>
                <w:szCs w:val="20"/>
                <w:color w:val="auto"/>
              </w:rPr>
            </w:pPr>
            <w:r>
              <w:rPr>
                <w:rFonts w:ascii="Calibri" w:cs="Calibri" w:eastAsia="Calibri" w:hAnsi="Calibri"/>
                <w:sz w:val="14"/>
                <w:szCs w:val="14"/>
                <w:color w:val="auto"/>
              </w:rPr>
              <w:t>101</w:t>
            </w:r>
          </w:p>
        </w:tc>
        <w:tc>
          <w:tcPr>
            <w:tcW w:w="6560" w:type="dxa"/>
            <w:vAlign w:val="bottom"/>
            <w:gridSpan w:val="15"/>
          </w:tcPr>
          <w:p>
            <w:pPr>
              <w:spacing w:after="0" w:line="169" w:lineRule="exact"/>
              <w:rPr>
                <w:sz w:val="20"/>
                <w:szCs w:val="20"/>
                <w:color w:val="auto"/>
              </w:rPr>
            </w:pPr>
            <w:r>
              <w:rPr>
                <w:rFonts w:ascii="Calibri" w:cs="Calibri" w:eastAsia="Calibri" w:hAnsi="Calibri"/>
                <w:sz w:val="14"/>
                <w:szCs w:val="14"/>
                <w:color w:val="auto"/>
              </w:rPr>
              <w:t>The following fnancial statements from the Company's Quarterly Report on Form 10-Q for the quarter ended</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jc w:val="center"/>
              <w:spacing w:after="0" w:line="169" w:lineRule="exact"/>
              <w:rPr>
                <w:sz w:val="20"/>
                <w:szCs w:val="20"/>
                <w:color w:val="auto"/>
              </w:rPr>
            </w:pPr>
            <w:r>
              <w:rPr>
                <w:rFonts w:ascii="Calibri" w:cs="Calibri" w:eastAsia="Calibri" w:hAnsi="Calibri"/>
                <w:sz w:val="14"/>
                <w:szCs w:val="14"/>
                <w:color w:val="auto"/>
                <w:w w:val="81"/>
              </w:rPr>
              <w:t>X</w:t>
            </w:r>
          </w:p>
        </w:tc>
      </w:tr>
      <w:tr>
        <w:trPr>
          <w:trHeight w:val="173"/>
        </w:trPr>
        <w:tc>
          <w:tcPr>
            <w:tcW w:w="880" w:type="dxa"/>
            <w:vAlign w:val="bottom"/>
          </w:tcPr>
          <w:p>
            <w:pPr>
              <w:spacing w:after="0"/>
              <w:rPr>
                <w:sz w:val="15"/>
                <w:szCs w:val="15"/>
                <w:color w:val="auto"/>
              </w:rPr>
            </w:pPr>
          </w:p>
        </w:tc>
        <w:tc>
          <w:tcPr>
            <w:tcW w:w="6560" w:type="dxa"/>
            <w:vAlign w:val="bottom"/>
            <w:gridSpan w:val="15"/>
          </w:tcPr>
          <w:p>
            <w:pPr>
              <w:spacing w:after="0"/>
              <w:rPr>
                <w:sz w:val="20"/>
                <w:szCs w:val="20"/>
                <w:color w:val="auto"/>
              </w:rPr>
            </w:pPr>
            <w:r>
              <w:rPr>
                <w:rFonts w:ascii="Calibri" w:cs="Calibri" w:eastAsia="Calibri" w:hAnsi="Calibri"/>
                <w:sz w:val="14"/>
                <w:szCs w:val="14"/>
                <w:color w:val="auto"/>
              </w:rPr>
              <w:t>April 30, 2022 formated in Inline XBRL: (i) Condensed Consolidated Balance Sheets, (ii) Condensed</w:t>
            </w: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5"/>
        </w:trPr>
        <w:tc>
          <w:tcPr>
            <w:tcW w:w="880" w:type="dxa"/>
            <w:vAlign w:val="bottom"/>
          </w:tcPr>
          <w:p>
            <w:pPr>
              <w:spacing w:after="0"/>
              <w:rPr>
                <w:sz w:val="14"/>
                <w:szCs w:val="14"/>
                <w:color w:val="auto"/>
              </w:rPr>
            </w:pPr>
          </w:p>
        </w:tc>
        <w:tc>
          <w:tcPr>
            <w:tcW w:w="6560" w:type="dxa"/>
            <w:vAlign w:val="bottom"/>
            <w:gridSpan w:val="15"/>
          </w:tcPr>
          <w:p>
            <w:pPr>
              <w:spacing w:after="0" w:line="166" w:lineRule="exact"/>
              <w:rPr>
                <w:sz w:val="20"/>
                <w:szCs w:val="20"/>
                <w:color w:val="auto"/>
              </w:rPr>
            </w:pPr>
            <w:r>
              <w:rPr>
                <w:rFonts w:ascii="Calibri" w:cs="Calibri" w:eastAsia="Calibri" w:hAnsi="Calibri"/>
                <w:sz w:val="14"/>
                <w:szCs w:val="14"/>
                <w:color w:val="auto"/>
              </w:rPr>
              <w:t>Consolidated Statements of Operatons, (iii) Condensed Consolidated Statements of Comprehensive Income</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880" w:type="dxa"/>
            <w:vAlign w:val="bottom"/>
          </w:tcPr>
          <w:p>
            <w:pPr>
              <w:spacing w:after="0"/>
              <w:rPr>
                <w:sz w:val="14"/>
                <w:szCs w:val="14"/>
                <w:color w:val="auto"/>
              </w:rPr>
            </w:pPr>
          </w:p>
        </w:tc>
        <w:tc>
          <w:tcPr>
            <w:tcW w:w="6560" w:type="dxa"/>
            <w:vAlign w:val="bottom"/>
            <w:gridSpan w:val="15"/>
          </w:tcPr>
          <w:p>
            <w:pPr>
              <w:spacing w:after="0" w:line="169" w:lineRule="exact"/>
              <w:rPr>
                <w:sz w:val="20"/>
                <w:szCs w:val="20"/>
                <w:color w:val="auto"/>
              </w:rPr>
            </w:pPr>
            <w:r>
              <w:rPr>
                <w:rFonts w:ascii="Calibri" w:cs="Calibri" w:eastAsia="Calibri" w:hAnsi="Calibri"/>
                <w:sz w:val="14"/>
                <w:szCs w:val="14"/>
                <w:color w:val="auto"/>
              </w:rPr>
              <w:t>(Loss), (iv) Condensed Consolidated Statements of Stockholders' Equity, (v) Condensed Consolidated</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4"/>
        </w:trPr>
        <w:tc>
          <w:tcPr>
            <w:tcW w:w="880" w:type="dxa"/>
            <w:vAlign w:val="bottom"/>
          </w:tcPr>
          <w:p>
            <w:pPr>
              <w:spacing w:after="0"/>
              <w:rPr>
                <w:sz w:val="15"/>
                <w:szCs w:val="15"/>
                <w:color w:val="auto"/>
              </w:rPr>
            </w:pPr>
          </w:p>
        </w:tc>
        <w:tc>
          <w:tcPr>
            <w:tcW w:w="6560" w:type="dxa"/>
            <w:vAlign w:val="bottom"/>
            <w:gridSpan w:val="15"/>
          </w:tcPr>
          <w:p>
            <w:pPr>
              <w:spacing w:after="0"/>
              <w:rPr>
                <w:sz w:val="20"/>
                <w:szCs w:val="20"/>
                <w:color w:val="auto"/>
              </w:rPr>
            </w:pPr>
            <w:r>
              <w:rPr>
                <w:rFonts w:ascii="Calibri" w:cs="Calibri" w:eastAsia="Calibri" w:hAnsi="Calibri"/>
                <w:sz w:val="14"/>
                <w:szCs w:val="14"/>
                <w:color w:val="auto"/>
              </w:rPr>
              <w:t>Statements of Cash Flows, and (vi) Notes to Unaudited Condensed Consolidated Financial Statements, tagged</w:t>
            </w: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4"/>
        </w:trPr>
        <w:tc>
          <w:tcPr>
            <w:tcW w:w="880" w:type="dxa"/>
            <w:vAlign w:val="bottom"/>
          </w:tcPr>
          <w:p>
            <w:pPr>
              <w:spacing w:after="0"/>
              <w:rPr>
                <w:sz w:val="15"/>
                <w:szCs w:val="15"/>
                <w:color w:val="auto"/>
              </w:rPr>
            </w:pPr>
          </w:p>
        </w:tc>
        <w:tc>
          <w:tcPr>
            <w:tcW w:w="6560" w:type="dxa"/>
            <w:vAlign w:val="bottom"/>
            <w:gridSpan w:val="15"/>
          </w:tcPr>
          <w:p>
            <w:pPr>
              <w:spacing w:after="0"/>
              <w:rPr>
                <w:sz w:val="20"/>
                <w:szCs w:val="20"/>
                <w:color w:val="auto"/>
              </w:rPr>
            </w:pPr>
            <w:r>
              <w:rPr>
                <w:rFonts w:ascii="Calibri" w:cs="Calibri" w:eastAsia="Calibri" w:hAnsi="Calibri"/>
                <w:sz w:val="14"/>
                <w:szCs w:val="14"/>
                <w:color w:val="auto"/>
              </w:rPr>
              <w:t>as blocks of text and including detailed tags.</w:t>
            </w: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60"/>
        </w:trPr>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7"/>
        </w:trPr>
        <w:tc>
          <w:tcPr>
            <w:tcW w:w="880" w:type="dxa"/>
            <w:vAlign w:val="bottom"/>
            <w:tcBorders>
              <w:bottom w:val="single" w:sz="8" w:color="DBDBDB"/>
            </w:tcBorders>
            <w:shd w:val="clear" w:color="auto" w:fill="DBDBDB"/>
          </w:tcPr>
          <w:p>
            <w:pPr>
              <w:jc w:val="center"/>
              <w:ind w:right="29"/>
              <w:spacing w:after="0" w:line="169" w:lineRule="exact"/>
              <w:rPr>
                <w:sz w:val="20"/>
                <w:szCs w:val="20"/>
                <w:color w:val="auto"/>
              </w:rPr>
            </w:pPr>
            <w:r>
              <w:rPr>
                <w:rFonts w:ascii="Calibri" w:cs="Calibri" w:eastAsia="Calibri" w:hAnsi="Calibri"/>
                <w:sz w:val="14"/>
                <w:szCs w:val="14"/>
                <w:color w:val="auto"/>
              </w:rPr>
              <w:t>104</w:t>
            </w:r>
          </w:p>
        </w:tc>
        <w:tc>
          <w:tcPr>
            <w:tcW w:w="6560" w:type="dxa"/>
            <w:vAlign w:val="bottom"/>
            <w:tcBorders>
              <w:bottom w:val="single" w:sz="8" w:color="DBDBDB"/>
            </w:tcBorders>
            <w:gridSpan w:val="15"/>
            <w:shd w:val="clear" w:color="auto" w:fill="DBDBDB"/>
          </w:tcPr>
          <w:p>
            <w:pPr>
              <w:spacing w:after="0" w:line="169" w:lineRule="exact"/>
              <w:rPr>
                <w:sz w:val="20"/>
                <w:szCs w:val="20"/>
                <w:color w:val="auto"/>
              </w:rPr>
            </w:pPr>
            <w:r>
              <w:rPr>
                <w:rFonts w:ascii="Calibri" w:cs="Calibri" w:eastAsia="Calibri" w:hAnsi="Calibri"/>
                <w:sz w:val="14"/>
                <w:szCs w:val="14"/>
                <w:color w:val="auto"/>
              </w:rPr>
              <w:t>Cover Page Interactve Data File (formated as Inline XBRL and contained in Exhibit 101)</w:t>
            </w:r>
          </w:p>
        </w:tc>
        <w:tc>
          <w:tcPr>
            <w:tcW w:w="520" w:type="dxa"/>
            <w:vAlign w:val="bottom"/>
            <w:tcBorders>
              <w:bottom w:val="single" w:sz="8" w:color="DBDBDB"/>
            </w:tcBorders>
            <w:shd w:val="clear" w:color="auto" w:fill="DBDBDB"/>
          </w:tcPr>
          <w:p>
            <w:pPr>
              <w:spacing w:after="0"/>
              <w:rPr>
                <w:sz w:val="18"/>
                <w:szCs w:val="18"/>
                <w:color w:val="auto"/>
              </w:rPr>
            </w:pPr>
          </w:p>
        </w:tc>
        <w:tc>
          <w:tcPr>
            <w:tcW w:w="13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jc w:val="center"/>
              <w:spacing w:after="0" w:line="169" w:lineRule="exact"/>
              <w:rPr>
                <w:sz w:val="20"/>
                <w:szCs w:val="20"/>
                <w:color w:val="auto"/>
              </w:rPr>
            </w:pPr>
            <w:r>
              <w:rPr>
                <w:rFonts w:ascii="Calibri" w:cs="Calibri" w:eastAsia="Calibri" w:hAnsi="Calibri"/>
                <w:sz w:val="14"/>
                <w:szCs w:val="14"/>
                <w:color w:val="auto"/>
                <w:w w:val="81"/>
              </w:rPr>
              <w:t>X</w:t>
            </w:r>
          </w:p>
        </w:tc>
      </w:tr>
      <w:tr>
        <w:trPr>
          <w:trHeight w:val="20"/>
        </w:trPr>
        <w:tc>
          <w:tcPr>
            <w:tcW w:w="8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-3158490</wp:posOffset>
            </wp:positionV>
            <wp:extent cx="17576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Calibri" w:cs="Calibri" w:eastAsia="Calibri" w:hAnsi="Calibri"/>
          <w:sz w:val="12"/>
          <w:szCs w:val="12"/>
          <w:color w:val="auto"/>
        </w:rPr>
        <w:t># Previously fled</w:t>
      </w:r>
    </w:p>
    <w:p>
      <w:pPr>
        <w:ind w:left="440" w:hanging="109"/>
        <w:spacing w:after="0" w:line="201" w:lineRule="auto"/>
        <w:tabs>
          <w:tab w:leader="none" w:pos="440" w:val="left"/>
        </w:tabs>
        <w:numPr>
          <w:ilvl w:val="0"/>
          <w:numId w:val="14"/>
        </w:numPr>
        <w:rPr>
          <w:rFonts w:ascii="Arial" w:cs="Arial" w:eastAsia="Arial" w:hAnsi="Arial"/>
          <w:sz w:val="25"/>
          <w:szCs w:val="25"/>
          <w:color w:val="auto"/>
          <w:vertAlign w:val="superscript"/>
        </w:rPr>
      </w:pPr>
      <w:r>
        <w:rPr>
          <w:rFonts w:ascii="Calibri" w:cs="Calibri" w:eastAsia="Calibri" w:hAnsi="Calibri"/>
          <w:sz w:val="12"/>
          <w:szCs w:val="12"/>
          <w:color w:val="auto"/>
        </w:rPr>
        <w:t>Indicates management contract or compensatory plan.</w:t>
      </w:r>
    </w:p>
    <w:p>
      <w:pPr>
        <w:spacing w:after="0" w:line="161" w:lineRule="exact"/>
        <w:rPr>
          <w:sz w:val="20"/>
          <w:szCs w:val="20"/>
          <w:color w:val="auto"/>
        </w:rPr>
      </w:pPr>
    </w:p>
    <w:p>
      <w:pPr>
        <w:ind w:left="440" w:right="120" w:hanging="85"/>
        <w:spacing w:after="0" w:line="182" w:lineRule="auto"/>
        <w:tabs>
          <w:tab w:leader="none" w:pos="440" w:val="left"/>
        </w:tabs>
        <w:numPr>
          <w:ilvl w:val="0"/>
          <w:numId w:val="15"/>
        </w:numPr>
        <w:rPr>
          <w:rFonts w:ascii="Arial" w:cs="Arial" w:eastAsia="Arial" w:hAnsi="Arial"/>
          <w:sz w:val="22"/>
          <w:szCs w:val="22"/>
          <w:color w:val="auto"/>
          <w:vertAlign w:val="superscript"/>
        </w:rPr>
      </w:pPr>
      <w:r>
        <w:rPr>
          <w:rFonts w:ascii="Calibri" w:cs="Calibri" w:eastAsia="Calibri" w:hAnsi="Calibri"/>
          <w:sz w:val="11"/>
          <w:szCs w:val="11"/>
          <w:color w:val="auto"/>
        </w:rPr>
        <w:t>These certfcatons are being furnished solely to accompany this quarterly report pursuant to 18 U.S.C. Secton 1350, and are not being fled for purposes of Secton 18 of the Securites Exchange Act of 1934 and are not to be incorporated by reference into any fling of the Registrant, whether made before or afer the date hereof, regardless of any general incorporaton language in such fling.</w:t>
      </w:r>
    </w:p>
    <w:p>
      <w:pPr>
        <w:sectPr>
          <w:pgSz w:w="11900" w:h="16838" w:orient="portrait"/>
          <w:cols w:equalWidth="0" w:num="1">
            <w:col w:w="11180"/>
          </w:cols>
          <w:pgMar w:left="320" w:top="123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80"/>
        <w:spacing w:after="0"/>
        <w:rPr>
          <w:sz w:val="20"/>
          <w:szCs w:val="20"/>
          <w:color w:val="auto"/>
        </w:rPr>
      </w:pPr>
      <w:r>
        <w:rPr>
          <w:rFonts w:ascii="Calibri" w:cs="Calibri" w:eastAsia="Calibri" w:hAnsi="Calibri"/>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34" w:right="399" w:bottom="1440" w:gutter="0" w:footer="0" w:header="0"/>
          <w:type w:val="continuous"/>
        </w:sectPr>
      </w:pPr>
    </w:p>
    <w:bookmarkStart w:id="26" w:name="page27"/>
    <w:bookmarkEnd w:id="26"/>
    <w:p>
      <w:pPr>
        <w:jc w:val="center"/>
        <w:ind w:right="-99"/>
        <w:spacing w:after="0"/>
        <w:rPr>
          <w:sz w:val="20"/>
          <w:szCs w:val="20"/>
          <w:color w:val="auto"/>
        </w:rPr>
      </w:pPr>
      <w:r>
        <w:rPr>
          <w:rFonts w:ascii="Calibri" w:cs="Calibri" w:eastAsia="Calibri" w:hAnsi="Calibri"/>
          <w:sz w:val="25"/>
          <w:szCs w:val="25"/>
          <w:b w:val="1"/>
          <w:bCs w:val="1"/>
          <w:color w:val="auto"/>
        </w:rPr>
        <w:t>SIGNATURES</w:t>
      </w:r>
    </w:p>
    <w:p>
      <w:pPr>
        <w:spacing w:after="0" w:line="227" w:lineRule="exact"/>
        <w:rPr>
          <w:sz w:val="20"/>
          <w:szCs w:val="20"/>
          <w:color w:val="auto"/>
        </w:rPr>
      </w:pPr>
    </w:p>
    <w:p>
      <w:pPr>
        <w:ind w:firstLine="642"/>
        <w:spacing w:after="0" w:line="242" w:lineRule="auto"/>
        <w:rPr>
          <w:sz w:val="20"/>
          <w:szCs w:val="20"/>
          <w:color w:val="auto"/>
        </w:rPr>
      </w:pPr>
      <w:r>
        <w:rPr>
          <w:rFonts w:ascii="Calibri" w:cs="Calibri" w:eastAsia="Calibri" w:hAnsi="Calibri"/>
          <w:sz w:val="16"/>
          <w:szCs w:val="16"/>
          <w:color w:val="auto"/>
        </w:rPr>
        <w:t>Pursuant to the requirements of Secton 13 or 15(d) of the Securites Exchange Act of 1934, the registrant has duly caused this quarterly report to be signed on its behalf by the undersigned, thereunto duly authorized, on June 8, 2022.</w:t>
      </w:r>
    </w:p>
    <w:p>
      <w:pPr>
        <w:spacing w:after="0" w:line="285" w:lineRule="exact"/>
        <w:rPr>
          <w:sz w:val="20"/>
          <w:szCs w:val="20"/>
          <w:color w:val="auto"/>
        </w:rPr>
      </w:pPr>
    </w:p>
    <w:p>
      <w:pPr>
        <w:jc w:val="center"/>
        <w:ind w:left="7320"/>
        <w:spacing w:after="0"/>
        <w:rPr>
          <w:sz w:val="20"/>
          <w:szCs w:val="20"/>
          <w:color w:val="auto"/>
        </w:rPr>
      </w:pPr>
      <w:r>
        <w:rPr>
          <w:rFonts w:ascii="Calibri" w:cs="Calibri" w:eastAsia="Calibri" w:hAnsi="Calibri"/>
          <w:sz w:val="16"/>
          <w:szCs w:val="16"/>
          <w:b w:val="1"/>
          <w:bCs w:val="1"/>
          <w:color w:val="auto"/>
        </w:rPr>
        <w:t>MISSION PRODUCE, INC.</w:t>
      </w:r>
    </w:p>
    <w:p>
      <w:pPr>
        <w:spacing w:after="0" w:line="117" w:lineRule="exact"/>
        <w:rPr>
          <w:sz w:val="20"/>
          <w:szCs w:val="20"/>
          <w:color w:val="auto"/>
        </w:rPr>
      </w:pPr>
    </w:p>
    <w:p>
      <w:pPr>
        <w:ind w:left="8660"/>
        <w:spacing w:after="0"/>
        <w:rPr>
          <w:sz w:val="20"/>
          <w:szCs w:val="20"/>
          <w:color w:val="auto"/>
        </w:rPr>
      </w:pPr>
      <w:r>
        <w:rPr>
          <w:rFonts w:ascii="Calibri" w:cs="Calibri" w:eastAsia="Calibri" w:hAnsi="Calibri"/>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4666615</wp:posOffset>
            </wp:positionH>
            <wp:positionV relativeFrom="paragraph">
              <wp:posOffset>29210</wp:posOffset>
            </wp:positionV>
            <wp:extent cx="24714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471420" cy="8255"/>
                    </a:xfrm>
                    <a:prstGeom prst="rect">
                      <a:avLst/>
                    </a:prstGeom>
                    <a:noFill/>
                  </pic:spPr>
                </pic:pic>
              </a:graphicData>
            </a:graphic>
          </wp:anchor>
        </w:drawing>
      </w:r>
    </w:p>
    <w:p>
      <w:pPr>
        <w:spacing w:after="0" w:line="36" w:lineRule="exact"/>
        <w:rPr>
          <w:sz w:val="20"/>
          <w:szCs w:val="20"/>
          <w:color w:val="auto"/>
        </w:rPr>
      </w:pPr>
    </w:p>
    <w:p>
      <w:pPr>
        <w:ind w:left="8760"/>
        <w:spacing w:after="0"/>
        <w:rPr>
          <w:sz w:val="20"/>
          <w:szCs w:val="20"/>
          <w:color w:val="auto"/>
        </w:rPr>
      </w:pPr>
      <w:r>
        <w:rPr>
          <w:rFonts w:ascii="Calibri" w:cs="Calibri" w:eastAsia="Calibri" w:hAnsi="Calibri"/>
          <w:sz w:val="14"/>
          <w:szCs w:val="14"/>
          <w:color w:val="auto"/>
        </w:rPr>
        <w:t>Stephen J. Barnard</w:t>
      </w:r>
    </w:p>
    <w:p>
      <w:pPr>
        <w:spacing w:after="0" w:line="43" w:lineRule="exact"/>
        <w:rPr>
          <w:sz w:val="20"/>
          <w:szCs w:val="20"/>
          <w:color w:val="auto"/>
        </w:rPr>
      </w:pPr>
    </w:p>
    <w:p>
      <w:pPr>
        <w:ind w:left="8660"/>
        <w:spacing w:after="0"/>
        <w:rPr>
          <w:sz w:val="20"/>
          <w:szCs w:val="20"/>
          <w:color w:val="auto"/>
        </w:rPr>
      </w:pPr>
      <w:r>
        <w:rPr>
          <w:rFonts w:ascii="Calibri" w:cs="Calibri" w:eastAsia="Calibri" w:hAnsi="Calibri"/>
          <w:sz w:val="14"/>
          <w:szCs w:val="14"/>
          <w:i w:val="1"/>
          <w:iCs w:val="1"/>
          <w:color w:val="auto"/>
        </w:rPr>
        <w:t>Chief Executve Ofcer</w:t>
      </w:r>
    </w:p>
    <w:p>
      <w:pPr>
        <w:spacing w:after="0" w:line="257" w:lineRule="exact"/>
        <w:rPr>
          <w:sz w:val="20"/>
          <w:szCs w:val="20"/>
          <w:color w:val="auto"/>
        </w:rPr>
      </w:pPr>
    </w:p>
    <w:p>
      <w:pPr>
        <w:ind w:left="8800"/>
        <w:spacing w:after="0"/>
        <w:rPr>
          <w:sz w:val="20"/>
          <w:szCs w:val="20"/>
          <w:color w:val="auto"/>
        </w:rPr>
      </w:pPr>
      <w:r>
        <w:rPr>
          <w:rFonts w:ascii="Calibri" w:cs="Calibri" w:eastAsia="Calibri" w:hAnsi="Calibri"/>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4666615</wp:posOffset>
            </wp:positionH>
            <wp:positionV relativeFrom="paragraph">
              <wp:posOffset>38100</wp:posOffset>
            </wp:positionV>
            <wp:extent cx="24714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471420" cy="8255"/>
                    </a:xfrm>
                    <a:prstGeom prst="rect">
                      <a:avLst/>
                    </a:prstGeom>
                    <a:noFill/>
                  </pic:spPr>
                </pic:pic>
              </a:graphicData>
            </a:graphic>
          </wp:anchor>
        </w:drawing>
      </w:r>
    </w:p>
    <w:p>
      <w:pPr>
        <w:spacing w:after="0" w:line="264" w:lineRule="exact"/>
        <w:rPr>
          <w:sz w:val="20"/>
          <w:szCs w:val="20"/>
          <w:color w:val="auto"/>
        </w:rPr>
      </w:pPr>
    </w:p>
    <w:p>
      <w:pPr>
        <w:jc w:val="center"/>
        <w:ind w:left="7320"/>
        <w:spacing w:after="0"/>
        <w:rPr>
          <w:sz w:val="20"/>
          <w:szCs w:val="20"/>
          <w:color w:val="auto"/>
        </w:rPr>
      </w:pPr>
      <w:r>
        <w:rPr>
          <w:rFonts w:ascii="Calibri" w:cs="Calibri" w:eastAsia="Calibri" w:hAnsi="Calibri"/>
          <w:sz w:val="14"/>
          <w:szCs w:val="14"/>
          <w:color w:val="auto"/>
        </w:rPr>
        <w:t>Bryan E. Giles</w:t>
      </w:r>
    </w:p>
    <w:p>
      <w:pPr>
        <w:spacing w:after="0" w:line="43" w:lineRule="exact"/>
        <w:rPr>
          <w:sz w:val="20"/>
          <w:szCs w:val="20"/>
          <w:color w:val="auto"/>
        </w:rPr>
      </w:pPr>
    </w:p>
    <w:p>
      <w:pPr>
        <w:jc w:val="center"/>
        <w:ind w:left="7320"/>
        <w:spacing w:after="0"/>
        <w:rPr>
          <w:sz w:val="20"/>
          <w:szCs w:val="20"/>
          <w:color w:val="auto"/>
        </w:rPr>
      </w:pPr>
      <w:r>
        <w:rPr>
          <w:rFonts w:ascii="Calibri" w:cs="Calibri" w:eastAsia="Calibri" w:hAnsi="Calibri"/>
          <w:sz w:val="14"/>
          <w:szCs w:val="14"/>
          <w:i w:val="1"/>
          <w:iCs w:val="1"/>
          <w:color w:val="auto"/>
        </w:rPr>
        <w:t>Chief Financial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80"/>
        <w:spacing w:after="0"/>
        <w:rPr>
          <w:sz w:val="20"/>
          <w:szCs w:val="20"/>
          <w:color w:val="auto"/>
        </w:rPr>
      </w:pPr>
      <w:r>
        <w:rPr>
          <w:rFonts w:ascii="Calibri" w:cs="Calibri" w:eastAsia="Calibri" w:hAnsi="Calibri"/>
          <w:sz w:val="14"/>
          <w:szCs w:val="14"/>
          <w:color w:val="auto"/>
        </w:rPr>
        <w:t>27</w:t>
      </w:r>
    </w:p>
    <w:p>
      <w:pPr>
        <w:sectPr>
          <w:pgSz w:w="11900" w:h="16838" w:orient="portrait"/>
          <w:cols w:equalWidth="0" w:num="1">
            <w:col w:w="11140"/>
          </w:cols>
          <w:pgMar w:left="320" w:top="1234" w:right="439" w:bottom="1440" w:gutter="0" w:footer="0" w:header="0"/>
        </w:sectPr>
      </w:pPr>
    </w:p>
    <w:bookmarkStart w:id="27" w:name="page28"/>
    <w:bookmarkEnd w:id="27"/>
    <w:p>
      <w:pPr>
        <w:jc w:val="right"/>
        <w:spacing w:after="0"/>
        <w:rPr>
          <w:sz w:val="20"/>
          <w:szCs w:val="20"/>
          <w:color w:val="auto"/>
        </w:rPr>
      </w:pPr>
      <w:r>
        <w:rPr>
          <w:rFonts w:ascii="Calibri" w:cs="Calibri" w:eastAsia="Calibri" w:hAnsi="Calibri"/>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MISSION PRODUCE,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PROGRAM</w:t>
      </w:r>
    </w:p>
    <w:p>
      <w:pPr>
        <w:spacing w:after="0" w:line="198" w:lineRule="exact"/>
        <w:rPr>
          <w:sz w:val="20"/>
          <w:szCs w:val="20"/>
          <w:color w:val="auto"/>
        </w:rPr>
      </w:pPr>
    </w:p>
    <w:p>
      <w:pPr>
        <w:jc w:val="both"/>
        <w:ind w:firstLine="642"/>
        <w:spacing w:after="0" w:line="222" w:lineRule="auto"/>
        <w:rPr>
          <w:sz w:val="20"/>
          <w:szCs w:val="20"/>
          <w:color w:val="auto"/>
        </w:rPr>
      </w:pPr>
      <w:r>
        <w:rPr>
          <w:rFonts w:ascii="Times New Roman" w:cs="Times New Roman" w:eastAsia="Times New Roman" w:hAnsi="Times New Roman"/>
          <w:sz w:val="20"/>
          <w:szCs w:val="20"/>
          <w:color w:val="auto"/>
        </w:rPr>
        <w:t>Eligible Directors (as defined below) on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Mission Produce,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be eligible to receive cash and equity compensation as set forth in this Non-Employee Director Compensation Program (this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The</w:t>
      </w:r>
    </w:p>
    <w:p>
      <w:pPr>
        <w:spacing w:after="0" w:line="2"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20"/>
          <w:szCs w:val="20"/>
          <w:color w:val="auto"/>
        </w:rPr>
        <w:t>cash and equity compensation described in this Program shall be paid or be made, as applicable, automatically as set forth herein and without further action of the Board, to each member of the Board who is not an employee of the Company or any of its parents, affiliates 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auto"/>
        </w:rPr>
        <w:t>subsidiaries (each,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who may be eligible to receive such cash or equity compensation, unless such Eligible Director declines the receipt of such cash or equity compensation by written notice to the Company.</w:t>
      </w:r>
    </w:p>
    <w:p>
      <w:pPr>
        <w:spacing w:after="0" w:line="147" w:lineRule="exact"/>
        <w:rPr>
          <w:sz w:val="20"/>
          <w:szCs w:val="20"/>
          <w:color w:val="auto"/>
        </w:rPr>
      </w:pPr>
    </w:p>
    <w:p>
      <w:pPr>
        <w:jc w:val="both"/>
        <w:ind w:firstLine="642"/>
        <w:spacing w:after="0" w:line="228" w:lineRule="auto"/>
        <w:rPr>
          <w:sz w:val="20"/>
          <w:szCs w:val="20"/>
          <w:color w:val="auto"/>
        </w:rPr>
      </w:pPr>
      <w:r>
        <w:rPr>
          <w:rFonts w:ascii="Times New Roman" w:cs="Times New Roman" w:eastAsia="Times New Roman" w:hAnsi="Times New Roman"/>
          <w:sz w:val="20"/>
          <w:szCs w:val="20"/>
          <w:color w:val="auto"/>
        </w:rPr>
        <w:t>This Program shall be effective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147" w:lineRule="exact"/>
        <w:rPr>
          <w:sz w:val="20"/>
          <w:szCs w:val="20"/>
          <w:color w:val="auto"/>
        </w:rPr>
      </w:pPr>
    </w:p>
    <w:p>
      <w:pPr>
        <w:ind w:left="1000" w:hanging="351"/>
        <w:spacing w:after="0"/>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1640" w:hanging="349"/>
        <w:spacing w:after="0"/>
        <w:tabs>
          <w:tab w:leader="none" w:pos="1640"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Retainers</w:t>
      </w:r>
      <w:r>
        <w:rPr>
          <w:rFonts w:ascii="Times New Roman" w:cs="Times New Roman" w:eastAsia="Times New Roman" w:hAnsi="Times New Roman"/>
          <w:sz w:val="19"/>
          <w:szCs w:val="19"/>
          <w:color w:val="auto"/>
        </w:rPr>
        <w:t>. Each Eligible Director shall be eligible to receive an annual cash retainer of $60,000 for service on the</w:t>
      </w:r>
    </w:p>
    <w:p>
      <w:pPr>
        <w:spacing w:after="0" w:line="4" w:lineRule="exact"/>
        <w:rPr>
          <w:rFonts w:ascii="Times New Roman" w:cs="Times New Roman" w:eastAsia="Times New Roman" w:hAnsi="Times New Roman"/>
          <w:sz w:val="19"/>
          <w:szCs w:val="19"/>
          <w:color w:val="auto"/>
        </w:rPr>
      </w:pPr>
    </w:p>
    <w:p>
      <w:pPr>
        <w:ind w:left="3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Board.</w:t>
      </w:r>
    </w:p>
    <w:p>
      <w:pPr>
        <w:spacing w:after="0" w:line="149" w:lineRule="exact"/>
        <w:rPr>
          <w:rFonts w:ascii="Times New Roman" w:cs="Times New Roman" w:eastAsia="Times New Roman" w:hAnsi="Times New Roman"/>
          <w:sz w:val="19"/>
          <w:szCs w:val="19"/>
          <w:color w:val="auto"/>
        </w:rPr>
      </w:pPr>
    </w:p>
    <w:p>
      <w:pPr>
        <w:ind w:left="1640" w:hanging="349"/>
        <w:spacing w:after="0"/>
        <w:tabs>
          <w:tab w:leader="none" w:pos="1640"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Annual Retainers</w:t>
      </w:r>
      <w:r>
        <w:rPr>
          <w:rFonts w:ascii="Times New Roman" w:cs="Times New Roman" w:eastAsia="Times New Roman" w:hAnsi="Times New Roman"/>
          <w:sz w:val="19"/>
          <w:szCs w:val="19"/>
          <w:color w:val="auto"/>
        </w:rPr>
        <w:t>. An Eligible Director shall be eligible to receive the following additional annual retainers, as</w:t>
      </w:r>
    </w:p>
    <w:p>
      <w:pPr>
        <w:spacing w:after="0" w:line="4" w:lineRule="exact"/>
        <w:rPr>
          <w:rFonts w:ascii="Times New Roman" w:cs="Times New Roman" w:eastAsia="Times New Roman" w:hAnsi="Times New Roman"/>
          <w:sz w:val="19"/>
          <w:szCs w:val="19"/>
          <w:color w:val="auto"/>
        </w:rPr>
      </w:pPr>
    </w:p>
    <w:p>
      <w:pPr>
        <w:ind w:left="3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applicable:</w:t>
      </w:r>
    </w:p>
    <w:p>
      <w:pPr>
        <w:spacing w:after="0" w:line="162" w:lineRule="exact"/>
        <w:rPr>
          <w:rFonts w:ascii="Times New Roman" w:cs="Times New Roman" w:eastAsia="Times New Roman" w:hAnsi="Times New Roman"/>
          <w:sz w:val="19"/>
          <w:szCs w:val="19"/>
          <w:color w:val="auto"/>
        </w:rPr>
      </w:pPr>
    </w:p>
    <w:p>
      <w:pPr>
        <w:jc w:val="both"/>
        <w:ind w:left="320" w:firstLine="1613"/>
        <w:spacing w:after="0" w:line="223" w:lineRule="auto"/>
        <w:tabs>
          <w:tab w:leader="none" w:pos="2426"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An Eligible Director serving as Chairperson of the Audit Committee shall be eligible to receive an additional annual retainer of $15,000 for such service. An Eligible Director serving as a member of the Audit Committee (other than the Chairperson) shall be eligible to receive an additional annual retainer of $7,500 for such service.</w:t>
      </w:r>
    </w:p>
    <w:p>
      <w:pPr>
        <w:spacing w:after="0" w:line="147" w:lineRule="exact"/>
        <w:rPr>
          <w:rFonts w:ascii="Times New Roman" w:cs="Times New Roman" w:eastAsia="Times New Roman" w:hAnsi="Times New Roman"/>
          <w:sz w:val="20"/>
          <w:szCs w:val="20"/>
          <w:color w:val="auto"/>
        </w:rPr>
      </w:pPr>
    </w:p>
    <w:p>
      <w:pPr>
        <w:jc w:val="both"/>
        <w:ind w:left="320" w:firstLine="1613"/>
        <w:spacing w:after="0"/>
        <w:tabs>
          <w:tab w:leader="none" w:pos="2360" w:val="left"/>
        </w:tabs>
        <w:numPr>
          <w:ilvl w:val="2"/>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Committee</w:t>
      </w:r>
      <w:r>
        <w:rPr>
          <w:rFonts w:ascii="Times New Roman" w:cs="Times New Roman" w:eastAsia="Times New Roman" w:hAnsi="Times New Roman"/>
          <w:sz w:val="19"/>
          <w:szCs w:val="19"/>
          <w:color w:val="auto"/>
        </w:rPr>
        <w:t>. An Eligible Director serving as Chairperson of the Compensation Committee shall be eligible to receive an additional annual retainer of $10,000 for such service. An Eligible Director serving as a member of the Compensation Committee (other than the Chairperson) shall be eligible to receive an additional annual retainer of $5,000 for such service.</w:t>
      </w:r>
    </w:p>
    <w:p>
      <w:pPr>
        <w:spacing w:after="0" w:line="147" w:lineRule="exact"/>
        <w:rPr>
          <w:rFonts w:ascii="Times New Roman" w:cs="Times New Roman" w:eastAsia="Times New Roman" w:hAnsi="Times New Roman"/>
          <w:sz w:val="19"/>
          <w:szCs w:val="19"/>
          <w:color w:val="auto"/>
        </w:rPr>
      </w:pPr>
    </w:p>
    <w:p>
      <w:pPr>
        <w:jc w:val="both"/>
        <w:ind w:left="320" w:firstLine="1613"/>
        <w:spacing w:after="0" w:line="219" w:lineRule="auto"/>
        <w:tabs>
          <w:tab w:leader="none" w:pos="2664"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An Eligible Director serving as Chairperson of the Nominating and Corporate Governance Committee shall be eligible to receive an additional annual retainer of $10,000 for such service. An Eligible Director serving as a member of the Nominating and Corporate Governance Committee (other than the Chairperson) shall be eligible to receive an additional annual retainer of $5,000 for such service.</w:t>
      </w:r>
    </w:p>
    <w:p>
      <w:pPr>
        <w:spacing w:after="0" w:line="163" w:lineRule="exact"/>
        <w:rPr>
          <w:rFonts w:ascii="Times New Roman" w:cs="Times New Roman" w:eastAsia="Times New Roman" w:hAnsi="Times New Roman"/>
          <w:sz w:val="20"/>
          <w:szCs w:val="20"/>
          <w:color w:val="auto"/>
        </w:rPr>
      </w:pPr>
    </w:p>
    <w:p>
      <w:pPr>
        <w:jc w:val="both"/>
        <w:ind w:left="320" w:firstLine="971"/>
        <w:spacing w:after="0" w:line="217" w:lineRule="auto"/>
        <w:tabs>
          <w:tab w:leader="none" w:pos="1655"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5" w:lineRule="exact"/>
        <w:rPr>
          <w:rFonts w:ascii="Times New Roman" w:cs="Times New Roman" w:eastAsia="Times New Roman" w:hAnsi="Times New Roman"/>
          <w:sz w:val="20"/>
          <w:szCs w:val="20"/>
          <w:color w:val="auto"/>
        </w:rPr>
      </w:pPr>
    </w:p>
    <w:p>
      <w:pPr>
        <w:ind w:left="1000" w:hanging="351"/>
        <w:spacing w:after="0"/>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320" w:firstLine="971"/>
        <w:spacing w:after="0" w:line="223" w:lineRule="auto"/>
        <w:tabs>
          <w:tab w:leader="none" w:pos="1708"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Eligible Directors shall be granted the equity awards described below. The awards described below shall be granted under and shall be subject to the terms and provisions of the most recently adopted equity incentive plan then-maintained by the Company (such plan pursuant to which an any such equity award is granted, as may be amended from time to time, the “</w:t>
      </w:r>
      <w:r>
        <w:rPr>
          <w:rFonts w:ascii="Times New Roman" w:cs="Times New Roman" w:eastAsia="Times New Roman" w:hAnsi="Times New Roman"/>
          <w:sz w:val="20"/>
          <w:szCs w:val="20"/>
          <w:b w:val="1"/>
          <w:bCs w:val="1"/>
          <w:i w:val="1"/>
          <w:iCs w:val="1"/>
          <w:color w:val="auto"/>
        </w:rPr>
        <w:t>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97" w:right="339" w:bottom="1440" w:gutter="0" w:footer="0" w:header="0"/>
        </w:sectPr>
      </w:pPr>
    </w:p>
    <w:bookmarkStart w:id="28" w:name="page29"/>
    <w:bookmarkEnd w:id="28"/>
    <w:p>
      <w:pPr>
        <w:jc w:val="right"/>
        <w:spacing w:after="0"/>
        <w:rPr>
          <w:sz w:val="20"/>
          <w:szCs w:val="20"/>
          <w:color w:val="auto"/>
        </w:rPr>
      </w:pPr>
      <w:r>
        <w:rPr>
          <w:rFonts w:ascii="Calibri" w:cs="Calibri" w:eastAsia="Calibri" w:hAnsi="Calibri"/>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may be granted subject to the execution and delivery of award agreements, including attached exhibits, in substantially the</w:t>
      </w:r>
    </w:p>
    <w:p>
      <w:pPr>
        <w:spacing w:after="0" w:line="219" w:lineRule="auto"/>
        <w:rPr>
          <w:sz w:val="20"/>
          <w:szCs w:val="20"/>
          <w:color w:val="auto"/>
        </w:rPr>
      </w:pPr>
      <w:r>
        <w:rPr>
          <w:rFonts w:ascii="Times New Roman" w:cs="Times New Roman" w:eastAsia="Times New Roman" w:hAnsi="Times New Roman"/>
          <w:sz w:val="20"/>
          <w:szCs w:val="20"/>
          <w:color w:val="auto"/>
        </w:rPr>
        <w:t>forms approved by the Board prior to or in connection with such grants. All applicable terms of the Equity Plan apply to this Program as if fully set forth herein, and all grants of equity awards hereby are subject in all respects to the terms of the Equity Plan.</w:t>
      </w:r>
    </w:p>
    <w:p>
      <w:pPr>
        <w:spacing w:after="0" w:line="160" w:lineRule="exact"/>
        <w:rPr>
          <w:sz w:val="20"/>
          <w:szCs w:val="20"/>
          <w:color w:val="auto"/>
        </w:rPr>
      </w:pPr>
    </w:p>
    <w:p>
      <w:pPr>
        <w:jc w:val="both"/>
        <w:ind w:firstLine="971"/>
        <w:spacing w:after="0" w:line="213" w:lineRule="auto"/>
        <w:tabs>
          <w:tab w:leader="none" w:pos="137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Awards</w:t>
      </w:r>
      <w:r>
        <w:rPr>
          <w:rFonts w:ascii="Times New Roman" w:cs="Times New Roman" w:eastAsia="Times New Roman" w:hAnsi="Times New Roman"/>
          <w:sz w:val="20"/>
          <w:szCs w:val="20"/>
          <w:color w:val="auto"/>
        </w:rPr>
        <w:t>. An Eligible Director who is serving on the Board as of the date of the Company’s annual meeting of stockholders (the “</w:t>
      </w:r>
      <w:r>
        <w:rPr>
          <w:rFonts w:ascii="Times New Roman" w:cs="Times New Roman" w:eastAsia="Times New Roman" w:hAnsi="Times New Roman"/>
          <w:sz w:val="20"/>
          <w:szCs w:val="20"/>
          <w:b w:val="1"/>
          <w:bCs w:val="1"/>
          <w:i w:val="1"/>
          <w:iCs w:val="1"/>
          <w:color w:val="auto"/>
        </w:rPr>
        <w:t>Annual Meeting</w:t>
      </w:r>
      <w:r>
        <w:rPr>
          <w:rFonts w:ascii="Times New Roman" w:cs="Times New Roman" w:eastAsia="Times New Roman" w:hAnsi="Times New Roman"/>
          <w:sz w:val="20"/>
          <w:szCs w:val="20"/>
          <w:color w:val="auto"/>
        </w:rPr>
        <w:t>”) each calendar year shall be automatically granted on such Annual Meeting date, a restricted stock unit award under the Equity Plan with a value of $100,000 (an “</w:t>
      </w:r>
      <w:r>
        <w:rPr>
          <w:rFonts w:ascii="Times New Roman" w:cs="Times New Roman" w:eastAsia="Times New Roman" w:hAnsi="Times New Roman"/>
          <w:sz w:val="20"/>
          <w:szCs w:val="20"/>
          <w:b w:val="1"/>
          <w:bCs w:val="1"/>
          <w:i w:val="1"/>
          <w:iCs w:val="1"/>
          <w:color w:val="auto"/>
        </w:rPr>
        <w:t>Annual Award</w:t>
      </w:r>
      <w:r>
        <w:rPr>
          <w:rFonts w:ascii="Times New Roman" w:cs="Times New Roman" w:eastAsia="Times New Roman" w:hAnsi="Times New Roman"/>
          <w:sz w:val="20"/>
          <w:szCs w:val="20"/>
          <w:color w:val="auto"/>
        </w:rPr>
        <w:t>”). The number of restricted stock units subject to an Annual Award will be determined by dividing the value of the Annual Award by the trailing 30-calendar day average closing price for the Company’s common stock through and including the date prior to the applicable grant date. Each Annual Award shall vest in full on the earlier to occur of (i) the one-year anniversary of the applicable grant date and (ii) the date of the next Annual Meeting following the grant date, subject to such Eligible Director’s continued service through the applicable vesting date.</w:t>
      </w:r>
    </w:p>
    <w:p>
      <w:pPr>
        <w:spacing w:after="0" w:line="162" w:lineRule="exact"/>
        <w:rPr>
          <w:rFonts w:ascii="Times New Roman" w:cs="Times New Roman" w:eastAsia="Times New Roman" w:hAnsi="Times New Roman"/>
          <w:sz w:val="20"/>
          <w:szCs w:val="20"/>
          <w:color w:val="auto"/>
        </w:rPr>
      </w:pPr>
    </w:p>
    <w:p>
      <w:pPr>
        <w:jc w:val="both"/>
        <w:ind w:firstLine="971"/>
        <w:spacing w:after="0" w:line="210" w:lineRule="auto"/>
        <w:tabs>
          <w:tab w:leader="none" w:pos="133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Each Eligible Director who is initially elected or appointed to serve on the Board shall be automatically granted a pro-rated Annual Award under the Equity Plan with a value equal to $100,000 pro-rated based on the number of days between the date of the Eligible Director’s effective date of appointment to the Board and the Company’s next annual meeting stockholders (the “</w:t>
      </w:r>
      <w:r>
        <w:rPr>
          <w:rFonts w:ascii="Times New Roman" w:cs="Times New Roman" w:eastAsia="Times New Roman" w:hAnsi="Times New Roman"/>
          <w:sz w:val="20"/>
          <w:szCs w:val="20"/>
          <w:b w:val="1"/>
          <w:bCs w:val="1"/>
          <w:i w:val="1"/>
          <w:iCs w:val="1"/>
          <w:color w:val="auto"/>
        </w:rPr>
        <w:t>Initial Equity Award</w:t>
      </w:r>
      <w:r>
        <w:rPr>
          <w:rFonts w:ascii="Times New Roman" w:cs="Times New Roman" w:eastAsia="Times New Roman" w:hAnsi="Times New Roman"/>
          <w:sz w:val="20"/>
          <w:szCs w:val="20"/>
          <w:color w:val="auto"/>
        </w:rPr>
        <w:t>”). The number of restricted stock units subject to an Initial Equity Award will be determined by dividing the value of the Initial Equity Award by the trailing 30-calendar day average closing price for the Company’s common stock through and including the date prior to the applicable grant date. The Initial Equity Award shall be automatically granted on the effective date on which such Eligible Director is appointed or elected to serve on the Board and shall vest in full on the earlier to occur of (i) the one-year anniversary of the applicable grant date and (ii) the date of the next Annual Meeting following the grant date, subject to such Eligible Director’s continued service through the applicable vesting date.</w:t>
      </w:r>
    </w:p>
    <w:p>
      <w:pPr>
        <w:spacing w:after="0" w:line="154" w:lineRule="exact"/>
        <w:rPr>
          <w:rFonts w:ascii="Times New Roman" w:cs="Times New Roman" w:eastAsia="Times New Roman" w:hAnsi="Times New Roman"/>
          <w:sz w:val="20"/>
          <w:szCs w:val="20"/>
          <w:color w:val="auto"/>
        </w:rPr>
      </w:pPr>
    </w:p>
    <w:p>
      <w:pPr>
        <w:jc w:val="both"/>
        <w:ind w:firstLine="971"/>
        <w:spacing w:after="0" w:line="213" w:lineRule="auto"/>
        <w:tabs>
          <w:tab w:leader="none" w:pos="145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Chairman of the Board of Directors Awards</w:t>
      </w:r>
      <w:r>
        <w:rPr>
          <w:rFonts w:ascii="Times New Roman" w:cs="Times New Roman" w:eastAsia="Times New Roman" w:hAnsi="Times New Roman"/>
          <w:sz w:val="20"/>
          <w:szCs w:val="20"/>
          <w:color w:val="auto"/>
        </w:rPr>
        <w:t>. An Eligible Director serving as the Chairman of the Board shall be automatically granted on the Annual Meeting date a restricted stock unit award under the Equity Plan with a value of $40,000 (“</w:t>
      </w:r>
      <w:r>
        <w:rPr>
          <w:rFonts w:ascii="Times New Roman" w:cs="Times New Roman" w:eastAsia="Times New Roman" w:hAnsi="Times New Roman"/>
          <w:sz w:val="20"/>
          <w:szCs w:val="20"/>
          <w:b w:val="1"/>
          <w:bCs w:val="1"/>
          <w:i w:val="1"/>
          <w:iCs w:val="1"/>
          <w:color w:val="auto"/>
        </w:rPr>
        <w:t>Chairman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Equity Award</w:t>
      </w:r>
      <w:r>
        <w:rPr>
          <w:rFonts w:ascii="Times New Roman" w:cs="Times New Roman" w:eastAsia="Times New Roman" w:hAnsi="Times New Roman"/>
          <w:sz w:val="20"/>
          <w:szCs w:val="20"/>
          <w:color w:val="auto"/>
        </w:rPr>
        <w:t>”). The number of restricted stock units subject to the Chairman Equity Award will be determined by dividing the value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Chairman Equity Award by the trailing 30-calendar day average closing price for the Company’s common stock through and including the date prior to the applicable grant date. Each Chairman Equity Award shall vest in full on the earlier to occur of (i) the one-year anniversary of the applicable grant date and (ii) the date of the next Annual Meeting following the grant date, subject to such Eligible Director’s continued service through the applicable vesting date.</w:t>
      </w:r>
    </w:p>
    <w:p>
      <w:pPr>
        <w:spacing w:after="0" w:line="162" w:lineRule="exact"/>
        <w:rPr>
          <w:rFonts w:ascii="Times New Roman" w:cs="Times New Roman" w:eastAsia="Times New Roman" w:hAnsi="Times New Roman"/>
          <w:sz w:val="20"/>
          <w:szCs w:val="20"/>
          <w:color w:val="auto"/>
        </w:rPr>
      </w:pPr>
    </w:p>
    <w:p>
      <w:pPr>
        <w:jc w:val="both"/>
        <w:ind w:firstLine="971"/>
        <w:spacing w:after="0" w:line="223" w:lineRule="auto"/>
        <w:tabs>
          <w:tab w:leader="none" w:pos="133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 Events</w:t>
      </w:r>
      <w:r>
        <w:rPr>
          <w:rFonts w:ascii="Times New Roman" w:cs="Times New Roman" w:eastAsia="Times New Roman" w:hAnsi="Times New Roman"/>
          <w:sz w:val="20"/>
          <w:szCs w:val="20"/>
          <w:color w:val="auto"/>
        </w:rPr>
        <w:t>. Notwithstanding the foregoing, an Eligible Director’s Annual Awards and/or Initial Awards shall vest in full immediately prior to the occurrence of a “change in control” (as defined in the Equity Plan) to the extent outstanding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920"/>
          </w:cols>
          <w:pgMar w:left="640" w:top="97" w:right="339" w:bottom="1440" w:gutter="0" w:footer="0" w:header="0"/>
        </w:sectPr>
      </w:pPr>
    </w:p>
    <w:bookmarkStart w:id="29" w:name="page30"/>
    <w:bookmarkEnd w:id="29"/>
    <w:p>
      <w:pPr>
        <w:jc w:val="right"/>
        <w:spacing w:after="0"/>
        <w:rPr>
          <w:sz w:val="20"/>
          <w:szCs w:val="20"/>
          <w:color w:val="auto"/>
        </w:rPr>
      </w:pPr>
      <w:r>
        <w:rPr>
          <w:rFonts w:ascii="Calibri" w:cs="Calibri" w:eastAsia="Calibri" w:hAnsi="Calibri"/>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694055</wp:posOffset>
            </wp:positionV>
            <wp:extent cx="1817370" cy="7645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817370" cy="76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26,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 Bulow</w:t>
      </w: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Tim,</w:t>
      </w:r>
    </w:p>
    <w:p>
      <w:pPr>
        <w:spacing w:after="0" w:line="198"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On behalf of Mission Produce, Inc. (the Company), I am pleased to formally extend our offer of employment to you for the position of President and Chief Operating Officer, reporting to Stephen Barnard, our Chief Executive Officer, with a start date no later than August 1, 2022. It is with great excitement to know you will exemplify our Core Values which are Fun, Innovative, Reliable, Successful and Trustworthy. The following outlines the terms of our offer, pending formal approval from the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Compensation</w:t>
      </w:r>
    </w:p>
    <w:p>
      <w:pPr>
        <w:spacing w:after="0" w:line="189" w:lineRule="exact"/>
        <w:rPr>
          <w:sz w:val="20"/>
          <w:szCs w:val="20"/>
          <w:color w:val="auto"/>
        </w:rPr>
      </w:pPr>
    </w:p>
    <w:p>
      <w:pPr>
        <w:ind w:left="680" w:hanging="352"/>
        <w:spacing w:after="0"/>
        <w:tabs>
          <w:tab w:leader="none" w:pos="68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Your annual base salary will be $475,000.00 and will be paid in accordance with our bi-weekly payroll disbursement schedule.</w:t>
      </w:r>
    </w:p>
    <w:p>
      <w:pPr>
        <w:spacing w:after="0" w:line="184" w:lineRule="exact"/>
        <w:rPr>
          <w:rFonts w:ascii="Times New Roman" w:cs="Times New Roman" w:eastAsia="Times New Roman" w:hAnsi="Times New Roman"/>
          <w:sz w:val="20"/>
          <w:szCs w:val="20"/>
          <w:b w:val="1"/>
          <w:bCs w:val="1"/>
          <w:color w:val="auto"/>
        </w:rPr>
      </w:pPr>
    </w:p>
    <w:p>
      <w:pPr>
        <w:jc w:val="both"/>
        <w:ind w:left="640" w:hanging="312"/>
        <w:spacing w:after="0" w:line="223" w:lineRule="auto"/>
        <w:tabs>
          <w:tab w:leader="none" w:pos="729"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will be eligible to participate in our performance-based annual cash incentive program. Your target bonus is 75% of your base annual salary. Actual payout amounts are based on Company and individual performance. The annual cash incentive is payable after the completion of the fiscal year in accordance with our standard practice.</w:t>
      </w:r>
    </w:p>
    <w:p>
      <w:pPr>
        <w:spacing w:after="0" w:line="161" w:lineRule="exact"/>
        <w:rPr>
          <w:sz w:val="20"/>
          <w:szCs w:val="20"/>
          <w:color w:val="auto"/>
        </w:rPr>
      </w:pPr>
    </w:p>
    <w:p>
      <w:pPr>
        <w:ind w:left="640"/>
        <w:spacing w:after="0" w:line="230" w:lineRule="auto"/>
        <w:rPr>
          <w:sz w:val="20"/>
          <w:szCs w:val="20"/>
          <w:color w:val="auto"/>
        </w:rPr>
      </w:pPr>
      <w:r>
        <w:rPr>
          <w:rFonts w:ascii="Times New Roman" w:cs="Times New Roman" w:eastAsia="Times New Roman" w:hAnsi="Times New Roman"/>
          <w:sz w:val="20"/>
          <w:szCs w:val="20"/>
          <w:color w:val="auto"/>
        </w:rPr>
        <w:t>For fiscal 2022, your actual payout will be based on our 2022 annual cash incentive plan, but we will guarantee a minimum payout of 50% of your target bonus potential, pro-rated based on the number of months between your start date and October 31, 2022.</w:t>
      </w:r>
    </w:p>
    <w:p>
      <w:pPr>
        <w:spacing w:after="0" w:line="188" w:lineRule="exact"/>
        <w:rPr>
          <w:sz w:val="20"/>
          <w:szCs w:val="20"/>
          <w:color w:val="auto"/>
        </w:rPr>
      </w:pPr>
    </w:p>
    <w:p>
      <w:pPr>
        <w:ind w:left="680" w:hanging="352"/>
        <w:spacing w:after="0"/>
        <w:tabs>
          <w:tab w:leader="none" w:pos="68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will receive a biweekly car allowance of $881.00 ($22,906.00 annually).</w:t>
      </w:r>
    </w:p>
    <w:p>
      <w:pPr>
        <w:spacing w:after="0" w:line="184" w:lineRule="exact"/>
        <w:rPr>
          <w:rFonts w:ascii="Times New Roman" w:cs="Times New Roman" w:eastAsia="Times New Roman" w:hAnsi="Times New Roman"/>
          <w:sz w:val="20"/>
          <w:szCs w:val="20"/>
          <w:b w:val="1"/>
          <w:bCs w:val="1"/>
          <w:color w:val="auto"/>
        </w:rPr>
      </w:pPr>
    </w:p>
    <w:p>
      <w:pPr>
        <w:jc w:val="both"/>
        <w:ind w:left="640" w:hanging="312"/>
        <w:spacing w:after="0" w:line="223" w:lineRule="auto"/>
        <w:tabs>
          <w:tab w:leader="none" w:pos="689"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will be eligible to participate in our long-term equity incentive plan, with such terms approved by our Compensation Committee, beginning with fiscal 2023. You will receive a guaranteed award amount of $500,000.00 for fiscal 2023. All equity awards made under our long-term equity incentive plan shall be subject to our Mission Produce, Inc. 2020 Incentive Award Plan.</w:t>
      </w:r>
    </w:p>
    <w:p>
      <w:pPr>
        <w:spacing w:after="0" w:line="147" w:lineRule="exact"/>
        <w:rPr>
          <w:rFonts w:ascii="Times New Roman" w:cs="Times New Roman" w:eastAsia="Times New Roman" w:hAnsi="Times New Roman"/>
          <w:sz w:val="20"/>
          <w:szCs w:val="20"/>
          <w:b w:val="1"/>
          <w:bCs w:val="1"/>
          <w:color w:val="auto"/>
        </w:rPr>
      </w:pPr>
    </w:p>
    <w:p>
      <w:pPr>
        <w:jc w:val="both"/>
        <w:ind w:left="640" w:hanging="312"/>
        <w:spacing w:after="0" w:line="219" w:lineRule="auto"/>
        <w:tabs>
          <w:tab w:leader="none" w:pos="774"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will receive a cash signing bonus in the amount of $350,000.00. If you voluntarily terminate your employment, or if your employment is terminated for cause prior to the expiration of three years from your effective date of hire, you must repay this cash signing bonus on a pro-rated basis based on the length of time between your departure from the Company and the date that is three years from the effective date of hire.</w:t>
      </w:r>
    </w:p>
    <w:p>
      <w:pPr>
        <w:spacing w:after="0" w:line="163" w:lineRule="exact"/>
        <w:rPr>
          <w:rFonts w:ascii="Times New Roman" w:cs="Times New Roman" w:eastAsia="Times New Roman" w:hAnsi="Times New Roman"/>
          <w:sz w:val="20"/>
          <w:szCs w:val="20"/>
          <w:b w:val="1"/>
          <w:bCs w:val="1"/>
          <w:color w:val="auto"/>
        </w:rPr>
      </w:pPr>
    </w:p>
    <w:p>
      <w:pPr>
        <w:jc w:val="both"/>
        <w:ind w:left="640" w:hanging="312"/>
        <w:spacing w:after="0" w:line="223" w:lineRule="auto"/>
        <w:tabs>
          <w:tab w:leader="none" w:pos="659"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needed, Mission Produce will provide you and your family with temporary housing for a maximum of three months. The Company will also reimburse you for reasonable, documented, out-of-pocket expenses associated with one relocation trip to California in May 2022.</w:t>
      </w:r>
    </w:p>
    <w:p>
      <w:pPr>
        <w:spacing w:after="0" w:line="188" w:lineRule="exact"/>
        <w:rPr>
          <w:rFonts w:ascii="Times New Roman" w:cs="Times New Roman" w:eastAsia="Times New Roman" w:hAnsi="Times New Roman"/>
          <w:sz w:val="20"/>
          <w:szCs w:val="20"/>
          <w:b w:val="1"/>
          <w:bCs w:val="1"/>
          <w:color w:val="auto"/>
        </w:rPr>
      </w:pPr>
    </w:p>
    <w:p>
      <w:pPr>
        <w:ind w:left="640" w:hanging="312"/>
        <w:spacing w:after="0" w:line="237" w:lineRule="auto"/>
        <w:tabs>
          <w:tab w:leader="none" w:pos="732"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Mission Produce will pay you and your family’s medical, dental and vision premiums at 100%. Our current healthcare provider is through Anthem Blue Cross.</w:t>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Page 2 of 3</w:t>
      </w:r>
    </w:p>
    <w:p>
      <w:pPr>
        <w:spacing w:after="0"/>
        <w:rPr>
          <w:sz w:val="20"/>
          <w:szCs w:val="20"/>
          <w:color w:val="auto"/>
        </w:rPr>
      </w:pPr>
      <w:r>
        <w:rPr>
          <w:rFonts w:ascii="Times New Roman" w:cs="Times New Roman" w:eastAsia="Times New Roman" w:hAnsi="Times New Roman"/>
          <w:sz w:val="20"/>
          <w:szCs w:val="20"/>
          <w:color w:val="auto"/>
        </w:rPr>
        <w:t>Tim Bulow Offer Letter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full time employee, you are entitled to the following company provided benefits:</w:t>
      </w:r>
    </w:p>
    <w:p>
      <w:pPr>
        <w:spacing w:after="0" w:line="191" w:lineRule="exact"/>
        <w:rPr>
          <w:sz w:val="20"/>
          <w:szCs w:val="20"/>
          <w:color w:val="auto"/>
        </w:rPr>
      </w:pPr>
    </w:p>
    <w:p>
      <w:pPr>
        <w:ind w:left="680" w:hanging="352"/>
        <w:spacing w:after="0"/>
        <w:tabs>
          <w:tab w:leader="none" w:pos="68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will earn and accrue 6.77 hours per pay period beginning with your first day of employment.</w:t>
      </w:r>
    </w:p>
    <w:p>
      <w:pPr>
        <w:ind w:left="640" w:right="20"/>
        <w:spacing w:after="0" w:line="226" w:lineRule="auto"/>
        <w:rPr>
          <w:sz w:val="20"/>
          <w:szCs w:val="20"/>
          <w:color w:val="auto"/>
        </w:rPr>
      </w:pPr>
      <w:r>
        <w:rPr>
          <w:rFonts w:ascii="Times New Roman" w:cs="Times New Roman" w:eastAsia="Times New Roman" w:hAnsi="Times New Roman"/>
          <w:sz w:val="20"/>
          <w:szCs w:val="20"/>
          <w:color w:val="auto"/>
        </w:rPr>
        <w:t>You are eligible to accrue up to 176 total hours or 22 days and a maximum accrual of 352 hours or 44 days. PTO time will be available and may be used in accordance with the terms of the Company’s PTO policy.</w:t>
      </w:r>
    </w:p>
    <w:p>
      <w:pPr>
        <w:spacing w:after="0" w:line="187" w:lineRule="exact"/>
        <w:rPr>
          <w:sz w:val="20"/>
          <w:szCs w:val="20"/>
          <w:color w:val="auto"/>
        </w:rPr>
      </w:pPr>
    </w:p>
    <w:p>
      <w:pPr>
        <w:jc w:val="both"/>
        <w:ind w:left="640" w:hanging="312"/>
        <w:spacing w:after="0" w:line="223" w:lineRule="auto"/>
        <w:tabs>
          <w:tab w:leader="none" w:pos="703"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will be eligible for medical, dental, vision, and flexible spending plans effective on the first of the month following date of hire. Our current healthcare provider is through Anthem Blue Cross. We will provide you reasonable assistance and will cover any reasonable out of pocket expenses associated with obtaining health insurance coverage prior to your start date as necessary.</w:t>
      </w:r>
    </w:p>
    <w:p>
      <w:pPr>
        <w:spacing w:after="0" w:line="188" w:lineRule="exact"/>
        <w:rPr>
          <w:rFonts w:ascii="Times New Roman" w:cs="Times New Roman" w:eastAsia="Times New Roman" w:hAnsi="Times New Roman"/>
          <w:sz w:val="20"/>
          <w:szCs w:val="20"/>
          <w:b w:val="1"/>
          <w:bCs w:val="1"/>
          <w:color w:val="auto"/>
        </w:rPr>
      </w:pPr>
    </w:p>
    <w:p>
      <w:pPr>
        <w:ind w:left="640" w:hanging="312"/>
        <w:spacing w:after="0" w:line="245" w:lineRule="auto"/>
        <w:tabs>
          <w:tab w:leader="none" w:pos="721"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You will be eligible for our Company Sponsored Plans: Life and AD &amp; D insurance at 1.5 times your Basic Annual Earnings and Long-Term Disability with a monthly benefit equal to 60% of monthly pre-disability pay, up to a maximum of $6,000.00 per month.</w:t>
      </w:r>
    </w:p>
    <w:p>
      <w:pPr>
        <w:spacing w:after="0" w:line="182" w:lineRule="exact"/>
        <w:rPr>
          <w:rFonts w:ascii="Times New Roman" w:cs="Times New Roman" w:eastAsia="Times New Roman" w:hAnsi="Times New Roman"/>
          <w:sz w:val="19"/>
          <w:szCs w:val="19"/>
          <w:b w:val="1"/>
          <w:bCs w:val="1"/>
          <w:color w:val="auto"/>
        </w:rPr>
      </w:pPr>
    </w:p>
    <w:p>
      <w:pPr>
        <w:ind w:left="640" w:right="120" w:hanging="312"/>
        <w:spacing w:after="0" w:line="223" w:lineRule="auto"/>
        <w:tabs>
          <w:tab w:leader="none" w:pos="689"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will be eligible to participate in the Company’s 401(k) Plan through Fidelity Investment on October 1, 2022. We match 100% of the first 3% in eligible compensation deferred and 50% of the next 2% in eligible compensation deferred. You are 100% vested immediately on the employer match.</w:t>
      </w:r>
    </w:p>
    <w:p>
      <w:pPr>
        <w:spacing w:after="0" w:line="188" w:lineRule="exact"/>
        <w:rPr>
          <w:rFonts w:ascii="Times New Roman" w:cs="Times New Roman" w:eastAsia="Times New Roman" w:hAnsi="Times New Roman"/>
          <w:sz w:val="20"/>
          <w:szCs w:val="20"/>
          <w:b w:val="1"/>
          <w:bCs w:val="1"/>
          <w:color w:val="auto"/>
        </w:rPr>
      </w:pPr>
    </w:p>
    <w:p>
      <w:pPr>
        <w:jc w:val="both"/>
        <w:ind w:left="640" w:hanging="312"/>
        <w:spacing w:after="0" w:line="223" w:lineRule="auto"/>
        <w:tabs>
          <w:tab w:leader="none" w:pos="667"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will be eligible for our Company’s Deferred Compensation Plan through Lockton. This exclusive plan provides an opportunity to defer salary and/or incentive compensation on a pretax basis to assist with your personal tax planning and funding of future retirement income. You will be eligible to enroll the first of the month following 30 days of employment.</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You can elect up to a maximum of 90% of your base salary.</w:t>
      </w:r>
    </w:p>
    <w:p>
      <w:pPr>
        <w:ind w:left="1180"/>
        <w:spacing w:after="0"/>
        <w:rPr>
          <w:sz w:val="20"/>
          <w:szCs w:val="20"/>
          <w:color w:val="auto"/>
        </w:rPr>
      </w:pPr>
      <w:r>
        <w:rPr>
          <w:rFonts w:ascii="Times New Roman" w:cs="Times New Roman" w:eastAsia="Times New Roman" w:hAnsi="Times New Roman"/>
          <w:sz w:val="20"/>
          <w:szCs w:val="20"/>
          <w:color w:val="auto"/>
        </w:rPr>
        <w:t>You can elect 10% to 100% of your annual bonus.</w:t>
      </w:r>
    </w:p>
    <w:p>
      <w:pPr>
        <w:spacing w:after="0" w:line="189" w:lineRule="exact"/>
        <w:rPr>
          <w:sz w:val="20"/>
          <w:szCs w:val="20"/>
          <w:color w:val="auto"/>
        </w:rPr>
      </w:pPr>
    </w:p>
    <w:p>
      <w:pPr>
        <w:ind w:left="660" w:hanging="332"/>
        <w:spacing w:after="0"/>
        <w:tabs>
          <w:tab w:leader="none" w:pos="66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are eligible for (6) paid holidays and ½ day on Christmas Eve and New Year’s Eve.</w:t>
      </w:r>
    </w:p>
    <w:p>
      <w:pPr>
        <w:spacing w:after="0" w:line="21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0"/>
          <w:szCs w:val="20"/>
          <w:color w:val="auto"/>
        </w:rPr>
        <w:t>Neither the policies nor practices described in this document, nor the document itself, create an express or implied contract of employment or any other contractual commitment. The Company may modify the terms outlined herein at its sole discretion without notice, at any time,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auto"/>
        </w:rPr>
        <w:t>consistent with applicable law. Employment with the Company is on an at-will basis, which means that either you or the Company may terminate the employment relationship at any time for any or no reason, consistent with applicable law.</w:t>
      </w:r>
    </w:p>
    <w:p>
      <w:pPr>
        <w:spacing w:after="0" w:line="17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We believe you will find our environment to be challenging, stimulating, and rewarding. Please sign and return the offer within three (3) business days. This offer of employment will lapse at that time.</w:t>
      </w:r>
    </w:p>
    <w:p>
      <w:pPr>
        <w:spacing w:after="0" w:line="18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0"/>
          <w:szCs w:val="20"/>
          <w:color w:val="auto"/>
        </w:rPr>
        <w:t>Upon execution, please return the signed letter by emailing a copy to me at sbarnard@missionproduce.com with a copy to Joanne Wu at jwu@missionproduce.com.</w:t>
      </w:r>
    </w:p>
    <w:p>
      <w:pPr>
        <w:sectPr>
          <w:pgSz w:w="11900" w:h="16838" w:orient="portrait"/>
          <w:cols w:equalWidth="0" w:num="1">
            <w:col w:w="11240"/>
          </w:cols>
          <w:pgMar w:left="320" w:top="13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color w:val="auto"/>
        </w:rPr>
        <w:t>Page 3 of 3</w:t>
      </w:r>
    </w:p>
    <w:p>
      <w:pPr>
        <w:spacing w:after="0"/>
        <w:rPr>
          <w:sz w:val="20"/>
          <w:szCs w:val="20"/>
          <w:color w:val="auto"/>
        </w:rPr>
      </w:pPr>
      <w:r>
        <w:rPr>
          <w:rFonts w:ascii="Times New Roman" w:cs="Times New Roman" w:eastAsia="Times New Roman" w:hAnsi="Times New Roman"/>
          <w:sz w:val="20"/>
          <w:szCs w:val="20"/>
          <w:color w:val="auto"/>
        </w:rPr>
        <w:t>Tim Bulow Offer Letter</w:t>
      </w:r>
    </w:p>
    <w:p>
      <w:pPr>
        <w:spacing w:after="0" w:line="200" w:lineRule="exact"/>
        <w:rPr>
          <w:sz w:val="20"/>
          <w:szCs w:val="20"/>
          <w:color w:val="auto"/>
        </w:rPr>
      </w:pPr>
    </w:p>
    <w:p>
      <w:pPr>
        <w:spacing w:after="0" w:line="21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I am confident that you will undoubtedly be instrumental to our business. I look forward to working with you in this new capacity. Please feel free to contact me directly if you have questions.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Stephen J. Barnard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Stephen J. Barnard</w:t>
      </w: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b w:val="1"/>
          <w:bCs w:val="1"/>
          <w:color w:val="auto"/>
        </w:rPr>
        <w:t>I acknowledge receipt of this offer. I have read and understand the conditions of employment. By signing below, I have agreed and accepted the terms and conditions of your offer as stated above.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Tim Bulow</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4/27/2022</w:t>
            </w:r>
          </w:p>
        </w:tc>
        <w:tc>
          <w:tcPr>
            <w:tcW w:w="0" w:type="dxa"/>
            <w:vAlign w:val="bottom"/>
          </w:tcPr>
          <w:p>
            <w:pPr>
              <w:spacing w:after="0"/>
              <w:rPr>
                <w:sz w:val="1"/>
                <w:szCs w:val="1"/>
                <w:color w:val="auto"/>
              </w:rPr>
            </w:pPr>
          </w:p>
        </w:tc>
      </w:tr>
      <w:tr>
        <w:trPr>
          <w:trHeight w:val="143"/>
        </w:trPr>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Tim</w:t>
            </w:r>
          </w:p>
        </w:tc>
        <w:tc>
          <w:tcPr>
            <w:tcW w:w="780" w:type="dxa"/>
            <w:vAlign w:val="bottom"/>
            <w:tcBorders>
              <w:bottom w:val="single" w:sz="8" w:color="auto"/>
            </w:tcBorders>
          </w:tcPr>
          <w:p>
            <w:pPr>
              <w:spacing w:after="0"/>
              <w:rPr>
                <w:sz w:val="12"/>
                <w:szCs w:val="12"/>
                <w:color w:val="auto"/>
              </w:rPr>
            </w:pPr>
          </w:p>
        </w:tc>
        <w:tc>
          <w:tcPr>
            <w:tcW w:w="2320" w:type="dxa"/>
            <w:vAlign w:val="bottom"/>
            <w:vMerge w:val="restart"/>
          </w:tcPr>
          <w:p>
            <w:pPr>
              <w:jc w:val="right"/>
              <w:ind w:right="1282"/>
              <w:spacing w:after="0"/>
              <w:rPr>
                <w:sz w:val="20"/>
                <w:szCs w:val="20"/>
                <w:color w:val="auto"/>
              </w:rPr>
            </w:pPr>
            <w:r>
              <w:rPr>
                <w:rFonts w:ascii="Times New Roman" w:cs="Times New Roman" w:eastAsia="Times New Roman" w:hAnsi="Times New Roman"/>
                <w:sz w:val="20"/>
                <w:szCs w:val="20"/>
                <w:b w:val="1"/>
                <w:bCs w:val="1"/>
                <w:color w:val="auto"/>
              </w:rPr>
              <w:t>Date</w:t>
            </w:r>
          </w:p>
        </w:tc>
        <w:tc>
          <w:tcPr>
            <w:tcW w:w="0" w:type="dxa"/>
            <w:vAlign w:val="bottom"/>
          </w:tcPr>
          <w:p>
            <w:pPr>
              <w:spacing w:after="0"/>
              <w:rPr>
                <w:sz w:val="1"/>
                <w:szCs w:val="1"/>
                <w:color w:val="auto"/>
              </w:rPr>
            </w:pPr>
          </w:p>
        </w:tc>
      </w:tr>
      <w:tr>
        <w:trPr>
          <w:trHeight w:val="252"/>
        </w:trPr>
        <w:tc>
          <w:tcPr>
            <w:tcW w:w="400" w:type="dxa"/>
            <w:vAlign w:val="bottom"/>
            <w:vMerge w:val="continue"/>
          </w:tcPr>
          <w:p>
            <w:pPr>
              <w:spacing w:after="0"/>
              <w:rPr>
                <w:sz w:val="21"/>
                <w:szCs w:val="21"/>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Bulow</w:t>
            </w:r>
          </w:p>
        </w:tc>
        <w:tc>
          <w:tcPr>
            <w:tcW w:w="2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80" w:right="339" w:bottom="1440" w:gutter="0" w:footer="0" w:header="0"/>
        </w:sectPr>
      </w:pPr>
    </w:p>
    <w:bookmarkStart w:id="32" w:name="page33"/>
    <w:bookmarkEnd w:id="32"/>
    <w:p>
      <w:pPr>
        <w:jc w:val="right"/>
        <w:spacing w:after="0"/>
        <w:rPr>
          <w:sz w:val="20"/>
          <w:szCs w:val="20"/>
          <w:color w:val="auto"/>
        </w:rPr>
      </w:pPr>
      <w:r>
        <w:rPr>
          <w:rFonts w:ascii="Calibri" w:cs="Calibri" w:eastAsia="Calibri" w:hAnsi="Calibri"/>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232F84"/>
        </w:rPr>
        <w:t>CERTIFICATION OF CHIEF EXECUTIVE OFFICER</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232F84"/>
        </w:rPr>
        <w:t>PURSUANT TO SECTION 302 OF THE SARBANES-OXLEY ACT OF 2002</w:t>
      </w:r>
    </w:p>
    <w:p>
      <w:pPr>
        <w:spacing w:after="0" w:line="224" w:lineRule="exact"/>
        <w:rPr>
          <w:sz w:val="20"/>
          <w:szCs w:val="20"/>
          <w:color w:val="auto"/>
        </w:rPr>
      </w:pPr>
    </w:p>
    <w:p>
      <w:pPr>
        <w:spacing w:after="0"/>
        <w:rPr>
          <w:sz w:val="20"/>
          <w:szCs w:val="20"/>
          <w:color w:val="auto"/>
        </w:rPr>
      </w:pPr>
      <w:r>
        <w:rPr>
          <w:rFonts w:ascii="Calibri" w:cs="Calibri" w:eastAsia="Calibri" w:hAnsi="Calibri"/>
          <w:sz w:val="16"/>
          <w:szCs w:val="16"/>
          <w:color w:val="auto"/>
        </w:rPr>
        <w:t>I, Stephen J. Barnard, certfy that:</w:t>
      </w:r>
    </w:p>
    <w:p>
      <w:pPr>
        <w:spacing w:after="0" w:line="206" w:lineRule="exact"/>
        <w:rPr>
          <w:sz w:val="20"/>
          <w:szCs w:val="20"/>
          <w:color w:val="auto"/>
        </w:rPr>
      </w:pPr>
    </w:p>
    <w:p>
      <w:pPr>
        <w:ind w:left="640" w:hanging="312"/>
        <w:spacing w:after="0"/>
        <w:tabs>
          <w:tab w:leader="none" w:pos="640"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I have reviewed this quarterly report on Form 10-Q of Mission Produce, Inc.;</w:t>
      </w:r>
    </w:p>
    <w:p>
      <w:pPr>
        <w:spacing w:after="0" w:line="222" w:lineRule="exact"/>
        <w:rPr>
          <w:rFonts w:ascii="Calibri" w:cs="Calibri" w:eastAsia="Calibri" w:hAnsi="Calibri"/>
          <w:sz w:val="16"/>
          <w:szCs w:val="16"/>
          <w:color w:val="auto"/>
        </w:rPr>
      </w:pPr>
    </w:p>
    <w:p>
      <w:pPr>
        <w:ind w:left="640" w:right="280" w:hanging="312"/>
        <w:spacing w:after="0" w:line="233" w:lineRule="auto"/>
        <w:tabs>
          <w:tab w:leader="none" w:pos="628"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Calibri" w:cs="Calibri" w:eastAsia="Calibri" w:hAnsi="Calibri"/>
          <w:sz w:val="16"/>
          <w:szCs w:val="16"/>
          <w:color w:val="auto"/>
        </w:rPr>
      </w:pPr>
    </w:p>
    <w:p>
      <w:pPr>
        <w:ind w:left="640" w:right="520" w:hanging="312"/>
        <w:spacing w:after="0" w:line="233" w:lineRule="auto"/>
        <w:tabs>
          <w:tab w:leader="none" w:pos="628"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09" w:lineRule="exact"/>
        <w:rPr>
          <w:rFonts w:ascii="Calibri" w:cs="Calibri" w:eastAsia="Calibri" w:hAnsi="Calibri"/>
          <w:sz w:val="16"/>
          <w:szCs w:val="16"/>
          <w:color w:val="auto"/>
        </w:rPr>
      </w:pPr>
    </w:p>
    <w:p>
      <w:pPr>
        <w:ind w:left="640" w:right="80" w:hanging="312"/>
        <w:spacing w:after="0" w:line="242" w:lineRule="auto"/>
        <w:tabs>
          <w:tab w:leader="none" w:pos="628"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07" w:lineRule="exact"/>
        <w:rPr>
          <w:rFonts w:ascii="Calibri" w:cs="Calibri" w:eastAsia="Calibri" w:hAnsi="Calibri"/>
          <w:sz w:val="16"/>
          <w:szCs w:val="16"/>
          <w:color w:val="auto"/>
        </w:rPr>
      </w:pPr>
    </w:p>
    <w:p>
      <w:pPr>
        <w:ind w:left="1300" w:right="200" w:hanging="330"/>
        <w:spacing w:after="0" w:line="237" w:lineRule="auto"/>
        <w:tabs>
          <w:tab w:leader="none" w:pos="1300"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0" w:lineRule="exact"/>
        <w:rPr>
          <w:rFonts w:ascii="Calibri" w:cs="Calibri" w:eastAsia="Calibri" w:hAnsi="Calibri"/>
          <w:sz w:val="16"/>
          <w:szCs w:val="16"/>
          <w:color w:val="auto"/>
        </w:rPr>
      </w:pPr>
    </w:p>
    <w:p>
      <w:pPr>
        <w:ind w:left="1300" w:right="100" w:hanging="330"/>
        <w:spacing w:after="0" w:line="237" w:lineRule="auto"/>
        <w:tabs>
          <w:tab w:leader="none" w:pos="1294"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23" w:lineRule="exact"/>
        <w:rPr>
          <w:rFonts w:ascii="Calibri" w:cs="Calibri" w:eastAsia="Calibri" w:hAnsi="Calibri"/>
          <w:sz w:val="16"/>
          <w:szCs w:val="16"/>
          <w:color w:val="auto"/>
        </w:rPr>
      </w:pPr>
    </w:p>
    <w:p>
      <w:pPr>
        <w:ind w:left="1300" w:right="60" w:hanging="330"/>
        <w:spacing w:after="0" w:line="233" w:lineRule="auto"/>
        <w:tabs>
          <w:tab w:leader="none" w:pos="1291"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9" w:lineRule="exact"/>
        <w:rPr>
          <w:rFonts w:ascii="Calibri" w:cs="Calibri" w:eastAsia="Calibri" w:hAnsi="Calibri"/>
          <w:sz w:val="16"/>
          <w:szCs w:val="16"/>
          <w:color w:val="auto"/>
        </w:rPr>
      </w:pPr>
    </w:p>
    <w:p>
      <w:pPr>
        <w:ind w:left="1300" w:right="140" w:hanging="330"/>
        <w:spacing w:after="0" w:line="237" w:lineRule="auto"/>
        <w:tabs>
          <w:tab w:leader="none" w:pos="1294"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23" w:lineRule="exact"/>
        <w:rPr>
          <w:rFonts w:ascii="Calibri" w:cs="Calibri" w:eastAsia="Calibri" w:hAnsi="Calibri"/>
          <w:sz w:val="16"/>
          <w:szCs w:val="16"/>
          <w:color w:val="auto"/>
        </w:rPr>
      </w:pPr>
    </w:p>
    <w:p>
      <w:pPr>
        <w:ind w:left="640" w:right="140" w:hanging="312"/>
        <w:spacing w:after="0" w:line="233" w:lineRule="auto"/>
        <w:tabs>
          <w:tab w:leader="none" w:pos="628" w:val="left"/>
        </w:tabs>
        <w:numPr>
          <w:ilvl w:val="0"/>
          <w:numId w:val="23"/>
        </w:numPr>
        <w:rPr>
          <w:rFonts w:ascii="Calibri" w:cs="Calibri" w:eastAsia="Calibri" w:hAnsi="Calibri"/>
          <w:sz w:val="16"/>
          <w:szCs w:val="16"/>
          <w:color w:val="auto"/>
        </w:rPr>
      </w:pPr>
      <w:r>
        <w:rPr>
          <w:rFonts w:ascii="Calibri" w:cs="Calibri" w:eastAsia="Calibri" w:hAnsi="Calibri"/>
          <w:sz w:val="16"/>
          <w:szCs w:val="16"/>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09" w:lineRule="exact"/>
        <w:rPr>
          <w:rFonts w:ascii="Calibri" w:cs="Calibri" w:eastAsia="Calibri" w:hAnsi="Calibri"/>
          <w:sz w:val="16"/>
          <w:szCs w:val="16"/>
          <w:color w:val="auto"/>
        </w:rPr>
      </w:pPr>
    </w:p>
    <w:p>
      <w:pPr>
        <w:ind w:left="1300" w:right="160" w:hanging="330"/>
        <w:spacing w:after="0" w:line="242" w:lineRule="auto"/>
        <w:tabs>
          <w:tab w:leader="none" w:pos="1300"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07" w:lineRule="exact"/>
        <w:rPr>
          <w:rFonts w:ascii="Calibri" w:cs="Calibri" w:eastAsia="Calibri" w:hAnsi="Calibri"/>
          <w:sz w:val="16"/>
          <w:szCs w:val="16"/>
          <w:color w:val="auto"/>
        </w:rPr>
      </w:pPr>
    </w:p>
    <w:p>
      <w:pPr>
        <w:ind w:left="1300" w:right="260" w:hanging="330"/>
        <w:spacing w:after="0" w:line="233" w:lineRule="auto"/>
        <w:tabs>
          <w:tab w:leader="none" w:pos="1294" w:val="left"/>
        </w:tabs>
        <w:numPr>
          <w:ilvl w:val="1"/>
          <w:numId w:val="23"/>
        </w:numPr>
        <w:rPr>
          <w:rFonts w:ascii="Calibri" w:cs="Calibri" w:eastAsia="Calibri" w:hAnsi="Calibri"/>
          <w:sz w:val="16"/>
          <w:szCs w:val="16"/>
          <w:color w:val="auto"/>
        </w:rPr>
      </w:pPr>
      <w:r>
        <w:rPr>
          <w:rFonts w:ascii="Calibri" w:cs="Calibri" w:eastAsia="Calibri" w:hAnsi="Calibri"/>
          <w:sz w:val="16"/>
          <w:szCs w:val="16"/>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300" w:lineRule="exact"/>
        <w:rPr>
          <w:sz w:val="20"/>
          <w:szCs w:val="20"/>
          <w:color w:val="auto"/>
        </w:rPr>
      </w:pPr>
    </w:p>
    <w:p>
      <w:pPr>
        <w:ind w:left="8440"/>
        <w:spacing w:after="0"/>
        <w:rPr>
          <w:sz w:val="20"/>
          <w:szCs w:val="20"/>
          <w:color w:val="auto"/>
        </w:rPr>
      </w:pPr>
      <w:r>
        <w:rPr>
          <w:rFonts w:ascii="Calibri" w:cs="Calibri" w:eastAsia="Calibri" w:hAnsi="Calibri"/>
          <w:sz w:val="16"/>
          <w:szCs w:val="16"/>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9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25" w:lineRule="exact"/>
        <w:rPr>
          <w:sz w:val="20"/>
          <w:szCs w:val="20"/>
          <w:color w:val="auto"/>
        </w:rPr>
      </w:pPr>
    </w:p>
    <w:p>
      <w:pPr>
        <w:ind w:left="8560"/>
        <w:spacing w:after="0"/>
        <w:rPr>
          <w:sz w:val="20"/>
          <w:szCs w:val="20"/>
          <w:color w:val="auto"/>
        </w:rPr>
      </w:pPr>
      <w:r>
        <w:rPr>
          <w:rFonts w:ascii="Calibri" w:cs="Calibri" w:eastAsia="Calibri" w:hAnsi="Calibri"/>
          <w:sz w:val="16"/>
          <w:szCs w:val="16"/>
          <w:color w:val="auto"/>
        </w:rPr>
        <w:t>Stephen J. Barnard</w:t>
      </w:r>
    </w:p>
    <w:p>
      <w:pPr>
        <w:spacing w:after="0" w:line="32" w:lineRule="exact"/>
        <w:rPr>
          <w:sz w:val="20"/>
          <w:szCs w:val="20"/>
          <w:color w:val="auto"/>
        </w:rPr>
      </w:pPr>
    </w:p>
    <w:p>
      <w:pPr>
        <w:ind w:left="7680"/>
        <w:spacing w:after="0"/>
        <w:rPr>
          <w:sz w:val="20"/>
          <w:szCs w:val="20"/>
          <w:color w:val="auto"/>
        </w:rPr>
      </w:pPr>
      <w:r>
        <w:rPr>
          <w:rFonts w:ascii="Calibri" w:cs="Calibri" w:eastAsia="Calibri" w:hAnsi="Calibri"/>
          <w:sz w:val="16"/>
          <w:szCs w:val="16"/>
          <w:i w:val="1"/>
          <w:iCs w:val="1"/>
          <w:color w:val="auto"/>
        </w:rPr>
        <w:t>President, Chief Executve Ofcer and Director</w:t>
      </w:r>
    </w:p>
    <w:p>
      <w:pPr>
        <w:spacing w:after="0" w:line="313" w:lineRule="exact"/>
        <w:rPr>
          <w:sz w:val="20"/>
          <w:szCs w:val="20"/>
          <w:color w:val="auto"/>
        </w:rPr>
      </w:pPr>
    </w:p>
    <w:p>
      <w:pPr>
        <w:spacing w:after="0"/>
        <w:rPr>
          <w:sz w:val="20"/>
          <w:szCs w:val="20"/>
          <w:color w:val="auto"/>
        </w:rPr>
      </w:pPr>
      <w:r>
        <w:rPr>
          <w:rFonts w:ascii="Calibri" w:cs="Calibri" w:eastAsia="Calibri" w:hAnsi="Calibri"/>
          <w:sz w:val="16"/>
          <w:szCs w:val="16"/>
          <w:color w:val="auto"/>
        </w:rPr>
        <w:t>Date: June 8, 2022</w:t>
      </w:r>
    </w:p>
    <w:p>
      <w:pPr>
        <w:sectPr>
          <w:pgSz w:w="11900" w:h="16838" w:orient="portrait"/>
          <w:cols w:equalWidth="0" w:num="1">
            <w:col w:w="11240"/>
          </w:cols>
          <w:pgMar w:left="320" w:top="118" w:right="339" w:bottom="1440" w:gutter="0" w:footer="0" w:header="0"/>
        </w:sectPr>
      </w:pPr>
    </w:p>
    <w:bookmarkStart w:id="33" w:name="page34"/>
    <w:bookmarkEnd w:id="33"/>
    <w:p>
      <w:pPr>
        <w:jc w:val="right"/>
        <w:spacing w:after="0"/>
        <w:rPr>
          <w:sz w:val="20"/>
          <w:szCs w:val="20"/>
          <w:color w:val="auto"/>
        </w:rPr>
      </w:pPr>
      <w:r>
        <w:rPr>
          <w:rFonts w:ascii="Calibri" w:cs="Calibri" w:eastAsia="Calibri" w:hAnsi="Calibri"/>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232F84"/>
        </w:rPr>
        <w:t>CERTIFICATION OF CHIEF FINANCIAL OFFICER</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232F84"/>
        </w:rPr>
        <w:t>PURSUANT TO SECTION 302 OF THE SARBANES-OXLEY ACT OF 2002</w:t>
      </w:r>
    </w:p>
    <w:p>
      <w:pPr>
        <w:spacing w:after="0" w:line="224" w:lineRule="exact"/>
        <w:rPr>
          <w:sz w:val="20"/>
          <w:szCs w:val="20"/>
          <w:color w:val="auto"/>
        </w:rPr>
      </w:pPr>
    </w:p>
    <w:p>
      <w:pPr>
        <w:spacing w:after="0"/>
        <w:rPr>
          <w:sz w:val="20"/>
          <w:szCs w:val="20"/>
          <w:color w:val="auto"/>
        </w:rPr>
      </w:pPr>
      <w:r>
        <w:rPr>
          <w:rFonts w:ascii="Calibri" w:cs="Calibri" w:eastAsia="Calibri" w:hAnsi="Calibri"/>
          <w:sz w:val="16"/>
          <w:szCs w:val="16"/>
          <w:color w:val="auto"/>
        </w:rPr>
        <w:t>I, Bryan E. Giles, certfy that:</w:t>
      </w:r>
    </w:p>
    <w:p>
      <w:pPr>
        <w:spacing w:after="0" w:line="206" w:lineRule="exact"/>
        <w:rPr>
          <w:sz w:val="20"/>
          <w:szCs w:val="20"/>
          <w:color w:val="auto"/>
        </w:rPr>
      </w:pPr>
    </w:p>
    <w:p>
      <w:pPr>
        <w:ind w:left="640" w:hanging="312"/>
        <w:spacing w:after="0"/>
        <w:tabs>
          <w:tab w:leader="none" w:pos="640" w:val="left"/>
        </w:tabs>
        <w:numPr>
          <w:ilvl w:val="0"/>
          <w:numId w:val="24"/>
        </w:numPr>
        <w:rPr>
          <w:rFonts w:ascii="Calibri" w:cs="Calibri" w:eastAsia="Calibri" w:hAnsi="Calibri"/>
          <w:sz w:val="16"/>
          <w:szCs w:val="16"/>
          <w:color w:val="auto"/>
        </w:rPr>
      </w:pPr>
      <w:r>
        <w:rPr>
          <w:rFonts w:ascii="Calibri" w:cs="Calibri" w:eastAsia="Calibri" w:hAnsi="Calibri"/>
          <w:sz w:val="16"/>
          <w:szCs w:val="16"/>
          <w:color w:val="auto"/>
        </w:rPr>
        <w:t>I have reviewed this quarterly report on Form 10-Q of Mission Produce, Inc.;</w:t>
      </w:r>
    </w:p>
    <w:p>
      <w:pPr>
        <w:spacing w:after="0" w:line="222" w:lineRule="exact"/>
        <w:rPr>
          <w:rFonts w:ascii="Calibri" w:cs="Calibri" w:eastAsia="Calibri" w:hAnsi="Calibri"/>
          <w:sz w:val="16"/>
          <w:szCs w:val="16"/>
          <w:color w:val="auto"/>
        </w:rPr>
      </w:pPr>
    </w:p>
    <w:p>
      <w:pPr>
        <w:ind w:left="640" w:right="280" w:hanging="312"/>
        <w:spacing w:after="0" w:line="233" w:lineRule="auto"/>
        <w:tabs>
          <w:tab w:leader="none" w:pos="628" w:val="left"/>
        </w:tabs>
        <w:numPr>
          <w:ilvl w:val="0"/>
          <w:numId w:val="24"/>
        </w:numPr>
        <w:rPr>
          <w:rFonts w:ascii="Calibri" w:cs="Calibri" w:eastAsia="Calibri" w:hAnsi="Calibri"/>
          <w:sz w:val="16"/>
          <w:szCs w:val="16"/>
          <w:color w:val="auto"/>
        </w:rPr>
      </w:pPr>
      <w:r>
        <w:rPr>
          <w:rFonts w:ascii="Calibri" w:cs="Calibri" w:eastAsia="Calibri" w:hAnsi="Calibri"/>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Calibri" w:cs="Calibri" w:eastAsia="Calibri" w:hAnsi="Calibri"/>
          <w:sz w:val="16"/>
          <w:szCs w:val="16"/>
          <w:color w:val="auto"/>
        </w:rPr>
      </w:pPr>
    </w:p>
    <w:p>
      <w:pPr>
        <w:ind w:left="640" w:right="520" w:hanging="312"/>
        <w:spacing w:after="0" w:line="233" w:lineRule="auto"/>
        <w:tabs>
          <w:tab w:leader="none" w:pos="628" w:val="left"/>
        </w:tabs>
        <w:numPr>
          <w:ilvl w:val="0"/>
          <w:numId w:val="24"/>
        </w:numPr>
        <w:rPr>
          <w:rFonts w:ascii="Calibri" w:cs="Calibri" w:eastAsia="Calibri" w:hAnsi="Calibri"/>
          <w:sz w:val="16"/>
          <w:szCs w:val="16"/>
          <w:color w:val="auto"/>
        </w:rPr>
      </w:pPr>
      <w:r>
        <w:rPr>
          <w:rFonts w:ascii="Calibri" w:cs="Calibri" w:eastAsia="Calibri" w:hAnsi="Calibri"/>
          <w:sz w:val="16"/>
          <w:szCs w:val="16"/>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09" w:lineRule="exact"/>
        <w:rPr>
          <w:rFonts w:ascii="Calibri" w:cs="Calibri" w:eastAsia="Calibri" w:hAnsi="Calibri"/>
          <w:sz w:val="16"/>
          <w:szCs w:val="16"/>
          <w:color w:val="auto"/>
        </w:rPr>
      </w:pPr>
    </w:p>
    <w:p>
      <w:pPr>
        <w:ind w:left="640" w:right="80" w:hanging="312"/>
        <w:spacing w:after="0" w:line="242" w:lineRule="auto"/>
        <w:tabs>
          <w:tab w:leader="none" w:pos="628" w:val="left"/>
        </w:tabs>
        <w:numPr>
          <w:ilvl w:val="0"/>
          <w:numId w:val="24"/>
        </w:numPr>
        <w:rPr>
          <w:rFonts w:ascii="Calibri" w:cs="Calibri" w:eastAsia="Calibri" w:hAnsi="Calibri"/>
          <w:sz w:val="16"/>
          <w:szCs w:val="16"/>
          <w:color w:val="auto"/>
        </w:rPr>
      </w:pPr>
      <w:r>
        <w:rPr>
          <w:rFonts w:ascii="Calibri" w:cs="Calibri" w:eastAsia="Calibri" w:hAnsi="Calibri"/>
          <w:sz w:val="16"/>
          <w:szCs w:val="16"/>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07" w:lineRule="exact"/>
        <w:rPr>
          <w:rFonts w:ascii="Calibri" w:cs="Calibri" w:eastAsia="Calibri" w:hAnsi="Calibri"/>
          <w:sz w:val="16"/>
          <w:szCs w:val="16"/>
          <w:color w:val="auto"/>
        </w:rPr>
      </w:pPr>
    </w:p>
    <w:p>
      <w:pPr>
        <w:ind w:left="1300" w:right="200" w:hanging="330"/>
        <w:spacing w:after="0" w:line="237" w:lineRule="auto"/>
        <w:tabs>
          <w:tab w:leader="none" w:pos="1300" w:val="left"/>
        </w:tabs>
        <w:numPr>
          <w:ilvl w:val="1"/>
          <w:numId w:val="24"/>
        </w:numPr>
        <w:rPr>
          <w:rFonts w:ascii="Calibri" w:cs="Calibri" w:eastAsia="Calibri" w:hAnsi="Calibri"/>
          <w:sz w:val="16"/>
          <w:szCs w:val="16"/>
          <w:color w:val="auto"/>
        </w:rPr>
      </w:pPr>
      <w:r>
        <w:rPr>
          <w:rFonts w:ascii="Calibri" w:cs="Calibri" w:eastAsia="Calibri" w:hAnsi="Calibri"/>
          <w:sz w:val="16"/>
          <w:szCs w:val="16"/>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0" w:lineRule="exact"/>
        <w:rPr>
          <w:rFonts w:ascii="Calibri" w:cs="Calibri" w:eastAsia="Calibri" w:hAnsi="Calibri"/>
          <w:sz w:val="16"/>
          <w:szCs w:val="16"/>
          <w:color w:val="auto"/>
        </w:rPr>
      </w:pPr>
    </w:p>
    <w:p>
      <w:pPr>
        <w:ind w:left="1300" w:right="100" w:hanging="330"/>
        <w:spacing w:after="0" w:line="237" w:lineRule="auto"/>
        <w:tabs>
          <w:tab w:leader="none" w:pos="1294" w:val="left"/>
        </w:tabs>
        <w:numPr>
          <w:ilvl w:val="1"/>
          <w:numId w:val="24"/>
        </w:numPr>
        <w:rPr>
          <w:rFonts w:ascii="Calibri" w:cs="Calibri" w:eastAsia="Calibri" w:hAnsi="Calibri"/>
          <w:sz w:val="16"/>
          <w:szCs w:val="16"/>
          <w:color w:val="auto"/>
        </w:rPr>
      </w:pPr>
      <w:r>
        <w:rPr>
          <w:rFonts w:ascii="Calibri" w:cs="Calibri" w:eastAsia="Calibri" w:hAnsi="Calibri"/>
          <w:sz w:val="16"/>
          <w:szCs w:val="16"/>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23" w:lineRule="exact"/>
        <w:rPr>
          <w:rFonts w:ascii="Calibri" w:cs="Calibri" w:eastAsia="Calibri" w:hAnsi="Calibri"/>
          <w:sz w:val="16"/>
          <w:szCs w:val="16"/>
          <w:color w:val="auto"/>
        </w:rPr>
      </w:pPr>
    </w:p>
    <w:p>
      <w:pPr>
        <w:ind w:left="1300" w:right="60" w:hanging="330"/>
        <w:spacing w:after="0" w:line="233" w:lineRule="auto"/>
        <w:tabs>
          <w:tab w:leader="none" w:pos="1291" w:val="left"/>
        </w:tabs>
        <w:numPr>
          <w:ilvl w:val="1"/>
          <w:numId w:val="24"/>
        </w:numPr>
        <w:rPr>
          <w:rFonts w:ascii="Calibri" w:cs="Calibri" w:eastAsia="Calibri" w:hAnsi="Calibri"/>
          <w:sz w:val="16"/>
          <w:szCs w:val="16"/>
          <w:color w:val="auto"/>
        </w:rPr>
      </w:pPr>
      <w:r>
        <w:rPr>
          <w:rFonts w:ascii="Calibri" w:cs="Calibri" w:eastAsia="Calibri" w:hAnsi="Calibri"/>
          <w:sz w:val="16"/>
          <w:szCs w:val="16"/>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9" w:lineRule="exact"/>
        <w:rPr>
          <w:rFonts w:ascii="Calibri" w:cs="Calibri" w:eastAsia="Calibri" w:hAnsi="Calibri"/>
          <w:sz w:val="16"/>
          <w:szCs w:val="16"/>
          <w:color w:val="auto"/>
        </w:rPr>
      </w:pPr>
    </w:p>
    <w:p>
      <w:pPr>
        <w:ind w:left="1300" w:right="140" w:hanging="330"/>
        <w:spacing w:after="0" w:line="237" w:lineRule="auto"/>
        <w:tabs>
          <w:tab w:leader="none" w:pos="1294" w:val="left"/>
        </w:tabs>
        <w:numPr>
          <w:ilvl w:val="1"/>
          <w:numId w:val="24"/>
        </w:numPr>
        <w:rPr>
          <w:rFonts w:ascii="Calibri" w:cs="Calibri" w:eastAsia="Calibri" w:hAnsi="Calibri"/>
          <w:sz w:val="16"/>
          <w:szCs w:val="16"/>
          <w:color w:val="auto"/>
        </w:rPr>
      </w:pPr>
      <w:r>
        <w:rPr>
          <w:rFonts w:ascii="Calibri" w:cs="Calibri" w:eastAsia="Calibri" w:hAnsi="Calibri"/>
          <w:sz w:val="16"/>
          <w:szCs w:val="16"/>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23" w:lineRule="exact"/>
        <w:rPr>
          <w:rFonts w:ascii="Calibri" w:cs="Calibri" w:eastAsia="Calibri" w:hAnsi="Calibri"/>
          <w:sz w:val="16"/>
          <w:szCs w:val="16"/>
          <w:color w:val="auto"/>
        </w:rPr>
      </w:pPr>
    </w:p>
    <w:p>
      <w:pPr>
        <w:ind w:left="640" w:right="140" w:hanging="312"/>
        <w:spacing w:after="0" w:line="233" w:lineRule="auto"/>
        <w:tabs>
          <w:tab w:leader="none" w:pos="628" w:val="left"/>
        </w:tabs>
        <w:numPr>
          <w:ilvl w:val="0"/>
          <w:numId w:val="24"/>
        </w:numPr>
        <w:rPr>
          <w:rFonts w:ascii="Calibri" w:cs="Calibri" w:eastAsia="Calibri" w:hAnsi="Calibri"/>
          <w:sz w:val="16"/>
          <w:szCs w:val="16"/>
          <w:color w:val="auto"/>
        </w:rPr>
      </w:pPr>
      <w:r>
        <w:rPr>
          <w:rFonts w:ascii="Calibri" w:cs="Calibri" w:eastAsia="Calibri" w:hAnsi="Calibri"/>
          <w:sz w:val="16"/>
          <w:szCs w:val="16"/>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09" w:lineRule="exact"/>
        <w:rPr>
          <w:rFonts w:ascii="Calibri" w:cs="Calibri" w:eastAsia="Calibri" w:hAnsi="Calibri"/>
          <w:sz w:val="16"/>
          <w:szCs w:val="16"/>
          <w:color w:val="auto"/>
        </w:rPr>
      </w:pPr>
    </w:p>
    <w:p>
      <w:pPr>
        <w:ind w:left="1300" w:right="160" w:hanging="330"/>
        <w:spacing w:after="0" w:line="242" w:lineRule="auto"/>
        <w:tabs>
          <w:tab w:leader="none" w:pos="1300" w:val="left"/>
        </w:tabs>
        <w:numPr>
          <w:ilvl w:val="1"/>
          <w:numId w:val="24"/>
        </w:numPr>
        <w:rPr>
          <w:rFonts w:ascii="Calibri" w:cs="Calibri" w:eastAsia="Calibri" w:hAnsi="Calibri"/>
          <w:sz w:val="16"/>
          <w:szCs w:val="16"/>
          <w:color w:val="auto"/>
        </w:rPr>
      </w:pPr>
      <w:r>
        <w:rPr>
          <w:rFonts w:ascii="Calibri" w:cs="Calibri" w:eastAsia="Calibri" w:hAnsi="Calibri"/>
          <w:sz w:val="16"/>
          <w:szCs w:val="16"/>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07" w:lineRule="exact"/>
        <w:rPr>
          <w:rFonts w:ascii="Calibri" w:cs="Calibri" w:eastAsia="Calibri" w:hAnsi="Calibri"/>
          <w:sz w:val="16"/>
          <w:szCs w:val="16"/>
          <w:color w:val="auto"/>
        </w:rPr>
      </w:pPr>
    </w:p>
    <w:p>
      <w:pPr>
        <w:ind w:left="1300" w:right="260" w:hanging="330"/>
        <w:spacing w:after="0" w:line="233" w:lineRule="auto"/>
        <w:tabs>
          <w:tab w:leader="none" w:pos="1294" w:val="left"/>
        </w:tabs>
        <w:numPr>
          <w:ilvl w:val="1"/>
          <w:numId w:val="24"/>
        </w:numPr>
        <w:rPr>
          <w:rFonts w:ascii="Calibri" w:cs="Calibri" w:eastAsia="Calibri" w:hAnsi="Calibri"/>
          <w:sz w:val="16"/>
          <w:szCs w:val="16"/>
          <w:color w:val="auto"/>
        </w:rPr>
      </w:pPr>
      <w:r>
        <w:rPr>
          <w:rFonts w:ascii="Calibri" w:cs="Calibri" w:eastAsia="Calibri" w:hAnsi="Calibri"/>
          <w:sz w:val="16"/>
          <w:szCs w:val="16"/>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300"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9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25"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color w:val="auto"/>
        </w:rPr>
        <w:t>Bryan E. Giles</w:t>
      </w:r>
    </w:p>
    <w:p>
      <w:pPr>
        <w:spacing w:after="0" w:line="45"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i w:val="1"/>
          <w:iCs w:val="1"/>
          <w:color w:val="auto"/>
        </w:rPr>
        <w:t>Chief Financial Ofcer</w:t>
      </w:r>
    </w:p>
    <w:p>
      <w:pPr>
        <w:spacing w:after="0" w:line="326" w:lineRule="exact"/>
        <w:rPr>
          <w:sz w:val="20"/>
          <w:szCs w:val="20"/>
          <w:color w:val="auto"/>
        </w:rPr>
      </w:pPr>
    </w:p>
    <w:p>
      <w:pPr>
        <w:spacing w:after="0"/>
        <w:rPr>
          <w:sz w:val="20"/>
          <w:szCs w:val="20"/>
          <w:color w:val="auto"/>
        </w:rPr>
      </w:pPr>
      <w:r>
        <w:rPr>
          <w:rFonts w:ascii="Calibri" w:cs="Calibri" w:eastAsia="Calibri" w:hAnsi="Calibri"/>
          <w:sz w:val="16"/>
          <w:szCs w:val="16"/>
          <w:color w:val="auto"/>
        </w:rPr>
        <w:t>Date: June 8, 2022</w:t>
      </w:r>
    </w:p>
    <w:p>
      <w:pPr>
        <w:sectPr>
          <w:pgSz w:w="11900" w:h="16838" w:orient="portrait"/>
          <w:cols w:equalWidth="0" w:num="1">
            <w:col w:w="11240"/>
          </w:cols>
          <w:pgMar w:left="320" w:top="118" w:right="339" w:bottom="1440" w:gutter="0" w:footer="0" w:header="0"/>
        </w:sectPr>
      </w:pPr>
    </w:p>
    <w:bookmarkStart w:id="34" w:name="page35"/>
    <w:bookmarkEnd w:id="34"/>
    <w:p>
      <w:pPr>
        <w:jc w:val="right"/>
        <w:spacing w:after="0"/>
        <w:rPr>
          <w:sz w:val="20"/>
          <w:szCs w:val="20"/>
          <w:color w:val="auto"/>
        </w:rPr>
      </w:pPr>
      <w:r>
        <w:rPr>
          <w:rFonts w:ascii="Calibri" w:cs="Calibri" w:eastAsia="Calibri" w:hAnsi="Calibri"/>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232F84"/>
        </w:rPr>
        <w:t>CERTIFICATION OF CHIEF EXECUTIVE OFFICER</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232F84"/>
        </w:rPr>
        <w:t>PURSUANT TO SECTION 906 OF THE SARBANES-OXLEY ACT OF 2002</w:t>
      </w:r>
    </w:p>
    <w:p>
      <w:pPr>
        <w:spacing w:after="0" w:line="227" w:lineRule="exact"/>
        <w:rPr>
          <w:sz w:val="20"/>
          <w:szCs w:val="20"/>
          <w:color w:val="auto"/>
        </w:rPr>
      </w:pPr>
    </w:p>
    <w:p>
      <w:pPr>
        <w:ind w:right="180"/>
        <w:spacing w:after="0" w:line="233" w:lineRule="auto"/>
        <w:rPr>
          <w:sz w:val="20"/>
          <w:szCs w:val="20"/>
          <w:color w:val="auto"/>
        </w:rPr>
      </w:pPr>
      <w:r>
        <w:rPr>
          <w:rFonts w:ascii="Calibri" w:cs="Calibri" w:eastAsia="Calibri" w:hAnsi="Calibri"/>
          <w:sz w:val="16"/>
          <w:szCs w:val="16"/>
          <w:color w:val="auto"/>
        </w:rPr>
        <w:t>Pursuant to 18 U.S.C. Secton 1350, as created by Secton 906 of the Sarbanes-Oxley Act of 2002, the undersigned ofcer of Mission Produce, Inc. (the “Company”) hereby certfes, to the best of his knowledge, that:</w:t>
      </w:r>
    </w:p>
    <w:p>
      <w:pPr>
        <w:spacing w:after="0" w:line="223" w:lineRule="exact"/>
        <w:rPr>
          <w:sz w:val="20"/>
          <w:szCs w:val="20"/>
          <w:color w:val="auto"/>
        </w:rPr>
      </w:pPr>
    </w:p>
    <w:p>
      <w:pPr>
        <w:ind w:left="640" w:right="200" w:hanging="312"/>
        <w:spacing w:after="0" w:line="233" w:lineRule="auto"/>
        <w:tabs>
          <w:tab w:leader="none" w:pos="640" w:val="left"/>
        </w:tabs>
        <w:numPr>
          <w:ilvl w:val="0"/>
          <w:numId w:val="25"/>
        </w:numPr>
        <w:rPr>
          <w:rFonts w:ascii="Calibri" w:cs="Calibri" w:eastAsia="Calibri" w:hAnsi="Calibri"/>
          <w:sz w:val="16"/>
          <w:szCs w:val="16"/>
          <w:color w:val="auto"/>
        </w:rPr>
      </w:pPr>
      <w:r>
        <w:rPr>
          <w:rFonts w:ascii="Calibri" w:cs="Calibri" w:eastAsia="Calibri" w:hAnsi="Calibri"/>
          <w:sz w:val="16"/>
          <w:szCs w:val="16"/>
          <w:color w:val="auto"/>
        </w:rPr>
        <w:t>the Quarterly Report on Form 10-Q of the Company for the quarter ended April 30, 2022 (the “Report”) fully complies with the requirements of Secton 13(a) or Secton 15(d), as applicable, of the Securites Exchange Act of 1934, as amended; and</w:t>
      </w:r>
    </w:p>
    <w:p>
      <w:pPr>
        <w:spacing w:after="0" w:line="219" w:lineRule="exact"/>
        <w:rPr>
          <w:rFonts w:ascii="Calibri" w:cs="Calibri" w:eastAsia="Calibri" w:hAnsi="Calibri"/>
          <w:sz w:val="16"/>
          <w:szCs w:val="16"/>
          <w:color w:val="auto"/>
        </w:rPr>
      </w:pPr>
    </w:p>
    <w:p>
      <w:pPr>
        <w:ind w:left="640" w:hanging="312"/>
        <w:spacing w:after="0"/>
        <w:tabs>
          <w:tab w:leader="none" w:pos="640" w:val="left"/>
        </w:tabs>
        <w:numPr>
          <w:ilvl w:val="0"/>
          <w:numId w:val="25"/>
        </w:numPr>
        <w:rPr>
          <w:rFonts w:ascii="Calibri" w:cs="Calibri" w:eastAsia="Calibri" w:hAnsi="Calibri"/>
          <w:sz w:val="16"/>
          <w:szCs w:val="16"/>
          <w:color w:val="auto"/>
        </w:rPr>
      </w:pPr>
      <w:r>
        <w:rPr>
          <w:rFonts w:ascii="Calibri" w:cs="Calibri" w:eastAsia="Calibri" w:hAnsi="Calibri"/>
          <w:sz w:val="16"/>
          <w:szCs w:val="16"/>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440"/>
        <w:spacing w:after="0"/>
        <w:rPr>
          <w:sz w:val="20"/>
          <w:szCs w:val="20"/>
          <w:color w:val="auto"/>
        </w:rPr>
      </w:pPr>
      <w:r>
        <w:rPr>
          <w:rFonts w:ascii="Calibri" w:cs="Calibri" w:eastAsia="Calibri" w:hAnsi="Calibri"/>
          <w:sz w:val="16"/>
          <w:szCs w:val="16"/>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9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25" w:lineRule="exact"/>
        <w:rPr>
          <w:sz w:val="20"/>
          <w:szCs w:val="20"/>
          <w:color w:val="auto"/>
        </w:rPr>
      </w:pPr>
    </w:p>
    <w:p>
      <w:pPr>
        <w:ind w:left="8560"/>
        <w:spacing w:after="0"/>
        <w:rPr>
          <w:sz w:val="20"/>
          <w:szCs w:val="20"/>
          <w:color w:val="auto"/>
        </w:rPr>
      </w:pPr>
      <w:r>
        <w:rPr>
          <w:rFonts w:ascii="Calibri" w:cs="Calibri" w:eastAsia="Calibri" w:hAnsi="Calibri"/>
          <w:sz w:val="16"/>
          <w:szCs w:val="16"/>
          <w:color w:val="auto"/>
        </w:rPr>
        <w:t>Stephen J. Barnard</w:t>
      </w:r>
    </w:p>
    <w:p>
      <w:pPr>
        <w:spacing w:after="0" w:line="32" w:lineRule="exact"/>
        <w:rPr>
          <w:sz w:val="20"/>
          <w:szCs w:val="20"/>
          <w:color w:val="auto"/>
        </w:rPr>
      </w:pPr>
    </w:p>
    <w:p>
      <w:pPr>
        <w:ind w:left="7680"/>
        <w:spacing w:after="0"/>
        <w:rPr>
          <w:sz w:val="20"/>
          <w:szCs w:val="20"/>
          <w:color w:val="auto"/>
        </w:rPr>
      </w:pPr>
      <w:r>
        <w:rPr>
          <w:rFonts w:ascii="Calibri" w:cs="Calibri" w:eastAsia="Calibri" w:hAnsi="Calibri"/>
          <w:sz w:val="16"/>
          <w:szCs w:val="16"/>
          <w:i w:val="1"/>
          <w:iCs w:val="1"/>
          <w:color w:val="auto"/>
        </w:rPr>
        <w:t>President, Chief Executve Ofcer and Director</w:t>
      </w:r>
    </w:p>
    <w:p>
      <w:pPr>
        <w:spacing w:after="0" w:line="313" w:lineRule="exact"/>
        <w:rPr>
          <w:sz w:val="20"/>
          <w:szCs w:val="20"/>
          <w:color w:val="auto"/>
        </w:rPr>
      </w:pPr>
    </w:p>
    <w:p>
      <w:pPr>
        <w:spacing w:after="0"/>
        <w:rPr>
          <w:sz w:val="20"/>
          <w:szCs w:val="20"/>
          <w:color w:val="auto"/>
        </w:rPr>
      </w:pPr>
      <w:r>
        <w:rPr>
          <w:rFonts w:ascii="Calibri" w:cs="Calibri" w:eastAsia="Calibri" w:hAnsi="Calibri"/>
          <w:sz w:val="16"/>
          <w:szCs w:val="16"/>
          <w:color w:val="auto"/>
        </w:rPr>
        <w:t>Date: June 8, 2022</w:t>
      </w:r>
    </w:p>
    <w:p>
      <w:pPr>
        <w:sectPr>
          <w:pgSz w:w="11900" w:h="16838" w:orient="portrait"/>
          <w:cols w:equalWidth="0" w:num="1">
            <w:col w:w="11240"/>
          </w:cols>
          <w:pgMar w:left="320" w:top="118" w:right="339" w:bottom="1440" w:gutter="0" w:footer="0" w:header="0"/>
        </w:sectPr>
      </w:pPr>
    </w:p>
    <w:bookmarkStart w:id="35" w:name="page36"/>
    <w:bookmarkEnd w:id="35"/>
    <w:p>
      <w:pPr>
        <w:jc w:val="right"/>
        <w:spacing w:after="0"/>
        <w:rPr>
          <w:sz w:val="20"/>
          <w:szCs w:val="20"/>
          <w:color w:val="auto"/>
        </w:rPr>
      </w:pPr>
      <w:r>
        <w:rPr>
          <w:rFonts w:ascii="Calibri" w:cs="Calibri" w:eastAsia="Calibri" w:hAnsi="Calibri"/>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232F84"/>
        </w:rPr>
        <w:t>CERTIFICATION OF CHIEF FINANCIAL OFFICER</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232F84"/>
        </w:rPr>
        <w:t>PURSUANT TO SECTION 906 OF THE SARBANES-OXLEY ACT OF 2002</w:t>
      </w:r>
    </w:p>
    <w:p>
      <w:pPr>
        <w:spacing w:after="0" w:line="227" w:lineRule="exact"/>
        <w:rPr>
          <w:sz w:val="20"/>
          <w:szCs w:val="20"/>
          <w:color w:val="auto"/>
        </w:rPr>
      </w:pPr>
    </w:p>
    <w:p>
      <w:pPr>
        <w:ind w:right="180"/>
        <w:spacing w:after="0" w:line="233" w:lineRule="auto"/>
        <w:rPr>
          <w:sz w:val="20"/>
          <w:szCs w:val="20"/>
          <w:color w:val="auto"/>
        </w:rPr>
      </w:pPr>
      <w:r>
        <w:rPr>
          <w:rFonts w:ascii="Calibri" w:cs="Calibri" w:eastAsia="Calibri" w:hAnsi="Calibri"/>
          <w:sz w:val="16"/>
          <w:szCs w:val="16"/>
          <w:color w:val="auto"/>
        </w:rPr>
        <w:t>Pursuant to 18 U.S.C. Secton 1350, as created by Secton 906 of the Sarbanes-Oxley Act of 2002, the undersigned ofcer of Mission Produce, Inc. (the “Company”) hereby certfes, to the best of his knowledge, that:</w:t>
      </w:r>
    </w:p>
    <w:p>
      <w:pPr>
        <w:spacing w:after="0" w:line="223" w:lineRule="exact"/>
        <w:rPr>
          <w:sz w:val="20"/>
          <w:szCs w:val="20"/>
          <w:color w:val="auto"/>
        </w:rPr>
      </w:pPr>
    </w:p>
    <w:p>
      <w:pPr>
        <w:ind w:left="640" w:right="200" w:hanging="312"/>
        <w:spacing w:after="0" w:line="233" w:lineRule="auto"/>
        <w:tabs>
          <w:tab w:leader="none" w:pos="640" w:val="left"/>
        </w:tabs>
        <w:numPr>
          <w:ilvl w:val="0"/>
          <w:numId w:val="26"/>
        </w:numPr>
        <w:rPr>
          <w:rFonts w:ascii="Calibri" w:cs="Calibri" w:eastAsia="Calibri" w:hAnsi="Calibri"/>
          <w:sz w:val="16"/>
          <w:szCs w:val="16"/>
          <w:color w:val="auto"/>
        </w:rPr>
      </w:pPr>
      <w:r>
        <w:rPr>
          <w:rFonts w:ascii="Calibri" w:cs="Calibri" w:eastAsia="Calibri" w:hAnsi="Calibri"/>
          <w:sz w:val="16"/>
          <w:szCs w:val="16"/>
          <w:color w:val="auto"/>
        </w:rPr>
        <w:t>the Quarterly Report on Form 10-Q of the Company for the quarter ended April 30, 2022 (the “Report”) fully complies with the requirements of Secton 13(a) or Secton 15(d), as applicable, of the Securites Exchange Act of 1934, as amended; and</w:t>
      </w:r>
    </w:p>
    <w:p>
      <w:pPr>
        <w:spacing w:after="0" w:line="219" w:lineRule="exact"/>
        <w:rPr>
          <w:rFonts w:ascii="Calibri" w:cs="Calibri" w:eastAsia="Calibri" w:hAnsi="Calibri"/>
          <w:sz w:val="16"/>
          <w:szCs w:val="16"/>
          <w:color w:val="auto"/>
        </w:rPr>
      </w:pPr>
    </w:p>
    <w:p>
      <w:pPr>
        <w:ind w:left="640" w:hanging="312"/>
        <w:spacing w:after="0"/>
        <w:tabs>
          <w:tab w:leader="none" w:pos="640" w:val="left"/>
        </w:tabs>
        <w:numPr>
          <w:ilvl w:val="0"/>
          <w:numId w:val="26"/>
        </w:numPr>
        <w:rPr>
          <w:rFonts w:ascii="Calibri" w:cs="Calibri" w:eastAsia="Calibri" w:hAnsi="Calibri"/>
          <w:sz w:val="16"/>
          <w:szCs w:val="16"/>
          <w:color w:val="auto"/>
        </w:rPr>
      </w:pPr>
      <w:r>
        <w:rPr>
          <w:rFonts w:ascii="Calibri" w:cs="Calibri" w:eastAsia="Calibri" w:hAnsi="Calibri"/>
          <w:sz w:val="16"/>
          <w:szCs w:val="16"/>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87"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9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640965" cy="8255"/>
                    </a:xfrm>
                    <a:prstGeom prst="rect">
                      <a:avLst/>
                    </a:prstGeom>
                    <a:noFill/>
                  </pic:spPr>
                </pic:pic>
              </a:graphicData>
            </a:graphic>
          </wp:anchor>
        </w:drawing>
      </w:r>
    </w:p>
    <w:p>
      <w:pPr>
        <w:spacing w:after="0" w:line="25"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color w:val="auto"/>
        </w:rPr>
        <w:t>Bryan E. Giles</w:t>
      </w:r>
    </w:p>
    <w:p>
      <w:pPr>
        <w:spacing w:after="0" w:line="45" w:lineRule="exact"/>
        <w:rPr>
          <w:sz w:val="20"/>
          <w:szCs w:val="20"/>
          <w:color w:val="auto"/>
        </w:rPr>
      </w:pPr>
    </w:p>
    <w:p>
      <w:pPr>
        <w:jc w:val="center"/>
        <w:ind w:left="7060"/>
        <w:spacing w:after="0"/>
        <w:rPr>
          <w:sz w:val="20"/>
          <w:szCs w:val="20"/>
          <w:color w:val="auto"/>
        </w:rPr>
      </w:pPr>
      <w:r>
        <w:rPr>
          <w:rFonts w:ascii="Calibri" w:cs="Calibri" w:eastAsia="Calibri" w:hAnsi="Calibri"/>
          <w:sz w:val="16"/>
          <w:szCs w:val="16"/>
          <w:i w:val="1"/>
          <w:iCs w:val="1"/>
          <w:color w:val="auto"/>
        </w:rPr>
        <w:t>Chief Financial Ofcer</w:t>
      </w:r>
    </w:p>
    <w:p>
      <w:pPr>
        <w:spacing w:after="0" w:line="326" w:lineRule="exact"/>
        <w:rPr>
          <w:sz w:val="20"/>
          <w:szCs w:val="20"/>
          <w:color w:val="auto"/>
        </w:rPr>
      </w:pPr>
    </w:p>
    <w:p>
      <w:pPr>
        <w:spacing w:after="0"/>
        <w:rPr>
          <w:sz w:val="20"/>
          <w:szCs w:val="20"/>
          <w:color w:val="auto"/>
        </w:rPr>
      </w:pPr>
      <w:r>
        <w:rPr>
          <w:rFonts w:ascii="Calibri" w:cs="Calibri" w:eastAsia="Calibri" w:hAnsi="Calibri"/>
          <w:sz w:val="16"/>
          <w:szCs w:val="16"/>
          <w:color w:val="auto"/>
        </w:rPr>
        <w:t>Date: June 8, 2022</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5"/>
    </w:lvl>
  </w:abstractNum>
  <w:abstractNum w:abstractNumId="6">
    <w:nsid w:val="4E6AFB66"/>
    <w:multiLevelType w:val="hybridMultilevel"/>
    <w:lvl w:ilvl="0">
      <w:lvlJc w:val="left"/>
      <w:lvlText w:val="%1."/>
      <w:numFmt w:val="decimal"/>
      <w:start w:val="6"/>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0"/>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
    <w:nsid w:val="333AB105"/>
    <w:multiLevelType w:val="hybridMultilevel"/>
    <w:lvl w:ilvl="0">
      <w:lvlJc w:val="left"/>
      <w:lvlText w:val="%1."/>
      <w:numFmt w:val="lowerLetter"/>
      <w:start w:val="2"/>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3"/>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2"/>
    </w:lvl>
  </w:abstractNum>
  <w:abstractNum w:abstractNumId="21">
    <w:nsid w:val="75A2A8D4"/>
    <w:multiLevelType w:val="hybridMultilevel"/>
    <w:lvl w:ilvl="0">
      <w:lvlJc w:val="left"/>
      <w:lvlText w:val="%1)"/>
      <w:numFmt w:val="lowerLetter"/>
      <w:start w:val="6"/>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jpe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0" Type="http://schemas.openxmlformats.org/officeDocument/2006/relationships/hyperlink" Target="https://www.sec.gov/Archives/edgar/data/1802974/000119312520265099/d32849dex31.htm" TargetMode="External"/><Relationship Id="rId71" Type="http://schemas.openxmlformats.org/officeDocument/2006/relationships/hyperlink" Target="https://www.sec.gov/Archives/edgar/data/1802974/000119312520265099/d32849dex32.htm" TargetMode="External"/><Relationship Id="rId72" Type="http://schemas.openxmlformats.org/officeDocument/2006/relationships/hyperlink" Target="https://www.sec.gov/Archives/edgar/data/1802974/000180297422000018/exh1017secondamendmenttoc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2022-06-08T15:42:14Z</dcterms:created>
  <dcterms:modified xsi:type="dcterms:W3CDTF">2022-06-08T15:42:14Z</dcterms:modified>
</cp:coreProperties>
</file>