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delle Sans;sans-serif" w:hAnsi="Adelle Sans;sans-serif"/>
          <w:b/>
          <w:color w:val="000000"/>
          <w:sz w:val="28"/>
        </w:rPr>
      </w:pPr>
      <w:r>
        <w:rPr>
          <w:rFonts w:ascii="Adelle Sans;sans-serif" w:hAnsi="Adelle Sans;sans-serif"/>
          <w:b/>
          <w:color w:val="000000"/>
          <w:sz w:val="28"/>
        </w:rPr>
        <w:t>UNITED STATES</w:t>
      </w:r>
    </w:p>
    <w:p>
      <w:pPr>
        <w:pStyle w:val="TextBody"/>
        <w:bidi w:val="0"/>
        <w:spacing w:lineRule="auto" w:line="256" w:before="0" w:after="0"/>
        <w:jc w:val="center"/>
        <w:rPr>
          <w:rFonts w:ascii="Adelle Sans;sans-serif" w:hAnsi="Adelle Sans;sans-serif"/>
          <w:b/>
          <w:color w:val="000000"/>
          <w:sz w:val="28"/>
        </w:rPr>
      </w:pPr>
      <w:r>
        <w:rPr>
          <w:rFonts w:ascii="Adelle Sans;sans-serif" w:hAnsi="Adelle Sans;sans-serif"/>
          <w:b/>
          <w:color w:val="000000"/>
          <w:sz w:val="28"/>
        </w:rPr>
        <w:t>SECURITIES AND EXCHANGE COMMISSION</w:t>
      </w:r>
    </w:p>
    <w:p>
      <w:pPr>
        <w:pStyle w:val="TextBody"/>
        <w:bidi w:val="0"/>
        <w:spacing w:lineRule="auto" w:line="256" w:before="0" w:after="0"/>
        <w:jc w:val="center"/>
        <w:rPr>
          <w:rFonts w:ascii="Adelle Sans;sans-serif" w:hAnsi="Adelle Sans;sans-serif"/>
          <w:b/>
          <w:color w:val="000000"/>
          <w:sz w:val="18"/>
        </w:rPr>
      </w:pPr>
      <w:r>
        <w:rPr>
          <w:rFonts w:ascii="Adelle Sans;sans-serif" w:hAnsi="Adelle Sans;sans-serif"/>
          <w:b/>
          <w:color w:val="000000"/>
          <w:sz w:val="18"/>
        </w:rPr>
        <w:t>WASHINGTON, D.C. 20549</w:t>
      </w:r>
    </w:p>
    <w:p>
      <w:pPr>
        <w:pStyle w:val="TextBody"/>
        <w:bidi w:val="0"/>
        <w:spacing w:lineRule="auto" w:line="288" w:before="0" w:after="120"/>
        <w:jc w:val="center"/>
        <w:rPr>
          <w:rFonts w:ascii="Adelle Sans;sans-serif" w:hAnsi="Adelle Sans;sans-serif"/>
          <w:b w:val="false"/>
          <w:color w:val="000000"/>
          <w:sz w:val="12"/>
          <w:u w:val="single"/>
        </w:rPr>
      </w:pPr>
      <w:r>
        <w:rPr>
          <w:rFonts w:ascii="Adelle Sans;sans-serif" w:hAnsi="Adelle Sans;sans-serif"/>
          <w:b w:val="false"/>
          <w:color w:val="000000"/>
          <w:sz w:val="12"/>
          <w:u w:val="single"/>
        </w:rPr>
        <w:t>_____________</w:t>
      </w:r>
    </w:p>
    <w:p>
      <w:pPr>
        <w:pStyle w:val="TextBody"/>
        <w:bidi w:val="0"/>
        <w:spacing w:lineRule="auto" w:line="256" w:before="60" w:after="283"/>
        <w:jc w:val="center"/>
        <w:rPr>
          <w:rFonts w:ascii="Adelle Sans;sans-serif" w:hAnsi="Adelle Sans;sans-serif"/>
          <w:b/>
          <w:color w:val="000000"/>
          <w:sz w:val="28"/>
        </w:rPr>
      </w:pPr>
      <w:r>
        <w:rPr>
          <w:rFonts w:ascii="Adelle Sans;sans-serif" w:hAnsi="Adelle Sans;sans-serif"/>
          <w:b/>
          <w:color w:val="000000"/>
          <w:sz w:val="28"/>
        </w:rPr>
        <w:t>FORM 10-Q</w:t>
      </w:r>
    </w:p>
    <w:p>
      <w:pPr>
        <w:pStyle w:val="TextBody"/>
        <w:bidi w:val="0"/>
        <w:spacing w:lineRule="auto" w:line="288" w:before="0" w:after="0"/>
        <w:jc w:val="center"/>
        <w:rPr>
          <w:rFonts w:ascii="Adelle Sans;sans-serif" w:hAnsi="Adelle Sans;sans-serif"/>
          <w:b w:val="false"/>
          <w:color w:val="000000"/>
          <w:sz w:val="12"/>
          <w:u w:val="single"/>
        </w:rPr>
      </w:pPr>
      <w:r>
        <w:rPr>
          <w:rFonts w:ascii="Adelle Sans;sans-serif" w:hAnsi="Adelle Sans;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left"/>
        <w:rPr>
          <w:rFonts w:ascii="Adelle Sans;sans-serif" w:hAnsi="Adelle Sans;sans-serif"/>
          <w:b w:val="false"/>
          <w:color w:val="000000"/>
          <w:sz w:val="16"/>
        </w:rPr>
      </w:pPr>
      <w:r>
        <w:rPr>
          <w:rFonts w:ascii="Adelle Sans;sans-serif" w:hAnsi="Adelle Sans;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QUARTERLY REPORT PURSUANT TO SECTION 13 OR 15(d) OF THE SECURITIES EXCHANGE ACT OF 1934</w:t>
            </w:r>
          </w:p>
        </w:tc>
      </w:tr>
    </w:tbl>
    <w:p>
      <w:pPr>
        <w:pStyle w:val="TextBody"/>
        <w:bidi w:val="0"/>
        <w:spacing w:lineRule="auto" w:line="256" w:before="0" w:after="0"/>
        <w:jc w:val="center"/>
        <w:rPr>
          <w:rFonts w:ascii="Adelle Sans;sans-serif" w:hAnsi="Adelle Sans;sans-serif"/>
          <w:b/>
          <w:color w:val="000000"/>
          <w:sz w:val="16"/>
        </w:rPr>
      </w:pPr>
      <w:r>
        <w:rPr>
          <w:rFonts w:ascii="Adelle Sans;sans-serif" w:hAnsi="Adelle Sans;sans-serif"/>
          <w:b/>
          <w:color w:val="000000"/>
          <w:sz w:val="16"/>
        </w:rPr>
        <w:t>For the quarterly period ended April 30, 2023</w:t>
      </w:r>
    </w:p>
    <w:p>
      <w:pPr>
        <w:pStyle w:val="TextBody"/>
        <w:bidi w:val="0"/>
        <w:spacing w:lineRule="auto" w:line="256" w:before="60" w:after="283"/>
        <w:jc w:val="center"/>
        <w:rPr>
          <w:rFonts w:ascii="Adelle Sans;sans-serif" w:hAnsi="Adelle Sans;sans-serif"/>
          <w:b/>
          <w:color w:val="000000"/>
          <w:sz w:val="16"/>
        </w:rPr>
      </w:pPr>
      <w:r>
        <w:rPr>
          <w:rFonts w:ascii="Adelle Sans;sans-serif" w:hAnsi="Adelle Sans;sans-serif"/>
          <w:b/>
          <w:color w:val="000000"/>
          <w:sz w:val="16"/>
        </w:rPr>
        <w:t>OR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TRANSITION REPORT PURSUANT TO SECTION 13 OR 15(d) OF THE SECURITIES EXCHANGE ACT OF 1934</w:t>
            </w:r>
          </w:p>
        </w:tc>
      </w:tr>
    </w:tbl>
    <w:p>
      <w:pPr>
        <w:pStyle w:val="TextBody"/>
        <w:bidi w:val="0"/>
        <w:spacing w:lineRule="auto" w:line="256" w:before="0" w:after="0"/>
        <w:jc w:val="center"/>
        <w:rPr/>
      </w:pPr>
      <w:r>
        <w:rPr>
          <w:rFonts w:ascii="Adelle Sans;sans-serif" w:hAnsi="Adelle Sans;sans-serif"/>
          <w:b/>
          <w:color w:val="000000"/>
          <w:sz w:val="16"/>
        </w:rPr>
        <w:t xml:space="preserve">For the transition period from </w:t>
      </w:r>
      <w:r>
        <w:rPr>
          <w:color w:val="000000"/>
          <w:u w:val="single"/>
        </w:rPr>
        <w:t>                    </w:t>
      </w:r>
      <w:r>
        <w:rPr>
          <w:color w:val="000000"/>
        </w:rPr>
        <w:t xml:space="preserve"> </w:t>
      </w:r>
      <w:r>
        <w:rPr>
          <w:rFonts w:ascii="Adelle Sans;sans-serif" w:hAnsi="Adelle Sans;sans-serif"/>
          <w:b/>
          <w:color w:val="000000"/>
          <w:sz w:val="16"/>
        </w:rPr>
        <w:t xml:space="preserve">to </w:t>
      </w:r>
      <w:r>
        <w:rPr>
          <w:color w:val="000000"/>
          <w:u w:val="single"/>
        </w:rPr>
        <w:t>                    </w:t>
      </w:r>
    </w:p>
    <w:p>
      <w:pPr>
        <w:pStyle w:val="TextBody"/>
        <w:bidi w:val="0"/>
        <w:spacing w:lineRule="auto" w:line="256" w:before="60" w:after="283"/>
        <w:jc w:val="center"/>
        <w:rPr>
          <w:rFonts w:ascii="Adelle Sans;sans-serif" w:hAnsi="Adelle Sans;sans-serif"/>
          <w:b/>
          <w:color w:val="000000"/>
          <w:sz w:val="16"/>
        </w:rPr>
      </w:pPr>
      <w:r>
        <w:rPr>
          <w:rFonts w:ascii="Adelle Sans;sans-serif" w:hAnsi="Adelle Sans;sans-serif"/>
          <w:b/>
          <w:color w:val="000000"/>
          <w:sz w:val="16"/>
        </w:rPr>
        <w:t>Commission file number: 001-39561</w:t>
      </w:r>
    </w:p>
    <w:p>
      <w:pPr>
        <w:pStyle w:val="TextBody"/>
        <w:bidi w:val="0"/>
        <w:spacing w:lineRule="auto" w:line="288" w:before="0" w:after="120"/>
        <w:jc w:val="center"/>
        <w:rPr>
          <w:rFonts w:ascii="Adelle Sans;sans-serif" w:hAnsi="Adelle Sans;sans-serif"/>
          <w:b w:val="false"/>
          <w:color w:val="000000"/>
          <w:sz w:val="12"/>
          <w:u w:val="single"/>
        </w:rPr>
      </w:pPr>
      <w:r>
        <w:rPr>
          <w:rFonts w:ascii="Adelle Sans;sans-serif" w:hAnsi="Adelle Sans;sans-serif"/>
          <w:b w:val="false"/>
          <w:color w:val="000000"/>
          <w:sz w:val="12"/>
          <w:u w:val="single"/>
        </w:rPr>
        <w:t>_____________</w:t>
      </w:r>
    </w:p>
    <w:p>
      <w:pPr>
        <w:pStyle w:val="TextBody"/>
        <w:bidi w:val="0"/>
        <w:spacing w:before="0" w:after="0"/>
        <w:ind w:left="0" w:right="0" w:firstLine="720"/>
        <w:jc w:val="left"/>
        <w:rPr/>
      </w:pPr>
      <w:r>
        <w:rPr/>
      </w:r>
    </w:p>
    <w:p>
      <w:pPr>
        <w:pStyle w:val="TextBody"/>
        <w:bidi w:val="0"/>
        <w:spacing w:lineRule="auto" w:line="288" w:before="0" w:after="0"/>
        <w:jc w:val="center"/>
        <w:rPr>
          <w:rFonts w:ascii="Adelle Sans;sans-serif" w:hAnsi="Adelle Sans;sans-serif"/>
          <w:b/>
          <w:color w:val="000000"/>
          <w:sz w:val="36"/>
        </w:rPr>
      </w:pPr>
      <w:r>
        <w:rPr>
          <w:rFonts w:ascii="Adelle Sans;sans-serif" w:hAnsi="Adelle Sans;sans-serif"/>
          <w:b/>
          <w:color w:val="000000"/>
          <w:sz w:val="36"/>
        </w:rPr>
        <w:t>MISSION PRODUCE, INC.</w:t>
      </w:r>
    </w:p>
    <w:p>
      <w:pPr>
        <w:pStyle w:val="TextBody"/>
        <w:bidi w:val="0"/>
        <w:spacing w:lineRule="auto" w:line="256" w:before="0" w:after="0"/>
        <w:jc w:val="center"/>
        <w:rPr>
          <w:rFonts w:ascii="Adelle Sans;sans-serif" w:hAnsi="Adelle Sans;sans-serif"/>
          <w:b/>
          <w:color w:val="000000"/>
          <w:sz w:val="16"/>
        </w:rPr>
      </w:pPr>
      <w:r>
        <w:rPr>
          <w:rFonts w:ascii="Adelle Sans;sans-serif" w:hAnsi="Adelle Sans;sans-serif"/>
          <w:b/>
          <w:color w:val="000000"/>
          <w:sz w:val="16"/>
        </w:rPr>
        <w:t>(Exact name of Registrant as specified in its charter)</w:t>
      </w:r>
    </w:p>
    <w:p>
      <w:pPr>
        <w:pStyle w:val="TextBody"/>
        <w:bidi w:val="0"/>
        <w:spacing w:lineRule="auto" w:line="288" w:before="0" w:after="0"/>
        <w:ind w:left="0" w:right="0" w:firstLine="720"/>
        <w:jc w:val="center"/>
        <w:rPr>
          <w:rFonts w:ascii="Adelle Sans;sans-serif" w:hAnsi="Adelle Sans;sans-serif"/>
          <w:b w:val="false"/>
          <w:color w:val="000000"/>
          <w:sz w:val="12"/>
          <w:u w:val="single"/>
        </w:rPr>
      </w:pPr>
      <w:r>
        <w:rPr>
          <w:rFonts w:ascii="Adelle Sans;sans-serif" w:hAnsi="Adelle Sans;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center"/>
        <w:rPr>
          <w:rFonts w:ascii="Adelle Sans;sans-serif" w:hAnsi="Adelle Sans;sans-serif"/>
          <w:b/>
          <w:color w:val="000000"/>
          <w:sz w:val="16"/>
        </w:rPr>
      </w:pPr>
      <w:r>
        <w:rPr>
          <w:rFonts w:ascii="Adelle Sans;sans-serif" w:hAnsi="Adelle Sans;sans-serif"/>
          <w:b/>
          <w:color w:val="000000"/>
          <w:sz w:val="16"/>
        </w:rPr>
        <w:t>Delaware</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(State or Other Jurisdiction of</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Incorporation or Organization)</w:t>
      </w:r>
    </w:p>
    <w:p>
      <w:pPr>
        <w:pStyle w:val="TextBody"/>
        <w:bidi w:val="0"/>
        <w:spacing w:lineRule="auto" w:line="288" w:before="180" w:after="283"/>
        <w:jc w:val="center"/>
        <w:rPr>
          <w:rFonts w:ascii="Adelle Sans;sans-serif" w:hAnsi="Adelle Sans;sans-serif"/>
          <w:b/>
          <w:color w:val="000000"/>
          <w:sz w:val="16"/>
        </w:rPr>
      </w:pPr>
      <w:r>
        <w:rPr>
          <w:rFonts w:ascii="Adelle Sans;sans-serif" w:hAnsi="Adelle Sans;sans-serif"/>
          <w:b/>
          <w:color w:val="000000"/>
          <w:sz w:val="16"/>
        </w:rPr>
        <w:t>2710 Camino Del Sol</w:t>
      </w:r>
    </w:p>
    <w:p>
      <w:pPr>
        <w:pStyle w:val="TextBody"/>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Oxnard, California</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(Address of Principal Executive Offices)</w:t>
      </w:r>
    </w:p>
    <w:p>
      <w:pPr>
        <w:pStyle w:val="TextBody"/>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95-3847744</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(I.R.S. Employer</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Identification No.)</w:t>
      </w:r>
    </w:p>
    <w:p>
      <w:pPr>
        <w:pStyle w:val="TextBody"/>
        <w:bidi w:val="0"/>
        <w:spacing w:lineRule="auto" w:line="288" w:before="180" w:after="283"/>
        <w:jc w:val="center"/>
        <w:rPr>
          <w:rFonts w:ascii="Adelle Sans;sans-serif" w:hAnsi="Adelle Sans;sans-serif"/>
          <w:b/>
          <w:color w:val="000000"/>
          <w:sz w:val="16"/>
        </w:rPr>
      </w:pPr>
      <w:r>
        <w:rPr>
          <w:rFonts w:ascii="Adelle Sans;sans-serif" w:hAnsi="Adelle Sans;sans-serif"/>
          <w:b/>
          <w:color w:val="000000"/>
          <w:sz w:val="16"/>
        </w:rPr>
        <w:t>93030</w:t>
      </w:r>
    </w:p>
    <w:p>
      <w:pPr>
        <w:pStyle w:val="TextBody"/>
        <w:bidi w:val="0"/>
        <w:spacing w:lineRule="auto" w:line="288" w:before="0" w:after="0"/>
        <w:jc w:val="center"/>
        <w:rPr>
          <w:rFonts w:ascii="Adelle Sans;sans-serif" w:hAnsi="Adelle Sans;sans-serif"/>
          <w:b/>
          <w:color w:val="000000"/>
          <w:sz w:val="15"/>
        </w:rPr>
      </w:pPr>
      <w:r>
        <w:rPr>
          <w:rFonts w:ascii="Adelle Sans;sans-serif" w:hAnsi="Adelle Sans;sans-serif"/>
          <w:b/>
          <w:color w:val="000000"/>
          <w:sz w:val="15"/>
        </w:rPr>
        <w:t>(Zip Code)</w:t>
      </w:r>
    </w:p>
    <w:p>
      <w:pPr>
        <w:pStyle w:val="TextBody"/>
        <w:bidi w:val="0"/>
        <w:spacing w:before="0" w:after="0"/>
        <w:jc w:val="center"/>
        <w:rPr/>
      </w:pPr>
      <w:r>
        <w:rPr/>
      </w:r>
    </w:p>
    <w:p>
      <w:pPr>
        <w:pStyle w:val="TextBody"/>
        <w:bidi w:val="0"/>
        <w:spacing w:lineRule="auto" w:line="256" w:before="0" w:after="0"/>
        <w:jc w:val="center"/>
        <w:rPr>
          <w:rFonts w:ascii="Adelle Sans;sans-serif" w:hAnsi="Adelle Sans;sans-serif"/>
          <w:b/>
          <w:color w:val="000000"/>
          <w:sz w:val="16"/>
        </w:rPr>
      </w:pPr>
      <w:r>
        <w:rPr>
          <w:rFonts w:ascii="Adelle Sans;sans-serif" w:hAnsi="Adelle Sans;sans-serif"/>
          <w:b/>
          <w:color w:val="000000"/>
          <w:sz w:val="16"/>
        </w:rPr>
        <w:t>Registrant’s Telephone Number, Including Area Code: (805) 981-3650</w:t>
      </w:r>
    </w:p>
    <w:p>
      <w:pPr>
        <w:pStyle w:val="TextBody"/>
        <w:bidi w:val="0"/>
        <w:spacing w:lineRule="auto" w:line="288" w:before="0" w:after="120"/>
        <w:jc w:val="center"/>
        <w:rPr>
          <w:rFonts w:ascii="Adelle Sans;sans-serif" w:hAnsi="Adelle Sans;sans-serif"/>
          <w:b w:val="false"/>
          <w:color w:val="000000"/>
          <w:sz w:val="12"/>
          <w:u w:val="single"/>
        </w:rPr>
      </w:pPr>
      <w:r>
        <w:rPr>
          <w:rFonts w:ascii="Adelle Sans;sans-serif" w:hAnsi="Adelle Sans;sans-serif"/>
          <w:b w:val="false"/>
          <w:color w:val="000000"/>
          <w:sz w:val="12"/>
          <w:u w:val="single"/>
        </w:rPr>
        <w:t>_____________</w:t>
      </w:r>
    </w:p>
    <w:p>
      <w:pPr>
        <w:pStyle w:val="TextBody"/>
        <w:bidi w:val="0"/>
        <w:spacing w:lineRule="auto" w:line="256" w:before="60" w:after="283"/>
        <w:jc w:val="center"/>
        <w:rPr>
          <w:rFonts w:ascii="Adelle Sans;sans-serif" w:hAnsi="Adelle Sans;sans-serif"/>
          <w:b/>
          <w:color w:val="000000"/>
          <w:sz w:val="16"/>
        </w:rPr>
      </w:pPr>
      <w:r>
        <w:rPr>
          <w:rFonts w:ascii="Adelle Sans;sans-serif" w:hAnsi="Adelle Sans;sans-serif"/>
          <w:b/>
          <w:color w:val="000000"/>
          <w:sz w:val="16"/>
        </w:rPr>
        <w:t xml:space="preserve">Securities registered pursuant to Section 12(b) of the Act: </w:t>
      </w:r>
    </w:p>
    <w:p>
      <w:pPr>
        <w:pStyle w:val="TextBody"/>
        <w:bidi w:val="0"/>
        <w:spacing w:before="0" w:after="0"/>
        <w:jc w:val="center"/>
        <w:rPr/>
      </w:pPr>
      <w:r>
        <w:rPr/>
      </w:r>
    </w:p>
    <w:p>
      <w:pPr>
        <w:pStyle w:val="TextBody"/>
        <w:bidi w:val="0"/>
        <w:spacing w:lineRule="auto" w:line="256"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06"/>
        <w:gridCol w:w="1208"/>
        <w:gridCol w:w="1221"/>
        <w:gridCol w:w="109"/>
        <w:gridCol w:w="109"/>
        <w:gridCol w:w="109"/>
        <w:gridCol w:w="578"/>
        <w:gridCol w:w="578"/>
        <w:gridCol w:w="580"/>
        <w:gridCol w:w="109"/>
        <w:gridCol w:w="109"/>
        <w:gridCol w:w="109"/>
        <w:gridCol w:w="1164"/>
        <w:gridCol w:w="1164"/>
        <w:gridCol w:w="1652"/>
      </w:tblGrid>
      <w:tr>
        <w:trPr/>
        <w:tc>
          <w:tcPr>
            <w:tcW w:w="140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 of each exchange on which registered</w:t>
            </w:r>
          </w:p>
        </w:tc>
      </w:tr>
      <w:tr>
        <w:trPr/>
        <w:tc>
          <w:tcPr>
            <w:tcW w:w="3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NASDAQ Global Select Market</w:t>
            </w:r>
          </w:p>
        </w:tc>
      </w:tr>
    </w:tbl>
    <w:p>
      <w:pPr>
        <w:pStyle w:val="TextBody"/>
        <w:bidi w:val="0"/>
        <w:spacing w:before="0" w:after="120"/>
        <w:ind w:left="0" w:right="0" w:firstLine="720"/>
        <w:jc w:val="center"/>
        <w:rPr/>
      </w:pPr>
      <w:r>
        <w:rPr/>
      </w:r>
    </w:p>
    <w:p>
      <w:pPr>
        <w:pStyle w:val="TextBody"/>
        <w:bidi w:val="0"/>
        <w:spacing w:lineRule="auto" w:line="256" w:before="60" w:after="283"/>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56" w:before="60" w:after="283"/>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56" w:before="60" w:after="283"/>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firstLine="720"/>
        <w:jc w:val="left"/>
        <w:rPr/>
      </w:pPr>
      <w:r>
        <w:rPr/>
      </w:r>
    </w:p>
    <w:tbl>
      <w:tblPr>
        <w:tblW w:w="5136"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109"/>
        <w:gridCol w:w="109"/>
        <w:gridCol w:w="109"/>
        <w:gridCol w:w="689"/>
        <w:gridCol w:w="689"/>
        <w:gridCol w:w="69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56" w:before="0" w:after="0"/>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56" w:before="60" w:after="283"/>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Indicate by check mark whether the registrant is a shell company (as defined in Rule 12b-2 of the Act). Yes  ☐    No  ☒</w:t>
      </w:r>
    </w:p>
    <w:p>
      <w:pPr>
        <w:pStyle w:val="TextBody"/>
        <w:bidi w:val="0"/>
        <w:spacing w:lineRule="auto" w:line="256" w:before="60" w:after="283"/>
        <w:ind w:left="0" w:right="0" w:firstLine="490"/>
        <w:jc w:val="left"/>
        <w:rPr>
          <w:rFonts w:ascii="Adelle Sans;sans-serif" w:hAnsi="Adelle Sans;sans-serif"/>
          <w:b w:val="false"/>
          <w:color w:val="000000"/>
          <w:sz w:val="14"/>
        </w:rPr>
      </w:pPr>
      <w:r>
        <w:rPr>
          <w:rFonts w:ascii="Adelle Sans;sans-serif" w:hAnsi="Adelle Sans;sans-serif"/>
          <w:b w:val="false"/>
          <w:color w:val="000000"/>
          <w:sz w:val="14"/>
        </w:rPr>
        <w:t xml:space="preserve">As of May 25, 2023, the registrant had 70,785,602 shares of common stock at $0.001 par value outstanding. </w:t>
      </w:r>
    </w:p>
    <w:p>
      <w:pPr>
        <w:pStyle w:val="TextBody"/>
        <w:bidi w:val="0"/>
        <w:spacing w:before="60" w:after="283"/>
        <w:ind w:left="0" w:right="0" w:firstLine="720"/>
        <w:jc w:val="center"/>
        <w:rPr/>
      </w:pPr>
      <w:r>
        <w:rPr/>
      </w:r>
    </w:p>
    <w:p>
      <w:pPr>
        <w:pStyle w:val="TextBody"/>
        <w:bidi w:val="0"/>
        <w:spacing w:before="60" w:after="283"/>
        <w:ind w:left="0" w:right="0" w:firstLine="49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120"/>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120" w:after="120"/>
        <w:jc w:val="center"/>
        <w:rPr>
          <w:rFonts w:ascii="Adelle Sans;sans-serif" w:hAnsi="Adelle Sans;sans-serif"/>
          <w:b/>
          <w:color w:val="000000"/>
          <w:sz w:val="24"/>
        </w:rPr>
      </w:pPr>
      <w:r>
        <w:rPr>
          <w:rFonts w:ascii="Adelle Sans;sans-serif" w:hAnsi="Adelle Sans;sans-serif"/>
          <w:b/>
          <w:color w:val="000000"/>
          <w:sz w:val="24"/>
        </w:rPr>
        <w:t>TABLE OF CONTENTS</w:t>
      </w:r>
    </w:p>
    <w:p>
      <w:pPr>
        <w:pStyle w:val="TextBody"/>
        <w:bidi w:val="0"/>
        <w:spacing w:before="120" w:after="120"/>
        <w:jc w:val="center"/>
        <w:rPr/>
      </w:pPr>
      <w:r>
        <w:rPr/>
      </w:r>
    </w:p>
    <w:p>
      <w:pPr>
        <w:pStyle w:val="TextBody"/>
        <w:bidi w:val="0"/>
        <w:spacing w:lineRule="auto" w:line="288" w:before="120" w:after="120"/>
        <w:jc w:val="center"/>
        <w:rPr>
          <w:rFonts w:ascii="Adelle Sans;sans-serif" w:hAnsi="Adelle Sans;sans-serif"/>
          <w:b/>
          <w:color w:val="000000"/>
          <w:sz w:val="24"/>
        </w:rPr>
      </w:pPr>
      <w:r>
        <w:rPr>
          <w:rFonts w:ascii="Adelle Sans;sans-serif" w:hAnsi="Adelle Sans;sans-serif"/>
          <w:b/>
          <w:color w:val="000000"/>
          <w:sz w:val="24"/>
        </w:rPr>
        <w:t>FORM 10-Q</w:t>
      </w:r>
    </w:p>
    <w:p>
      <w:pPr>
        <w:pStyle w:val="TextBody"/>
        <w:bidi w:val="0"/>
        <w:spacing w:lineRule="auto" w:line="288" w:before="120" w:after="120"/>
        <w:jc w:val="center"/>
        <w:rPr>
          <w:rFonts w:ascii="Adelle Sans;sans-serif" w:hAnsi="Adelle Sans;sans-serif"/>
          <w:b/>
          <w:color w:val="000000"/>
          <w:sz w:val="24"/>
        </w:rPr>
      </w:pPr>
      <w:r>
        <w:rPr>
          <w:rFonts w:ascii="Adelle Sans;sans-serif" w:hAnsi="Adelle Sans;sans-serif"/>
          <w:b/>
          <w:color w:val="000000"/>
          <w:sz w:val="24"/>
        </w:rPr>
        <w:t>FISCAL SECOND QUARTER 2023</w:t>
      </w:r>
    </w:p>
    <w:p>
      <w:pPr>
        <w:pStyle w:val="TextBody"/>
        <w:bidi w:val="0"/>
        <w:spacing w:before="120" w:after="120"/>
        <w:jc w:val="center"/>
        <w:rPr/>
      </w:pPr>
      <w:r>
        <w:rPr/>
      </w:r>
    </w:p>
    <w:p>
      <w:pPr>
        <w:pStyle w:val="TextBody"/>
        <w:bidi w:val="0"/>
        <w:spacing w:before="0" w:after="0"/>
        <w:ind w:left="0" w:right="0" w:firstLine="720"/>
        <w:jc w:val="left"/>
        <w:rPr/>
      </w:pPr>
      <w:r>
        <w:rPr/>
      </w:r>
    </w:p>
    <w:tbl>
      <w:tblPr>
        <w:tblW w:w="9727" w:type="dxa"/>
        <w:jc w:val="center"/>
        <w:tblInd w:w="0" w:type="dxa"/>
        <w:tblLayout w:type="fixed"/>
        <w:tblCellMar>
          <w:top w:w="28" w:type="dxa"/>
          <w:left w:w="28" w:type="dxa"/>
          <w:bottom w:w="28" w:type="dxa"/>
          <w:right w:w="28" w:type="dxa"/>
        </w:tblCellMar>
      </w:tblPr>
      <w:tblGrid>
        <w:gridCol w:w="360"/>
        <w:gridCol w:w="317"/>
        <w:gridCol w:w="317"/>
        <w:gridCol w:w="317"/>
        <w:gridCol w:w="317"/>
        <w:gridCol w:w="317"/>
        <w:gridCol w:w="2447"/>
        <w:gridCol w:w="2447"/>
        <w:gridCol w:w="2516"/>
        <w:gridCol w:w="109"/>
        <w:gridCol w:w="109"/>
        <w:gridCol w:w="154"/>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5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06">
              <w:r>
                <w:rPr>
                  <w:rStyle w:val="InternetLink"/>
                  <w:rFonts w:ascii="Adelle Sans;sans-serif" w:hAnsi="Adelle Sans;sans-serif"/>
                  <w:b w:val="false"/>
                  <w:color w:val="0000FF"/>
                  <w:sz w:val="16"/>
                  <w:u w:val="single"/>
                </w:rPr>
                <w:t>PART I- FINANCIAL INFORMATION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3">
              <w:r>
                <w:rPr>
                  <w:rStyle w:val="InternetLink"/>
                  <w:rFonts w:ascii="Adelle Sans;sans-serif" w:hAnsi="Adelle Sans;sans-serif"/>
                  <w:b w:val="false"/>
                  <w:color w:val="0000FF"/>
                  <w:sz w:val="16"/>
                  <w:u w:val="single"/>
                </w:rPr>
                <w:t>5</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Item 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6">
              <w:r>
                <w:rPr>
                  <w:rStyle w:val="InternetLink"/>
                  <w:rFonts w:ascii="Adelle Sans;sans-serif" w:hAnsi="Adelle Sans;sans-serif"/>
                  <w:b w:val="false"/>
                  <w:color w:val="0000FF"/>
                  <w:sz w:val="16"/>
                  <w:u w:val="single"/>
                </w:rPr>
                <w:t>5</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9">
              <w:r>
                <w:rPr>
                  <w:rStyle w:val="InternetLink"/>
                  <w:rFonts w:ascii="Adelle Sans;sans-serif" w:hAnsi="Adelle Sans;sans-serif"/>
                  <w:b w:val="false"/>
                  <w:color w:val="0000FF"/>
                  <w:sz w:val="16"/>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9">
              <w:r>
                <w:rPr>
                  <w:rStyle w:val="InternetLink"/>
                  <w:rFonts w:ascii="Adelle Sans;sans-serif" w:hAnsi="Adelle Sans;sans-serif"/>
                  <w:b w:val="false"/>
                  <w:color w:val="0000FF"/>
                  <w:sz w:val="16"/>
                  <w:u w:val="single"/>
                </w:rPr>
                <w:t>5</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22">
              <w:r>
                <w:rPr>
                  <w:rStyle w:val="InternetLink"/>
                  <w:rFonts w:ascii="Adelle Sans;sans-serif" w:hAnsi="Adelle Sans;sans-serif"/>
                  <w:b w:val="false"/>
                  <w:color w:val="0000FF"/>
                  <w:sz w:val="16"/>
                  <w:u w:val="single"/>
                </w:rPr>
                <w:t>Condensed Consolidated Statements of</w:t>
              </w:r>
            </w:hyperlink>
            <w:hyperlink w:anchor="iec92318f21db4cb9a9e6061f4ecb767b_22">
              <w:r>
                <w:rPr>
                  <w:rStyle w:val="InternetLink"/>
                  <w:color w:val="3051F2"/>
                  <w:u w:val="single"/>
                </w:rPr>
                <w:t xml:space="preserve"> </w:t>
              </w:r>
            </w:hyperlink>
            <w:r>
              <w:rPr>
                <w:rFonts w:ascii="Adelle Sans;sans-serif" w:hAnsi="Adelle Sans;sans-serif"/>
                <w:b w:val="false"/>
                <w:color w:val="3051F2"/>
                <w:sz w:val="16"/>
                <w:u w:val="single"/>
              </w:rPr>
              <w:t>(Loss) 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22">
              <w:r>
                <w:rPr>
                  <w:rStyle w:val="InternetLink"/>
                  <w:rFonts w:ascii="Adelle Sans;sans-serif" w:hAnsi="Adelle Sans;sans-serif"/>
                  <w:b w:val="false"/>
                  <w:color w:val="0000FF"/>
                  <w:sz w:val="16"/>
                  <w:u w:val="single"/>
                </w:rPr>
                <w:t>6</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25">
              <w:r>
                <w:rPr>
                  <w:rStyle w:val="InternetLink"/>
                  <w:rFonts w:ascii="Adelle Sans;sans-serif" w:hAnsi="Adelle Sans;sans-serif"/>
                  <w:b w:val="false"/>
                  <w:color w:val="0000FF"/>
                  <w:sz w:val="16"/>
                  <w:u w:val="single"/>
                </w:rPr>
                <w:t>Condensed Consolidated Statements of</w:t>
              </w:r>
            </w:hyperlink>
            <w:hyperlink w:anchor="iec92318f21db4cb9a9e6061f4ecb767b_25">
              <w:r>
                <w:rPr>
                  <w:rStyle w:val="InternetLink"/>
                  <w:color w:val="3051F2"/>
                  <w:u w:val="single"/>
                </w:rPr>
                <w:t xml:space="preserve"> </w:t>
              </w:r>
            </w:hyperlink>
            <w:r>
              <w:rPr>
                <w:rFonts w:ascii="Adelle Sans;sans-serif" w:hAnsi="Adelle Sans;sans-serif"/>
                <w:b w:val="false"/>
                <w:color w:val="3051F2"/>
                <w:sz w:val="16"/>
                <w:u w:val="single"/>
              </w:rPr>
              <w:t>Comprehensive (Loss) Income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25">
              <w:r>
                <w:rPr>
                  <w:rStyle w:val="InternetLink"/>
                  <w:rFonts w:ascii="Adelle Sans;sans-serif" w:hAnsi="Adelle Sans;sans-serif"/>
                  <w:b w:val="false"/>
                  <w:color w:val="0000FF"/>
                  <w:sz w:val="16"/>
                  <w:u w:val="single"/>
                </w:rPr>
                <w:t>7</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28">
              <w:r>
                <w:rPr>
                  <w:rStyle w:val="InternetLink"/>
                  <w:rFonts w:ascii="Adelle Sans;sans-serif" w:hAnsi="Adelle Sans;sans-serif"/>
                  <w:b w:val="false"/>
                  <w:color w:val="0000FF"/>
                  <w:sz w:val="16"/>
                  <w:u w:val="single"/>
                </w:rPr>
                <w:t>Condensed Consolidated Statements of Changes in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28">
              <w:r>
                <w:rPr>
                  <w:rStyle w:val="InternetLink"/>
                  <w:rFonts w:ascii="Adelle Sans;sans-serif" w:hAnsi="Adelle Sans;sans-serif"/>
                  <w:b w:val="false"/>
                  <w:color w:val="0000FF"/>
                  <w:sz w:val="16"/>
                  <w:u w:val="single"/>
                </w:rPr>
                <w:t>8</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31">
              <w:r>
                <w:rPr>
                  <w:rStyle w:val="InternetLink"/>
                  <w:rFonts w:ascii="Adelle Sans;sans-serif" w:hAnsi="Adelle Sans;sans-serif"/>
                  <w:b w:val="false"/>
                  <w:color w:val="0000FF"/>
                  <w:sz w:val="16"/>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31">
              <w:r>
                <w:rPr>
                  <w:rStyle w:val="InternetLink"/>
                  <w:rFonts w:ascii="Adelle Sans;sans-serif" w:hAnsi="Adelle Sans;sans-serif"/>
                  <w:b w:val="false"/>
                  <w:color w:val="0000FF"/>
                  <w:sz w:val="16"/>
                  <w:u w:val="single"/>
                </w:rPr>
                <w:t>9</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34">
              <w:r>
                <w:rPr>
                  <w:rStyle w:val="InternetLink"/>
                  <w:rFonts w:ascii="Adelle Sans;sans-serif" w:hAnsi="Adelle Sans;sans-serif"/>
                  <w:b w:val="false"/>
                  <w:color w:val="0000FF"/>
                  <w:sz w:val="16"/>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34">
              <w:r>
                <w:rPr>
                  <w:rStyle w:val="InternetLink"/>
                  <w:rFonts w:ascii="Adelle Sans;sans-serif" w:hAnsi="Adelle Sans;sans-serif"/>
                  <w:b w:val="false"/>
                  <w:color w:val="0000FF"/>
                  <w:sz w:val="16"/>
                  <w:u w:val="single"/>
                </w:rPr>
                <w:t>11</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85">
              <w:r>
                <w:rPr>
                  <w:rStyle w:val="InternetLink"/>
                  <w:rFonts w:ascii="Adelle Sans;sans-serif" w:hAnsi="Adelle Sans;sans-serif"/>
                  <w:b w:val="false"/>
                  <w:color w:val="0000FF"/>
                  <w:sz w:val="16"/>
                  <w:u w:val="single"/>
                </w:rPr>
                <w:t>Item 2.</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85">
              <w:r>
                <w:rPr>
                  <w:rStyle w:val="InternetLink"/>
                  <w:rFonts w:ascii="Adelle Sans;sans-serif" w:hAnsi="Adelle Sans;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85">
              <w:r>
                <w:rPr>
                  <w:rStyle w:val="InternetLink"/>
                  <w:rFonts w:ascii="Adelle Sans;sans-serif" w:hAnsi="Adelle Sans;sans-serif"/>
                  <w:b w:val="false"/>
                  <w:color w:val="0000FF"/>
                  <w:sz w:val="16"/>
                  <w:u w:val="single"/>
                </w:rPr>
                <w:t>21</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Item 3.</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Quantitative and Qualitative Disclosures About Market Risk</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00">
              <w:r>
                <w:rPr>
                  <w:rStyle w:val="InternetLink"/>
                  <w:rFonts w:ascii="Adelle Sans;sans-serif" w:hAnsi="Adelle Sans;sans-serif"/>
                  <w:b w:val="false"/>
                  <w:color w:val="0000FF"/>
                  <w:sz w:val="16"/>
                  <w:u w:val="single"/>
                </w:rPr>
                <w:t>31</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Item 4.</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FF"/>
                <w:sz w:val="16"/>
                <w:u w:val="single"/>
              </w:rPr>
            </w:pPr>
            <w:r>
              <w:rPr>
                <w:rFonts w:ascii="Adelle Sans;sans-serif" w:hAnsi="Adelle Sans;sans-serif"/>
                <w:b w:val="false"/>
                <w:color w:val="0000FF"/>
                <w:sz w:val="16"/>
                <w:u w:val="single"/>
              </w:rPr>
              <w:t>Controls and Procedures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03">
              <w:r>
                <w:rPr>
                  <w:rStyle w:val="InternetLink"/>
                  <w:rFonts w:ascii="Adelle Sans;sans-serif" w:hAnsi="Adelle Sans;sans-serif"/>
                  <w:b w:val="false"/>
                  <w:color w:val="0000FF"/>
                  <w:sz w:val="16"/>
                  <w:u w:val="single"/>
                </w:rPr>
                <w:t>31</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3">
              <w:r>
                <w:rPr>
                  <w:rStyle w:val="InternetLink"/>
                  <w:rFonts w:ascii="Adelle Sans;sans-serif" w:hAnsi="Adelle Sans;sans-serif"/>
                  <w:b w:val="false"/>
                  <w:color w:val="0000FF"/>
                  <w:sz w:val="16"/>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06">
              <w:r>
                <w:rPr>
                  <w:rStyle w:val="InternetLink"/>
                  <w:rFonts w:ascii="Adelle Sans;sans-serif" w:hAnsi="Adelle Sans;sans-serif"/>
                  <w:b w:val="false"/>
                  <w:color w:val="0000FF"/>
                  <w:sz w:val="16"/>
                  <w:u w:val="single"/>
                </w:rPr>
                <w:t>32</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09">
              <w:r>
                <w:rPr>
                  <w:rStyle w:val="InternetLink"/>
                  <w:rFonts w:ascii="Adelle Sans;sans-serif" w:hAnsi="Adelle Sans;sans-serif"/>
                  <w:b w:val="false"/>
                  <w:color w:val="0000FF"/>
                  <w:sz w:val="16"/>
                  <w:u w:val="single"/>
                </w:rPr>
                <w:t>Item 1.</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09">
              <w:r>
                <w:rPr>
                  <w:rStyle w:val="InternetLink"/>
                  <w:rFonts w:ascii="Adelle Sans;sans-serif" w:hAnsi="Adelle Sans;sans-serif"/>
                  <w:b w:val="false"/>
                  <w:color w:val="0000FF"/>
                  <w:sz w:val="16"/>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09">
              <w:r>
                <w:rPr>
                  <w:rStyle w:val="InternetLink"/>
                  <w:rFonts w:ascii="Adelle Sans;sans-serif" w:hAnsi="Adelle Sans;sans-serif"/>
                  <w:b w:val="false"/>
                  <w:color w:val="0000FF"/>
                  <w:sz w:val="16"/>
                  <w:u w:val="single"/>
                </w:rPr>
                <w:t>32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2">
              <w:r>
                <w:rPr>
                  <w:rStyle w:val="InternetLink"/>
                  <w:rFonts w:ascii="Adelle Sans;sans-serif" w:hAnsi="Adelle Sans;sans-serif"/>
                  <w:b w:val="false"/>
                  <w:color w:val="0000FF"/>
                  <w:sz w:val="16"/>
                  <w:u w:val="single"/>
                </w:rPr>
                <w:t>Item 1A.</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2">
              <w:r>
                <w:rPr>
                  <w:rStyle w:val="InternetLink"/>
                  <w:rFonts w:ascii="Adelle Sans;sans-serif" w:hAnsi="Adelle Sans;sans-serif"/>
                  <w:b w:val="false"/>
                  <w:color w:val="0000FF"/>
                  <w:sz w:val="16"/>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12">
              <w:r>
                <w:rPr>
                  <w:rStyle w:val="InternetLink"/>
                  <w:rFonts w:ascii="Adelle Sans;sans-serif" w:hAnsi="Adelle Sans;sans-serif"/>
                  <w:b w:val="false"/>
                  <w:color w:val="0000FF"/>
                  <w:sz w:val="16"/>
                  <w:u w:val="single"/>
                </w:rPr>
                <w:t>32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5">
              <w:r>
                <w:rPr>
                  <w:rStyle w:val="InternetLink"/>
                  <w:rFonts w:ascii="Adelle Sans;sans-serif" w:hAnsi="Adelle Sans;sans-serif"/>
                  <w:b w:val="false"/>
                  <w:color w:val="0000FF"/>
                  <w:sz w:val="16"/>
                  <w:u w:val="single"/>
                </w:rPr>
                <w:t>Item 2.</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5">
              <w:r>
                <w:rPr>
                  <w:rStyle w:val="InternetLink"/>
                  <w:rFonts w:ascii="Adelle Sans;sans-serif" w:hAnsi="Adelle Sans;sans-serif"/>
                  <w:b w:val="false"/>
                  <w:color w:val="0000FF"/>
                  <w:sz w:val="16"/>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15">
              <w:r>
                <w:rPr>
                  <w:rStyle w:val="InternetLink"/>
                  <w:rFonts w:ascii="Adelle Sans;sans-serif" w:hAnsi="Adelle Sans;sans-serif"/>
                  <w:b w:val="false"/>
                  <w:color w:val="0000FF"/>
                  <w:sz w:val="16"/>
                  <w:u w:val="single"/>
                </w:rPr>
                <w:t>32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8">
              <w:r>
                <w:rPr>
                  <w:rStyle w:val="InternetLink"/>
                  <w:rFonts w:ascii="Adelle Sans;sans-serif" w:hAnsi="Adelle Sans;sans-serif"/>
                  <w:b w:val="false"/>
                  <w:color w:val="0000FF"/>
                  <w:sz w:val="16"/>
                  <w:u w:val="single"/>
                </w:rPr>
                <w:t>Item 3.</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18">
              <w:r>
                <w:rPr>
                  <w:rStyle w:val="InternetLink"/>
                  <w:rFonts w:ascii="Adelle Sans;sans-serif" w:hAnsi="Adelle Sans;sans-serif"/>
                  <w:b w:val="false"/>
                  <w:color w:val="0000FF"/>
                  <w:sz w:val="16"/>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18">
              <w:r>
                <w:rPr>
                  <w:rStyle w:val="InternetLink"/>
                  <w:rFonts w:ascii="Adelle Sans;sans-serif" w:hAnsi="Adelle Sans;sans-serif"/>
                  <w:b w:val="false"/>
                  <w:color w:val="0000FF"/>
                  <w:sz w:val="16"/>
                  <w:u w:val="single"/>
                </w:rPr>
                <w:t>32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1">
              <w:r>
                <w:rPr>
                  <w:rStyle w:val="InternetLink"/>
                  <w:rFonts w:ascii="Adelle Sans;sans-serif" w:hAnsi="Adelle Sans;sans-serif"/>
                  <w:b w:val="false"/>
                  <w:color w:val="0000FF"/>
                  <w:sz w:val="16"/>
                  <w:u w:val="single"/>
                </w:rPr>
                <w:t>Item 4.</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1">
              <w:r>
                <w:rPr>
                  <w:rStyle w:val="InternetLink"/>
                  <w:rFonts w:ascii="Adelle Sans;sans-serif" w:hAnsi="Adelle Sans;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21">
              <w:r>
                <w:rPr>
                  <w:rStyle w:val="InternetLink"/>
                  <w:rFonts w:ascii="Adelle Sans;sans-serif" w:hAnsi="Adelle Sans;sans-serif"/>
                  <w:b w:val="false"/>
                  <w:color w:val="0000FF"/>
                  <w:sz w:val="16"/>
                  <w:u w:val="single"/>
                </w:rPr>
                <w:t>33</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4">
              <w:r>
                <w:rPr>
                  <w:rStyle w:val="InternetLink"/>
                  <w:rFonts w:ascii="Adelle Sans;sans-serif" w:hAnsi="Adelle Sans;sans-serif"/>
                  <w:b w:val="false"/>
                  <w:color w:val="0000FF"/>
                  <w:sz w:val="16"/>
                  <w:u w:val="single"/>
                </w:rPr>
                <w:t>Item 5.</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4">
              <w:r>
                <w:rPr>
                  <w:rStyle w:val="InternetLink"/>
                  <w:rFonts w:ascii="Adelle Sans;sans-serif" w:hAnsi="Adelle Sans;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24">
              <w:r>
                <w:rPr>
                  <w:rStyle w:val="InternetLink"/>
                  <w:rFonts w:ascii="Adelle Sans;sans-serif" w:hAnsi="Adelle Sans;sans-serif"/>
                  <w:b w:val="false"/>
                  <w:color w:val="0000FF"/>
                  <w:sz w:val="16"/>
                  <w:u w:val="single"/>
                </w:rPr>
                <w:t>33</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7">
              <w:r>
                <w:rPr>
                  <w:rStyle w:val="InternetLink"/>
                  <w:rFonts w:ascii="Adelle Sans;sans-serif" w:hAnsi="Adelle Sans;sans-serif"/>
                  <w:b w:val="false"/>
                  <w:color w:val="0000FF"/>
                  <w:sz w:val="16"/>
                  <w:u w:val="single"/>
                </w:rPr>
                <w:t>Item 6.</w:t>
              </w:r>
            </w:hyperlink>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27">
              <w:r>
                <w:rPr>
                  <w:rStyle w:val="InternetLink"/>
                  <w:rFonts w:ascii="Adelle Sans;sans-serif" w:hAnsi="Adelle Sans;sans-serif"/>
                  <w:b w:val="false"/>
                  <w:color w:val="0000FF"/>
                  <w:sz w:val="16"/>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27">
              <w:r>
                <w:rPr>
                  <w:rStyle w:val="InternetLink"/>
                  <w:rFonts w:ascii="Adelle Sans;sans-serif" w:hAnsi="Adelle Sans;sans-serif"/>
                  <w:b w:val="false"/>
                  <w:color w:val="0000FF"/>
                  <w:sz w:val="16"/>
                  <w:u w:val="single"/>
                </w:rPr>
                <w:t>33</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92318f21db4cb9a9e6061f4ecb767b_130">
              <w:r>
                <w:rPr>
                  <w:rStyle w:val="InternetLink"/>
                  <w:rFonts w:ascii="Adelle Sans;sans-serif" w:hAnsi="Adelle Sans;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c92318f21db4cb9a9e6061f4ecb767b_130">
              <w:r>
                <w:rPr>
                  <w:rStyle w:val="InternetLink"/>
                  <w:rFonts w:ascii="Adelle Sans;sans-serif" w:hAnsi="Adelle Sans;sans-serif"/>
                  <w:b w:val="false"/>
                  <w:color w:val="0000FF"/>
                  <w:sz w:val="16"/>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center"/>
        <w:rPr>
          <w:rFonts w:ascii="Adelle Sans;sans-serif" w:hAnsi="Adelle Sans;sans-serif"/>
          <w:b/>
          <w:color w:val="000000"/>
          <w:sz w:val="22"/>
        </w:rPr>
      </w:pPr>
      <w:r>
        <w:rPr>
          <w:rFonts w:ascii="Adelle Sans;sans-serif" w:hAnsi="Adelle Sans;sans-serif"/>
          <w:b/>
          <w:color w:val="000000"/>
          <w:sz w:val="22"/>
        </w:rPr>
        <w:t xml:space="preserve">FORWARD LOOKING STATEMENTS </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 xml:space="preserve">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 </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color w:val="000000"/>
          <w:sz w:val="16"/>
        </w:rPr>
        <w:t>Risks related to our business, including: limitations regarding the supply of avocados, either through purchasing or growing; fluctuations in the market price of avocados; increasing competition; risks associated with doing business internationally, including Mexican and Peruvian economic, political and/or societal conditions; inflationary pressures;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seasonality in operating results; failures associated with information technology infrastructure, system security and cyber risks; new and changing privacy laws and our compliance with such laws; food safety events and recalls; failure to comply with laws and regulations, including those promulgated by the USDA and FDA, health and safety laws, environmental laws, and other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and risks associated with the ongoing conflict in Russia and Ukraine.</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color w:val="000000"/>
          <w:sz w:val="16"/>
        </w:rPr>
        <w:t xml:space="preserve">Risks related to our common stock, including: the viability of an active, liquid, and orderly market for our common stock; volatility in the trading price of our common stock; concentration of control in our executive officers, directors and principal stockholders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 </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color w:val="000000"/>
          <w:sz w:val="16"/>
        </w:rPr>
        <w:t>Other risks and factors listed under “Item 1A. Risk Factors” in our most recent Annual Report on Form 10-K for the year ended October 31, 2022 and elsewhere in this report.</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2022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535430"/>
                <wp:effectExtent l="0" t="0" r="0" b="0"/>
                <wp:wrapNone/>
                <wp:docPr id="3" name="Frame3"/>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 xml:space="preserve">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uto" w:line="288" w:before="240" w:after="283"/>
        <w:ind w:left="0" w:right="0" w:firstLine="720"/>
        <w:jc w:val="left"/>
        <w:rPr>
          <w:rFonts w:ascii="Adelle Sans;sans-serif" w:hAnsi="Adelle Sans;sans-serif"/>
          <w:b w:val="false"/>
          <w:color w:val="000000"/>
          <w:sz w:val="16"/>
        </w:rPr>
      </w:pPr>
      <w:r>
        <w:rPr>
          <w:rFonts w:ascii="Adelle Sans;sans-serif" w:hAnsi="Adelle Sans;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535430"/>
                <wp:effectExtent l="0" t="0" r="0" b="0"/>
                <wp:wrapNone/>
                <wp:docPr id="4" name="Frame4"/>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delle Sans;sans-serif" w:hAnsi="Adelle Sans;sans-serif"/>
          <w:b/>
          <w:color w:val="000000"/>
          <w:sz w:val="24"/>
        </w:rPr>
      </w:pPr>
      <w:r>
        <w:rPr>
          <w:rFonts w:ascii="Adelle Sans;sans-serif" w:hAnsi="Adelle Sans;sans-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delle Sans;sans-serif" w:hAnsi="Adelle Sans;sans-serif"/>
          <w:b/>
          <w:color w:val="000000"/>
          <w:sz w:val="24"/>
        </w:rPr>
      </w:pPr>
      <w:r>
        <w:rPr>
          <w:rFonts w:ascii="Adelle Sans;sans-serif" w:hAnsi="Adelle Sans;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MISSION PRODUCE, INC.</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CONDENSED CONSOLIDATED BALANCE SHEETS (UNAUDITED)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41"/>
        <w:gridCol w:w="2404"/>
        <w:gridCol w:w="2424"/>
        <w:gridCol w:w="231"/>
        <w:gridCol w:w="633"/>
        <w:gridCol w:w="139"/>
        <w:gridCol w:w="109"/>
        <w:gridCol w:w="109"/>
        <w:gridCol w:w="109"/>
        <w:gridCol w:w="262"/>
        <w:gridCol w:w="718"/>
        <w:gridCol w:w="226"/>
      </w:tblGrid>
      <w:tr>
        <w:trPr/>
        <w:tc>
          <w:tcPr>
            <w:tcW w:w="2841"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(In millions, except for shares)</w:t>
            </w:r>
          </w:p>
        </w:tc>
        <w:tc>
          <w:tcPr>
            <w:tcW w:w="10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October 31, 2022</w:t>
            </w:r>
          </w:p>
        </w:tc>
      </w:tr>
      <w:tr>
        <w:trPr/>
        <w:tc>
          <w:tcPr>
            <w:tcW w:w="76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2"/>
              </w:rPr>
            </w:pPr>
            <w:r>
              <w:rPr>
                <w:rFonts w:ascii="Adelle Sans;sans-serif" w:hAnsi="Adelle Sans;sans-serif"/>
                <w:b/>
                <w:color w:val="000000"/>
                <w:sz w:val="12"/>
              </w:rPr>
              <w:t>Assets</w:t>
            </w:r>
          </w:p>
        </w:tc>
        <w:tc>
          <w:tcPr>
            <w:tcW w:w="10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Current Assets:</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Cash and cash equivalents</w:t>
            </w:r>
          </w:p>
        </w:tc>
        <w:tc>
          <w:tcPr>
            <w:tcW w:w="23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63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20.9 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71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52.8 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Restricted cash</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Accounts receivable</w:t>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2"/>
              </w:rPr>
            </w:pPr>
            <w:r>
              <w:rPr>
                <w:rFonts w:ascii="Adelle Sans;sans-serif" w:hAnsi="Adelle Sans;sans-serif"/>
                <w:b w:val="false"/>
                <w:color w:val="000000"/>
                <w:sz w:val="12"/>
              </w:rPr>
              <w:t>Trade, net of allowances of $0.5 and $0.3, respectively</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79.0 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62.9 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Grower and fruit advances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4.3 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1.8 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Other</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Inventory</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96.0 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73.1 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Prepaid expenses and other current assets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Income taxes receivable</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12.4 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8.0 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current assets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238.1 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228.1 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Property, plant and equipment, net</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521.1 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489.7 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Operating lease right-of-use assets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74.7 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Equity method investees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26.1 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27.1 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Deferred income tax assets,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Goodwill</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39.4 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39.4 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Intangible asset,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Other assets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21.8 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19.7 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930.6 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879.5 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2"/>
              </w:rPr>
            </w:pPr>
            <w:r>
              <w:rPr>
                <w:rFonts w:ascii="Adelle Sans;sans-serif" w:hAnsi="Adelle Sans;sans-serif"/>
                <w:b/>
                <w:color w:val="000000"/>
                <w:sz w:val="12"/>
              </w:rPr>
              <w:t>Liabilities and Equity</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Liabilities</w:t>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Accounts payable</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Accrued expenses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30.0 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30.1 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Income taxes payable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Grower payables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32.4 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24.3 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Short-term borrowings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Long-term debt—current portion</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3.6 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3.5 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Operating leases—current portion</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Finance leases—current portion</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1.9 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1.2 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current liabilities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104.3 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101.7 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Long-term debt, net of current portion</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170.2 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136.9 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Loans from noncontrolling interest holders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Operating leases, net of current portion</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72.9 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63.9 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Finance leases, net of current portion</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Income taxes payable</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2.3 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3.1 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Deferred income tax liabilities,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Other long-term liabilities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22.1 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19.2 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liabilities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419.2 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356.6 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2"/>
              </w:rPr>
            </w:pPr>
            <w:r>
              <w:rPr>
                <w:rFonts w:ascii="Adelle Sans;sans-serif" w:hAnsi="Adelle Sans;sans-serif"/>
                <w:b w:val="false"/>
                <w:color w:val="000000"/>
                <w:sz w:val="12"/>
              </w:rPr>
              <w:t>Commitments and contingencies (Note 6)</w:t>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Shareholders’ Equity</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2"/>
              </w:rPr>
            </w:pPr>
            <w:r>
              <w:rPr>
                <w:rFonts w:ascii="Adelle Sans;sans-serif" w:hAnsi="Adelle Sans;sans-serif"/>
                <w:b w:val="false"/>
                <w:color w:val="000000"/>
                <w:sz w:val="12"/>
              </w:rPr>
              <w:t>Common stock ($0.001 par value, 1,000,000,000 shares authorized; 70,785,682 and 70,669,535 shares issued and outstanding as of April 30, 2023 and October 31, 2022, respectively)</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0.1 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0.1 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Additional paid-in capital</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230.9 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229.3 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Accumulated other comprehensive loss</w:t>
            </w:r>
          </w:p>
        </w:tc>
        <w:tc>
          <w:tcPr>
            <w:tcW w:w="8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(0.9)</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(1.7)</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Retained earnings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261.0 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274.4 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Mission Produce shareholders' equity</w:t>
            </w:r>
          </w:p>
        </w:tc>
        <w:tc>
          <w:tcPr>
            <w:tcW w:w="8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491.1 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502.1 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Noncontrolling interest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20.8 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equity</w:t>
            </w:r>
          </w:p>
        </w:tc>
        <w:tc>
          <w:tcPr>
            <w:tcW w:w="86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511.4 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522.9 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Total liabilities and equity</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6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930.6 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2"/>
              </w:rPr>
            </w:pPr>
            <w:r>
              <w:rPr>
                <w:rFonts w:ascii="Adelle Sans;sans-serif" w:hAnsi="Adelle Sans;sans-serif"/>
                <w:b w:val="false"/>
                <w:color w:val="000000"/>
                <w:sz w:val="12"/>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2"/>
              </w:rPr>
            </w:pPr>
            <w:r>
              <w:rPr>
                <w:rFonts w:ascii="Adelle Sans;sans-serif" w:hAnsi="Adelle Sans;sans-serif"/>
                <w:b w:val="false"/>
                <w:color w:val="000000"/>
                <w:sz w:val="12"/>
              </w:rPr>
              <w:t>879.5 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delle Sans;sans-serif" w:hAnsi="Adelle Sans;sans-serif"/>
          <w:b w:val="false"/>
          <w:i/>
          <w:color w:val="000000"/>
          <w:sz w:val="14"/>
        </w:rPr>
      </w:pPr>
      <w:r>
        <w:rPr>
          <w:rFonts w:ascii="Adelle Sans;sans-serif" w:hAnsi="Adelle Sans;sans-serif"/>
          <w:b w:val="false"/>
          <w:i/>
          <w:color w:val="000000"/>
          <w:sz w:val="14"/>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35430"/>
                <wp:effectExtent l="0" t="0" r="0" b="0"/>
                <wp:wrapNone/>
                <wp:docPr id="5" name="Frame5"/>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MISSION PRODUCE, INC.</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CONDENSED CONSOLIDATED STATEMENTS OF (LOSS)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9870" w:type="dxa"/>
        <w:jc w:val="center"/>
        <w:tblInd w:w="0" w:type="dxa"/>
        <w:tblLayout w:type="fixed"/>
        <w:tblCellMar>
          <w:top w:w="28" w:type="dxa"/>
          <w:left w:w="28" w:type="dxa"/>
          <w:bottom w:w="28" w:type="dxa"/>
          <w:right w:w="28" w:type="dxa"/>
        </w:tblCellMar>
      </w:tblPr>
      <w:tblGrid>
        <w:gridCol w:w="1847"/>
        <w:gridCol w:w="1621"/>
        <w:gridCol w:w="163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 except for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sales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Gross profit</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Operating (loss) income</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(Loss) income before income taxes</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Provision (benefit)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attributable to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 attributable to Mission Produce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 per share attributable to Mission Produce:</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Diluted</w:t>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(0.07)</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0.03 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(0.19)</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(0.16)</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delle Sans;sans-serif" w:hAnsi="Adelle Sans;sans-serif"/>
          <w:b w:val="false"/>
          <w:i/>
          <w:color w:val="000000"/>
          <w:sz w:val="16"/>
        </w:rPr>
      </w:pPr>
      <w:r>
        <w:rPr>
          <w:rFonts w:ascii="Adelle Sans;sans-serif" w:hAnsi="Adelle Sans;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5430"/>
                <wp:effectExtent l="0" t="0" r="0" b="0"/>
                <wp:wrapNone/>
                <wp:docPr id="6" name="Frame6"/>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MISSION PRODUCE, INC.</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CONDENSED CONSOLIDATED STATEMENTS OF COMPREHENSIVE (LOSS) INCOME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9780" w:type="dxa"/>
        <w:jc w:val="center"/>
        <w:tblInd w:w="0" w:type="dxa"/>
        <w:tblLayout w:type="fixed"/>
        <w:tblCellMar>
          <w:top w:w="28" w:type="dxa"/>
          <w:left w:w="28" w:type="dxa"/>
          <w:bottom w:w="28" w:type="dxa"/>
          <w:right w:w="28" w:type="dxa"/>
        </w:tblCellMar>
      </w:tblPr>
      <w:tblGrid>
        <w:gridCol w:w="1893"/>
        <w:gridCol w:w="1667"/>
        <w:gridCol w:w="1675"/>
        <w:gridCol w:w="232"/>
        <w:gridCol w:w="529"/>
        <w:gridCol w:w="119"/>
        <w:gridCol w:w="119"/>
        <w:gridCol w:w="119"/>
        <w:gridCol w:w="119"/>
        <w:gridCol w:w="232"/>
        <w:gridCol w:w="446"/>
        <w:gridCol w:w="119"/>
        <w:gridCol w:w="109"/>
        <w:gridCol w:w="109"/>
        <w:gridCol w:w="109"/>
        <w:gridCol w:w="211"/>
        <w:gridCol w:w="586"/>
        <w:gridCol w:w="109"/>
        <w:gridCol w:w="109"/>
        <w:gridCol w:w="109"/>
        <w:gridCol w:w="109"/>
        <w:gridCol w:w="211"/>
        <w:gridCol w:w="586"/>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52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w:t>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comprehensive income (loss), net of tax</w:t>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Foreign currency translation adjustments</w:t>
            </w:r>
          </w:p>
        </w:tc>
        <w:tc>
          <w:tcPr>
            <w:tcW w:w="7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comprehensive loss, net of tax</w:t>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Comprehensive loss attributable to noncontrolling interest</w:t>
            </w:r>
          </w:p>
        </w:tc>
        <w:tc>
          <w:tcPr>
            <w:tcW w:w="7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Comprehensive (loss) income attributable to Mission Produce</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(11.1)</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delle Sans;sans-serif" w:hAnsi="Adelle Sans;sans-serif"/>
          <w:b w:val="false"/>
          <w:i/>
          <w:color w:val="000000"/>
          <w:sz w:val="16"/>
        </w:rPr>
      </w:pPr>
      <w:r>
        <w:rPr>
          <w:rFonts w:ascii="Adelle Sans;sans-serif" w:hAnsi="Adelle Sans;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5430"/>
                <wp:effectExtent l="0" t="0" r="0" b="0"/>
                <wp:wrapNone/>
                <wp:docPr id="7" name="Frame7"/>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7</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MISSION PRODUCE, INC.</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CONDENSED CONSOLIDATED STATEMENTS OF CHANGES IN EQUITY (UNAUDITED)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59"/>
        <w:gridCol w:w="825"/>
        <w:gridCol w:w="834"/>
        <w:gridCol w:w="398"/>
        <w:gridCol w:w="398"/>
        <w:gridCol w:w="161"/>
        <w:gridCol w:w="181"/>
        <w:gridCol w:w="317"/>
        <w:gridCol w:w="109"/>
        <w:gridCol w:w="109"/>
        <w:gridCol w:w="109"/>
        <w:gridCol w:w="109"/>
        <w:gridCol w:w="254"/>
        <w:gridCol w:w="655"/>
        <w:gridCol w:w="153"/>
        <w:gridCol w:w="454"/>
        <w:gridCol w:w="834"/>
        <w:gridCol w:w="276"/>
        <w:gridCol w:w="218"/>
        <w:gridCol w:w="562"/>
        <w:gridCol w:w="131"/>
        <w:gridCol w:w="298"/>
        <w:gridCol w:w="668"/>
        <w:gridCol w:w="180"/>
        <w:gridCol w:w="181"/>
        <w:gridCol w:w="468"/>
        <w:gridCol w:w="164"/>
      </w:tblGrid>
      <w:tr>
        <w:trPr/>
        <w:tc>
          <w:tcPr>
            <w:tcW w:w="115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(In millions, except for shares)</w:t>
            </w:r>
          </w:p>
        </w:tc>
        <w:tc>
          <w:tcPr>
            <w:tcW w:w="156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000000"/>
                <w:sz w:val="14"/>
              </w:rPr>
            </w:pPr>
            <w:r>
              <w:rPr>
                <w:rFonts w:ascii="Calibri;sans-serif" w:hAnsi="Calibri;sans-serif"/>
                <w:b/>
                <w:color w:val="000000"/>
                <w:sz w:val="14"/>
              </w:rPr>
              <w:t>Additional paid-in capital</w:t>
            </w:r>
          </w:p>
        </w:tc>
        <w:tc>
          <w:tcPr>
            <w:tcW w:w="15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000000"/>
                <w:sz w:val="14"/>
              </w:rPr>
            </w:pPr>
            <w:r>
              <w:rPr>
                <w:rFonts w:ascii="Calibri;sans-serif" w:hAnsi="Calibri;sans-serif"/>
                <w:b/>
                <w:color w:val="000000"/>
                <w:sz w:val="14"/>
              </w:rPr>
              <w:t>Accumulated other comprehensive loss</w:t>
            </w:r>
          </w:p>
        </w:tc>
        <w:tc>
          <w:tcPr>
            <w:tcW w:w="9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000000"/>
                <w:sz w:val="14"/>
              </w:rPr>
            </w:pPr>
            <w:r>
              <w:rPr>
                <w:rFonts w:ascii="Calibri;sans-serif" w:hAnsi="Calibri;sans-serif"/>
                <w:b/>
                <w:color w:val="000000"/>
                <w:sz w:val="14"/>
              </w:rPr>
              <w:t>Retained earnings</w:t>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000000"/>
                <w:sz w:val="14"/>
              </w:rPr>
            </w:pPr>
            <w:r>
              <w:rPr>
                <w:rFonts w:ascii="Calibri;sans-serif" w:hAnsi="Calibri;sans-serif"/>
                <w:b/>
                <w:color w:val="000000"/>
                <w:sz w:val="14"/>
              </w:rPr>
              <w:t>Noncontrolling interest</w:t>
            </w:r>
          </w:p>
        </w:tc>
        <w:tc>
          <w:tcPr>
            <w:tcW w:w="8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000000"/>
                <w:sz w:val="14"/>
              </w:rPr>
            </w:pPr>
            <w:r>
              <w:rPr>
                <w:rFonts w:ascii="Calibri;sans-serif" w:hAnsi="Calibri;sans-serif"/>
                <w:b/>
                <w:color w:val="000000"/>
                <w:sz w:val="14"/>
              </w:rPr>
              <w:t>Total equity</w:t>
            </w:r>
          </w:p>
        </w:tc>
      </w:tr>
      <w:tr>
        <w:trPr/>
        <w:tc>
          <w:tcPr>
            <w:tcW w:w="2818" w:type="dxa"/>
            <w:gridSpan w:val="3"/>
            <w:vMerge w:val="continue"/>
            <w:tcBorders/>
            <w:tcMar>
              <w:top w:w="0" w:type="dxa"/>
              <w:left w:w="0" w:type="dxa"/>
              <w:bottom w:w="0" w:type="dxa"/>
              <w:right w:w="0" w:type="dxa"/>
            </w:tcMar>
            <w:vAlign w:val="center"/>
          </w:tcPr>
          <w:p>
            <w:pPr>
              <w:pStyle w:val="Normal"/>
              <w:bidi w:val="0"/>
              <w:jc w:val="left"/>
              <w:rPr/>
            </w:pPr>
            <w:r>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Calibri;sans-serif" w:hAnsi="Calibri;sans-serif"/>
                <w:b/>
                <w:color w:val="000000"/>
                <w:sz w:val="14"/>
              </w:rPr>
            </w:pPr>
            <w:r>
              <w:rPr>
                <w:rFonts w:ascii="Calibri;sans-serif" w:hAnsi="Calibri;sans-serif"/>
                <w:b/>
                <w:color w:val="000000"/>
                <w:sz w:val="14"/>
              </w:rPr>
              <w:t>Shares</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Calibri;sans-serif" w:hAnsi="Calibri;sans-serif"/>
                <w:b/>
                <w:color w:val="000000"/>
                <w:sz w:val="14"/>
              </w:rPr>
            </w:pPr>
            <w:r>
              <w:rPr>
                <w:rFonts w:ascii="Calibri;sans-serif" w:hAnsi="Calibri;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vMerge w:val="continue"/>
            <w:tcBorders/>
            <w:tcMar>
              <w:top w:w="0" w:type="dxa"/>
              <w:left w:w="0" w:type="dxa"/>
              <w:bottom w:w="0" w:type="dxa"/>
              <w:right w:w="0" w:type="dxa"/>
            </w:tcMar>
            <w:vAlign w:val="center"/>
          </w:tcPr>
          <w:p>
            <w:pPr>
              <w:pStyle w:val="Normal"/>
              <w:bidi w:val="0"/>
              <w:jc w:val="left"/>
              <w:rPr/>
            </w:pPr>
            <w:r>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911"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8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October 31, 2021</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70,631,525 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225.6 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(0.5)</w:t>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309.0 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534.2 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Net loss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(13.4)</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(13.4)</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Other comprehensive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January 31, 2022</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70,631,525 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226.4 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(0.8)</w:t>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295.6 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521.3 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Stock-based compensation</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Issuance of common stock for equity awards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22,516 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Other comprehensive income</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0.2 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0.2 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April 30,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70,654,041 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227.3 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(0.6)</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298.0 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524.8 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October 31, 2022</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70,669,535 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229.3 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(1.7)</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274.4 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20.8 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522.9 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Stock-based compensation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Exercise of stock options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8,500 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Issuance of common stock for equity awards, net of shares withheld for the settlement of taxes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55,055 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Contributions from noncontrolling interest holders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1.0 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1.0 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Net loss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Other comprehensive income</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0.5 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January 31, 2023</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70,733,090 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229.6 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(1.2)</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265.6 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514.1 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Stock-based compensation</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1.3 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1.3 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Exercise of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Issuance of common stock for equity awards, net of shares withheld for the settlement of taxes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47,592 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Contributions from noncontrolling interest holders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Net loss</w:t>
            </w:r>
          </w:p>
        </w:tc>
        <w:tc>
          <w:tcPr>
            <w:tcW w:w="7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(4.6)</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(4.7)</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Other comprehensive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Balance at April 30, 2023</w:t>
            </w:r>
          </w:p>
        </w:tc>
        <w:tc>
          <w:tcPr>
            <w:tcW w:w="79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70,785,682 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3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230.9 </w:t>
            </w:r>
          </w:p>
        </w:tc>
        <w:tc>
          <w:tcPr>
            <w:tcW w:w="1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8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(0.9)</w:t>
            </w:r>
          </w:p>
        </w:tc>
        <w:tc>
          <w:tcPr>
            <w:tcW w:w="2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5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261.0 </w:t>
            </w:r>
          </w:p>
        </w:tc>
        <w:tc>
          <w:tcPr>
            <w:tcW w:w="1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6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20.3 </w:t>
            </w:r>
          </w:p>
        </w:tc>
        <w:tc>
          <w:tcPr>
            <w:tcW w:w="18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4"/>
              </w:rPr>
            </w:pPr>
            <w:r>
              <w:rPr>
                <w:rFonts w:ascii="Calibri;sans-serif" w:hAnsi="Calibri;sans-serif"/>
                <w:b w:val="false"/>
                <w:color w:val="000000"/>
                <w:sz w:val="14"/>
              </w:rPr>
              <w:t>$</w:t>
            </w:r>
          </w:p>
        </w:tc>
        <w:tc>
          <w:tcPr>
            <w:tcW w:w="4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4"/>
              </w:rPr>
            </w:pPr>
            <w:r>
              <w:rPr>
                <w:rFonts w:ascii="Calibri;sans-serif" w:hAnsi="Calibri;sans-serif"/>
                <w:b w:val="false"/>
                <w:color w:val="000000"/>
                <w:sz w:val="14"/>
              </w:rPr>
              <w:t>511.4 </w:t>
            </w:r>
          </w:p>
        </w:tc>
        <w:tc>
          <w:tcPr>
            <w:tcW w:w="1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delle Sans;sans-serif" w:hAnsi="Adelle Sans;sans-serif"/>
          <w:b w:val="false"/>
          <w:i/>
          <w:color w:val="000000"/>
          <w:sz w:val="16"/>
        </w:rPr>
      </w:pPr>
      <w:r>
        <w:rPr>
          <w:rFonts w:ascii="Adelle Sans;sans-serif" w:hAnsi="Adelle Sans;sans-serif"/>
          <w:b w:val="false"/>
          <w:i/>
          <w:color w:val="000000"/>
          <w:sz w:val="16"/>
        </w:rPr>
        <w:t>See accompanying notes to unaudited condensed consolidated financial statements.</w:t>
      </w:r>
    </w:p>
    <w:p>
      <w:pPr>
        <w:pStyle w:val="TextBody"/>
        <w:bidi w:val="0"/>
        <w:spacing w:lineRule="auto" w:line="288" w:before="240" w:after="283"/>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5430"/>
                <wp:effectExtent l="0" t="0" r="0" b="0"/>
                <wp:wrapNone/>
                <wp:docPr id="8" name="Frame8"/>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8</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MISSION PRODUCE, INC.</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CONDENSED CONSOLIDATED STATEMENTS OF CASH FLOW (UNAUDITED)</w:t>
      </w:r>
    </w:p>
    <w:p>
      <w:pPr>
        <w:pStyle w:val="TextBody"/>
        <w:bidi w:val="0"/>
        <w:spacing w:before="0" w:after="0"/>
        <w:ind w:left="0" w:right="0" w:firstLine="720"/>
        <w:jc w:val="left"/>
        <w:rPr/>
      </w:pPr>
      <w:r>
        <w:rPr/>
      </w:r>
    </w:p>
    <w:tbl>
      <w:tblPr>
        <w:tblW w:w="8739" w:type="dxa"/>
        <w:jc w:val="center"/>
        <w:tblInd w:w="0" w:type="dxa"/>
        <w:tblLayout w:type="fixed"/>
        <w:tblCellMar>
          <w:top w:w="28" w:type="dxa"/>
          <w:left w:w="28" w:type="dxa"/>
          <w:bottom w:w="28" w:type="dxa"/>
          <w:right w:w="28" w:type="dxa"/>
        </w:tblCellMar>
      </w:tblPr>
      <w:tblGrid>
        <w:gridCol w:w="2373"/>
        <w:gridCol w:w="2083"/>
        <w:gridCol w:w="2099"/>
        <w:gridCol w:w="211"/>
        <w:gridCol w:w="586"/>
        <w:gridCol w:w="109"/>
        <w:gridCol w:w="109"/>
        <w:gridCol w:w="109"/>
        <w:gridCol w:w="109"/>
        <w:gridCol w:w="211"/>
        <w:gridCol w:w="586"/>
        <w:gridCol w:w="154"/>
      </w:tblGrid>
      <w:tr>
        <w:trPr/>
        <w:tc>
          <w:tcPr>
            <w:tcW w:w="237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65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(In millions)</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65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Operating Activities</w:t>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Adjustments to reconcile net loss to net cash used in operating activities</w:t>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Provision for losses on accounts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Depreciation and amortization</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Amortization of debt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Noncash lease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Stock-based compensation</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Dividends received from equity method investees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Losses on asset impairment, disposals and sales, net of insurance recoveries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Deferred income taxes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Unrealized gains on derivative financial instruments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Effect on cash of changes in operating assets and liabilities: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Trade accounts receivable</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Grower fruit advances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receivables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Inventory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Prepaid expenses and other current assets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Income taxes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assets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Accounts payable and accrued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Income taxes payable</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Grower payables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Operating lease liabilities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long-term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used in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Purchases of property, plant and equipment</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Proceeds from sale of property, plant and equipment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Investment in equity method investees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Purchase of other investment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Loan repayments from equity method investees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used in investing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(25.8)</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Financing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Borrowings on revolving credit facility</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Payments on revolving credit facility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Repayment of short-term borrowings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Principal payments on long-term debt obligations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Principal payments on finance lease obligations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Taxes paid related to shares withheld from the settlement of equity awards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Proceeds from loan from noncontrolling interest holder</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contributions from noncontrolling interest holders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provided by (used in) financing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Effect of exchange rate changes on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decrease in cash, cash equivalents and restricted cash</w:t>
            </w:r>
          </w:p>
        </w:tc>
        <w:tc>
          <w:tcPr>
            <w:tcW w:w="7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(68.2)</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5430"/>
                <wp:effectExtent l="0" t="0" r="0" b="0"/>
                <wp:wrapNone/>
                <wp:docPr id="9" name="Frame9"/>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9</w:t>
                      </w:r>
                    </w:p>
                  </w:txbxContent>
                </v:textbox>
                <w10:wrap type="none"/>
              </v:rect>
            </w:pict>
          </mc:Fallback>
        </mc:AlternateContent>
      </w:r>
    </w:p>
    <w:p>
      <w:pPr>
        <w:pStyle w:val="TextBody"/>
        <w:bidi w:val="0"/>
        <w:spacing w:before="120" w:after="240"/>
        <w:jc w:val="left"/>
        <w:rPr/>
      </w:pPr>
      <w:r>
        <w:rPr/>
      </w:r>
    </w:p>
    <w:tbl>
      <w:tblPr>
        <w:tblW w:w="10205" w:type="dxa"/>
        <w:jc w:val="center"/>
        <w:tblInd w:w="0" w:type="dxa"/>
        <w:tblLayout w:type="fixed"/>
        <w:tblCellMar>
          <w:top w:w="28" w:type="dxa"/>
          <w:left w:w="28" w:type="dxa"/>
          <w:bottom w:w="28" w:type="dxa"/>
          <w:right w:w="28" w:type="dxa"/>
        </w:tblCellMar>
      </w:tblPr>
      <w:tblGrid>
        <w:gridCol w:w="3005"/>
        <w:gridCol w:w="2571"/>
        <w:gridCol w:w="2594"/>
        <w:gridCol w:w="211"/>
        <w:gridCol w:w="511"/>
        <w:gridCol w:w="109"/>
        <w:gridCol w:w="109"/>
        <w:gridCol w:w="109"/>
        <w:gridCol w:w="109"/>
        <w:gridCol w:w="211"/>
        <w:gridCol w:w="511"/>
        <w:gridCol w:w="155"/>
      </w:tblGrid>
      <w:tr>
        <w:trPr/>
        <w:tc>
          <w:tcPr>
            <w:tcW w:w="3005"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8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(In millions)</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Cash, cash equivalents and restricted cash, beginning of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Cash, cash equivalents and restricted cash, end of period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Summary of cash, cash equivalents and restricted cash reported within the condensed consolidated balance sheets:</w:t>
            </w:r>
          </w:p>
        </w:tc>
        <w:tc>
          <w:tcPr>
            <w:tcW w:w="8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Restricted cash</w:t>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81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cash, cash equivalents, and restricted cash shown in the condensed consolidated statements of cash flows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24.0 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delle Sans;sans-serif" w:hAnsi="Adelle Sans;sans-serif"/>
          <w:b w:val="false"/>
          <w:i/>
          <w:color w:val="000000"/>
          <w:sz w:val="16"/>
        </w:rPr>
      </w:pPr>
      <w:r>
        <w:rPr>
          <w:rFonts w:ascii="Adelle Sans;sans-serif" w:hAnsi="Adelle Sans;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5430"/>
                <wp:effectExtent l="0" t="0" r="0" b="0"/>
                <wp:wrapNone/>
                <wp:docPr id="10" name="Frame10"/>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10</w:t>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1.     General</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Business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11).</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Basis of presentation and consolidation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2022.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2023.</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Certain reclassifications have been made to previously reported balances in the unaudited condensed consolidated balance sheets in order to conform to current period presentation. </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Consolidation of VIE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On May 1, 2022, a reconsideration event occurred related to Moruga S.A.C., an entity for which we have a 60% equity ownership interest. Moruga S.A.C. is a holding company with one wholly owned subsidiary Blueberries Peru, S.A.C. (collectively referred to as “Moruga”). Moruga was previously accounted for under the equity method of accounting, where investments are stated at initial cost and adjusted for subsequent additional investments and our proportionate share of earnings or losses and distributions. As a result of the reconsideration event, we concluded that Moruga is a VIE, and that the Company is the primary beneficiary with a controlling financial interest. Based on this conclusion, Moruga was prospectively consolidated on May 1, 2022.</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Recently issued accounting standards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 September 2022, the Financial Accounting Standards Board (“FASB”) issued Accounting Standards Update (“ASU”) 2022-04, Liabilities—Supplier Finance Programs (Topic 405), which among other things, requires certain disclosures for a buyer in a supplier finance program. Some of the amendments in this ASU are required to be adopted for fiscal years beginning after December 15, 2022, including interim periods within those fiscal years, and others are required to be adopted for fiscal years beginning after December 15, 2023. Early adoption is permitted. We are currently evaluating the impact of adoption on our financial disclosures.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 March 2022, the FASB issued ASU, Financial Instruments–Credit Losses (Topic 326) Troubled Debt Restructurings and Vintage Disclosures, which among other things, requires that entities disclose current-period gross write-offs by year of origination for financing receivables. The amendments in this ASU are required to be adopted for fiscal years beginning after December 15, 2022, including interim periods within those fiscal years. The impact of ASU 2022-02 is not expected to be material on our financial condition, results of operations and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5430"/>
                <wp:effectExtent l="0" t="0" r="0" b="0"/>
                <wp:wrapNone/>
                <wp:docPr id="11" name="Frame11"/>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11</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2.     Inventory</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Major classes of inventory were as follows:</w:t>
      </w:r>
    </w:p>
    <w:p>
      <w:pPr>
        <w:pStyle w:val="TextBody"/>
        <w:bidi w:val="0"/>
        <w:spacing w:before="0" w:after="0"/>
        <w:ind w:left="0" w:right="0" w:firstLine="720"/>
        <w:jc w:val="left"/>
        <w:rPr/>
      </w:pPr>
      <w:r>
        <w:rPr/>
      </w:r>
    </w:p>
    <w:tbl>
      <w:tblPr>
        <w:tblW w:w="5635" w:type="dxa"/>
        <w:jc w:val="left"/>
        <w:tblInd w:w="0" w:type="dxa"/>
        <w:tblLayout w:type="fixed"/>
        <w:tblCellMar>
          <w:top w:w="28" w:type="dxa"/>
          <w:left w:w="28" w:type="dxa"/>
          <w:bottom w:w="28" w:type="dxa"/>
          <w:right w:w="28" w:type="dxa"/>
        </w:tblCellMar>
      </w:tblPr>
      <w:tblGrid>
        <w:gridCol w:w="748"/>
        <w:gridCol w:w="660"/>
        <w:gridCol w:w="661"/>
        <w:gridCol w:w="369"/>
        <w:gridCol w:w="895"/>
        <w:gridCol w:w="190"/>
        <w:gridCol w:w="109"/>
        <w:gridCol w:w="109"/>
        <w:gridCol w:w="109"/>
        <w:gridCol w:w="429"/>
        <w:gridCol w:w="1040"/>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20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Finished goods</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33.9 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33.8 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Crop growing costs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Packaging and supplies</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21.4 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19.8 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Inventory</w:t>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96.0 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73.1 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Inventory at October 31, 2022 included a $0.7 million adjustment to increase inventories recognized in the business combination with Moruga to their fair value as of May 1, 2022. These inventories, including the fair value adjustment, were recognized in cost of sales as the underlying inventories were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3.    Goodwill and Intangible Asset, net</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Goodwill</w:t>
      </w:r>
    </w:p>
    <w:p>
      <w:pPr>
        <w:pStyle w:val="TextBody"/>
        <w:bidi w:val="0"/>
        <w:spacing w:before="0" w:after="0"/>
        <w:ind w:left="0" w:right="0" w:firstLine="720"/>
        <w:jc w:val="left"/>
        <w:rPr/>
      </w:pPr>
      <w:r>
        <w:rPr/>
      </w:r>
    </w:p>
    <w:tbl>
      <w:tblPr>
        <w:tblW w:w="9150" w:type="dxa"/>
        <w:jc w:val="left"/>
        <w:tblInd w:w="0" w:type="dxa"/>
        <w:tblLayout w:type="fixed"/>
        <w:tblCellMar>
          <w:top w:w="28" w:type="dxa"/>
          <w:left w:w="28" w:type="dxa"/>
          <w:bottom w:w="28" w:type="dxa"/>
          <w:right w:w="28" w:type="dxa"/>
        </w:tblCellMar>
      </w:tblPr>
      <w:tblGrid>
        <w:gridCol w:w="1566"/>
        <w:gridCol w:w="1380"/>
        <w:gridCol w:w="1388"/>
        <w:gridCol w:w="540"/>
        <w:gridCol w:w="1310"/>
        <w:gridCol w:w="280"/>
        <w:gridCol w:w="109"/>
        <w:gridCol w:w="109"/>
        <w:gridCol w:w="109"/>
        <w:gridCol w:w="293"/>
        <w:gridCol w:w="710"/>
        <w:gridCol w:w="153"/>
        <w:gridCol w:w="109"/>
        <w:gridCol w:w="109"/>
        <w:gridCol w:w="109"/>
        <w:gridCol w:w="211"/>
        <w:gridCol w:w="511"/>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Total</w:t>
            </w:r>
          </w:p>
        </w:tc>
      </w:tr>
      <w:tr>
        <w:trPr/>
        <w:tc>
          <w:tcPr>
            <w:tcW w:w="433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Goodwill as of April 30, 2023 and October 31, 2022</w:t>
            </w:r>
          </w:p>
        </w:tc>
        <w:tc>
          <w:tcPr>
            <w:tcW w:w="5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3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26.9 </w:t>
            </w:r>
          </w:p>
        </w:tc>
        <w:tc>
          <w:tcPr>
            <w:tcW w:w="28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12.5 </w:t>
            </w:r>
          </w:p>
        </w:tc>
        <w:tc>
          <w:tcPr>
            <w:tcW w:w="1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Goodwill is tested for impairment on an annual basis in the fourth quarter, or when an event or changes in circumstances indicate that its carrying value may not be recoverable.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Intangible asset, net</w:t>
      </w:r>
    </w:p>
    <w:tbl>
      <w:tblPr>
        <w:tblW w:w="5890" w:type="dxa"/>
        <w:jc w:val="left"/>
        <w:tblInd w:w="0" w:type="dxa"/>
        <w:tblLayout w:type="fixed"/>
        <w:tblCellMar>
          <w:top w:w="28" w:type="dxa"/>
          <w:left w:w="28" w:type="dxa"/>
          <w:bottom w:w="28" w:type="dxa"/>
          <w:right w:w="28" w:type="dxa"/>
        </w:tblCellMar>
      </w:tblPr>
      <w:tblGrid>
        <w:gridCol w:w="840"/>
        <w:gridCol w:w="741"/>
        <w:gridCol w:w="743"/>
        <w:gridCol w:w="423"/>
        <w:gridCol w:w="814"/>
        <w:gridCol w:w="218"/>
        <w:gridCol w:w="109"/>
        <w:gridCol w:w="109"/>
        <w:gridCol w:w="109"/>
        <w:gridCol w:w="487"/>
        <w:gridCol w:w="939"/>
        <w:gridCol w:w="358"/>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23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Intangible asset, gross</w:t>
            </w:r>
          </w:p>
        </w:tc>
        <w:tc>
          <w:tcPr>
            <w:tcW w:w="4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9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2.8 </w:t>
            </w:r>
          </w:p>
        </w:tc>
        <w:tc>
          <w:tcPr>
            <w:tcW w:w="3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Accumulated amortization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Intangible asset, net</w:t>
            </w:r>
          </w:p>
        </w:tc>
        <w:tc>
          <w:tcPr>
            <w:tcW w:w="42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2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93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3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intangible asset, net consists of a distributor relationship entirely attributed to the business combination with Moruga on May 1, 2022. The intangible asset has an amortizable life of 2 years, to be recognized in selling, general and administrative expenses coinciding with the timing of the estimated revenues. Amortization expense was zero and $1.2 million for the three and six months ended April 30, 2023, respectively. The remaining amortization expense is expected to be recognized as follows.</w:t>
      </w:r>
    </w:p>
    <w:tbl>
      <w:tblPr>
        <w:tblW w:w="8364" w:type="dxa"/>
        <w:jc w:val="left"/>
        <w:tblInd w:w="0" w:type="dxa"/>
        <w:tblLayout w:type="fixed"/>
        <w:tblCellMar>
          <w:top w:w="28" w:type="dxa"/>
          <w:left w:w="28" w:type="dxa"/>
          <w:bottom w:w="28" w:type="dxa"/>
          <w:right w:w="28" w:type="dxa"/>
        </w:tblCellMar>
      </w:tblPr>
      <w:tblGrid>
        <w:gridCol w:w="1245"/>
        <w:gridCol w:w="1096"/>
        <w:gridCol w:w="1108"/>
        <w:gridCol w:w="470"/>
        <w:gridCol w:w="905"/>
        <w:gridCol w:w="244"/>
        <w:gridCol w:w="109"/>
        <w:gridCol w:w="109"/>
        <w:gridCol w:w="109"/>
        <w:gridCol w:w="811"/>
        <w:gridCol w:w="1562"/>
        <w:gridCol w:w="596"/>
      </w:tblGrid>
      <w:tr>
        <w:trPr/>
        <w:tc>
          <w:tcPr>
            <w:tcW w:w="124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Remaining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Year Ending October 31, 2024</w:t>
            </w:r>
          </w:p>
        </w:tc>
      </w:tr>
      <w:tr>
        <w:trPr/>
        <w:tc>
          <w:tcPr>
            <w:tcW w:w="34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Estimated annual amortization expense</w:t>
            </w:r>
          </w:p>
        </w:tc>
        <w:tc>
          <w:tcPr>
            <w:tcW w:w="47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9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24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5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0.6 </w:t>
            </w:r>
          </w:p>
        </w:tc>
        <w:tc>
          <w:tcPr>
            <w:tcW w:w="5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5430"/>
                <wp:effectExtent l="0" t="0" r="0" b="0"/>
                <wp:wrapNone/>
                <wp:docPr id="12" name="Frame12"/>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12</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4.    Details of Certain Account Balances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Accrued expenses</w:t>
      </w:r>
    </w:p>
    <w:p>
      <w:pPr>
        <w:pStyle w:val="TextBody"/>
        <w:bidi w:val="0"/>
        <w:spacing w:before="0" w:after="0"/>
        <w:ind w:left="0" w:right="0" w:firstLine="720"/>
        <w:jc w:val="left"/>
        <w:rPr/>
      </w:pPr>
      <w:r>
        <w:rPr/>
      </w:r>
    </w:p>
    <w:tbl>
      <w:tblPr>
        <w:tblW w:w="5546" w:type="dxa"/>
        <w:jc w:val="left"/>
        <w:tblInd w:w="0" w:type="dxa"/>
        <w:tblLayout w:type="fixed"/>
        <w:tblCellMar>
          <w:top w:w="28" w:type="dxa"/>
          <w:left w:w="28" w:type="dxa"/>
          <w:bottom w:w="28" w:type="dxa"/>
          <w:right w:w="28" w:type="dxa"/>
        </w:tblCellMar>
      </w:tblPr>
      <w:tblGrid>
        <w:gridCol w:w="716"/>
        <w:gridCol w:w="630"/>
        <w:gridCol w:w="634"/>
        <w:gridCol w:w="369"/>
        <w:gridCol w:w="895"/>
        <w:gridCol w:w="190"/>
        <w:gridCol w:w="109"/>
        <w:gridCol w:w="109"/>
        <w:gridCol w:w="109"/>
        <w:gridCol w:w="429"/>
        <w:gridCol w:w="1040"/>
        <w:gridCol w:w="31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19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Employee-related</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12.4 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16.3 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Freight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Outside fruit purchase</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Legal settlement</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5.0 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5.8 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Accrued expenses</w:t>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30.0 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30.1 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Other long-term liabilities</w:t>
      </w:r>
    </w:p>
    <w:p>
      <w:pPr>
        <w:pStyle w:val="TextBody"/>
        <w:bidi w:val="0"/>
        <w:spacing w:before="0" w:after="0"/>
        <w:ind w:left="0" w:right="0" w:firstLine="720"/>
        <w:jc w:val="left"/>
        <w:rPr/>
      </w:pPr>
      <w:r>
        <w:rPr/>
      </w:r>
    </w:p>
    <w:tbl>
      <w:tblPr>
        <w:tblW w:w="5815" w:type="dxa"/>
        <w:jc w:val="left"/>
        <w:tblInd w:w="0" w:type="dxa"/>
        <w:tblLayout w:type="fixed"/>
        <w:tblCellMar>
          <w:top w:w="28" w:type="dxa"/>
          <w:left w:w="28" w:type="dxa"/>
          <w:bottom w:w="28" w:type="dxa"/>
          <w:right w:w="28" w:type="dxa"/>
        </w:tblCellMar>
      </w:tblPr>
      <w:tblGrid>
        <w:gridCol w:w="813"/>
        <w:gridCol w:w="717"/>
        <w:gridCol w:w="719"/>
        <w:gridCol w:w="369"/>
        <w:gridCol w:w="895"/>
        <w:gridCol w:w="190"/>
        <w:gridCol w:w="109"/>
        <w:gridCol w:w="109"/>
        <w:gridCol w:w="109"/>
        <w:gridCol w:w="429"/>
        <w:gridCol w:w="1040"/>
        <w:gridCol w:w="316"/>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22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Uncertain tax positions</w:t>
            </w:r>
            <w:r>
              <w:rPr>
                <w:rFonts w:ascii="Adelle Sans;sans-serif" w:hAnsi="Adelle Sans;sans-serif"/>
                <w:b w:val="false"/>
                <w:color w:val="000000"/>
                <w:sz w:val="10"/>
              </w:rPr>
              <w:t>(1)</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19.1 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17.1 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Employee-related</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126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long-term liabilities</w:t>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19.2 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(1)Includes uncertain tax positions related to both income taxes and other statutory tax reserves, plus related penalties and interest.</w:t>
      </w:r>
    </w:p>
    <w:p>
      <w:pPr>
        <w:pStyle w:val="TextBody"/>
        <w:bidi w:val="0"/>
        <w:spacing w:before="60" w:after="60"/>
        <w:ind w:left="0" w:right="0" w:firstLine="180"/>
        <w:jc w:val="left"/>
        <w:rPr/>
      </w:pPr>
      <w:r>
        <w:rPr/>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Other income (expense), net</w:t>
      </w:r>
    </w:p>
    <w:p>
      <w:pPr>
        <w:pStyle w:val="TextBody"/>
        <w:bidi w:val="0"/>
        <w:spacing w:before="0" w:after="0"/>
        <w:jc w:val="left"/>
        <w:rPr/>
      </w:pPr>
      <w:r>
        <w:rPr/>
      </w:r>
    </w:p>
    <w:tbl>
      <w:tblPr>
        <w:tblW w:w="8509" w:type="dxa"/>
        <w:jc w:val="left"/>
        <w:tblInd w:w="0" w:type="dxa"/>
        <w:tblLayout w:type="fixed"/>
        <w:tblCellMar>
          <w:top w:w="28" w:type="dxa"/>
          <w:left w:w="28" w:type="dxa"/>
          <w:bottom w:w="28" w:type="dxa"/>
          <w:right w:w="28" w:type="dxa"/>
        </w:tblCellMar>
      </w:tblPr>
      <w:tblGrid>
        <w:gridCol w:w="1534"/>
        <w:gridCol w:w="1349"/>
        <w:gridCol w:w="1361"/>
        <w:gridCol w:w="242"/>
        <w:gridCol w:w="465"/>
        <w:gridCol w:w="125"/>
        <w:gridCol w:w="125"/>
        <w:gridCol w:w="125"/>
        <w:gridCol w:w="125"/>
        <w:gridCol w:w="242"/>
        <w:gridCol w:w="465"/>
        <w:gridCol w:w="125"/>
        <w:gridCol w:w="109"/>
        <w:gridCol w:w="109"/>
        <w:gridCol w:w="109"/>
        <w:gridCol w:w="211"/>
        <w:gridCol w:w="481"/>
        <w:gridCol w:w="109"/>
        <w:gridCol w:w="109"/>
        <w:gridCol w:w="109"/>
        <w:gridCol w:w="109"/>
        <w:gridCol w:w="211"/>
        <w:gridCol w:w="406"/>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Gains (losses) on derivative financial instruments</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Foreign currency transaction (loss) gain</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income</w:t>
            </w:r>
          </w:p>
        </w:tc>
        <w:tc>
          <w:tcPr>
            <w:tcW w:w="70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 net</w:t>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5430"/>
                <wp:effectExtent l="0" t="0" r="0" b="0"/>
                <wp:wrapNone/>
                <wp:docPr id="13" name="Frame13"/>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13</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5.     Debt</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Credit facility</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Long-term debt under our syndicated credit facility with Bank of America (“BoA”) Merrill Lynch consisted of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640"/>
        <w:gridCol w:w="2328"/>
        <w:gridCol w:w="2345"/>
        <w:gridCol w:w="109"/>
        <w:gridCol w:w="109"/>
        <w:gridCol w:w="109"/>
        <w:gridCol w:w="239"/>
        <w:gridCol w:w="698"/>
        <w:gridCol w:w="123"/>
        <w:gridCol w:w="109"/>
        <w:gridCol w:w="109"/>
        <w:gridCol w:w="109"/>
        <w:gridCol w:w="252"/>
        <w:gridCol w:w="737"/>
        <w:gridCol w:w="189"/>
      </w:tblGrid>
      <w:tr>
        <w:trPr/>
        <w:tc>
          <w:tcPr>
            <w:tcW w:w="264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73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Revolving line of credit. The interest rate is variable, based on SOFR plus a spread that varies with the Company’s leverage ratio. As of April 30, 2023 and October 31, 2022, the interest rate was 6.76% and 5.34%, respectively. Interest is payable monthly and principal is due in full in October 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75.0 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40.0 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Senior term loan (A-1). The interest rate is variable, based on SOFR plus a spread that varies with the Company’s leverage ratio. As of April 30, 2023 and October 31, 2022, the interest rate was 6.83% and 5.58%, respectively. Interest is payable monthly, principal is payable quarterly and due in full in 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Senior term loan (A-2). The interest rate is variable, based on SOFR plus a spread that varies with the Company’s leverage ratio. As of April 30, 2023 and October 31, 2022, the interest rate was 7.08% and 5.83% respectively. Interest is payable monthly, principal is payable quarterly and due in full in October 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50.0 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Note payable to BoA. Payable in monthly installments including interest at a rate of 3.96% as of both April 30, 2023 and October 31, 2022. Principal is due 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long-term debt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174.3 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141.0 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Long-term debt, net of debt issuance costs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173.8 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140.4 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Long-term debt, net of current portion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170.2 </w:t>
            </w:r>
          </w:p>
        </w:tc>
        <w:tc>
          <w:tcPr>
            <w:tcW w:w="12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3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136.9 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April 30, 2023, the Company was in compliance with all covenants of the credit facility.</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Other</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Company may issue standby letters of credit through banking institutions. As of April 30, 2023, total letters of credit outstanding were $0.7 million.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Certain of our consolidated subsidiaries may also enter into short-term bank borrowings from time to time. As of October 31, 2022, short-term borrowings outstanding were $2.5 million with a variable interest rate of 6.65%, all of which was repaid in the three months ended January 31, 2023. Our Blueberries business also obtains loans from shareholders from time to time, which accrue interest at rates ranging from 5.0 to 6.5%. Amounts outstanding as of April 30, 2023 are expected to be repaid by the end of fiscal 2026.</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Interest rate swaps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The Company has four separate interest rate swaps with a total notional amount of $100 million to hedge changes in variable interest rates on the principal value of the Company’s term loans. The interest rate swaps carry fixed LIBOR rates ranging from 1.75% to 2.57%.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income (expense), net in the condensed consolidated statements of (loss) income and changes in the asset are presented in net cash used in operating activities in the condensed consolidated statements of cash flow. Refer to Note 8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5430"/>
                <wp:effectExtent l="0" t="0" r="0" b="0"/>
                <wp:wrapNone/>
                <wp:docPr id="14" name="Frame14"/>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14</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6.      Commitments and Contingencies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Litigation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Company is involved from time to time in claims, proceedings, and litigation, including the following:</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have been unable to resolve to-date. The parties have fully briefed the court on the issues, and a hearing on the matter is set for July 2023.</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7.     Income Taxes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income tax benefit recorded for the three and six months ended April 30, 2023 and 2022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As of April 30, 2023, the Company had $18.5 million accrued in UTP on income taxes, of which $9.3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income (expense), net in the condensed consolidated statements of (loss) income.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5430"/>
                <wp:effectExtent l="0" t="0" r="0" b="0"/>
                <wp:wrapNone/>
                <wp:docPr id="15" name="Frame15"/>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15</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8.     Fair Value Measurements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Financial assets measured and recorded at fair value on a recurring basis included in the condensed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93"/>
        <w:gridCol w:w="258"/>
        <w:gridCol w:w="259"/>
        <w:gridCol w:w="196"/>
        <w:gridCol w:w="361"/>
        <w:gridCol w:w="109"/>
        <w:gridCol w:w="109"/>
        <w:gridCol w:w="109"/>
        <w:gridCol w:w="109"/>
        <w:gridCol w:w="231"/>
        <w:gridCol w:w="426"/>
        <w:gridCol w:w="130"/>
        <w:gridCol w:w="109"/>
        <w:gridCol w:w="109"/>
        <w:gridCol w:w="109"/>
        <w:gridCol w:w="260"/>
        <w:gridCol w:w="540"/>
        <w:gridCol w:w="146"/>
        <w:gridCol w:w="109"/>
        <w:gridCol w:w="109"/>
        <w:gridCol w:w="109"/>
        <w:gridCol w:w="306"/>
        <w:gridCol w:w="634"/>
        <w:gridCol w:w="171"/>
        <w:gridCol w:w="109"/>
        <w:gridCol w:w="109"/>
        <w:gridCol w:w="109"/>
        <w:gridCol w:w="196"/>
        <w:gridCol w:w="361"/>
        <w:gridCol w:w="109"/>
        <w:gridCol w:w="109"/>
        <w:gridCol w:w="109"/>
        <w:gridCol w:w="109"/>
        <w:gridCol w:w="242"/>
        <w:gridCol w:w="447"/>
        <w:gridCol w:w="135"/>
        <w:gridCol w:w="109"/>
        <w:gridCol w:w="109"/>
        <w:gridCol w:w="109"/>
        <w:gridCol w:w="260"/>
        <w:gridCol w:w="540"/>
        <w:gridCol w:w="146"/>
        <w:gridCol w:w="109"/>
        <w:gridCol w:w="109"/>
        <w:gridCol w:w="109"/>
        <w:gridCol w:w="299"/>
        <w:gridCol w:w="620"/>
        <w:gridCol w:w="24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October 31, 2022</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(In millions)</w:t>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Quoted Prices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 Active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Markets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Significant</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Other</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Observable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Inputs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Significant</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Unobservable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Inputs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Quoted Prices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 Active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Markets </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Significant</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Other</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Observable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Inputs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Significant</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Unobservable</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Inputs</w:t>
            </w:r>
          </w:p>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(Level 3)</w:t>
            </w:r>
          </w:p>
        </w:tc>
      </w:tr>
      <w:tr>
        <w:trPr/>
        <w:tc>
          <w:tcPr>
            <w:tcW w:w="8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000000"/>
                <w:sz w:val="16"/>
              </w:rPr>
            </w:pPr>
            <w:r>
              <w:rPr>
                <w:rFonts w:ascii="Calibri;sans-serif" w:hAnsi="Calibri;sans-serif"/>
                <w:b/>
                <w:color w:val="000000"/>
                <w:sz w:val="16"/>
              </w:rPr>
              <w:t>Assets</w:t>
            </w:r>
          </w:p>
        </w:tc>
        <w:tc>
          <w:tcPr>
            <w:tcW w:w="6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Interest rate swap</w:t>
            </w:r>
          </w:p>
        </w:tc>
        <w:tc>
          <w:tcPr>
            <w:tcW w:w="55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1.5 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1.5 </w:t>
            </w:r>
          </w:p>
        </w:tc>
        <w:tc>
          <w:tcPr>
            <w:tcW w:w="14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2.6 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000000"/>
                <w:sz w:val="16"/>
              </w:rPr>
            </w:pPr>
            <w:r>
              <w:rPr>
                <w:rFonts w:ascii="Calibri;sans-serif" w:hAnsi="Calibri;sans-serif"/>
                <w:b w:val="false"/>
                <w:color w:val="000000"/>
                <w:sz w:val="16"/>
              </w:rPr>
              <w:t>2.6 </w:t>
            </w:r>
          </w:p>
        </w:tc>
        <w:tc>
          <w:tcPr>
            <w:tcW w:w="14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mutual fund investments relate to our deferred compensation plan, which are held in a Rabbi trust included in other assets in our condensed consolidated balance sheets. The funds are measured at quoted prices in active markets, which is equivalent to their fair value.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April 30, 2023 and October 31, 2022,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associated with the interest rate swaps have been included in prepaid expenses and other current assets and other assets in the condensed consolidated balance sheets and gains and losses for the interest rate swaps have been included in other income (expense), net in the condensed consolidated statements of (loss)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9.    Earnings Per Share</w:t>
      </w:r>
    </w:p>
    <w:tbl>
      <w:tblPr>
        <w:tblW w:w="10205" w:type="dxa"/>
        <w:jc w:val="center"/>
        <w:tblInd w:w="0" w:type="dxa"/>
        <w:tblLayout w:type="fixed"/>
        <w:tblCellMar>
          <w:top w:w="28" w:type="dxa"/>
          <w:left w:w="28" w:type="dxa"/>
          <w:bottom w:w="28" w:type="dxa"/>
          <w:right w:w="28" w:type="dxa"/>
        </w:tblCellMar>
      </w:tblPr>
      <w:tblGrid>
        <w:gridCol w:w="1682"/>
        <w:gridCol w:w="1366"/>
        <w:gridCol w:w="1370"/>
        <w:gridCol w:w="309"/>
        <w:gridCol w:w="772"/>
        <w:gridCol w:w="109"/>
        <w:gridCol w:w="109"/>
        <w:gridCol w:w="109"/>
        <w:gridCol w:w="109"/>
        <w:gridCol w:w="315"/>
        <w:gridCol w:w="766"/>
        <w:gridCol w:w="109"/>
        <w:gridCol w:w="109"/>
        <w:gridCol w:w="109"/>
        <w:gridCol w:w="109"/>
        <w:gridCol w:w="309"/>
        <w:gridCol w:w="772"/>
        <w:gridCol w:w="109"/>
        <w:gridCol w:w="109"/>
        <w:gridCol w:w="109"/>
        <w:gridCol w:w="109"/>
        <w:gridCol w:w="309"/>
        <w:gridCol w:w="772"/>
        <w:gridCol w:w="155"/>
      </w:tblGrid>
      <w:tr>
        <w:trPr/>
        <w:tc>
          <w:tcPr>
            <w:tcW w:w="168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44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Numerator:</w:t>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delle Sans;sans-serif" w:hAnsi="Adelle Sans;sans-serif"/>
                <w:b w:val="false"/>
                <w:color w:val="000000"/>
                <w:sz w:val="16"/>
              </w:rPr>
            </w:pPr>
            <w:r>
              <w:rPr>
                <w:rFonts w:ascii="Adelle Sans;sans-serif" w:hAnsi="Adelle Sans;sans-serif"/>
                <w:b w:val="false"/>
                <w:color w:val="000000"/>
                <w:sz w:val="16"/>
              </w:rPr>
              <w:t>Net (loss) income attributable to Mission Produce (in millions)</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6"/>
              </w:rPr>
            </w:pPr>
            <w:r>
              <w:rPr>
                <w:rFonts w:ascii="Adelle Sans;sans-serif" w:hAnsi="Adelle Sans;sans-serif"/>
                <w:b/>
                <w:color w:val="000000"/>
                <w:sz w:val="16"/>
              </w:rPr>
              <w:t>Denominator:</w:t>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Weighted average shares of common stock outstanding, used in computing basic earnings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70,744,688 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70,636,331 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70,716,273 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70,633,888 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Effect of dilutive stock options</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27,174 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Effect of dilutive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Weighted average shares of common stock outstanding, used in computing diluted earnings per share</w:t>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70,744,688 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70,693,423 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70,716,273 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70,633,888 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Earnings per share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Basic</w:t>
            </w:r>
          </w:p>
        </w:tc>
        <w:tc>
          <w:tcPr>
            <w:tcW w:w="30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(0.16)</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Diluted</w:t>
            </w:r>
          </w:p>
        </w:tc>
        <w:tc>
          <w:tcPr>
            <w:tcW w:w="3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(0.07)</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0.03 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7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(0.16)</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5430"/>
                <wp:effectExtent l="0" t="0" r="0" b="0"/>
                <wp:wrapNone/>
                <wp:docPr id="16" name="Frame16"/>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16</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Equity awards representing shares of common stock outstanding that were excluded in the computation of diluted earnings per share because their effect would have been anti-dilutive, were as follows:</w:t>
      </w:r>
    </w:p>
    <w:p>
      <w:pPr>
        <w:pStyle w:val="TextBody"/>
        <w:bidi w:val="0"/>
        <w:spacing w:before="0" w:after="0"/>
        <w:ind w:left="0" w:right="0" w:firstLine="720"/>
        <w:jc w:val="left"/>
        <w:rPr/>
      </w:pPr>
      <w:r>
        <w:rPr/>
      </w:r>
    </w:p>
    <w:tbl>
      <w:tblPr>
        <w:tblW w:w="8687" w:type="dxa"/>
        <w:jc w:val="left"/>
        <w:tblInd w:w="0" w:type="dxa"/>
        <w:tblLayout w:type="fixed"/>
        <w:tblCellMar>
          <w:top w:w="28" w:type="dxa"/>
          <w:left w:w="28" w:type="dxa"/>
          <w:bottom w:w="28" w:type="dxa"/>
          <w:right w:w="28" w:type="dxa"/>
        </w:tblCellMar>
      </w:tblPr>
      <w:tblGrid>
        <w:gridCol w:w="821"/>
        <w:gridCol w:w="720"/>
        <w:gridCol w:w="724"/>
        <w:gridCol w:w="488"/>
        <w:gridCol w:w="488"/>
        <w:gridCol w:w="226"/>
        <w:gridCol w:w="226"/>
        <w:gridCol w:w="226"/>
        <w:gridCol w:w="226"/>
        <w:gridCol w:w="488"/>
        <w:gridCol w:w="488"/>
        <w:gridCol w:w="226"/>
        <w:gridCol w:w="109"/>
        <w:gridCol w:w="109"/>
        <w:gridCol w:w="109"/>
        <w:gridCol w:w="488"/>
        <w:gridCol w:w="488"/>
        <w:gridCol w:w="196"/>
        <w:gridCol w:w="196"/>
        <w:gridCol w:w="196"/>
        <w:gridCol w:w="196"/>
        <w:gridCol w:w="488"/>
        <w:gridCol w:w="488"/>
        <w:gridCol w:w="27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22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Anti-dilutive stock options</w:t>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2,095,106 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2,033,888 </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2,114,228 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2,184,694 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Anti-dilutive RSUs</w:t>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636,417 </w:t>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213,287 </w:t>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534,509 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236,890 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10.     Related Party Transactions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Transactions with related parties included in the condensed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524"/>
        <w:gridCol w:w="338"/>
        <w:gridCol w:w="319"/>
        <w:gridCol w:w="297"/>
        <w:gridCol w:w="571"/>
        <w:gridCol w:w="167"/>
        <w:gridCol w:w="109"/>
        <w:gridCol w:w="109"/>
        <w:gridCol w:w="109"/>
        <w:gridCol w:w="369"/>
        <w:gridCol w:w="766"/>
        <w:gridCol w:w="207"/>
        <w:gridCol w:w="109"/>
        <w:gridCol w:w="109"/>
        <w:gridCol w:w="109"/>
        <w:gridCol w:w="364"/>
        <w:gridCol w:w="758"/>
        <w:gridCol w:w="205"/>
        <w:gridCol w:w="109"/>
        <w:gridCol w:w="109"/>
        <w:gridCol w:w="109"/>
        <w:gridCol w:w="283"/>
        <w:gridCol w:w="585"/>
        <w:gridCol w:w="159"/>
        <w:gridCol w:w="109"/>
        <w:gridCol w:w="109"/>
        <w:gridCol w:w="109"/>
        <w:gridCol w:w="297"/>
        <w:gridCol w:w="571"/>
        <w:gridCol w:w="167"/>
        <w:gridCol w:w="114"/>
        <w:gridCol w:w="114"/>
        <w:gridCol w:w="114"/>
        <w:gridCol w:w="114"/>
        <w:gridCol w:w="109"/>
        <w:gridCol w:w="355"/>
        <w:gridCol w:w="736"/>
        <w:gridCol w:w="294"/>
      </w:tblGrid>
      <w:tr>
        <w:trPr/>
        <w:tc>
          <w:tcPr>
            <w:tcW w:w="5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Condensed Consolidated Balance Sheets</w:t>
            </w:r>
          </w:p>
        </w:tc>
        <w:tc>
          <w:tcPr>
            <w:tcW w:w="1494" w:type="dxa"/>
            <w:gridSpan w:val="4"/>
            <w:tcBorders/>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April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October 31, 2022</w:t>
            </w:r>
          </w:p>
        </w:tc>
        <w:tc>
          <w:tcPr>
            <w:tcW w:w="1494" w:type="dxa"/>
            <w:gridSpan w:val="4"/>
            <w:tcBorders/>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(In millions)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Accounts receivable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Accounts payable &amp; accrued expenses</w:t>
            </w:r>
          </w:p>
        </w:tc>
      </w:tr>
      <w:tr>
        <w:trPr/>
        <w:tc>
          <w:tcPr>
            <w:tcW w:w="11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Equity method investees:</w:t>
            </w:r>
          </w:p>
        </w:tc>
        <w:tc>
          <w:tcPr>
            <w:tcW w:w="10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Mr. Avocado</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Other:</w:t>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Directors/Officers</w:t>
            </w:r>
            <w:r>
              <w:rPr>
                <w:rFonts w:ascii="Adelle Sans;sans-serif" w:hAnsi="Adelle Sans;sans-serif"/>
                <w:b w:val="false"/>
                <w:color w:val="000000"/>
                <w:sz w:val="9"/>
              </w:rPr>
              <w:t>(1)</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Employees</w:t>
            </w:r>
            <w:r>
              <w:rPr>
                <w:rFonts w:ascii="Adelle Sans;sans-serif" w:hAnsi="Adelle Sans;sans-serif"/>
                <w:b w:val="false"/>
                <w:color w:val="000000"/>
                <w:sz w:val="9"/>
              </w:rPr>
              <w:t>(2)</w:t>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0.4 </w:t>
            </w:r>
          </w:p>
        </w:tc>
        <w:tc>
          <w:tcPr>
            <w:tcW w:w="2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92" w:type="dxa"/>
        <w:jc w:val="left"/>
        <w:tblInd w:w="0" w:type="dxa"/>
        <w:tblLayout w:type="fixed"/>
        <w:tblCellMar>
          <w:top w:w="28" w:type="dxa"/>
          <w:left w:w="28" w:type="dxa"/>
          <w:bottom w:w="28" w:type="dxa"/>
          <w:right w:w="28" w:type="dxa"/>
        </w:tblCellMar>
      </w:tblPr>
      <w:tblGrid>
        <w:gridCol w:w="722"/>
        <w:gridCol w:w="635"/>
        <w:gridCol w:w="637"/>
        <w:gridCol w:w="219"/>
        <w:gridCol w:w="454"/>
        <w:gridCol w:w="122"/>
        <w:gridCol w:w="109"/>
        <w:gridCol w:w="109"/>
        <w:gridCol w:w="109"/>
        <w:gridCol w:w="289"/>
        <w:gridCol w:w="600"/>
        <w:gridCol w:w="161"/>
        <w:gridCol w:w="109"/>
        <w:gridCol w:w="109"/>
        <w:gridCol w:w="109"/>
        <w:gridCol w:w="366"/>
        <w:gridCol w:w="761"/>
        <w:gridCol w:w="207"/>
        <w:gridCol w:w="109"/>
        <w:gridCol w:w="109"/>
        <w:gridCol w:w="109"/>
        <w:gridCol w:w="219"/>
        <w:gridCol w:w="454"/>
        <w:gridCol w:w="122"/>
        <w:gridCol w:w="109"/>
        <w:gridCol w:w="109"/>
        <w:gridCol w:w="109"/>
        <w:gridCol w:w="302"/>
        <w:gridCol w:w="580"/>
        <w:gridCol w:w="168"/>
        <w:gridCol w:w="109"/>
        <w:gridCol w:w="109"/>
        <w:gridCol w:w="109"/>
        <w:gridCol w:w="295"/>
        <w:gridCol w:w="612"/>
        <w:gridCol w:w="23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color w:val="000000"/>
                <w:sz w:val="14"/>
              </w:rPr>
            </w:pPr>
            <w:r>
              <w:rPr>
                <w:rFonts w:ascii="Adelle Sans;sans-serif" w:hAnsi="Adelle Sans;sans-serif"/>
                <w:b/>
                <w:color w:val="000000"/>
                <w:sz w:val="14"/>
              </w:rPr>
              <w:t>Condensed Consolidated Statements of (Loss) Income</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(In millions)</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delle Sans;sans-serif" w:hAnsi="Adelle Sans;sans-serif"/>
                <w:b/>
                <w:color w:val="000000"/>
                <w:sz w:val="14"/>
              </w:rPr>
            </w:pPr>
            <w:r>
              <w:rPr>
                <w:rFonts w:ascii="Adelle Sans;sans-serif" w:hAnsi="Adelle Sans;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Other income</w:t>
            </w:r>
          </w:p>
        </w:tc>
      </w:tr>
      <w:tr>
        <w:trPr/>
        <w:tc>
          <w:tcPr>
            <w:tcW w:w="19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 xml:space="preserve">Three Months Ended </w:t>
              <w:br/>
              <w:t>April 30, 2023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 xml:space="preserve">Three Months Ended </w:t>
              <w:br/>
              <w:t>April 30, 2022</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Equity method investees:</w:t>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Henry Avocado</w:t>
            </w:r>
          </w:p>
        </w:tc>
        <w:tc>
          <w:tcPr>
            <w:tcW w:w="21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45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60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7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45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58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0.3 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Mr. Avocado</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Moruga</w:t>
            </w:r>
            <w:r>
              <w:rPr>
                <w:rFonts w:ascii="Adelle Sans;sans-serif" w:hAnsi="Adelle Sans;sans-serif"/>
                <w:b w:val="false"/>
                <w:color w:val="000000"/>
                <w:sz w:val="9"/>
              </w:rPr>
              <w:t>(3)</w:t>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Copaltas</w:t>
            </w:r>
            <w:r>
              <w:rPr>
                <w:rFonts w:ascii="Adelle Sans;sans-serif" w:hAnsi="Adelle Sans;sans-serif"/>
                <w:b w:val="false"/>
                <w:color w:val="000000"/>
                <w:sz w:val="9"/>
              </w:rPr>
              <w:t>(4)</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Other:</w:t>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Directors/Officers</w:t>
            </w:r>
            <w:r>
              <w:rPr>
                <w:rFonts w:ascii="Adelle Sans;sans-serif" w:hAnsi="Adelle Sans;sans-serif"/>
                <w:b w:val="false"/>
                <w:color w:val="000000"/>
                <w:sz w:val="9"/>
              </w:rPr>
              <w:t>(1)</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Employees</w:t>
            </w:r>
            <w:r>
              <w:rPr>
                <w:rFonts w:ascii="Adelle Sans;sans-serif" w:hAnsi="Adelle Sans;sans-serif"/>
                <w:b w:val="false"/>
                <w:color w:val="000000"/>
                <w:sz w:val="9"/>
              </w:rPr>
              <w:t>(2)</w:t>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3.1 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2.4 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Six Months Ended</w:t>
              <w:b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4"/>
              </w:rPr>
            </w:pPr>
            <w:r>
              <w:rPr>
                <w:rFonts w:ascii="Adelle Sans;sans-serif" w:hAnsi="Adelle Sans;sans-serif"/>
                <w:b/>
                <w:color w:val="000000"/>
                <w:sz w:val="14"/>
              </w:rPr>
              <w:t>Six Months Ended</w:t>
              <w:br/>
              <w:t>April 30, 2022</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Equity method investees:</w:t>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Henry Avocado</w:t>
            </w:r>
          </w:p>
        </w:tc>
        <w:tc>
          <w:tcPr>
            <w:tcW w:w="21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45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60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76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45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58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0.5 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Mr. Avocado</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Moruga</w:t>
            </w:r>
            <w:r>
              <w:rPr>
                <w:rFonts w:ascii="Adelle Sans;sans-serif" w:hAnsi="Adelle Sans;sans-serif"/>
                <w:b w:val="false"/>
                <w:color w:val="000000"/>
                <w:sz w:val="9"/>
              </w:rPr>
              <w:t>(3)</w:t>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4.1 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0.4 </w:t>
            </w:r>
          </w:p>
        </w:tc>
        <w:tc>
          <w:tcPr>
            <w:tcW w:w="2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Copaltas</w:t>
            </w:r>
            <w:r>
              <w:rPr>
                <w:rFonts w:ascii="Adelle Sans;sans-serif" w:hAnsi="Adelle Sans;sans-serif"/>
                <w:b w:val="false"/>
                <w:color w:val="000000"/>
                <w:sz w:val="9"/>
              </w:rPr>
              <w:t>(4)</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color w:val="000000"/>
                <w:sz w:val="14"/>
              </w:rPr>
            </w:pPr>
            <w:r>
              <w:rPr>
                <w:rFonts w:ascii="Adelle Sans;sans-serif" w:hAnsi="Adelle Sans;sans-serif"/>
                <w:b/>
                <w:color w:val="000000"/>
                <w:sz w:val="14"/>
              </w:rPr>
              <w:t>Other:</w:t>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Directors/Officers</w:t>
            </w:r>
            <w:r>
              <w:rPr>
                <w:rFonts w:ascii="Adelle Sans;sans-serif" w:hAnsi="Adelle Sans;sans-serif"/>
                <w:b w:val="false"/>
                <w:color w:val="000000"/>
                <w:sz w:val="9"/>
              </w:rPr>
              <w:t>(1))</w:t>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4"/>
              </w:rPr>
              <w:t>Employees</w:t>
            </w:r>
            <w:r>
              <w:rPr>
                <w:rFonts w:ascii="Adelle Sans;sans-serif" w:hAnsi="Adelle Sans;sans-serif"/>
                <w:b w:val="false"/>
                <w:color w:val="000000"/>
                <w:sz w:val="9"/>
              </w:rPr>
              <w:t>(2)</w:t>
            </w:r>
          </w:p>
        </w:tc>
        <w:tc>
          <w:tcPr>
            <w:tcW w:w="673"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5.3 </w:t>
            </w:r>
          </w:p>
        </w:tc>
        <w:tc>
          <w:tcPr>
            <w:tcW w:w="16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4"/>
              </w:rPr>
            </w:pPr>
            <w:r>
              <w:rPr>
                <w:rFonts w:ascii="Adelle Sans;sans-serif" w:hAnsi="Adelle Sans;sans-serif"/>
                <w:b w:val="false"/>
                <w:color w:val="000000"/>
                <w:sz w:val="14"/>
              </w:rPr>
              <w:t>4.1 </w:t>
            </w:r>
          </w:p>
        </w:tc>
        <w:tc>
          <w:tcPr>
            <w:tcW w:w="16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 xml:space="preserve">(1)The Company purchases from and sells avocados to, and provides logistics services to, a small number of entities having full or partial ownership by some of our directors/officers. These transactions are made under substantially similar terms as with other growers and customers. In November 2022, Moruga entered into a long-term land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condensed consolidated balance sheets, with amortization and interest expense recognized in cost of sales and interest expense, respectively, in the condensed consolidated statements of (loss) income. The portion of lease costs attributable to noncontrolling interest, net of income taxes, was $0.1 million and $0.3 million for the three and six months ended April 30, 2023, respectively, and included as part of net loss attributable to noncontrolling interest in the condensed consolidated statements of (loss)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5430"/>
                <wp:effectExtent l="0" t="0" r="0" b="0"/>
                <wp:wrapNone/>
                <wp:docPr id="17" name="Frame17"/>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17</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60" w:after="60"/>
        <w:jc w:val="left"/>
        <w:rPr>
          <w:rFonts w:ascii="Adelle Sans;sans-serif" w:hAnsi="Adelle Sans;sans-serif"/>
          <w:b w:val="false"/>
          <w:color w:val="000000"/>
          <w:sz w:val="14"/>
        </w:rPr>
      </w:pPr>
      <w:r>
        <w:rPr>
          <w:rFonts w:ascii="Adelle Sans;sans-serif" w:hAnsi="Adelle Sans;sans-serif"/>
          <w:b w:val="false"/>
          <w:color w:val="000000"/>
          <w:sz w:val="14"/>
        </w:rPr>
        <w:t>During the second quarter of 2023, we purchased 20 hectares of land in Peru from the same company owned by this same director for $0.2 million, which was comparable to market rates and reflective of an arms-length transaction.</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 xml:space="preserve">(3)Effective May 1, 2022, Moruga was prospectively consolidated into the Company’s financial statements, at which time transactions between parties were prospectively eliminated in the consolidation of our financial statements. Transactions prior to consolidation are presented the same as in prior periods. The Company provides packing and cooling services for blueberries and leases owned land to Moruga. The Company has also provided loans to Moruga to support growth and expansion projects, bearing interest at 6.5%, due December 31, 2024. </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(4)The Company has provided loans to Copaltas to support expansion projects, bearing interest at 6.66%. The loans have been repaid in full as of October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11.     Segment and Revenue Information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We have three operating segments which are also reportable segments. Our reportable segments are presented based on how information is used by our CEO, who is the chief operating decision maker, to measure performance and allocate resources. After the consolidation of Moruga on May 1, 2022 (refer to Note 1 for more information), the information used by the CEO changed to include the results of Moruga, and as such, we determined our reportable segments to be: </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Marketing and Distribution.</w:t>
      </w:r>
      <w:r>
        <w:rPr>
          <w:color w:val="000000"/>
        </w:rPr>
        <w:t xml:space="preserve"> </w:t>
      </w:r>
      <w:r>
        <w:rPr>
          <w:rFonts w:ascii="Adelle Sans;sans-serif" w:hAnsi="Adelle Sans;sans-serif"/>
          <w:b w:val="false"/>
          <w:color w:val="000000"/>
          <w:sz w:val="18"/>
        </w:rPr>
        <w:t xml:space="preserve">Our Marketing and Distribution reportable segment sources fruit from growers and then distributes the fruit through our global distribution network. </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International Farming.</w:t>
      </w:r>
      <w:r>
        <w:rPr>
          <w:color w:val="000000"/>
        </w:rPr>
        <w:t xml:space="preserve"> </w:t>
      </w:r>
      <w:r>
        <w:rPr>
          <w:rFonts w:ascii="Adelle Sans;sans-serif" w:hAnsi="Adelle Sans;sans-serif"/>
          <w:b w:val="false"/>
          <w:color w:val="000000"/>
          <w:sz w:val="18"/>
        </w:rPr>
        <w:t xml:space="preserve">International Farming owns and operates orchards from which substantially all fruit produced is sold to our Marketing and Distribution 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 </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Blueberries.</w:t>
      </w:r>
      <w:r>
        <w:rPr>
          <w:color w:val="000000"/>
        </w:rPr>
        <w:t xml:space="preserve"> </w:t>
      </w:r>
      <w:r>
        <w:rPr>
          <w:rFonts w:ascii="Adelle Sans;sans-serif" w:hAnsi="Adelle Sans;sans-serif"/>
          <w:b w:val="false"/>
          <w:color w:val="000000"/>
          <w:sz w:val="18"/>
        </w:rPr>
        <w:t>The Blueberries segment represents the results of Moruga, subsequent to its consolidation on May 1, 2022. Moruga’s farming activities include cultivating early-stage blueberry plantings and harvesting mature bushes. Substantially all of blueberries produced are sold to a single distributor under an exclusive marketing agreement.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5430"/>
                <wp:effectExtent l="0" t="0" r="0" b="0"/>
                <wp:wrapNone/>
                <wp:docPr id="18" name="Frame18"/>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18</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Net sales from each of our reportable segments were as follows.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52"/>
        <w:gridCol w:w="401"/>
        <w:gridCol w:w="252"/>
        <w:gridCol w:w="219"/>
        <w:gridCol w:w="642"/>
        <w:gridCol w:w="114"/>
        <w:gridCol w:w="109"/>
        <w:gridCol w:w="109"/>
        <w:gridCol w:w="109"/>
        <w:gridCol w:w="307"/>
        <w:gridCol w:w="592"/>
        <w:gridCol w:w="160"/>
        <w:gridCol w:w="109"/>
        <w:gridCol w:w="109"/>
        <w:gridCol w:w="109"/>
        <w:gridCol w:w="240"/>
        <w:gridCol w:w="581"/>
        <w:gridCol w:w="125"/>
        <w:gridCol w:w="109"/>
        <w:gridCol w:w="109"/>
        <w:gridCol w:w="109"/>
        <w:gridCol w:w="211"/>
        <w:gridCol w:w="616"/>
        <w:gridCol w:w="109"/>
        <w:gridCol w:w="109"/>
        <w:gridCol w:w="109"/>
        <w:gridCol w:w="109"/>
        <w:gridCol w:w="219"/>
        <w:gridCol w:w="642"/>
        <w:gridCol w:w="114"/>
        <w:gridCol w:w="109"/>
        <w:gridCol w:w="109"/>
        <w:gridCol w:w="109"/>
        <w:gridCol w:w="307"/>
        <w:gridCol w:w="592"/>
        <w:gridCol w:w="160"/>
        <w:gridCol w:w="109"/>
        <w:gridCol w:w="109"/>
        <w:gridCol w:w="109"/>
        <w:gridCol w:w="211"/>
        <w:gridCol w:w="616"/>
        <w:gridCol w:w="161"/>
      </w:tblGrid>
      <w:tr>
        <w:trPr/>
        <w:tc>
          <w:tcPr>
            <w:tcW w:w="6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Total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Third party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Affiliated sales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segment sales</w:t>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280.7 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Intercompany 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r>
      <w:tr>
        <w:trPr/>
        <w:tc>
          <w:tcPr>
            <w:tcW w:w="13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Third party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8.7 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Affiliated sales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segment sales</w:t>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11.7 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10.3 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496.3 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Intercompany 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8.7 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Supplemental sales information is as follows.</w:t>
      </w:r>
    </w:p>
    <w:tbl>
      <w:tblPr>
        <w:tblW w:w="6659" w:type="dxa"/>
        <w:jc w:val="left"/>
        <w:tblInd w:w="0" w:type="dxa"/>
        <w:tblLayout w:type="fixed"/>
        <w:tblCellMar>
          <w:top w:w="28" w:type="dxa"/>
          <w:left w:w="28" w:type="dxa"/>
          <w:bottom w:w="28" w:type="dxa"/>
          <w:right w:w="28" w:type="dxa"/>
        </w:tblCellMar>
      </w:tblPr>
      <w:tblGrid>
        <w:gridCol w:w="682"/>
        <w:gridCol w:w="603"/>
        <w:gridCol w:w="60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18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i/>
                <w:color w:val="000000"/>
                <w:sz w:val="16"/>
              </w:rPr>
            </w:pPr>
            <w:r>
              <w:rPr>
                <w:rFonts w:ascii="Adelle Sans;sans-serif" w:hAnsi="Adelle Sans;sans-serif"/>
                <w:b w:val="false"/>
                <w:i/>
                <w:color w:val="000000"/>
                <w:sz w:val="16"/>
              </w:rPr>
              <w:t>By type</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Avocado</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Blueberry</w:t>
            </w:r>
            <w:r>
              <w:rPr>
                <w:rFonts w:ascii="Adelle Sans;sans-serif" w:hAnsi="Adelle Sans;sans-serif"/>
                <w:b w:val="false"/>
                <w:color w:val="000000"/>
                <w:sz w:val="10"/>
              </w:rPr>
              <w:t>(1)</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Mango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i/>
                <w:color w:val="000000"/>
                <w:sz w:val="16"/>
              </w:rPr>
            </w:pPr>
            <w:r>
              <w:rPr>
                <w:rFonts w:ascii="Adelle Sans;sans-serif" w:hAnsi="Adelle Sans;sans-serif"/>
                <w:b w:val="false"/>
                <w:i/>
                <w:color w:val="000000"/>
                <w:sz w:val="16"/>
              </w:rPr>
              <w:t>By customer location</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Rest of world</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 xml:space="preserve">(1)Blueberry sales are generated entirely by our Blueberries segment and are therefore reported prospectively from May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5430"/>
                <wp:effectExtent l="0" t="0" r="0" b="0"/>
                <wp:wrapNone/>
                <wp:docPr id="19" name="Frame19"/>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19</w:t>
                      </w:r>
                    </w:p>
                  </w:txbxContent>
                </v:textbox>
                <w10:wrap type="none"/>
              </v:rect>
            </w:pict>
          </mc:Fallback>
        </mc:AlternateContent>
      </w:r>
    </w:p>
    <w:p>
      <w:pPr>
        <w:pStyle w:val="TextBody"/>
        <w:bidi w:val="0"/>
        <w:spacing w:lineRule="auto" w:line="288" w:before="80" w:after="283"/>
        <w:jc w:val="center"/>
        <w:rPr>
          <w:rFonts w:ascii="Adelle Sans;sans-serif" w:hAnsi="Adelle Sans;sans-serif"/>
          <w:b/>
          <w:color w:val="000000"/>
          <w:sz w:val="24"/>
        </w:rPr>
      </w:pPr>
      <w:r>
        <w:rPr>
          <w:rFonts w:ascii="Adelle Sans;sans-serif" w:hAnsi="Adelle Sans;sans-serif"/>
          <w:b/>
          <w:color w:val="000000"/>
          <w:sz w:val="24"/>
        </w:rPr>
        <w:t>MISSION PRODUCE, INC.</w:t>
      </w:r>
    </w:p>
    <w:p>
      <w:pPr>
        <w:pStyle w:val="TextBody"/>
        <w:bidi w:val="0"/>
        <w:spacing w:lineRule="auto" w:line="288" w:before="0" w:after="240"/>
        <w:jc w:val="center"/>
        <w:rPr>
          <w:rFonts w:ascii="Adelle Sans;sans-serif" w:hAnsi="Adelle Sans;sans-serif"/>
          <w:b/>
          <w:color w:val="000000"/>
          <w:sz w:val="24"/>
        </w:rPr>
      </w:pPr>
      <w:r>
        <w:rPr>
          <w:rFonts w:ascii="Adelle Sans;sans-serif" w:hAnsi="Adelle Sans;sans-serif"/>
          <w:b/>
          <w:color w:val="000000"/>
          <w:sz w:val="24"/>
        </w:rPr>
        <w:t>NOTES TO UNAUDITED CONDENSED CONSOLIDATED FINANCIAL STATEMENTS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Adjusted EBITDA (as defined above) for each of our reportable segments was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121"/>
        <w:gridCol w:w="1867"/>
        <w:gridCol w:w="1875"/>
        <w:gridCol w:w="225"/>
        <w:gridCol w:w="434"/>
        <w:gridCol w:w="116"/>
        <w:gridCol w:w="116"/>
        <w:gridCol w:w="116"/>
        <w:gridCol w:w="116"/>
        <w:gridCol w:w="225"/>
        <w:gridCol w:w="547"/>
        <w:gridCol w:w="116"/>
        <w:gridCol w:w="109"/>
        <w:gridCol w:w="109"/>
        <w:gridCol w:w="109"/>
        <w:gridCol w:w="211"/>
        <w:gridCol w:w="511"/>
        <w:gridCol w:w="109"/>
        <w:gridCol w:w="109"/>
        <w:gridCol w:w="109"/>
        <w:gridCol w:w="109"/>
        <w:gridCol w:w="211"/>
        <w:gridCol w:w="473"/>
        <w:gridCol w:w="162"/>
      </w:tblGrid>
      <w:tr>
        <w:trPr/>
        <w:tc>
          <w:tcPr>
            <w:tcW w:w="212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5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58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Marketing and Distribution adjusted EBITDA</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8.6 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11.7 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International Farming adjusted EBITDA</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Blueberries adjusted EBITDA</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reportable segment adjusted EBITDA</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w:t>
            </w:r>
          </w:p>
        </w:tc>
        <w:tc>
          <w:tcPr>
            <w:tcW w:w="6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expense</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Provision (benefit) for income taxes</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Depreciation and amortization</w:t>
            </w:r>
            <w:r>
              <w:rPr>
                <w:rFonts w:ascii="Adelle Sans;sans-serif" w:hAnsi="Adelle Sans;sans-serif"/>
                <w:b w:val="false"/>
                <w:color w:val="000000"/>
                <w:sz w:val="10"/>
              </w:rPr>
              <w:t>(1)</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Stock-based compensation</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Asset impairment and disposals, net of insurance recoveries</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Farming costs for nonproductive orchards</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ERP costs</w:t>
            </w:r>
            <w:r>
              <w:rPr>
                <w:rFonts w:ascii="Adelle Sans;sans-serif" w:hAnsi="Adelle Sans;sans-serif"/>
                <w:b w:val="false"/>
                <w:color w:val="000000"/>
                <w:sz w:val="10"/>
              </w:rPr>
              <w:t>(2)</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Transaction costs</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Amortization of inventory adjustment recognized from business combination</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Noncontrolling interest</w:t>
            </w:r>
            <w:r>
              <w:rPr>
                <w:rFonts w:ascii="Adelle Sans;sans-serif" w:hAnsi="Adelle Sans;sans-serif"/>
                <w:b w:val="false"/>
                <w:color w:val="000000"/>
                <w:sz w:val="10"/>
              </w:rPr>
              <w:t>(3)</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adjusted EBITDA</w:t>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7.6 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(1)Includes depreciation and amortization of purchase accounting assets of $0.1 million and $1.7 million for the three and six months ended April 30, 2023, respectively, and zero and $0.1 million for the three and six months ended April 30, 2022, respectively.</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(2)Includes recognition of deferred implementation costs for both periods, and for the three and six months ended April 30, 2022, non-recurring post-implementation process reengineering costs are also included.</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(3)Represents net loss attributable to noncontrolling interest plus the impact of non-GAAP adjustments, allocable to the noncontrolling owner based on their percentage of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5430"/>
                <wp:effectExtent l="0" t="0" r="0" b="0"/>
                <wp:wrapNone/>
                <wp:docPr id="20" name="Frame20"/>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2.    Management’s Discussion and Analysis of Financial Condition and Results of Operations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Overview</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are a world leader in sourcing, producing and distributing fresh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have three operating segments which are also reportable segments:</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 xml:space="preserve">Marketing and Distribution. </w:t>
      </w:r>
      <w:r>
        <w:rPr>
          <w:rFonts w:ascii="Adelle Sans;sans-serif" w:hAnsi="Adelle Sans;sans-serif"/>
          <w:b w:val="false"/>
          <w:color w:val="000000"/>
          <w:sz w:val="18"/>
        </w:rPr>
        <w:t>Our Marketing and Distribution reportable segment sources fruit from growers and then distributes the fruit through our global distribution network.</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International Farming.</w:t>
      </w:r>
      <w:r>
        <w:rPr>
          <w:color w:val="000000"/>
        </w:rPr>
        <w:t xml:space="preserve"> </w:t>
      </w:r>
      <w:r>
        <w:rPr>
          <w:rFonts w:ascii="Adelle Sans;sans-serif" w:hAnsi="Adelle Sans;sans-serif"/>
          <w:b w:val="false"/>
          <w:color w:val="000000"/>
          <w:sz w:val="18"/>
        </w:rPr>
        <w:t>International Farming owns and operates orchards from which substantially all fruit produced is sold to our Marketing and Distribution 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w:t>
      </w:r>
    </w:p>
    <w:p>
      <w:pPr>
        <w:pStyle w:val="TextBody"/>
        <w:bidi w:val="0"/>
        <w:spacing w:lineRule="auto" w:line="288" w:before="240" w:after="283"/>
        <w:ind w:left="0" w:right="0" w:hanging="360"/>
        <w:jc w:val="left"/>
        <w:rPr/>
      </w:pPr>
      <w:r>
        <w:rPr>
          <w:color w:val="000000"/>
        </w:rPr>
        <w:t>•</w:t>
      </w:r>
      <w:r>
        <w:rPr>
          <w:rFonts w:ascii="Adelle Sans;sans-serif" w:hAnsi="Adelle Sans;sans-serif"/>
          <w:b w:val="false"/>
          <w:i/>
          <w:color w:val="000000"/>
          <w:sz w:val="18"/>
        </w:rPr>
        <w:t>Blueberries.</w:t>
      </w:r>
      <w:r>
        <w:rPr>
          <w:color w:val="000000"/>
        </w:rPr>
        <w:t xml:space="preserve"> </w:t>
      </w:r>
      <w:r>
        <w:rPr>
          <w:rFonts w:ascii="Adelle Sans;sans-serif" w:hAnsi="Adelle Sans;sans-serif"/>
          <w:b w:val="false"/>
          <w:color w:val="000000"/>
          <w:sz w:val="18"/>
        </w:rPr>
        <w:t>The Blueberries segment represents the results of Moruga, subsequent to its consolidation on May 1, 2022. Moruga’s farming activities include cultivating early-stage blueberry plantings and harvesting mature bushes. Substantially all of blueberries produced are sold to a single distributor under an exclusive marketing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Results of Operations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5430"/>
                <wp:effectExtent l="0" t="0" r="0" b="0"/>
                <wp:wrapNone/>
                <wp:docPr id="21" name="Frame21"/>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83"/>
        <w:gridCol w:w="781"/>
        <w:gridCol w:w="782"/>
        <w:gridCol w:w="211"/>
        <w:gridCol w:w="616"/>
        <w:gridCol w:w="109"/>
        <w:gridCol w:w="233"/>
        <w:gridCol w:w="233"/>
        <w:gridCol w:w="256"/>
        <w:gridCol w:w="109"/>
        <w:gridCol w:w="109"/>
        <w:gridCol w:w="109"/>
        <w:gridCol w:w="211"/>
        <w:gridCol w:w="616"/>
        <w:gridCol w:w="109"/>
        <w:gridCol w:w="233"/>
        <w:gridCol w:w="233"/>
        <w:gridCol w:w="256"/>
        <w:gridCol w:w="109"/>
        <w:gridCol w:w="109"/>
        <w:gridCol w:w="109"/>
        <w:gridCol w:w="211"/>
        <w:gridCol w:w="616"/>
        <w:gridCol w:w="109"/>
        <w:gridCol w:w="233"/>
        <w:gridCol w:w="233"/>
        <w:gridCol w:w="256"/>
        <w:gridCol w:w="109"/>
        <w:gridCol w:w="109"/>
        <w:gridCol w:w="109"/>
        <w:gridCol w:w="211"/>
        <w:gridCol w:w="616"/>
        <w:gridCol w:w="109"/>
        <w:gridCol w:w="233"/>
        <w:gridCol w:w="233"/>
        <w:gridCol w:w="302"/>
      </w:tblGrid>
      <w:tr>
        <w:trPr/>
        <w:tc>
          <w:tcPr>
            <w:tcW w:w="98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r>
      <w:tr>
        <w:trPr/>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 except for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Dollars</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Dollars</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Dollars</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Dollars</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color w:val="000000"/>
                <w:sz w:val="16"/>
              </w:rPr>
            </w:pPr>
            <w:r>
              <w:rPr>
                <w:rFonts w:ascii="Adelle Sans;sans-serif" w:hAnsi="Adelle Sans;sans-serif"/>
                <w:b/>
                <w:color w:val="000000"/>
                <w:sz w:val="16"/>
              </w:rPr>
              <w:t>%</w:t>
            </w:r>
          </w:p>
        </w:tc>
      </w:tr>
      <w:tr>
        <w:trPr/>
        <w:tc>
          <w:tcPr>
            <w:tcW w:w="2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sales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96 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Gross profit</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Operating (loss) income</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(Loss) income before income taxes</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Provision (benefit)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attributable to noncontrolling interest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delle Sans;sans-serif" w:hAnsi="Adelle Sans;sans-serif"/>
                <w:b w:val="false"/>
                <w:color w:val="000000"/>
                <w:sz w:val="16"/>
              </w:rPr>
            </w:pPr>
            <w:r>
              <w:rPr>
                <w:rFonts w:ascii="Adelle Sans;sans-serif" w:hAnsi="Adelle Sans;sans-serif"/>
                <w:b w:val="false"/>
                <w:color w:val="000000"/>
                <w:sz w:val="16"/>
              </w:rPr>
              <w:t>%</w:t>
            </w:r>
          </w:p>
        </w:tc>
      </w:tr>
      <w:tr>
        <w:trPr/>
        <w:tc>
          <w:tcPr>
            <w:tcW w:w="254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 attributable to Mission Produce</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(4.6)</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(13.4)</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r>
    </w:tbl>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Net sales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pStyle w:val="TextBody"/>
        <w:bidi w:val="0"/>
        <w:spacing w:before="0" w:after="0"/>
        <w:ind w:left="0" w:right="0" w:firstLine="720"/>
        <w:jc w:val="left"/>
        <w:rPr/>
      </w:pPr>
      <w:r>
        <w:rPr/>
      </w:r>
    </w:p>
    <w:tbl>
      <w:tblPr>
        <w:tblW w:w="7080" w:type="dxa"/>
        <w:jc w:val="center"/>
        <w:tblInd w:w="0" w:type="dxa"/>
        <w:tblLayout w:type="fixed"/>
        <w:tblCellMar>
          <w:top w:w="28" w:type="dxa"/>
          <w:left w:w="28" w:type="dxa"/>
          <w:bottom w:w="28" w:type="dxa"/>
          <w:right w:w="28" w:type="dxa"/>
        </w:tblCellMar>
      </w:tblPr>
      <w:tblGrid>
        <w:gridCol w:w="835"/>
        <w:gridCol w:w="736"/>
        <w:gridCol w:w="73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23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sales:</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Marketing and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International Farming</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Blueberries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Net sales decreased $57.0 million or 20% in the three months ended April 30, 2023 compared to the same period last year, largely driven by our Marketing and Distribution segment. A 36% decrease in average per-unit avocado sales prices was partially offset by an increase in avocado volume sold of 19%, both of which were driven by higher industry supply out of Mexico during the current quarter and limited supply out of Mexico in the same period last year.</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Net sales decreased $60.1 million or 12% in the six months ended April 30, 2023 compared to the same period last year, primarily attributed to our Marketing and Distribution segment, partially offset by the consolidation of revenue from our Blueberries segment. A 32% decrease in average per-unit avocado sales prices was partially offset by an increase in avocado volume sold of 16%, both of which were driven by higher industry supply out of Mexico in the current year and limited supply out of Mexico in the previous year.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Gross profit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Cost of sales is composed primarily of avocado procurement costs from independent growers and packers, logistics costs, packaging costs, labor, costs associated with cultivation (the cost of growing crops),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5430"/>
                <wp:effectExtent l="0" t="0" r="0" b="0"/>
                <wp:wrapNone/>
                <wp:docPr id="22" name="Frame22"/>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delle Sans;sans-serif" w:hAnsi="Adelle Sans;sans-serif"/>
          <w:b w:val="false"/>
          <w:color w:val="000000"/>
          <w:sz w:val="18"/>
        </w:rPr>
      </w:pPr>
      <w:r>
        <w:rPr>
          <w:rFonts w:ascii="Adelle Sans;sans-serif" w:hAnsi="Adelle Sans;sans-serif"/>
          <w:b w:val="false"/>
          <w:color w:val="000000"/>
          <w:sz w:val="18"/>
        </w:rPr>
        <w:t>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the production yields, and other input costs also affect our cost of sales.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before="0" w:after="0"/>
        <w:ind w:left="0" w:right="0" w:firstLine="720"/>
        <w:jc w:val="left"/>
        <w:rPr/>
      </w:pPr>
      <w:r>
        <w:rPr/>
      </w:r>
    </w:p>
    <w:tbl>
      <w:tblPr>
        <w:tblW w:w="7756" w:type="dxa"/>
        <w:jc w:val="center"/>
        <w:tblInd w:w="0" w:type="dxa"/>
        <w:tblLayout w:type="fixed"/>
        <w:tblCellMar>
          <w:top w:w="28" w:type="dxa"/>
          <w:left w:w="28" w:type="dxa"/>
          <w:bottom w:w="28" w:type="dxa"/>
          <w:right w:w="28" w:type="dxa"/>
        </w:tblCellMar>
      </w:tblPr>
      <w:tblGrid>
        <w:gridCol w:w="1156"/>
        <w:gridCol w:w="1018"/>
        <w:gridCol w:w="1021"/>
        <w:gridCol w:w="228"/>
        <w:gridCol w:w="554"/>
        <w:gridCol w:w="277"/>
        <w:gridCol w:w="118"/>
        <w:gridCol w:w="118"/>
        <w:gridCol w:w="118"/>
        <w:gridCol w:w="249"/>
        <w:gridCol w:w="157"/>
        <w:gridCol w:w="327"/>
        <w:gridCol w:w="109"/>
        <w:gridCol w:w="109"/>
        <w:gridCol w:w="109"/>
        <w:gridCol w:w="211"/>
        <w:gridCol w:w="511"/>
        <w:gridCol w:w="256"/>
        <w:gridCol w:w="109"/>
        <w:gridCol w:w="109"/>
        <w:gridCol w:w="109"/>
        <w:gridCol w:w="249"/>
        <w:gridCol w:w="157"/>
        <w:gridCol w:w="377"/>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31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Gross profit (in millions)</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18.1 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20.3</w:t>
            </w:r>
          </w:p>
        </w:tc>
      </w:tr>
      <w:tr>
        <w:trPr/>
        <w:tc>
          <w:tcPr>
            <w:tcW w:w="31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Gross profit as a percentage of sales</w:t>
            </w:r>
          </w:p>
        </w:tc>
        <w:tc>
          <w:tcPr>
            <w:tcW w:w="7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8.2 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7.1 </w:t>
            </w:r>
          </w:p>
        </w:tc>
        <w:tc>
          <w:tcPr>
            <w:tcW w:w="3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6.2 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3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Gross profit decreased $1.7 million or 9% in the three months ended April 30, 2023 compared to the same period last year to $18.1 million and gross profit percentage increased 110 basis points to 8.2% of revenue, compared to the same period last year. Gross profit was impacted primarily by the mix of volume from source regions, which favored Mexico this year, whereas the prior year period was advantaged by the positive influence from an earlier California harvest.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Gross profit increased $6.8 million or 33%, in the six months ended April 30, 2023 compared to the same period last year to $27.1 million, and gross profit percentage increased 210 basis points to 6.2% of revenue. The increases were driven by weak results in the prior year period, which were negatively affected by challenges with the implementation of our new ERP system in our Marketing and Distribution segment. The increases were partially offset by negative gross margin within the Blueberries segment during the first quarter of 2023 as a result of weak sales prices within the European and US markets driven by strong industry supply, as well as the amortization of purchase accounting adjustments associated with the business combination of Moruga during fiscal 2022.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Selling, general and administrative expenses</w:t>
      </w:r>
    </w:p>
    <w:p>
      <w:pPr>
        <w:pStyle w:val="TextBody"/>
        <w:bidi w:val="0"/>
        <w:spacing w:lineRule="auto" w:line="288" w:before="240" w:after="120"/>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Selling, general and administrative (“SG&amp;A”) expenses primarily include the costs associated with selling, professional fees, general corporate overhead and other related administrative functions.</w:t>
      </w:r>
    </w:p>
    <w:tbl>
      <w:tblPr>
        <w:tblW w:w="8280" w:type="dxa"/>
        <w:jc w:val="center"/>
        <w:tblInd w:w="0" w:type="dxa"/>
        <w:tblLayout w:type="fixed"/>
        <w:tblCellMar>
          <w:top w:w="28" w:type="dxa"/>
          <w:left w:w="28" w:type="dxa"/>
          <w:bottom w:w="28" w:type="dxa"/>
          <w:right w:w="28" w:type="dxa"/>
        </w:tblCellMar>
      </w:tblPr>
      <w:tblGrid>
        <w:gridCol w:w="1404"/>
        <w:gridCol w:w="1236"/>
        <w:gridCol w:w="1244"/>
        <w:gridCol w:w="216"/>
        <w:gridCol w:w="524"/>
        <w:gridCol w:w="111"/>
        <w:gridCol w:w="111"/>
        <w:gridCol w:w="111"/>
        <w:gridCol w:w="111"/>
        <w:gridCol w:w="216"/>
        <w:gridCol w:w="524"/>
        <w:gridCol w:w="111"/>
        <w:gridCol w:w="109"/>
        <w:gridCol w:w="109"/>
        <w:gridCol w:w="109"/>
        <w:gridCol w:w="211"/>
        <w:gridCol w:w="511"/>
        <w:gridCol w:w="109"/>
        <w:gridCol w:w="109"/>
        <w:gridCol w:w="109"/>
        <w:gridCol w:w="109"/>
        <w:gridCol w:w="211"/>
        <w:gridCol w:w="511"/>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388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Selling, general and administrative expenses</w:t>
            </w:r>
          </w:p>
        </w:tc>
        <w:tc>
          <w:tcPr>
            <w:tcW w:w="2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19.3 </w:t>
            </w:r>
          </w:p>
        </w:tc>
        <w:tc>
          <w:tcPr>
            <w:tcW w:w="1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18.7 </w:t>
            </w:r>
          </w:p>
        </w:tc>
        <w:tc>
          <w:tcPr>
            <w:tcW w:w="1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38.4 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SG&amp;A expenses increased $0.6 million or 3% in the three months ended April 30, 2023 primarily due to the consolidation of expenses from the Blueberries segment.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SG&amp;A expenses increased $1.0 million or 3% in the six months ended April 30, 2023 compared to the same period last year, primarily due to the consolidation of $2.1 million of expenses from the Blueberries segment in the current year, a large portion of which was attributed to amortization of an intangible asset recognized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5430"/>
                <wp:effectExtent l="0" t="0" r="0" b="0"/>
                <wp:wrapNone/>
                <wp:docPr id="23" name="Frame23"/>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business combination. The Blueberries expenses were largely offset by non-recurring ERP process reengineering costs incurred in the previous period by our Marketing and Distribution segment.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Interest expense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 </w:t>
      </w:r>
    </w:p>
    <w:p>
      <w:pPr>
        <w:pStyle w:val="TextBody"/>
        <w:bidi w:val="0"/>
        <w:spacing w:before="0" w:after="0"/>
        <w:ind w:left="0" w:right="0" w:firstLine="720"/>
        <w:jc w:val="left"/>
        <w:rPr/>
      </w:pPr>
      <w:r>
        <w:rPr/>
      </w:r>
    </w:p>
    <w:tbl>
      <w:tblPr>
        <w:tblW w:w="5737" w:type="dxa"/>
        <w:jc w:val="center"/>
        <w:tblInd w:w="0" w:type="dxa"/>
        <w:tblLayout w:type="fixed"/>
        <w:tblCellMar>
          <w:top w:w="28" w:type="dxa"/>
          <w:left w:w="28" w:type="dxa"/>
          <w:bottom w:w="28" w:type="dxa"/>
          <w:right w:w="28" w:type="dxa"/>
        </w:tblCellMar>
      </w:tblPr>
      <w:tblGrid>
        <w:gridCol w:w="553"/>
        <w:gridCol w:w="488"/>
        <w:gridCol w:w="489"/>
        <w:gridCol w:w="242"/>
        <w:gridCol w:w="465"/>
        <w:gridCol w:w="125"/>
        <w:gridCol w:w="125"/>
        <w:gridCol w:w="125"/>
        <w:gridCol w:w="125"/>
        <w:gridCol w:w="242"/>
        <w:gridCol w:w="465"/>
        <w:gridCol w:w="125"/>
        <w:gridCol w:w="109"/>
        <w:gridCol w:w="109"/>
        <w:gridCol w:w="109"/>
        <w:gridCol w:w="213"/>
        <w:gridCol w:w="410"/>
        <w:gridCol w:w="110"/>
        <w:gridCol w:w="110"/>
        <w:gridCol w:w="110"/>
        <w:gridCol w:w="110"/>
        <w:gridCol w:w="213"/>
        <w:gridCol w:w="410"/>
        <w:gridCol w:w="155"/>
      </w:tblGrid>
      <w:tr>
        <w:trPr/>
        <w:tc>
          <w:tcPr>
            <w:tcW w:w="55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expense</w:t>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5.1 </w:t>
            </w:r>
          </w:p>
        </w:tc>
        <w:tc>
          <w:tcPr>
            <w:tcW w:w="1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Interest expense increased $1.6 million or 145% and $3.1 million or 155% in the three and six months ended April 30, 2023, respectively, compared to the same periods last year. The increases were primarily related to the effect of rising interest rates on our credit facility, which is subject to variable rates, as well as higher average outstanding debt balances. Additionally, we incurred interest expense of $0.4 million and $0.7 million in the three and six months ended April 30, 2023, respectively, related to a long-term finance lease of land for blueberry development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To reduce interest rate risk on our long-term debt, we have interest rate swaps with a total notional amount of $100 million to hedge changes in the variable rates applicable to our term loan principal. Gains or losses generated from the swaps are recognized in other income (expense), net in the consolidated financial statements.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Equity method income</w:t>
      </w:r>
    </w:p>
    <w:p>
      <w:pPr>
        <w:pStyle w:val="TextBody"/>
        <w:bidi w:val="0"/>
        <w:spacing w:lineRule="auto" w:line="288" w:before="240" w:after="240"/>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Our material equity method investees include Henry Avocado (“HAC”), Mr. Avocado, Copaltas, and up until May 1, 2022, Moruga. On May 1, 2022, Moruga became a variable interest entity and prospectively consolidated into our financial statements. </w:t>
      </w:r>
    </w:p>
    <w:tbl>
      <w:tblPr>
        <w:tblW w:w="6202" w:type="dxa"/>
        <w:jc w:val="center"/>
        <w:tblInd w:w="0" w:type="dxa"/>
        <w:tblLayout w:type="fixed"/>
        <w:tblCellMar>
          <w:top w:w="28" w:type="dxa"/>
          <w:left w:w="28" w:type="dxa"/>
          <w:bottom w:w="28" w:type="dxa"/>
          <w:right w:w="28" w:type="dxa"/>
        </w:tblCellMar>
      </w:tblPr>
      <w:tblGrid>
        <w:gridCol w:w="721"/>
        <w:gridCol w:w="636"/>
        <w:gridCol w:w="638"/>
        <w:gridCol w:w="242"/>
        <w:gridCol w:w="465"/>
        <w:gridCol w:w="125"/>
        <w:gridCol w:w="125"/>
        <w:gridCol w:w="125"/>
        <w:gridCol w:w="125"/>
        <w:gridCol w:w="242"/>
        <w:gridCol w:w="465"/>
        <w:gridCol w:w="125"/>
        <w:gridCol w:w="109"/>
        <w:gridCol w:w="109"/>
        <w:gridCol w:w="109"/>
        <w:gridCol w:w="213"/>
        <w:gridCol w:w="410"/>
        <w:gridCol w:w="110"/>
        <w:gridCol w:w="110"/>
        <w:gridCol w:w="110"/>
        <w:gridCol w:w="110"/>
        <w:gridCol w:w="213"/>
        <w:gridCol w:w="410"/>
        <w:gridCol w:w="15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19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Equity method income was nearly flat in the three months ended April 30, 2023 compared to the same period last year, primarily due to the consolidation of Moruga, which had incurred losses in the previous year, partially offset by higher income from HAC.</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Equity method income decreased $0.5 million or 26% compared to the same period last year, primarily due to the consolidation of Moruga in the current year.</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Other income (expense), net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Other income (expense), net consists of interest income, currency exchange gains or losses, interest rate derivative gains or losses and other miscellaneous income and expense items.</w:t>
      </w:r>
    </w:p>
    <w:p>
      <w:pPr>
        <w:pStyle w:val="TextBody"/>
        <w:bidi w:val="0"/>
        <w:spacing w:before="0" w:after="0"/>
        <w:jc w:val="left"/>
        <w:rPr/>
      </w:pPr>
      <w:r>
        <w:rPr/>
      </w:r>
    </w:p>
    <w:tbl>
      <w:tblPr>
        <w:tblW w:w="6769" w:type="dxa"/>
        <w:jc w:val="center"/>
        <w:tblInd w:w="0" w:type="dxa"/>
        <w:tblLayout w:type="fixed"/>
        <w:tblCellMar>
          <w:top w:w="28" w:type="dxa"/>
          <w:left w:w="28" w:type="dxa"/>
          <w:bottom w:w="28" w:type="dxa"/>
          <w:right w:w="28" w:type="dxa"/>
        </w:tblCellMar>
      </w:tblPr>
      <w:tblGrid>
        <w:gridCol w:w="905"/>
        <w:gridCol w:w="798"/>
        <w:gridCol w:w="801"/>
        <w:gridCol w:w="242"/>
        <w:gridCol w:w="465"/>
        <w:gridCol w:w="125"/>
        <w:gridCol w:w="125"/>
        <w:gridCol w:w="125"/>
        <w:gridCol w:w="125"/>
        <w:gridCol w:w="242"/>
        <w:gridCol w:w="465"/>
        <w:gridCol w:w="125"/>
        <w:gridCol w:w="109"/>
        <w:gridCol w:w="109"/>
        <w:gridCol w:w="109"/>
        <w:gridCol w:w="211"/>
        <w:gridCol w:w="481"/>
        <w:gridCol w:w="109"/>
        <w:gridCol w:w="109"/>
        <w:gridCol w:w="109"/>
        <w:gridCol w:w="109"/>
        <w:gridCol w:w="211"/>
        <w:gridCol w:w="40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250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 net</w:t>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6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5430"/>
                <wp:effectExtent l="0" t="0" r="0" b="0"/>
                <wp:wrapNone/>
                <wp:docPr id="24" name="Frame24"/>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Other income decreased $2.3 million or 79% in three months ended April 30, 2023 compared to the same period last year primarily due to our interest rate swaps, which generated higher gains in the previous period as a result of rising interest rates during the period.</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Other expense was $0.2 million for the six months ended April 30, 2023, compared to other income of $4.5 million in the same period last year, primarily due to gains generated on interest rate swaps in the previous period as a result of rising interest rates during the period, as well as loss on foreign currency transactions in the current period compared to gains in the prior period, both driven by movement between the U.S. dollar and Mexican peso.</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Income taxes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benefit or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before="0" w:after="0"/>
        <w:jc w:val="left"/>
        <w:rPr/>
      </w:pPr>
      <w:r>
        <w:rPr/>
      </w:r>
    </w:p>
    <w:tbl>
      <w:tblPr>
        <w:tblW w:w="8703" w:type="dxa"/>
        <w:jc w:val="center"/>
        <w:tblInd w:w="0" w:type="dxa"/>
        <w:tblLayout w:type="fixed"/>
        <w:tblCellMar>
          <w:top w:w="28" w:type="dxa"/>
          <w:left w:w="28" w:type="dxa"/>
          <w:bottom w:w="28" w:type="dxa"/>
          <w:right w:w="28" w:type="dxa"/>
        </w:tblCellMar>
      </w:tblPr>
      <w:tblGrid>
        <w:gridCol w:w="1487"/>
        <w:gridCol w:w="1309"/>
        <w:gridCol w:w="1314"/>
        <w:gridCol w:w="211"/>
        <w:gridCol w:w="406"/>
        <w:gridCol w:w="256"/>
        <w:gridCol w:w="109"/>
        <w:gridCol w:w="109"/>
        <w:gridCol w:w="109"/>
        <w:gridCol w:w="211"/>
        <w:gridCol w:w="406"/>
        <w:gridCol w:w="256"/>
        <w:gridCol w:w="109"/>
        <w:gridCol w:w="109"/>
        <w:gridCol w:w="109"/>
        <w:gridCol w:w="211"/>
        <w:gridCol w:w="406"/>
        <w:gridCol w:w="256"/>
        <w:gridCol w:w="109"/>
        <w:gridCol w:w="109"/>
        <w:gridCol w:w="109"/>
        <w:gridCol w:w="211"/>
        <w:gridCol w:w="481"/>
        <w:gridCol w:w="301"/>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4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Provision (benefit) for income taxes (in millions)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Effective tax rate</w:t>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(62.1)</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25.0 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(0.7)</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13.4 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w:t>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provision for income tax increased $1.0 million or 125% in the three months ended April 30, 2023 compared to the same period last year, primarily due to a discrete charge in the current year related to an uncertain tax position in Mexico. 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provision for income tax for the six months ended April 30, 2023 was $0.1 million compared to a benefit of $1.7 million for the same period last year. The change was also primarily due to the discrete charge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Segment Results of Operations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5430"/>
                <wp:effectExtent l="0" t="0" r="0" b="0"/>
                <wp:wrapNone/>
                <wp:docPr id="25" name="Frame25"/>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Net sales</w:t>
      </w:r>
    </w:p>
    <w:tbl>
      <w:tblPr>
        <w:tblW w:w="10205" w:type="dxa"/>
        <w:jc w:val="center"/>
        <w:tblInd w:w="0" w:type="dxa"/>
        <w:tblLayout w:type="fixed"/>
        <w:tblCellMar>
          <w:top w:w="28" w:type="dxa"/>
          <w:left w:w="28" w:type="dxa"/>
          <w:bottom w:w="28" w:type="dxa"/>
          <w:right w:w="28" w:type="dxa"/>
        </w:tblCellMar>
      </w:tblPr>
      <w:tblGrid>
        <w:gridCol w:w="652"/>
        <w:gridCol w:w="401"/>
        <w:gridCol w:w="252"/>
        <w:gridCol w:w="219"/>
        <w:gridCol w:w="642"/>
        <w:gridCol w:w="114"/>
        <w:gridCol w:w="109"/>
        <w:gridCol w:w="109"/>
        <w:gridCol w:w="109"/>
        <w:gridCol w:w="307"/>
        <w:gridCol w:w="592"/>
        <w:gridCol w:w="160"/>
        <w:gridCol w:w="109"/>
        <w:gridCol w:w="109"/>
        <w:gridCol w:w="109"/>
        <w:gridCol w:w="240"/>
        <w:gridCol w:w="581"/>
        <w:gridCol w:w="125"/>
        <w:gridCol w:w="109"/>
        <w:gridCol w:w="109"/>
        <w:gridCol w:w="109"/>
        <w:gridCol w:w="211"/>
        <w:gridCol w:w="616"/>
        <w:gridCol w:w="109"/>
        <w:gridCol w:w="109"/>
        <w:gridCol w:w="109"/>
        <w:gridCol w:w="109"/>
        <w:gridCol w:w="219"/>
        <w:gridCol w:w="642"/>
        <w:gridCol w:w="114"/>
        <w:gridCol w:w="109"/>
        <w:gridCol w:w="109"/>
        <w:gridCol w:w="109"/>
        <w:gridCol w:w="307"/>
        <w:gridCol w:w="592"/>
        <w:gridCol w:w="160"/>
        <w:gridCol w:w="109"/>
        <w:gridCol w:w="109"/>
        <w:gridCol w:w="109"/>
        <w:gridCol w:w="211"/>
        <w:gridCol w:w="616"/>
        <w:gridCol w:w="161"/>
      </w:tblGrid>
      <w:tr>
        <w:trPr/>
        <w:tc>
          <w:tcPr>
            <w:tcW w:w="6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4"/>
              </w:rPr>
            </w:pPr>
            <w:r>
              <w:rPr>
                <w:rFonts w:ascii="Adelle Sans;sans-serif" w:hAnsi="Adelle Sans;sans-serif"/>
                <w:b/>
                <w:color w:val="000000"/>
                <w:sz w:val="14"/>
              </w:rPr>
              <w:t>Total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Third party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Affiliated sales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segment sales</w:t>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280.7 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Intercompany 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215.3 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4.1 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221.1 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273.7 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278.1 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2022</w:t>
            </w:r>
          </w:p>
        </w:tc>
      </w:tr>
      <w:tr>
        <w:trPr/>
        <w:tc>
          <w:tcPr>
            <w:tcW w:w="13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Third party sales</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8.7 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Affiliated sales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segment sales</w:t>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11.7 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10.3 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496.3 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Intercompany 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net sales</w:t>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397.1 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6.0 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31.5 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434.6 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4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486.0 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9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8.7 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494.7 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60" w:after="283"/>
        <w:jc w:val="left"/>
        <w:rPr>
          <w:rFonts w:ascii="Adelle Sans;sans-serif" w:hAnsi="Adelle Sans;sans-serif"/>
          <w:b/>
          <w:color w:val="000000"/>
          <w:sz w:val="18"/>
        </w:rPr>
      </w:pPr>
      <w:r>
        <w:rPr>
          <w:rFonts w:ascii="Adelle Sans;sans-serif" w:hAnsi="Adelle Sans;sans-serif"/>
          <w:b/>
          <w:color w:val="000000"/>
          <w:sz w:val="18"/>
        </w:rPr>
        <w:t>Adjusted EBITDA</w:t>
      </w:r>
    </w:p>
    <w:tbl>
      <w:tblPr>
        <w:tblW w:w="10205" w:type="dxa"/>
        <w:jc w:val="center"/>
        <w:tblInd w:w="0" w:type="dxa"/>
        <w:tblLayout w:type="fixed"/>
        <w:tblCellMar>
          <w:top w:w="28" w:type="dxa"/>
          <w:left w:w="28" w:type="dxa"/>
          <w:bottom w:w="28" w:type="dxa"/>
          <w:right w:w="28" w:type="dxa"/>
        </w:tblCellMar>
      </w:tblPr>
      <w:tblGrid>
        <w:gridCol w:w="2121"/>
        <w:gridCol w:w="1867"/>
        <w:gridCol w:w="1875"/>
        <w:gridCol w:w="225"/>
        <w:gridCol w:w="434"/>
        <w:gridCol w:w="116"/>
        <w:gridCol w:w="116"/>
        <w:gridCol w:w="116"/>
        <w:gridCol w:w="116"/>
        <w:gridCol w:w="225"/>
        <w:gridCol w:w="547"/>
        <w:gridCol w:w="116"/>
        <w:gridCol w:w="109"/>
        <w:gridCol w:w="109"/>
        <w:gridCol w:w="109"/>
        <w:gridCol w:w="211"/>
        <w:gridCol w:w="511"/>
        <w:gridCol w:w="109"/>
        <w:gridCol w:w="109"/>
        <w:gridCol w:w="109"/>
        <w:gridCol w:w="109"/>
        <w:gridCol w:w="211"/>
        <w:gridCol w:w="473"/>
        <w:gridCol w:w="162"/>
      </w:tblGrid>
      <w:tr>
        <w:trPr/>
        <w:tc>
          <w:tcPr>
            <w:tcW w:w="212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Three Months Ended</w:t>
              <w:b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5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58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Marketing and Distribution adjusted EBITDA</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8.6 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11.7 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4.0 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International Farming adjusted EBITDA</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Blueberries adjusted EBITDA</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reportable segment adjusted EBITDA</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 income</w:t>
            </w:r>
          </w:p>
        </w:tc>
        <w:tc>
          <w:tcPr>
            <w:tcW w:w="65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(4.7)</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Interest expense</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Provision (benefit) for income taxes</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Depreciation and amortization</w:t>
            </w:r>
            <w:r>
              <w:rPr>
                <w:rFonts w:ascii="Adelle Sans;sans-serif" w:hAnsi="Adelle Sans;sans-serif"/>
                <w:b w:val="false"/>
                <w:color w:val="000000"/>
                <w:sz w:val="10"/>
              </w:rPr>
              <w:t>(1)</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Stock-based compensation</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Asset impairment and disposals, net of insurance recoveries</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Farming costs for nonproductive orchards</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ERP costs</w:t>
            </w:r>
            <w:r>
              <w:rPr>
                <w:rFonts w:ascii="Adelle Sans;sans-serif" w:hAnsi="Adelle Sans;sans-serif"/>
                <w:b w:val="false"/>
                <w:color w:val="000000"/>
                <w:sz w:val="10"/>
              </w:rPr>
              <w:t>(2)</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2.8 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Transaction costs</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Amortization of inventory adjustment recognized from business combination</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 (income) expense</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Noncontrolling interest</w:t>
            </w:r>
            <w:r>
              <w:rPr>
                <w:rFonts w:ascii="Adelle Sans;sans-serif" w:hAnsi="Adelle Sans;sans-serif"/>
                <w:b w:val="false"/>
                <w:color w:val="000000"/>
                <w:sz w:val="10"/>
              </w:rPr>
              <w:t>(3)</w:t>
            </w:r>
          </w:p>
        </w:tc>
        <w:tc>
          <w:tcPr>
            <w:tcW w:w="6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Total adjusted EBITDA</w:t>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7.6 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9.2 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(1)Includes depreciation and amortization of purchase accounting assets of $0.1 million and $1.7 million for the three and six months ended April 30, 2023, respectively and zero and $0.1 million for the three and six months ended April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5430"/>
                <wp:effectExtent l="0" t="0" r="0" b="0"/>
                <wp:wrapNone/>
                <wp:docPr id="26" name="Frame26"/>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(2)Includes recognition of deferred implementation costs for both periods, and for the three and six months ended April 30, 2022, non-recurring post-implementation process reengineering costs are also included.</w:t>
      </w:r>
    </w:p>
    <w:p>
      <w:pPr>
        <w:pStyle w:val="TextBody"/>
        <w:bidi w:val="0"/>
        <w:spacing w:lineRule="auto" w:line="288" w:before="60" w:after="60"/>
        <w:ind w:left="0" w:right="0" w:hanging="180"/>
        <w:jc w:val="left"/>
        <w:rPr>
          <w:rFonts w:ascii="Adelle Sans;sans-serif" w:hAnsi="Adelle Sans;sans-serif"/>
          <w:b w:val="false"/>
          <w:color w:val="000000"/>
          <w:sz w:val="14"/>
        </w:rPr>
      </w:pPr>
      <w:r>
        <w:rPr>
          <w:rFonts w:ascii="Adelle Sans;sans-serif" w:hAnsi="Adelle Sans;sans-serif"/>
          <w:b w:val="false"/>
          <w:color w:val="000000"/>
          <w:sz w:val="14"/>
        </w:rPr>
        <w:t>(3)Represents net loss attributable to noncontrolling interest plus the impact of non-GAAP adjustments, allocable to the noncontrolling owner based on their percentage of ownership interest.</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Marketing and Distribution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Net sales in our Marketing and Distribution segment decreased $58.4 million or 21% in the three months ended April 30, 2023 compared to the same period last year, due to the same factors impacting consolidated revenue as described above.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Segment adjusted EBITDA decreased $3.1 million or 26% in the three months ended April 30, 2023 compared to the same period last year primarily due to the same factors impacting consolidated gross profit.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Net sales decreased $88.9 million or 18% in the six months ended April 30, 2023 compared to the same period last year, primarily due to a 32% decrease in average per-unit avocado sales prices, partially offset by an increase in avocado volume sold of 16%, both of which were driven by higher industry supply out of Mexico.</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Segment adjusted EBITDA increased $9.2 million or 230% in the six months ended April 30, 2023 compared to the same period last year. The increase was driven by weak results in the prior year period, which were negatively affected by challenges with the implementation of our new ERP system.</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International Farming</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Substantially all sales of fruit from our International Farming segment are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August of each year. As a result, adjusted EBITDA for the International Farming segment is generally concentrated in the third and fourth quarters of the fiscal year in alignment with the timing of sales. The Company operates approximately 700 acres of mangos in Peru that are largely in an early stage of production. The timing of the mango harvest is concentrated in the fiscal second quarter and, as a result, mangos have a more pronounced impact on segment financial performance during this timeframe.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Total segment sales in our International Farming segment decreased $1.0 million, or 14% in the three months ended April 30, 2023 compared to the same period last year due primarily to lower packing and cooling service revenue.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Segment adjusted EBITDA improved by $1.4 million or 56% in the three months ended April 30, 2023 compared to the same period last year, due primarily to the impact of lower losses generated at our early-stage mango farms.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Total segment sales increased $1.4 million, or 14% in the six months ended April 30, 2023 compared to the same period last year due primarily to higher packing and cooling service revenue for our blueberry operations (affiliated sales) in the first quarter of 2023, as well as higher third-party service revenue. Net sales decreased due to the consolidation of the Blueberries segment in the current period, thus eliminating sales generated from Moruga.</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Segment adjusted EBITDA improved by $2.3 million or 44% in the six months ended April 30, 2023 compared to the same period last year, driven by margin generated from higher affiliated sales, the impact of lower losses generated at our early-stage mango farms and lower SG&amp;A.</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Blueberries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Sales in our Blueberries segment are concentrated in the first and fourth quarters of our fiscal year in alignment with the Peruvian blueberry harvest season, which typically runs from July through January.</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Net sales in our Blueberries segment were $1.7 million and segment adjusted EBITDA was $0.1 million for the three months ended April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5430"/>
                <wp:effectExtent l="0" t="0" r="0" b="0"/>
                <wp:wrapNone/>
                <wp:docPr id="27" name="Frame27"/>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Net sales in our Blueberries segment were $31.5 million and segment adjusted EBITDA was $(0.4) million for the six months ended April 30, 2023. Negative segment adjusted EBITDA was a result of weak blueberry sales prices within the European and U.S. markets driven by strong industry supply.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delle Sans;sans-serif" w:hAnsi="Adelle Sans;sans-serif"/>
          <w:b/>
          <w:color w:val="000000"/>
          <w:sz w:val="22"/>
        </w:rPr>
      </w:pPr>
      <w:r>
        <w:rPr>
          <w:rFonts w:ascii="Adelle Sans;sans-serif" w:hAnsi="Adelle Sans;sans-serif"/>
          <w:b/>
          <w:color w:val="000000"/>
          <w:sz w:val="22"/>
        </w:rPr>
        <w:t>Liquidity and Capital Resources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Operating activities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 </w:t>
      </w:r>
    </w:p>
    <w:tbl>
      <w:tblPr>
        <w:tblW w:w="6474" w:type="dxa"/>
        <w:jc w:val="left"/>
        <w:tblInd w:w="0" w:type="dxa"/>
        <w:tblLayout w:type="fixed"/>
        <w:tblCellMar>
          <w:top w:w="28" w:type="dxa"/>
          <w:left w:w="28" w:type="dxa"/>
          <w:bottom w:w="28" w:type="dxa"/>
          <w:right w:w="28" w:type="dxa"/>
        </w:tblCellMar>
      </w:tblPr>
      <w:tblGrid>
        <w:gridCol w:w="1548"/>
        <w:gridCol w:w="1364"/>
        <w:gridCol w:w="1378"/>
        <w:gridCol w:w="211"/>
        <w:gridCol w:w="586"/>
        <w:gridCol w:w="109"/>
        <w:gridCol w:w="109"/>
        <w:gridCol w:w="109"/>
        <w:gridCol w:w="109"/>
        <w:gridCol w:w="211"/>
        <w:gridCol w:w="58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42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loss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(11.0)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method income</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Noncash lease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Stock-based compensation</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Dividends received from equity method investees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Deferred income taxes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Changes in working capital</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used in operating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(26.1)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Net cash used in operating activities was $26.1 million for the six months ended April 30, 2023, a decrease of $10.9 million compared to the same period last year. The improvement was primarily driven by the effect of improved operating performance, net of non-cash items, combined with favorable net changes in working capital. Within working capital, favorable changes in inventory and accounts receivable were partially offset by unfavorable changes in grower payables and accounts payable. Changes in inventory and grower payables were driven by lower per-unit cost of Mexican sourced fruit on-hand in comparison to prior period. Favorable changes in accounts receivable were attributed to lower per-unit sales prices, which correlate to the costing factors noted above. Movement in accounts payable was negatively impacted by reductions in payable balances within our Blueberries segment corresponding with the end of the blueberry harvest.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Investing activities</w:t>
      </w:r>
    </w:p>
    <w:tbl>
      <w:tblPr>
        <w:tblW w:w="6729" w:type="dxa"/>
        <w:jc w:val="left"/>
        <w:tblInd w:w="0" w:type="dxa"/>
        <w:tblLayout w:type="fixed"/>
        <w:tblCellMar>
          <w:top w:w="28" w:type="dxa"/>
          <w:left w:w="28" w:type="dxa"/>
          <w:bottom w:w="28" w:type="dxa"/>
          <w:right w:w="28" w:type="dxa"/>
        </w:tblCellMar>
      </w:tblPr>
      <w:tblGrid>
        <w:gridCol w:w="1643"/>
        <w:gridCol w:w="1449"/>
        <w:gridCol w:w="1453"/>
        <w:gridCol w:w="211"/>
        <w:gridCol w:w="586"/>
        <w:gridCol w:w="109"/>
        <w:gridCol w:w="109"/>
        <w:gridCol w:w="109"/>
        <w:gridCol w:w="109"/>
        <w:gridCol w:w="211"/>
        <w:gridCol w:w="58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4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4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Purchases of property, plant and equipment</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Proceeds from sale of property, plant and equipment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Investment in equity method investees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Purchase of other investment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Loan repayments from equity method investees</w:t>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used in investing activities</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(37.5)</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(25.8)</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5430"/>
                <wp:effectExtent l="0" t="0" r="0" b="0"/>
                <wp:wrapNone/>
                <wp:docPr id="28" name="Frame28"/>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Capital expenditures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In the six months ended April 30, 2023 and 2022, capital expenditures were concentrated in avocado orchard development, pre-production orchard maintenance and land improvements in Peru and Guatemala. In 2023, capital expenditures also included construction costs on our new UK distribution facility and $9.1 million of spend related to irrigation installation and early-stage plant cultivation in our Blueberries operation.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Proceeds from the sale of property, plant and equipment in the six months ended April 30, 2022 were for land that had been originally intended for use as our corporate headquarters.</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Equity method investees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From time to time, we may make capital contributions or loans to equity method investees to support capital expansion or working capital needs. </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Other investment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In the six months ended April 30, 2023, we acquired a 5.1% equity interest in shares of common stock of a private entity in South Africa.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Financing activities</w:t>
      </w:r>
    </w:p>
    <w:tbl>
      <w:tblPr>
        <w:tblW w:w="8544" w:type="dxa"/>
        <w:jc w:val="left"/>
        <w:tblInd w:w="0" w:type="dxa"/>
        <w:tblLayout w:type="fixed"/>
        <w:tblCellMar>
          <w:top w:w="28" w:type="dxa"/>
          <w:left w:w="28" w:type="dxa"/>
          <w:bottom w:w="28" w:type="dxa"/>
          <w:right w:w="28" w:type="dxa"/>
        </w:tblCellMar>
      </w:tblPr>
      <w:tblGrid>
        <w:gridCol w:w="2310"/>
        <w:gridCol w:w="2038"/>
        <w:gridCol w:w="2057"/>
        <w:gridCol w:w="211"/>
        <w:gridCol w:w="616"/>
        <w:gridCol w:w="109"/>
        <w:gridCol w:w="109"/>
        <w:gridCol w:w="109"/>
        <w:gridCol w:w="109"/>
        <w:gridCol w:w="211"/>
        <w:gridCol w:w="511"/>
        <w:gridCol w:w="154"/>
      </w:tblGrid>
      <w:tr>
        <w:trPr/>
        <w:tc>
          <w:tcPr>
            <w:tcW w:w="231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Six Months Ended</w:t>
              <w:br/>
              <w:t>April 30,</w:t>
            </w:r>
          </w:p>
        </w:tc>
      </w:tr>
      <w:tr>
        <w:trPr/>
        <w:tc>
          <w:tcPr>
            <w:tcW w:w="6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2022</w:t>
            </w:r>
          </w:p>
        </w:tc>
      </w:tr>
      <w:tr>
        <w:trPr/>
        <w:tc>
          <w:tcPr>
            <w:tcW w:w="64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Borrowings on revolving credit facility</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Payments on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Short-term borrowings, net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Principal payments on long-term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Principal payments on finance lease obligations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Proceeds from loan from noncontrolling interest holder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Taxes paid related to shares withheld from the settlement of equity awards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Equity contributions from noncontrolling interest 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Net cash provided by (used in) financing activities</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61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32.1 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5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(5.0)</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Borrowings and repayments of debt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utilize a revolving line of credit for short-term working capital purposes. Principal payments on our term loans and other notes payable are made in accordance with debt maturity schedules. Our Blueberries segment may also enter into short-term bank borrowings from time to time.</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Other</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Principal payments on finance lease obligations increased during 2023 primarily due to a long-term land lease by our Blueberries segment, which for accounting purposes has been classified as a finance lease.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Blueberries segment is also funded by shareholder loans and contributions.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Capital resources</w:t>
      </w:r>
    </w:p>
    <w:tbl>
      <w:tblPr>
        <w:tblW w:w="5921" w:type="dxa"/>
        <w:jc w:val="left"/>
        <w:tblInd w:w="0" w:type="dxa"/>
        <w:tblLayout w:type="fixed"/>
        <w:tblCellMar>
          <w:top w:w="28" w:type="dxa"/>
          <w:left w:w="28" w:type="dxa"/>
          <w:bottom w:w="28" w:type="dxa"/>
          <w:right w:w="28" w:type="dxa"/>
        </w:tblCellMar>
      </w:tblPr>
      <w:tblGrid>
        <w:gridCol w:w="851"/>
        <w:gridCol w:w="750"/>
        <w:gridCol w:w="754"/>
        <w:gridCol w:w="369"/>
        <w:gridCol w:w="895"/>
        <w:gridCol w:w="190"/>
        <w:gridCol w:w="109"/>
        <w:gridCol w:w="109"/>
        <w:gridCol w:w="109"/>
        <w:gridCol w:w="429"/>
        <w:gridCol w:w="1040"/>
        <w:gridCol w:w="316"/>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color w:val="000000"/>
                <w:sz w:val="16"/>
              </w:rPr>
            </w:pPr>
            <w:r>
              <w:rPr>
                <w:rFonts w:ascii="Adelle Sans;sans-serif" w:hAnsi="Adelle Sans;sans-serif"/>
                <w:b/>
                <w:color w:val="000000"/>
                <w:sz w:val="16"/>
              </w:rPr>
              <w:t>October 31, 2022</w:t>
            </w:r>
          </w:p>
        </w:tc>
      </w:tr>
      <w:tr>
        <w:trPr/>
        <w:tc>
          <w:tcPr>
            <w:tcW w:w="23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Cash and cash equivalents</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8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20.9 </w:t>
            </w:r>
          </w:p>
        </w:tc>
        <w:tc>
          <w:tcPr>
            <w:tcW w:w="1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w:t>
            </w:r>
          </w:p>
        </w:tc>
        <w:tc>
          <w:tcPr>
            <w:tcW w:w="10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52.8 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delle Sans;sans-serif" w:hAnsi="Adelle Sans;sans-serif"/>
                <w:b w:val="false"/>
                <w:color w:val="000000"/>
                <w:sz w:val="16"/>
              </w:rPr>
              <w:t>Working capital</w:t>
            </w:r>
            <w:r>
              <w:rPr>
                <w:rFonts w:ascii="Adelle Sans;sans-serif" w:hAnsi="Adelle Sans;sans-serif"/>
                <w:b w:val="false"/>
                <w:color w:val="000000"/>
                <w:sz w:val="10"/>
              </w:rPr>
              <w:t>(1)</w:t>
            </w:r>
          </w:p>
        </w:tc>
        <w:tc>
          <w:tcPr>
            <w:tcW w:w="126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133.8 </w:t>
            </w:r>
          </w:p>
        </w:tc>
        <w:tc>
          <w:tcPr>
            <w:tcW w:w="1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delle Sans;sans-serif" w:hAnsi="Adelle Sans;sans-serif"/>
                <w:b w:val="false"/>
                <w:color w:val="000000"/>
                <w:sz w:val="16"/>
              </w:rPr>
            </w:pPr>
            <w:r>
              <w:rPr>
                <w:rFonts w:ascii="Adelle Sans;sans-serif" w:hAnsi="Adelle Sans;sans-serif"/>
                <w:b w:val="false"/>
                <w:color w:val="000000"/>
                <w:sz w:val="16"/>
              </w:rPr>
              <w:t>126.4 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delle Sans;sans-serif" w:hAnsi="Adelle Sans;sans-serif"/>
          <w:b w:val="false"/>
          <w:color w:val="000000"/>
          <w:sz w:val="9"/>
        </w:rPr>
        <w:t>(1)</w:t>
      </w:r>
      <w:r>
        <w:rPr>
          <w:rFonts w:ascii="Adelle Sans;sans-serif" w:hAnsi="Adelle Sans;sans-serif"/>
          <w:b w:val="false"/>
          <w:color w:val="000000"/>
          <w:sz w:val="14"/>
        </w:rPr>
        <w:t>Includes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5430"/>
                <wp:effectExtent l="0" t="0" r="0" b="0"/>
                <wp:wrapNone/>
                <wp:docPr id="29" name="Frame29"/>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Capital resources include cash flows from operations, cash and cash equivalents, and debt financing. Our Blueberries segment may also receive capital contributions from shareholders from time to time.</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syndicated credit facility with Bank of America has a total borrowing capacity of $250 million. The credit facility is comprised of two senior term loans totaling $100 million and a revolving credit agreement up to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As of April 30, 2023, we were required to comply with the following financial covenants: (a) a quarterly consolidated leverage ratio of not more than 3.5 to 1.00 and (b) a quarterly consolidated fixed charge coverage ratio of not less than 1.25 to 1.00. As of April 30, 2023, our consolidated leverage ratio was 2.73 to 1.00 and our consolidated fixed charge coverage ratio was 2.28 to 1.00 and we were in compliance with all such covenants of the credit facility. </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Material cash requirements</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Capital expenditures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have various capital projects in progress for farming expansion and facility improvements which we intend to fund through our operating cash flow as well as cash and cash equivalents on hand. For fiscal 2023, we expect capital expenditures excluding the Moruga Blueberry Project (described below) to be lower than fiscal 2022. Cash paid for capital expenditures for the year ended October 31, 2022 was $61.2 million.</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Moruga Blueberry Project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On May 1, 2022, the shareholders of Moruga approved a new capital project to farm approximately 1,500 additional acres of blueberries in the Olmos region of Peru. The project is anticipated to require a total investment of approximately $50 million, which will be funded by cash flow generated by Moruga and supplemented by pro-rata shareholder contributions based on each shareholders’ respective ownership interest and third-party financing. The project is expected to be carried out in phases, commencing in fiscal year 2023. For fiscal 2023, capital expenditures related to the project are currently expected to be approximately $13.0 million, depending on timing and other factors.</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Leases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We are party to various leases for facilities, land, and equipment, for which our undiscounted cash liabilities were approximately $182 million as of April 30, 2023. Of that amount, approximately $60.0 million was related to the commencement of a portion of a 25-year land lease agreement in our Blueberries segment.</w:t>
      </w:r>
    </w:p>
    <w:p>
      <w:pPr>
        <w:pStyle w:val="TextBody"/>
        <w:bidi w:val="0"/>
        <w:spacing w:lineRule="auto" w:line="288" w:before="240" w:after="283"/>
        <w:jc w:val="left"/>
        <w:rPr>
          <w:rFonts w:ascii="Adelle Sans;sans-serif" w:hAnsi="Adelle Sans;sans-serif"/>
          <w:b w:val="false"/>
          <w:i/>
          <w:color w:val="000000"/>
          <w:sz w:val="18"/>
        </w:rPr>
      </w:pPr>
      <w:r>
        <w:rPr>
          <w:rFonts w:ascii="Adelle Sans;sans-serif" w:hAnsi="Adelle Sans;sans-serif"/>
          <w:b w:val="false"/>
          <w:i/>
          <w:color w:val="000000"/>
          <w:sz w:val="18"/>
        </w:rPr>
        <w:t>Long-term Debt</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As of April 30, 2023, remaining maturities on our term loans and notes were $174.3 million. See Note 5 to the consolidated financial statements for more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Critical accounting estimates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For a discussion of our critical accounting estimates, see “Part II, Item 7. Management’s Discussion and Analysis of Financial Condition and Operations” in our Annual Report on Form 10-K for the year ended October 31, 2022, filed with the SEC on December 22, 2022. There have been no material changes to the critical accounting estimates disclosed in such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5430"/>
                <wp:effectExtent l="0" t="0" r="0" b="0"/>
                <wp:wrapNone/>
                <wp:docPr id="30" name="Frame30"/>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3.    Quantitative and Qualitative Disclosures About Market Risk</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There have been no material changes to “Part II, Item 7A. Quantitative and Qualitative Disclosures About Market Risk” in our Annual Report on Form 10-K for the year ended October 31, 2022.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4.    Controls and Procedures</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Evaluation of Disclosure Controls and Procedures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Changes in Internal Control Over Financial Reporting</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There were no other changes in our internal control over financial reporting during the quarter ended April 30, 2023 that have materially affected, or are reasonably likely to materially affect, our internal control over financial reporting.</w:t>
      </w:r>
    </w:p>
    <w:p>
      <w:pPr>
        <w:pStyle w:val="TextBody"/>
        <w:bidi w:val="0"/>
        <w:spacing w:lineRule="auto" w:line="288" w:before="240" w:after="283"/>
        <w:jc w:val="left"/>
        <w:rPr>
          <w:rFonts w:ascii="Adelle Sans;sans-serif" w:hAnsi="Adelle Sans;sans-serif"/>
          <w:b/>
          <w:color w:val="000000"/>
          <w:sz w:val="18"/>
        </w:rPr>
      </w:pPr>
      <w:r>
        <w:rPr>
          <w:rFonts w:ascii="Adelle Sans;sans-serif" w:hAnsi="Adelle Sans;sans-serif"/>
          <w:b/>
          <w:color w:val="000000"/>
          <w:sz w:val="18"/>
        </w:rPr>
        <w:t>Limitations on Effectiveness of Controls and Procedures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5430"/>
                <wp:effectExtent l="0" t="0" r="0" b="0"/>
                <wp:wrapNone/>
                <wp:docPr id="31" name="Frame31"/>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delle Sans;sans-serif" w:hAnsi="Adelle Sans;sans-serif"/>
          <w:b/>
          <w:color w:val="000000"/>
          <w:sz w:val="24"/>
        </w:rPr>
      </w:pPr>
      <w:r>
        <w:rPr>
          <w:rFonts w:ascii="Adelle Sans;sans-serif" w:hAnsi="Adelle Sans;sans-serif"/>
          <w:b/>
          <w:color w:val="000000"/>
          <w:sz w:val="24"/>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1.    Legal Proceedings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We are from time to time involved in legal proceedings and investigations arising in the ordinary course of business, including those relating to employment matters, relationships with clients and contractors, intellectual property disputes and other business matters.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following updates the matter discussed in “Part I, Item 3. Legal Proceedings” in our Annual Report on Form 10-K for the year ended October 31, 2022:</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have been unable to resolve to-date. The parties have fully briefed the court on the issues, and a hearing on the matter is set for July 2023.</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 xml:space="preserve">Item 1A.    Risk Factors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For a discussion of our risk factors, see “Part I, Item 1A. Risk Factors” in our Annual Report on Form 10-K for the year ended October 31, 2022, filed with the SEC on December 22, 2022. There have been no material changes from the risk factors previously disclosed in such Annual Report on Form 10-K, except as set forth below. The risks and uncertainties that we face are not limited to those set forth in the 2022 Form 10-K and in this quarterly report. You should carefully consider the risk factors in the 2022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2.    Unregistered Sales of Equity Securities and Use of Proceeds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3.    Defaults Upon Senior Securities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5430"/>
                <wp:effectExtent l="0" t="0" r="0" b="0"/>
                <wp:wrapNone/>
                <wp:docPr id="32" name="Frame32"/>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4.    Mine Safety Disclosures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delle Sans;sans-serif" w:hAnsi="Adelle Sans;sans-serif"/>
          <w:b/>
          <w:color w:val="000000"/>
          <w:sz w:val="24"/>
        </w:rPr>
      </w:pPr>
      <w:r>
        <w:rPr>
          <w:rFonts w:ascii="Adelle Sans;sans-serif" w:hAnsi="Adelle Sans;sans-serif"/>
          <w:b/>
          <w:color w:val="000000"/>
          <w:sz w:val="24"/>
        </w:rPr>
        <w:t>Item 5.    Other Information</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delle Sans;sans-serif" w:hAnsi="Adelle Sans;sans-serif"/>
          <w:b/>
          <w:color w:val="000000"/>
          <w:sz w:val="24"/>
        </w:rPr>
      </w:pPr>
      <w:r>
        <w:rPr>
          <w:rFonts w:ascii="Adelle Sans;sans-serif" w:hAnsi="Adelle Sans;sans-serif"/>
          <w:b/>
          <w:color w:val="000000"/>
          <w:sz w:val="24"/>
        </w:rPr>
        <w:t>Item 6.    Exhibits</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The documents set forth are filed herewith or incorporated herein by reference.</w:t>
      </w:r>
    </w:p>
    <w:p>
      <w:pPr>
        <w:pStyle w:val="TextBody"/>
        <w:bidi w:val="0"/>
        <w:spacing w:lineRule="auto" w:line="288" w:before="300" w:after="40"/>
        <w:jc w:val="center"/>
        <w:rPr/>
      </w:pPr>
      <w:r>
        <w:rPr>
          <w:rFonts w:ascii="Adelle Sans;sans-serif" w:hAnsi="Adelle Sans;sans-serif"/>
          <w:b/>
          <w:color w:val="000000"/>
          <w:sz w:val="22"/>
        </w:rPr>
        <w:t>INDEX</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1648"/>
        <w:gridCol w:w="1397"/>
        <w:gridCol w:w="1401"/>
        <w:gridCol w:w="109"/>
        <w:gridCol w:w="109"/>
        <w:gridCol w:w="109"/>
        <w:gridCol w:w="195"/>
        <w:gridCol w:w="195"/>
        <w:gridCol w:w="196"/>
        <w:gridCol w:w="171"/>
        <w:gridCol w:w="171"/>
        <w:gridCol w:w="171"/>
        <w:gridCol w:w="184"/>
        <w:gridCol w:w="184"/>
        <w:gridCol w:w="186"/>
        <w:gridCol w:w="171"/>
        <w:gridCol w:w="171"/>
        <w:gridCol w:w="171"/>
        <w:gridCol w:w="274"/>
        <w:gridCol w:w="274"/>
        <w:gridCol w:w="278"/>
        <w:gridCol w:w="109"/>
        <w:gridCol w:w="109"/>
        <w:gridCol w:w="109"/>
        <w:gridCol w:w="285"/>
        <w:gridCol w:w="285"/>
        <w:gridCol w:w="410"/>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Exhibit Description</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Form</w:t>
            </w:r>
          </w:p>
        </w:tc>
        <w:tc>
          <w:tcPr>
            <w:tcW w:w="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5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Date</w:t>
            </w:r>
          </w:p>
        </w:tc>
        <w:tc>
          <w:tcPr>
            <w:tcW w:w="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Number</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Filed</w:t>
            </w:r>
          </w:p>
          <w:p>
            <w:pPr>
              <w:pStyle w:val="TableContents"/>
              <w:bidi w:val="0"/>
              <w:spacing w:lineRule="auto" w:line="288" w:before="0" w:after="0"/>
              <w:jc w:val="center"/>
              <w:rPr>
                <w:rFonts w:ascii="Adelle Sans;sans-serif" w:hAnsi="Adelle Sans;sans-serif"/>
                <w:b/>
                <w:color w:val="000000"/>
                <w:sz w:val="16"/>
              </w:rPr>
            </w:pPr>
            <w:r>
              <w:rPr>
                <w:rFonts w:ascii="Adelle Sans;sans-serif" w:hAnsi="Adelle Sans;sans-serif"/>
                <w:b/>
                <w:color w:val="000000"/>
                <w:sz w:val="16"/>
              </w:rPr>
              <w:t>Herewith</w:t>
            </w:r>
          </w:p>
        </w:tc>
      </w:tr>
      <w:tr>
        <w:trPr/>
        <w:tc>
          <w:tcPr>
            <w:tcW w:w="8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delle Sans;sans-serif" w:hAnsi="Adelle Sans;sans-serif"/>
                  <w:b w:val="false"/>
                  <w:color w:val="000000"/>
                  <w:sz w:val="16"/>
                  <w:u w:val="single"/>
                </w:rPr>
                <w:t>Amended and Restated Certificate of Incorporation</w:t>
              </w:r>
            </w:hyperlink>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8-K</w:t>
            </w:r>
          </w:p>
        </w:tc>
        <w:tc>
          <w:tcPr>
            <w:tcW w:w="51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10/7/2020</w:t>
            </w:r>
          </w:p>
        </w:tc>
        <w:tc>
          <w:tcPr>
            <w:tcW w:w="51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delle Sans;sans-serif" w:hAnsi="Adelle Sans;sans-serif"/>
                  <w:b w:val="false"/>
                  <w:color w:val="000000"/>
                  <w:sz w:val="16"/>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8-K</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10/7/2020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11_2023-q2.htm">
              <w:r>
                <w:rPr>
                  <w:rStyle w:val="InternetLink"/>
                  <w:rFonts w:ascii="Adelle Sans;sans-serif" w:hAnsi="Adelle Sans;sans-serif"/>
                  <w:b w:val="false"/>
                  <w:color w:val="000000"/>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2_2023-q2.htm">
              <w:r>
                <w:rPr>
                  <w:rStyle w:val="InternetLink"/>
                  <w:rFonts w:ascii="Adelle Sans;sans-serif" w:hAnsi="Adelle Sans;sans-serif"/>
                  <w:b w:val="false"/>
                  <w:color w:val="000000"/>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r>
        <w:trPr/>
        <w:tc>
          <w:tcPr>
            <w:tcW w:w="8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21_2023-q2.htm">
              <w:r>
                <w:rPr>
                  <w:rStyle w:val="InternetLink"/>
                  <w:rFonts w:ascii="Adelle Sans;sans-serif" w:hAnsi="Adelle Sans;sans-serif"/>
                  <w:b w:val="false"/>
                  <w:color w:val="000000"/>
                  <w:sz w:val="16"/>
                  <w:u w:val="single"/>
                </w:rPr>
                <w:t xml:space="preserve">Certification of Chief Executive Officer pursuant to Section 906 of the Sarbanes-Oxley Act of 2002 </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2_2023-q2.htm">
              <w:r>
                <w:rPr>
                  <w:rStyle w:val="InternetLink"/>
                  <w:rFonts w:ascii="Adelle Sans;sans-serif" w:hAnsi="Adelle Sans;sans-serif"/>
                  <w:b w:val="false"/>
                  <w:color w:val="000000"/>
                  <w:sz w:val="16"/>
                  <w:u w:val="single"/>
                </w:rPr>
                <w:t>Certification of Chief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r>
        <w:trPr/>
        <w:tc>
          <w:tcPr>
            <w:tcW w:w="8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16"/>
              </w:rPr>
            </w:pPr>
            <w:r>
              <w:rPr>
                <w:rFonts w:ascii="Adelle Sans;sans-serif" w:hAnsi="Adelle Sans;sans-serif"/>
                <w:b w:val="false"/>
                <w:color w:val="000000"/>
                <w:sz w:val="16"/>
              </w:rPr>
              <w:t>The following financial statements from the Company's Quarterly Report on Form 10-Q for the quarter ended April 30, 2023 formatted in Inline XBRL: (i) Condensed Consolidated Balance Sheets, (ii) Condensed Consolidated Statements of (Loss) Income, (iii) Condensed Consolidated Statements of (Loss) Income (iv) Condensed Consolidated Statements of Changes in Equity, (v) Condensed Consolidated Statements of Cash Flows, and (vi) Notes to Consolidated Financial Statements, tagged as blocks of text and including detailed tags.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r>
        <w:trPr/>
        <w:tc>
          <w:tcPr>
            <w:tcW w:w="8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6"/>
              </w:rPr>
            </w:pPr>
            <w:r>
              <w:rPr>
                <w:rFonts w:ascii="Adelle Sans;sans-serif" w:hAnsi="Adelle Sans;sans-serif"/>
                <w:b w:val="false"/>
                <w:color w:val="000000"/>
                <w:sz w:val="16"/>
              </w:rPr>
              <w:t>Cover Page Interactive Data File (formatted as Inline XBRL and contained in Exhibit 101)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Previously filed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delle Sans;sans-serif" w:hAnsi="Adelle Sans;sans-serif"/>
                <w:b w:val="false"/>
                <w:color w:val="000000"/>
                <w:sz w:val="14"/>
              </w:rPr>
            </w:pPr>
            <w:r>
              <w:rPr>
                <w:rFonts w:ascii="Adelle Sans;sans-serif" w:hAnsi="Adelle Sans;sans-serif"/>
                <w:b w:val="false"/>
                <w:color w:val="000000"/>
                <w:sz w:val="14"/>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5430"/>
                <wp:effectExtent l="0" t="0" r="0" b="0"/>
                <wp:wrapNone/>
                <wp:docPr id="33" name="Frame33"/>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delle Sans;sans-serif" w:hAnsi="Adelle Sans;sans-serif"/>
                                <w:b w:val="false"/>
                                <w:color w:val="000000"/>
                                <w:sz w:val="18"/>
                              </w:rPr>
                            </w:pPr>
                            <w:r>
                              <w:rPr>
                                <w:rFonts w:ascii="Adelle Sans;sans-serif" w:hAnsi="Adelle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delle Sans;sans-serif" w:hAnsi="Adelle Sans;sans-serif"/>
                          <w:b w:val="false"/>
                          <w:color w:val="000000"/>
                          <w:sz w:val="18"/>
                        </w:rPr>
                      </w:pPr>
                      <w:r>
                        <w:rPr>
                          <w:rFonts w:ascii="Adelle Sans;sans-serif" w:hAnsi="Adelle Sans;sans-serif"/>
                          <w:b w:val="false"/>
                          <w:color w:val="000000"/>
                          <w:sz w:val="18"/>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delle Sans;sans-serif" w:hAnsi="Adelle Sans;sans-serif"/>
          <w:b/>
          <w:color w:val="000000"/>
          <w:sz w:val="24"/>
        </w:rPr>
      </w:pPr>
      <w:r>
        <w:rPr>
          <w:rFonts w:ascii="Adelle Sans;sans-serif" w:hAnsi="Adelle Sans;sans-serif"/>
          <w:b/>
          <w:color w:val="000000"/>
          <w:sz w:val="24"/>
        </w:rPr>
        <w:t xml:space="preserve">SIGNATURES </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 xml:space="preserve">Pursuant to the requirements of Section 13 or 15(d) of the Securities Exchange Act of 1934, the registrant has duly caused this quarterly report to be signed on its behalf by the undersigned, thereunto duly authorized, on June 8, 2023. </w:t>
      </w:r>
    </w:p>
    <w:p>
      <w:pPr>
        <w:pStyle w:val="TextBody"/>
        <w:bidi w:val="0"/>
        <w:spacing w:before="0" w:after="0"/>
        <w:ind w:left="0" w:right="0" w:firstLine="720"/>
        <w:jc w:val="left"/>
        <w:rPr/>
      </w:pPr>
      <w:r>
        <w:rPr/>
      </w:r>
    </w:p>
    <w:tbl>
      <w:tblPr>
        <w:tblW w:w="2625" w:type="dxa"/>
        <w:jc w:val="right"/>
        <w:tblInd w:w="0" w:type="dxa"/>
        <w:tblLayout w:type="fixed"/>
        <w:tblCellMar>
          <w:top w:w="28" w:type="dxa"/>
          <w:left w:w="28" w:type="dxa"/>
          <w:bottom w:w="28" w:type="dxa"/>
          <w:right w:w="28" w:type="dxa"/>
        </w:tblCellMar>
      </w:tblPr>
      <w:tblGrid>
        <w:gridCol w:w="840"/>
        <w:gridCol w:w="738"/>
        <w:gridCol w:w="1047"/>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8"/>
              </w:rPr>
            </w:pPr>
            <w:r>
              <w:rPr>
                <w:rFonts w:ascii="Adelle Sans;sans-serif" w:hAnsi="Adelle Sans;sans-serif"/>
                <w:b/>
                <w:color w:val="000000"/>
                <w:sz w:val="18"/>
              </w:rPr>
              <w:t>MISSION PRODUCE, INC.</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 Stephen J. Barnard</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Stephen J. Barnard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i/>
                <w:color w:val="000000"/>
                <w:sz w:val="16"/>
              </w:rPr>
            </w:pPr>
            <w:r>
              <w:rPr>
                <w:rFonts w:ascii="Adelle Sans;sans-serif" w:hAnsi="Adelle Sans;sans-serif"/>
                <w:b w:val="false"/>
                <w:i/>
                <w:color w:val="000000"/>
                <w:sz w:val="16"/>
              </w:rPr>
              <w:t>Chief Executive Officer</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 Bryan E. Giles</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center"/>
              <w:rPr>
                <w:rFonts w:ascii="Adelle Sans;sans-serif" w:hAnsi="Adelle Sans;sans-serif"/>
                <w:b w:val="false"/>
                <w:color w:val="000000"/>
                <w:sz w:val="16"/>
              </w:rPr>
            </w:pPr>
            <w:r>
              <w:rPr>
                <w:rFonts w:ascii="Adelle Sans;sans-serif" w:hAnsi="Adelle Sans;sans-serif"/>
                <w:b w:val="false"/>
                <w:color w:val="000000"/>
                <w:sz w:val="16"/>
              </w:rPr>
              <w:t>Bryan E. Giles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i/>
                <w:color w:val="000000"/>
                <w:sz w:val="16"/>
              </w:rPr>
            </w:pPr>
            <w:r>
              <w:rPr>
                <w:rFonts w:ascii="Adelle Sans;sans-serif" w:hAnsi="Adelle Sans;sans-serif"/>
                <w:b w:val="false"/>
                <w:i/>
                <w:color w:val="000000"/>
                <w:sz w:val="16"/>
              </w:rPr>
              <w:t>Chief Financial Officer</w:t>
            </w:r>
          </w:p>
        </w:tc>
      </w:tr>
    </w:tbl>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Adelle Sans;sans-serif" w:hAnsi="Adelle Sans;sans-serif"/>
          <w:b/>
          <w:color w:val="000000"/>
          <w:sz w:val="18"/>
        </w:rPr>
      </w:pPr>
      <w:r>
        <w:rPr>
          <w:rFonts w:ascii="Adelle Sans;sans-serif" w:hAnsi="Adelle Sans;sans-serif"/>
          <w:b/>
          <w:color w:val="000000"/>
          <w:sz w:val="18"/>
        </w:rPr>
        <w:t>Exhibit 31.1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5430"/>
                <wp:effectExtent l="0" t="0" r="0" b="0"/>
                <wp:wrapNone/>
                <wp:docPr id="34" name="Frame34"/>
                <a:graphic xmlns:a="http://schemas.openxmlformats.org/drawingml/2006/main">
                  <a:graphicData uri="http://schemas.microsoft.com/office/word/2010/wordprocessingShape">
                    <wps:wsp>
                      <wps:cNvSpPr txBox="1"/>
                      <wps:spPr>
                        <a:xfrm>
                          <a:off x="0" y="0"/>
                          <a:ext cx="6480175" cy="153543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9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delle Sans;sans-serif" w:hAnsi="Adelle Sans;sans-serif"/>
                          <w:b w:val="false"/>
                          <w:color w:val="000000"/>
                          <w:sz w:val="18"/>
                        </w:rPr>
                      </w:pPr>
                      <w:r>
                        <w:rPr>
                          <w:rFonts w:ascii="Adelle Sans;sans-serif" w:hAnsi="Adelle Sans;sans-serif"/>
                          <w:b w:val="false"/>
                          <w:color w:val="000000"/>
                          <w:sz w:val="18"/>
                        </w:rPr>
                        <w:t>34</w:t>
                      </w:r>
                    </w:p>
                  </w:txbxContent>
                </v:textbox>
                <w10:wrap type="none"/>
              </v:rect>
            </w:pict>
          </mc:Fallback>
        </mc:AlternateConten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CERTIFICATION OF CHIEF EXECUTIVE OFFICER</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PURSUANT TO SECTION 302 OF THE SARBANES-OXLEY ACT OF 2002</w:t>
      </w:r>
    </w:p>
    <w:p>
      <w:pPr>
        <w:pStyle w:val="TextBody"/>
        <w:bidi w:val="0"/>
        <w:spacing w:lineRule="auto" w:line="288" w:before="240" w:after="283"/>
        <w:jc w:val="left"/>
        <w:rPr>
          <w:rFonts w:ascii="Adelle Sans;sans-serif" w:hAnsi="Adelle Sans;sans-serif"/>
          <w:b w:val="false"/>
          <w:color w:val="000000"/>
          <w:sz w:val="18"/>
        </w:rPr>
      </w:pPr>
      <w:r>
        <w:rPr>
          <w:rFonts w:ascii="Adelle Sans;sans-serif" w:hAnsi="Adelle Sans;sans-serif"/>
          <w:b w:val="false"/>
          <w:color w:val="000000"/>
          <w:sz w:val="18"/>
        </w:rPr>
        <w:t>I, Stephen J. Barnard, certify that: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1.I have reviewed this quarterly report on Form 10-Q of Mission Produce, Inc.;</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164" w:type="dxa"/>
        <w:jc w:val="righ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 Stephen J. Barnard</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Stephen J. Barnard</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Chief Executive Officer and Director</w:t>
            </w:r>
          </w:p>
        </w:tc>
      </w:tr>
    </w:tbl>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Date: June 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ind w:left="0" w:right="0" w:firstLine="720"/>
        <w:jc w:val="right"/>
        <w:rPr>
          <w:rFonts w:ascii="Adelle Sans;sans-serif" w:hAnsi="Adelle Sans;sans-serif"/>
          <w:b/>
          <w:color w:val="000000"/>
          <w:sz w:val="18"/>
        </w:rPr>
      </w:pPr>
      <w:r>
        <w:rPr>
          <w:rFonts w:ascii="Adelle Sans;sans-serif" w:hAnsi="Adelle Sans;sans-serif"/>
          <w:b/>
          <w:color w:val="000000"/>
          <w:sz w:val="18"/>
        </w:rPr>
        <w:t>Exhibit 31.2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13360"/>
                <wp:effectExtent l="0" t="0" r="0" b="0"/>
                <wp:wrapNone/>
                <wp:docPr id="35" name="Frame3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CERTIFICATION OF CHIEF FINANCIAL OFFICER</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PURSUANT TO SECTION 302 OF THE SARBANES-OXLEY ACT OF 2002</w:t>
      </w:r>
    </w:p>
    <w:p>
      <w:pPr>
        <w:pStyle w:val="TextBody"/>
        <w:bidi w:val="0"/>
        <w:spacing w:lineRule="auto" w:line="288" w:before="240" w:after="283"/>
        <w:jc w:val="left"/>
        <w:rPr>
          <w:rFonts w:ascii="Adelle Sans;sans-serif" w:hAnsi="Adelle Sans;sans-serif"/>
          <w:b w:val="false"/>
          <w:color w:val="000000"/>
          <w:sz w:val="18"/>
        </w:rPr>
      </w:pPr>
      <w:r>
        <w:rPr>
          <w:rFonts w:ascii="Adelle Sans;sans-serif" w:hAnsi="Adelle Sans;sans-serif"/>
          <w:b w:val="false"/>
          <w:color w:val="000000"/>
          <w:sz w:val="18"/>
        </w:rPr>
        <w:t>I, Bryan E. Giles, certify that: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1.I have reviewed this quarterly report on Form 10-Q of Mission Produce, Inc.;</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994" w:type="dxa"/>
        <w:jc w:val="right"/>
        <w:tblInd w:w="0" w:type="dxa"/>
        <w:tblLayout w:type="fixed"/>
        <w:tblCellMar>
          <w:top w:w="28" w:type="dxa"/>
          <w:left w:w="28" w:type="dxa"/>
          <w:bottom w:w="28" w:type="dxa"/>
          <w:right w:w="28" w:type="dxa"/>
        </w:tblCellMar>
      </w:tblPr>
      <w:tblGrid>
        <w:gridCol w:w="636"/>
        <w:gridCol w:w="561"/>
        <w:gridCol w:w="797"/>
      </w:tblGrid>
      <w:tr>
        <w:trPr/>
        <w:tc>
          <w:tcPr>
            <w:tcW w:w="6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 Bryan E. Giles</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Bryan E. Giles</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Chief Financial Officer</w:t>
            </w:r>
          </w:p>
        </w:tc>
      </w:tr>
    </w:tbl>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Date: June 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ind w:left="0" w:right="0" w:firstLine="720"/>
        <w:jc w:val="right"/>
        <w:rPr>
          <w:rFonts w:ascii="Adelle Sans;sans-serif" w:hAnsi="Adelle Sans;sans-serif"/>
          <w:b/>
          <w:color w:val="000000"/>
          <w:sz w:val="18"/>
        </w:rPr>
      </w:pPr>
      <w:r>
        <w:rPr>
          <w:rFonts w:ascii="Adelle Sans;sans-serif" w:hAnsi="Adelle Sans;sans-serif"/>
          <w:b/>
          <w:color w:val="000000"/>
          <w:sz w:val="18"/>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13360"/>
                <wp:effectExtent l="0" t="0" r="0" b="0"/>
                <wp:wrapNone/>
                <wp:docPr id="36" name="Frame3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CERTIFICATION OF CHIEF EXECUTIVE OFFICER</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(i)the Quarterly Report on Form 10-Q of the Company for the quarter ended April 30, 2023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3164" w:type="dxa"/>
        <w:jc w:val="righ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 Stephen J. Barnard</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Stephen J. Barnard</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Chief Executive Officer and Director</w:t>
            </w:r>
          </w:p>
        </w:tc>
      </w:tr>
    </w:tbl>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Date: June 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ind w:left="0" w:right="0" w:firstLine="720"/>
        <w:jc w:val="right"/>
        <w:rPr>
          <w:rFonts w:ascii="Adelle Sans;sans-serif" w:hAnsi="Adelle Sans;sans-serif"/>
          <w:b/>
          <w:color w:val="000000"/>
          <w:sz w:val="18"/>
        </w:rPr>
      </w:pPr>
      <w:r>
        <w:rPr>
          <w:rFonts w:ascii="Adelle Sans;sans-serif" w:hAnsi="Adelle Sans;sans-serif"/>
          <w:b/>
          <w:color w:val="000000"/>
          <w:sz w:val="18"/>
        </w:rPr>
        <w:t>Exhibit 32.2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13360"/>
                <wp:effectExtent l="0" t="0" r="0" b="0"/>
                <wp:wrapNone/>
                <wp:docPr id="37" name="Frame3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CERTIFICATION OF CHIEF FINANCIAL OFFICER</w:t>
      </w:r>
    </w:p>
    <w:p>
      <w:pPr>
        <w:pStyle w:val="TextBody"/>
        <w:bidi w:val="0"/>
        <w:spacing w:lineRule="auto" w:line="288" w:before="60" w:after="60"/>
        <w:jc w:val="center"/>
        <w:rPr>
          <w:rFonts w:ascii="Adelle Sans;sans-serif" w:hAnsi="Adelle Sans;sans-serif"/>
          <w:b/>
          <w:color w:val="000000"/>
          <w:sz w:val="22"/>
        </w:rPr>
      </w:pPr>
      <w:r>
        <w:rPr>
          <w:rFonts w:ascii="Adelle Sans;sans-serif" w:hAnsi="Adelle Sans;sans-serif"/>
          <w:b/>
          <w:color w:val="000000"/>
          <w:sz w:val="22"/>
        </w:rPr>
        <w:t>PURSUANT TO SECTION 906 OF THE SARBANES-OXLEY ACT OF 2002</w:t>
      </w:r>
    </w:p>
    <w:p>
      <w:pPr>
        <w:pStyle w:val="TextBody"/>
        <w:bidi w:val="0"/>
        <w:spacing w:lineRule="auto" w:line="288" w:before="240" w:after="283"/>
        <w:ind w:left="0" w:right="0" w:firstLine="720"/>
        <w:jc w:val="left"/>
        <w:rPr>
          <w:rFonts w:ascii="Adelle Sans;sans-serif" w:hAnsi="Adelle Sans;sans-serif"/>
          <w:b w:val="false"/>
          <w:color w:val="000000"/>
          <w:sz w:val="18"/>
        </w:rPr>
      </w:pPr>
      <w:r>
        <w:rPr>
          <w:rFonts w:ascii="Adelle Sans;sans-serif" w:hAnsi="Adelle Sans;sans-serif"/>
          <w:b w:val="false"/>
          <w:color w:val="000000"/>
          <w:sz w:val="18"/>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(i)the Quarterly Report on Form 10-Q of the Company for the quarter ended April 30, 2023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994" w:type="dxa"/>
        <w:jc w:val="right"/>
        <w:tblInd w:w="0" w:type="dxa"/>
        <w:tblLayout w:type="fixed"/>
        <w:tblCellMar>
          <w:top w:w="28" w:type="dxa"/>
          <w:left w:w="28" w:type="dxa"/>
          <w:bottom w:w="28" w:type="dxa"/>
          <w:right w:w="28" w:type="dxa"/>
        </w:tblCellMar>
      </w:tblPr>
      <w:tblGrid>
        <w:gridCol w:w="636"/>
        <w:gridCol w:w="561"/>
        <w:gridCol w:w="797"/>
      </w:tblGrid>
      <w:tr>
        <w:trPr/>
        <w:tc>
          <w:tcPr>
            <w:tcW w:w="6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/s/ Bryan E. Giles</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delle Sans;sans-serif" w:hAnsi="Adelle Sans;sans-serif"/>
                <w:b w:val="false"/>
                <w:color w:val="000000"/>
                <w:sz w:val="16"/>
              </w:rPr>
            </w:pPr>
            <w:r>
              <w:rPr>
                <w:rFonts w:ascii="Adelle Sans;sans-serif" w:hAnsi="Adelle Sans;sans-serif"/>
                <w:b w:val="false"/>
                <w:color w:val="000000"/>
                <w:sz w:val="16"/>
              </w:rPr>
              <w:t>Bryan E. Giles</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val="false"/>
                <w:color w:val="000000"/>
                <w:sz w:val="16"/>
              </w:rPr>
            </w:pPr>
            <w:r>
              <w:rPr>
                <w:rFonts w:ascii="Adelle Sans;sans-serif" w:hAnsi="Adelle Sans;sans-serif"/>
                <w:b w:val="false"/>
                <w:color w:val="000000"/>
                <w:sz w:val="16"/>
              </w:rPr>
              <w:t>Chief Financial Officer</w:t>
            </w:r>
          </w:p>
        </w:tc>
      </w:tr>
    </w:tbl>
    <w:p>
      <w:pPr>
        <w:pStyle w:val="TextBody"/>
        <w:bidi w:val="0"/>
        <w:spacing w:lineRule="auto" w:line="288" w:before="240" w:after="283"/>
        <w:ind w:left="0" w:right="0" w:hanging="360"/>
        <w:jc w:val="left"/>
        <w:rPr>
          <w:rFonts w:ascii="Adelle Sans;sans-serif" w:hAnsi="Adelle Sans;sans-serif"/>
          <w:b w:val="false"/>
          <w:color w:val="000000"/>
          <w:sz w:val="18"/>
        </w:rPr>
      </w:pPr>
      <w:r>
        <w:rPr>
          <w:rFonts w:ascii="Adelle Sans;sans-serif" w:hAnsi="Adelle Sans;sans-serif"/>
          <w:b w:val="false"/>
          <w:color w:val="000000"/>
          <w:sz w:val="18"/>
        </w:rPr>
        <w:t>Date: June 8, 2023</w:t>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13360"/>
                <wp:effectExtent l="0" t="0" r="0" b="0"/>
                <wp:wrapNone/>
                <wp:docPr id="38" name="Frame3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974/000119312520265099/d32849dex31.htm" TargetMode="External"/><Relationship Id="rId3" Type="http://schemas.openxmlformats.org/officeDocument/2006/relationships/hyperlink" Target="https://www.sec.gov/Archives/edgar/data/1802974/000119312520265099/d32849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15008</Words>
  <Characters>82144</Characters>
  <CharactersWithSpaces>95926</CharactersWithSpaces>
  <Paragraphs>2645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