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Mission Produce,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0000FF"/>
        </w:rPr>
        <w:t>Jose Bouzas</w:t>
      </w:r>
    </w:p>
    <w:p>
      <w:pPr>
        <w:spacing w:after="0" w:line="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BICSA Financial Center, Piso 39,</w:t>
      </w:r>
    </w:p>
    <w:p>
      <w:pPr>
        <w:ind w:left="3760"/>
        <w:spacing w:after="0" w:line="230" w:lineRule="auto"/>
        <w:rPr>
          <w:sz w:val="20"/>
          <w:szCs w:val="20"/>
          <w:color w:val="auto"/>
        </w:rPr>
      </w:pPr>
      <w:r>
        <w:rPr>
          <w:rFonts w:ascii="Times New Roman" w:cs="Times New Roman" w:eastAsia="Times New Roman" w:hAnsi="Times New Roman"/>
          <w:sz w:val="22"/>
          <w:szCs w:val="22"/>
          <w:b w:val="1"/>
          <w:bCs w:val="1"/>
          <w:color w:val="0000FF"/>
        </w:rPr>
        <w:t>Panama City, R1, 0801</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507 380 7074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Globalharvest Holdings Venture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10,540,937.00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10,540,937.00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10,540,937.00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Mission Produce,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2710 Camino Del Sol, Oxnard, CALIFORNIA , 93030.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Jose Bouzas</w:t>
      </w:r>
    </w:p>
    <w:p>
      <w:pPr>
        <w:spacing w:after="0" w:line="44" w:lineRule="exact"/>
        <w:rPr>
          <w:rFonts w:ascii="Times New Roman" w:cs="Times New Roman" w:eastAsia="Times New Roman" w:hAnsi="Times New Roman"/>
          <w:sz w:val="22"/>
          <w:szCs w:val="22"/>
          <w:color w:val="auto"/>
        </w:rPr>
      </w:pPr>
    </w:p>
    <w:p>
      <w:pPr>
        <w:ind w:right="4880" w:firstLine="8"/>
        <w:spacing w:after="0" w:line="281" w:lineRule="auto"/>
        <w:tabs>
          <w:tab w:leader="none" w:pos="93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BICSA Financial Center, Piso 39, Panama City, Panama 0801 Item 3. Source and Amount of Funds or Other Consideration</w:t>
      </w:r>
    </w:p>
    <w:p>
      <w:pPr>
        <w:spacing w:after="0" w:line="2" w:lineRule="exact"/>
        <w:rPr>
          <w:sz w:val="20"/>
          <w:szCs w:val="20"/>
          <w:color w:val="auto"/>
        </w:rPr>
      </w:pPr>
    </w:p>
    <w:p>
      <w:pPr>
        <w:ind w:left="940" w:right="120"/>
        <w:spacing w:after="0" w:line="253" w:lineRule="auto"/>
        <w:rPr>
          <w:sz w:val="20"/>
          <w:szCs w:val="20"/>
          <w:color w:val="auto"/>
        </w:rPr>
      </w:pPr>
      <w:r>
        <w:rPr>
          <w:rFonts w:ascii="Times New Roman" w:cs="Times New Roman" w:eastAsia="Times New Roman" w:hAnsi="Times New Roman"/>
          <w:sz w:val="21"/>
          <w:szCs w:val="21"/>
          <w:color w:val="auto"/>
        </w:rPr>
        <w:t>Item 3 is hereby amended and restated as follows: The Reporting Person originally acquired 4,458,750 shares of Common Stock for an aggregate price of $50,234,059.90. The Reporting Person subsequently acquired an additional</w:t>
      </w:r>
    </w:p>
    <w:p>
      <w:pPr>
        <w:spacing w:after="0" w:line="1" w:lineRule="exact"/>
        <w:rPr>
          <w:sz w:val="20"/>
          <w:szCs w:val="20"/>
          <w:color w:val="auto"/>
        </w:rPr>
      </w:pPr>
    </w:p>
    <w:p>
      <w:pPr>
        <w:ind w:left="940"/>
        <w:spacing w:after="0" w:line="247" w:lineRule="auto"/>
        <w:tabs>
          <w:tab w:leader="none" w:pos="119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842,220 shares of Common Stock for an aggregate price of $10,515,375.32, (ii) 1,021,178 shares of Common Stock for an aggregate price of $12,481,982.74, (iii) 842,095 shares of Common Stock for an aggregate price of $10,057,851.35, (iv) 1,673,043 shares of Common Stock for an aggregate price of $19,619,597.35, (v) 933,322 shares of Common Stock for an aggregate price of $11,817,870.67 using working capital from affiliates of the Reporting</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40" w:right="360"/>
        <w:spacing w:after="0" w:line="238" w:lineRule="auto"/>
        <w:rPr>
          <w:sz w:val="20"/>
          <w:szCs w:val="20"/>
          <w:color w:val="auto"/>
        </w:rPr>
      </w:pPr>
      <w:r>
        <w:rPr>
          <w:rFonts w:ascii="Times New Roman" w:cs="Times New Roman" w:eastAsia="Times New Roman" w:hAnsi="Times New Roman"/>
          <w:sz w:val="22"/>
          <w:szCs w:val="22"/>
          <w:color w:val="auto"/>
        </w:rPr>
        <w:t>Person, (vi) 220,969 shares of Common Stock for an aggregate price of $2,628,524.51 and (vii) 549,360 shares of Common Stock received in exchange for 561,145 shares of Calavo Growers, Inc. ("Calavo") common stock in connection with the consummation of the previously announced transaction between the Issuer and Calavo (the "Transaction"). The Reporting Person originally acquired such shares of Calavo common stock for an aggregate purchase price of $14,931,161.09.</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0"/>
        <w:spacing w:after="0" w:line="249" w:lineRule="auto"/>
        <w:rPr>
          <w:sz w:val="20"/>
          <w:szCs w:val="20"/>
          <w:color w:val="auto"/>
        </w:rPr>
      </w:pPr>
      <w:r>
        <w:rPr>
          <w:rFonts w:ascii="Times New Roman" w:cs="Times New Roman" w:eastAsia="Times New Roman" w:hAnsi="Times New Roman"/>
          <w:sz w:val="21"/>
          <w:szCs w:val="21"/>
          <w:color w:val="auto"/>
        </w:rPr>
        <w:t>Total shares beneficially owned: 10,540,937 Total shares outstanding as of May 29, 2026: 88,377,546, calculated as the sum of (i) 17,531,182 shares issued as stock consideration for the Transaction, as reported in the Company's Current Report on Form 8-K filed with the Securities and Exchange Commission (the "SEC") on May 29, 2026 and</w:t>
      </w:r>
    </w:p>
    <w:p>
      <w:pPr>
        <w:ind w:left="940"/>
        <w:spacing w:after="0" w:line="231" w:lineRule="auto"/>
        <w:rPr>
          <w:sz w:val="20"/>
          <w:szCs w:val="20"/>
          <w:color w:val="auto"/>
        </w:rPr>
      </w:pPr>
      <w:r>
        <w:rPr>
          <w:rFonts w:ascii="Times New Roman" w:cs="Times New Roman" w:eastAsia="Times New Roman" w:hAnsi="Times New Roman"/>
          <w:sz w:val="22"/>
          <w:szCs w:val="22"/>
          <w:color w:val="auto"/>
        </w:rPr>
        <w:t>(ii) 70,846,364 shares outstanding as of March 16, 2026, as reported in the Company's Prospectus on Form 424B3</w:t>
      </w:r>
    </w:p>
    <w:p>
      <w:pPr>
        <w:ind w:left="940" w:right="40" w:hanging="932"/>
        <w:spacing w:after="0" w:line="233"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filed with the SEC on March 20, 2026. To the Reporting Persons' knowledge, none of the Covered Persons directly owns any Common Shares. Each of the Covered Persons hereby disclaims beneficial ownership of any Common Shares and the filing of this Schedule 13D shall not be construed as an admission that any such Covered Person is the beneficial owner of any securities covered by this Schedule 13D or that any such Covered Person is a member of a "group" for Section 13(d) purposes.</w:t>
      </w:r>
    </w:p>
    <w:p>
      <w:pPr>
        <w:spacing w:after="0" w:line="17"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Items 7, 8, 9 and 10 on the cover pages of this filing, which are incorporated herein by reference.</w:t>
      </w:r>
    </w:p>
    <w:p>
      <w:pPr>
        <w:spacing w:after="0" w:line="44" w:lineRule="exact"/>
        <w:rPr>
          <w:rFonts w:ascii="Times New Roman" w:cs="Times New Roman" w:eastAsia="Times New Roman" w:hAnsi="Times New Roman"/>
          <w:sz w:val="22"/>
          <w:szCs w:val="22"/>
          <w:color w:val="auto"/>
        </w:rPr>
      </w:pPr>
    </w:p>
    <w:p>
      <w:pPr>
        <w:ind w:left="940" w:right="4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Common Stock by the Reporting Person, and any Covered Person, if applicable, since the most recent filing of Schedule 13D are set forth on Schedule A and are incorporated herein by reference.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Globalharvest Holdings Venture Ltd</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 Bouzas, Director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Jose Bouzas, Director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ectPr>
          <w:pgSz w:w="11900" w:h="16838" w:orient="portrait"/>
          <w:cols w:equalWidth="0" w:num="1">
            <w:col w:w="11140"/>
          </w:cols>
          <w:pgMar w:left="360" w:top="11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COMMON STOCK EFFECTING DURING THE PAST 60 DAYS BY THE REPORTING PERSON</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transactions in the Common Stock effected in the past 60 days by the Reporting Persons. Except as noted below, all such transactions were effected by the Reporting Person in the open market through brokers, and the price per share does not include brokerage commissions and transaction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720" w:type="dxa"/>
            <w:vAlign w:val="bottom"/>
          </w:tcPr>
          <w:p>
            <w:pPr>
              <w:spacing w:after="0"/>
              <w:rPr>
                <w:sz w:val="18"/>
                <w:szCs w:val="18"/>
                <w:color w:val="auto"/>
              </w:rPr>
            </w:pPr>
          </w:p>
        </w:tc>
      </w:tr>
      <w:tr>
        <w:trPr>
          <w:trHeight w:val="24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27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c>
          <w:tcPr>
            <w:tcW w:w="2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Purchased (Sold)</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 ($)</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Globalharvest Holdings Venture Ltd.</w:t>
            </w:r>
          </w:p>
        </w:tc>
        <w:tc>
          <w:tcPr>
            <w:tcW w:w="27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05/28/2026</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549,360</w:t>
            </w:r>
          </w:p>
        </w:tc>
        <w:tc>
          <w:tcPr>
            <w:tcW w:w="27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w:t>
            </w:r>
          </w:p>
        </w:tc>
      </w:tr>
    </w:tbl>
    <w:p>
      <w:pPr>
        <w:spacing w:after="0" w:line="287" w:lineRule="exact"/>
        <w:rPr>
          <w:sz w:val="20"/>
          <w:szCs w:val="20"/>
          <w:color w:val="auto"/>
        </w:rPr>
      </w:pPr>
    </w:p>
    <w:p>
      <w:pPr>
        <w:ind w:firstLine="8"/>
        <w:spacing w:after="0" w:line="258"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in exchange for 561,145 shares of Calavo Growers, Inc. (“Calavo”) common stock in connection with the mergers of wholly owned subsidiaries of the Issuer and Calavo. Pursuant to the merger agreement by and among Calavo, wholly owned subsidiaries of the Issuer and the other parties thereto, holders of the Issuer’s common stock had the right to receive, for each share of Calavo common stock held immediately prior to the effective time of the merger, 0.9790 shares of Issuer common stock and $14.85 in cash, without interest. Cash was received in lieu of fractional shares of Issuer common stock, at such price in accordance with the terms of the merger agreement.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2026-06-01T18:37:08Z</dcterms:created>
  <dcterms:modified xsi:type="dcterms:W3CDTF">2026-06-01T18:37:08Z</dcterms:modified>
</cp:coreProperties>
</file>