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205105</wp:posOffset>
            </wp:positionH>
            <wp:positionV relativeFrom="page">
              <wp:posOffset>514350</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539115</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t>UNITED STATES</w:t>
      </w:r>
    </w:p>
    <w:p>
      <w:pPr>
        <w:jc w:val="center"/>
        <w:ind w:right="-39"/>
        <w:spacing w:after="0" w:line="232" w:lineRule="auto"/>
        <w:rPr>
          <w:sz w:val="20"/>
          <w:szCs w:val="20"/>
          <w:color w:val="auto"/>
        </w:rPr>
      </w:pPr>
      <w:r>
        <w:rPr>
          <w:rFonts w:ascii="Arial" w:cs="Arial" w:eastAsia="Arial" w:hAnsi="Arial"/>
          <w:sz w:val="24"/>
          <w:szCs w:val="24"/>
          <w:b w:val="1"/>
          <w:bCs w:val="1"/>
          <w:color w:val="auto"/>
        </w:rPr>
        <w:t>SECURITIES AND EXCHANGE COMMISSION</w:t>
      </w:r>
    </w:p>
    <w:p>
      <w:pPr>
        <w:jc w:val="center"/>
        <w:ind w:right="-39"/>
        <w:spacing w:after="0" w:line="219" w:lineRule="auto"/>
        <w:rPr>
          <w:sz w:val="20"/>
          <w:szCs w:val="20"/>
          <w:color w:val="auto"/>
        </w:rPr>
      </w:pPr>
      <w:r>
        <w:rPr>
          <w:rFonts w:ascii="Arial" w:cs="Arial" w:eastAsia="Arial" w:hAnsi="Arial"/>
          <w:sz w:val="14"/>
          <w:szCs w:val="14"/>
          <w:b w:val="1"/>
          <w:bCs w:val="1"/>
          <w:color w:val="auto"/>
        </w:rPr>
        <w:t>WASHINGTON, D.C. 20549</w:t>
      </w:r>
    </w:p>
    <w:p>
      <w:pPr>
        <w:ind w:left="5260"/>
        <w:spacing w:after="0"/>
        <w:rPr>
          <w:sz w:val="20"/>
          <w:szCs w:val="20"/>
          <w:color w:val="auto"/>
        </w:rPr>
      </w:pPr>
      <w:r>
        <w:rPr>
          <w:rFonts w:ascii="Arial" w:cs="Arial" w:eastAsia="Arial" w:hAnsi="Arial"/>
          <w:sz w:val="10"/>
          <w:szCs w:val="10"/>
          <w:u w:val="single" w:color="auto"/>
          <w:color w:val="auto"/>
        </w:rPr>
        <w:t>_____________</w:t>
      </w:r>
    </w:p>
    <w:p>
      <w:pPr>
        <w:spacing w:after="0" w:line="85"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FORM 10-Q</w:t>
      </w:r>
    </w:p>
    <w:p>
      <w:pPr>
        <w:spacing w:after="0" w:line="14" w:lineRule="exact"/>
        <w:rPr>
          <w:sz w:val="24"/>
          <w:szCs w:val="24"/>
          <w:color w:val="auto"/>
        </w:rPr>
      </w:pPr>
    </w:p>
    <w:p>
      <w:pPr>
        <w:ind w:left="5260"/>
        <w:spacing w:after="0"/>
        <w:rPr>
          <w:sz w:val="20"/>
          <w:szCs w:val="20"/>
          <w:color w:val="auto"/>
        </w:rPr>
      </w:pPr>
      <w:r>
        <w:rPr>
          <w:rFonts w:ascii="Arial" w:cs="Arial" w:eastAsia="Arial" w:hAnsi="Arial"/>
          <w:sz w:val="10"/>
          <w:szCs w:val="10"/>
          <w:u w:val="single" w:color="auto"/>
          <w:color w:val="auto"/>
        </w:rPr>
        <w:t>_____________</w:t>
      </w:r>
    </w:p>
    <w:p>
      <w:pPr>
        <w:spacing w:after="0" w:line="216"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39" w:lineRule="exact"/>
        <w:rPr>
          <w:sz w:val="24"/>
          <w:szCs w:val="24"/>
          <w:color w:val="auto"/>
        </w:rPr>
      </w:pPr>
    </w:p>
    <w:p>
      <w:pPr>
        <w:ind w:left="400" w:hanging="380"/>
        <w:spacing w:after="0"/>
        <w:tabs>
          <w:tab w:leader="none" w:pos="40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QUARTERLY REPORT PURSUANT TO SECTION 13 OR 15(d) OF THE SECURITIES EXCHANGE ACT OF 1934</w:t>
      </w:r>
    </w:p>
    <w:p>
      <w:pPr>
        <w:spacing w:after="0" w:line="348" w:lineRule="exact"/>
        <w:rPr>
          <w:sz w:val="24"/>
          <w:szCs w:val="24"/>
          <w:color w:val="auto"/>
        </w:rPr>
      </w:pPr>
    </w:p>
    <w:p>
      <w:pPr>
        <w:ind w:left="4480"/>
        <w:spacing w:after="0"/>
        <w:rPr>
          <w:sz w:val="20"/>
          <w:szCs w:val="20"/>
          <w:color w:val="auto"/>
        </w:rPr>
      </w:pPr>
      <w:r>
        <w:rPr>
          <w:rFonts w:ascii="Arial" w:cs="Arial" w:eastAsia="Arial" w:hAnsi="Arial"/>
          <w:sz w:val="14"/>
          <w:szCs w:val="14"/>
          <w:b w:val="1"/>
          <w:bCs w:val="1"/>
          <w:color w:val="auto"/>
        </w:rPr>
        <w:t>For the quarterly period ended April 30, 2026</w:t>
      </w:r>
    </w:p>
    <w:p>
      <w:pPr>
        <w:spacing w:after="0" w:line="32" w:lineRule="exact"/>
        <w:rPr>
          <w:sz w:val="24"/>
          <w:szCs w:val="24"/>
          <w:color w:val="auto"/>
        </w:rPr>
      </w:pPr>
    </w:p>
    <w:p>
      <w:pPr>
        <w:ind w:left="5520"/>
        <w:spacing w:after="0"/>
        <w:rPr>
          <w:sz w:val="20"/>
          <w:szCs w:val="20"/>
          <w:color w:val="auto"/>
        </w:rPr>
      </w:pPr>
      <w:r>
        <w:rPr>
          <w:rFonts w:ascii="Arial" w:cs="Arial" w:eastAsia="Arial" w:hAnsi="Arial"/>
          <w:sz w:val="14"/>
          <w:szCs w:val="14"/>
          <w:b w:val="1"/>
          <w:bCs w:val="1"/>
          <w:color w:val="auto"/>
        </w:rPr>
        <w:t>OR</w:t>
      </w:r>
    </w:p>
    <w:p>
      <w:pPr>
        <w:spacing w:after="0" w:line="273" w:lineRule="exact"/>
        <w:rPr>
          <w:sz w:val="24"/>
          <w:szCs w:val="24"/>
          <w:color w:val="auto"/>
        </w:rPr>
      </w:pPr>
    </w:p>
    <w:p>
      <w:pPr>
        <w:ind w:left="400" w:hanging="380"/>
        <w:spacing w:after="0"/>
        <w:tabs>
          <w:tab w:leader="none" w:pos="400" w:val="left"/>
        </w:tabs>
        <w:numPr>
          <w:ilvl w:val="0"/>
          <w:numId w:val="2"/>
        </w:numPr>
        <w:rPr>
          <w:rFonts w:ascii="MS PGothic" w:cs="MS PGothic" w:eastAsia="MS PGothic" w:hAnsi="MS PGothic"/>
          <w:sz w:val="15"/>
          <w:szCs w:val="15"/>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90" w:lineRule="exact"/>
        <w:rPr>
          <w:sz w:val="24"/>
          <w:szCs w:val="24"/>
          <w:color w:val="auto"/>
        </w:rPr>
      </w:pPr>
    </w:p>
    <w:p>
      <w:pPr>
        <w:ind w:left="3780"/>
        <w:spacing w:after="0"/>
        <w:tabs>
          <w:tab w:leader="none" w:pos="652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3646170</wp:posOffset>
            </wp:positionH>
            <wp:positionV relativeFrom="paragraph">
              <wp:posOffset>-5715</wp:posOffset>
            </wp:positionV>
            <wp:extent cx="10998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9820" cy="8255"/>
                    </a:xfrm>
                    <a:prstGeom prst="rect">
                      <a:avLst/>
                    </a:prstGeom>
                    <a:noFill/>
                  </pic:spPr>
                </pic:pic>
              </a:graphicData>
            </a:graphic>
          </wp:anchor>
        </w:drawing>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Commission file number: 001-39561</w:t>
      </w:r>
    </w:p>
    <w:p>
      <w:pPr>
        <w:ind w:left="5260"/>
        <w:spacing w:after="0"/>
        <w:rPr>
          <w:sz w:val="20"/>
          <w:szCs w:val="20"/>
          <w:color w:val="auto"/>
        </w:rPr>
      </w:pPr>
      <w:r>
        <w:rPr>
          <w:rFonts w:ascii="Arial" w:cs="Arial" w:eastAsia="Arial" w:hAnsi="Arial"/>
          <w:sz w:val="10"/>
          <w:szCs w:val="10"/>
          <w:u w:val="single" w:color="auto"/>
          <w:color w:val="auto"/>
        </w:rPr>
        <w:t>_____________</w:t>
      </w:r>
    </w:p>
    <w:p>
      <w:pPr>
        <w:spacing w:after="0" w:line="324"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MISSION PRODUCE, INC.</w:t>
      </w:r>
    </w:p>
    <w:p>
      <w:pPr>
        <w:spacing w:after="0" w:line="24"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ind w:left="5560"/>
        <w:spacing w:after="0"/>
        <w:rPr>
          <w:sz w:val="20"/>
          <w:szCs w:val="20"/>
          <w:color w:val="auto"/>
        </w:rPr>
      </w:pPr>
      <w:r>
        <w:rPr>
          <w:rFonts w:ascii="Arial" w:cs="Arial" w:eastAsia="Arial" w:hAnsi="Arial"/>
          <w:sz w:val="10"/>
          <w:szCs w:val="10"/>
          <w:u w:val="single" w:color="auto"/>
          <w:color w:val="auto"/>
        </w:rPr>
        <w:t>_____________</w:t>
      </w:r>
    </w:p>
    <w:p>
      <w:pPr>
        <w:sectPr>
          <w:pgSz w:w="11900" w:h="16838" w:orient="portrait"/>
          <w:cols w:equalWidth="0" w:num="1">
            <w:col w:w="11200"/>
          </w:cols>
          <w:pgMar w:left="320" w:top="981" w:right="379" w:bottom="1440" w:gutter="0" w:footer="0" w:header="0"/>
        </w:sectPr>
      </w:pPr>
    </w:p>
    <w:p>
      <w:pPr>
        <w:spacing w:after="0" w:line="227" w:lineRule="exact"/>
        <w:rPr>
          <w:sz w:val="24"/>
          <w:szCs w:val="24"/>
          <w:color w:val="auto"/>
        </w:rPr>
      </w:pPr>
    </w:p>
    <w:p>
      <w:pPr>
        <w:jc w:val="center"/>
        <w:ind w:right="2600"/>
        <w:spacing w:after="0"/>
        <w:rPr>
          <w:sz w:val="20"/>
          <w:szCs w:val="20"/>
          <w:color w:val="auto"/>
        </w:rPr>
      </w:pPr>
      <w:r>
        <w:rPr>
          <w:rFonts w:ascii="Arial" w:cs="Arial" w:eastAsia="Arial" w:hAnsi="Arial"/>
          <w:sz w:val="14"/>
          <w:szCs w:val="14"/>
          <w:b w:val="1"/>
          <w:bCs w:val="1"/>
          <w:color w:val="auto"/>
        </w:rPr>
        <w:t>Delaware</w:t>
      </w:r>
    </w:p>
    <w:p>
      <w:pPr>
        <w:spacing w:after="0" w:line="3" w:lineRule="exact"/>
        <w:rPr>
          <w:sz w:val="24"/>
          <w:szCs w:val="24"/>
          <w:color w:val="auto"/>
        </w:rPr>
      </w:pPr>
    </w:p>
    <w:p>
      <w:pPr>
        <w:ind w:left="1720"/>
        <w:spacing w:after="0"/>
        <w:rPr>
          <w:sz w:val="20"/>
          <w:szCs w:val="20"/>
          <w:color w:val="auto"/>
        </w:rPr>
      </w:pPr>
      <w:r>
        <w:rPr>
          <w:rFonts w:ascii="Arial" w:cs="Arial" w:eastAsia="Arial" w:hAnsi="Arial"/>
          <w:sz w:val="13"/>
          <w:szCs w:val="13"/>
          <w:b w:val="1"/>
          <w:bCs w:val="1"/>
          <w:color w:val="auto"/>
        </w:rPr>
        <w:t>(State or Other Jurisdiction of</w:t>
      </w:r>
    </w:p>
    <w:p>
      <w:pPr>
        <w:spacing w:after="0" w:line="5" w:lineRule="exact"/>
        <w:rPr>
          <w:sz w:val="24"/>
          <w:szCs w:val="24"/>
          <w:color w:val="auto"/>
        </w:rPr>
      </w:pPr>
    </w:p>
    <w:p>
      <w:pPr>
        <w:ind w:left="1700"/>
        <w:spacing w:after="0"/>
        <w:rPr>
          <w:sz w:val="20"/>
          <w:szCs w:val="20"/>
          <w:color w:val="auto"/>
        </w:rPr>
      </w:pPr>
      <w:r>
        <w:rPr>
          <w:rFonts w:ascii="Arial" w:cs="Arial" w:eastAsia="Arial" w:hAnsi="Arial"/>
          <w:sz w:val="13"/>
          <w:szCs w:val="13"/>
          <w:b w:val="1"/>
          <w:bCs w:val="1"/>
          <w:color w:val="auto"/>
        </w:rPr>
        <w:t>Incorporation or Organization)</w:t>
      </w:r>
    </w:p>
    <w:p>
      <w:pPr>
        <w:spacing w:after="0" w:line="151" w:lineRule="exact"/>
        <w:rPr>
          <w:sz w:val="24"/>
          <w:szCs w:val="24"/>
          <w:color w:val="auto"/>
        </w:rPr>
      </w:pPr>
    </w:p>
    <w:p>
      <w:pPr>
        <w:jc w:val="center"/>
        <w:ind w:right="2600"/>
        <w:spacing w:after="0"/>
        <w:rPr>
          <w:sz w:val="20"/>
          <w:szCs w:val="20"/>
          <w:color w:val="auto"/>
        </w:rPr>
      </w:pPr>
      <w:r>
        <w:rPr>
          <w:rFonts w:ascii="Arial" w:cs="Arial" w:eastAsia="Arial" w:hAnsi="Arial"/>
          <w:sz w:val="14"/>
          <w:szCs w:val="14"/>
          <w:b w:val="1"/>
          <w:bCs w:val="1"/>
          <w:color w:val="auto"/>
        </w:rPr>
        <w:t>2710 Camino Del Sol</w:t>
      </w:r>
    </w:p>
    <w:p>
      <w:pPr>
        <w:spacing w:after="0" w:line="21" w:lineRule="exact"/>
        <w:rPr>
          <w:sz w:val="24"/>
          <w:szCs w:val="24"/>
          <w:color w:val="auto"/>
        </w:rPr>
      </w:pPr>
    </w:p>
    <w:p>
      <w:pPr>
        <w:jc w:val="center"/>
        <w:ind w:right="2600"/>
        <w:spacing w:after="0"/>
        <w:rPr>
          <w:sz w:val="20"/>
          <w:szCs w:val="20"/>
          <w:color w:val="auto"/>
        </w:rPr>
      </w:pPr>
      <w:r>
        <w:rPr>
          <w:rFonts w:ascii="Arial" w:cs="Arial" w:eastAsia="Arial" w:hAnsi="Arial"/>
          <w:sz w:val="14"/>
          <w:szCs w:val="14"/>
          <w:b w:val="1"/>
          <w:bCs w:val="1"/>
          <w:color w:val="auto"/>
        </w:rPr>
        <w:t>Oxnard, California</w:t>
      </w:r>
    </w:p>
    <w:p>
      <w:pPr>
        <w:spacing w:after="0" w:line="1" w:lineRule="exact"/>
        <w:rPr>
          <w:sz w:val="24"/>
          <w:szCs w:val="24"/>
          <w:color w:val="auto"/>
        </w:rPr>
      </w:pPr>
    </w:p>
    <w:p>
      <w:pPr>
        <w:ind w:left="1400"/>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216" w:lineRule="exact"/>
        <w:rPr>
          <w:sz w:val="24"/>
          <w:szCs w:val="24"/>
          <w:color w:val="auto"/>
        </w:rPr>
      </w:pPr>
    </w:p>
    <w:p>
      <w:pPr>
        <w:jc w:val="center"/>
        <w:ind w:left="3380"/>
        <w:spacing w:after="0"/>
        <w:rPr>
          <w:sz w:val="20"/>
          <w:szCs w:val="20"/>
          <w:color w:val="auto"/>
        </w:rPr>
      </w:pPr>
      <w:r>
        <w:rPr>
          <w:rFonts w:ascii="Arial" w:cs="Arial" w:eastAsia="Arial" w:hAnsi="Arial"/>
          <w:sz w:val="13"/>
          <w:szCs w:val="13"/>
          <w:b w:val="1"/>
          <w:bCs w:val="1"/>
          <w:color w:val="auto"/>
        </w:rPr>
        <w:t>Registrant’s Telephone Number, Including Area Code: (805) 981-3650</w:t>
      </w:r>
    </w:p>
    <w:p>
      <w:pPr>
        <w:spacing w:after="0" w:line="12" w:lineRule="exact"/>
        <w:rPr>
          <w:sz w:val="24"/>
          <w:szCs w:val="24"/>
          <w:color w:val="auto"/>
        </w:rPr>
      </w:pPr>
    </w:p>
    <w:p>
      <w:pPr>
        <w:ind w:left="5260"/>
        <w:spacing w:after="0"/>
        <w:rPr>
          <w:sz w:val="20"/>
          <w:szCs w:val="20"/>
          <w:color w:val="auto"/>
        </w:rPr>
      </w:pPr>
      <w:r>
        <w:rPr>
          <w:rFonts w:ascii="Arial" w:cs="Arial" w:eastAsia="Arial" w:hAnsi="Arial"/>
          <w:sz w:val="10"/>
          <w:szCs w:val="10"/>
          <w:u w:val="single" w:color="auto"/>
          <w:color w:val="auto"/>
        </w:rPr>
        <w:t>_____________</w:t>
      </w:r>
    </w:p>
    <w:p>
      <w:pPr>
        <w:spacing w:after="0" w:line="98" w:lineRule="exact"/>
        <w:rPr>
          <w:sz w:val="24"/>
          <w:szCs w:val="24"/>
          <w:color w:val="auto"/>
        </w:rPr>
      </w:pPr>
    </w:p>
    <w:p>
      <w:pPr>
        <w:ind w:left="3740"/>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20" w:lineRule="exact"/>
        <w:rPr>
          <w:sz w:val="24"/>
          <w:szCs w:val="24"/>
          <w:color w:val="auto"/>
        </w:rPr>
      </w:pPr>
      <w:r>
        <w:rPr>
          <w:sz w:val="24"/>
          <w:szCs w:val="24"/>
          <w:color w:val="auto"/>
        </w:rPr>
        <w:br w:type="column"/>
      </w:r>
    </w:p>
    <w:p>
      <w:pPr>
        <w:spacing w:after="0" w:line="220" w:lineRule="exact"/>
        <w:rPr>
          <w:sz w:val="24"/>
          <w:szCs w:val="24"/>
          <w:color w:val="auto"/>
        </w:rPr>
      </w:pPr>
    </w:p>
    <w:p>
      <w:pPr>
        <w:jc w:val="center"/>
        <w:ind w:right="2140"/>
        <w:spacing w:after="0"/>
        <w:rPr>
          <w:sz w:val="20"/>
          <w:szCs w:val="20"/>
          <w:color w:val="auto"/>
        </w:rPr>
      </w:pPr>
      <w:r>
        <w:rPr>
          <w:rFonts w:ascii="Arial" w:cs="Arial" w:eastAsia="Arial" w:hAnsi="Arial"/>
          <w:sz w:val="14"/>
          <w:szCs w:val="14"/>
          <w:b w:val="1"/>
          <w:bCs w:val="1"/>
          <w:color w:val="auto"/>
        </w:rPr>
        <w:t>95-3847744</w:t>
      </w:r>
    </w:p>
    <w:p>
      <w:pPr>
        <w:spacing w:after="0" w:line="3" w:lineRule="exact"/>
        <w:rPr>
          <w:sz w:val="24"/>
          <w:szCs w:val="24"/>
          <w:color w:val="auto"/>
        </w:rPr>
      </w:pPr>
    </w:p>
    <w:p>
      <w:pPr>
        <w:ind w:left="60"/>
        <w:spacing w:after="0"/>
        <w:rPr>
          <w:sz w:val="20"/>
          <w:szCs w:val="20"/>
          <w:color w:val="auto"/>
        </w:rPr>
      </w:pPr>
      <w:r>
        <w:rPr>
          <w:rFonts w:ascii="Arial" w:cs="Arial" w:eastAsia="Arial" w:hAnsi="Arial"/>
          <w:sz w:val="13"/>
          <w:szCs w:val="13"/>
          <w:b w:val="1"/>
          <w:bCs w:val="1"/>
          <w:color w:val="auto"/>
        </w:rPr>
        <w:t>(I.R.S. Employer</w:t>
      </w:r>
    </w:p>
    <w:p>
      <w:pPr>
        <w:spacing w:after="0" w:line="5"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151" w:lineRule="exact"/>
        <w:rPr>
          <w:sz w:val="24"/>
          <w:szCs w:val="24"/>
          <w:color w:val="auto"/>
        </w:rPr>
      </w:pPr>
    </w:p>
    <w:p>
      <w:pPr>
        <w:jc w:val="center"/>
        <w:ind w:right="2140"/>
        <w:spacing w:after="0"/>
        <w:rPr>
          <w:sz w:val="20"/>
          <w:szCs w:val="20"/>
          <w:color w:val="auto"/>
        </w:rPr>
      </w:pPr>
      <w:r>
        <w:rPr>
          <w:rFonts w:ascii="Arial" w:cs="Arial" w:eastAsia="Arial" w:hAnsi="Arial"/>
          <w:sz w:val="14"/>
          <w:szCs w:val="14"/>
          <w:b w:val="1"/>
          <w:bCs w:val="1"/>
          <w:color w:val="auto"/>
        </w:rPr>
        <w:t>93030</w:t>
      </w:r>
    </w:p>
    <w:p>
      <w:pPr>
        <w:spacing w:after="0" w:line="15" w:lineRule="exact"/>
        <w:rPr>
          <w:sz w:val="24"/>
          <w:szCs w:val="24"/>
          <w:color w:val="auto"/>
        </w:rPr>
      </w:pPr>
    </w:p>
    <w:p>
      <w:pPr>
        <w:ind w:left="240"/>
        <w:spacing w:after="0"/>
        <w:rPr>
          <w:sz w:val="20"/>
          <w:szCs w:val="20"/>
          <w:color w:val="auto"/>
        </w:rPr>
      </w:pPr>
      <w:r>
        <w:rPr>
          <w:rFonts w:ascii="Arial" w:cs="Arial" w:eastAsia="Arial" w:hAnsi="Arial"/>
          <w:sz w:val="13"/>
          <w:szCs w:val="13"/>
          <w:b w:val="1"/>
          <w:bCs w:val="1"/>
          <w:color w:val="auto"/>
        </w:rPr>
        <w:t>(Zip Code)</w:t>
      </w:r>
    </w:p>
    <w:p>
      <w:pPr>
        <w:spacing w:after="0" w:line="1105" w:lineRule="exact"/>
        <w:rPr>
          <w:sz w:val="24"/>
          <w:szCs w:val="24"/>
          <w:color w:val="auto"/>
        </w:rPr>
      </w:pPr>
    </w:p>
    <w:p>
      <w:pPr>
        <w:sectPr>
          <w:pgSz w:w="11900" w:h="16838" w:orient="portrait"/>
          <w:cols w:equalWidth="0" w:num="2">
            <w:col w:w="7860" w:space="100"/>
            <w:col w:w="3240"/>
          </w:cols>
          <w:pgMar w:left="320" w:top="981" w:right="379" w:bottom="1440" w:gutter="0" w:footer="0" w:header="0"/>
          <w:type w:val="continuous"/>
        </w:sectPr>
      </w:pPr>
    </w:p>
    <w:p>
      <w:pPr>
        <w:spacing w:after="0" w:line="116" w:lineRule="exact"/>
        <w:rPr>
          <w:sz w:val="24"/>
          <w:szCs w:val="24"/>
          <w:color w:val="auto"/>
        </w:rPr>
      </w:pPr>
    </w:p>
    <w:tbl>
      <w:tblPr>
        <w:tblLayout w:type="fixed"/>
        <w:tblInd w:w="860" w:type="dxa"/>
        <w:tblCellMar>
          <w:top w:w="0" w:type="dxa"/>
          <w:left w:w="0" w:type="dxa"/>
          <w:bottom w:w="0" w:type="dxa"/>
          <w:right w:w="0" w:type="dxa"/>
        </w:tblCellMar>
      </w:tblPr>
      <w:tr>
        <w:trPr>
          <w:trHeight w:val="189"/>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 of each class</w:t>
            </w:r>
          </w:p>
        </w:tc>
        <w:tc>
          <w:tcPr>
            <w:tcW w:w="100" w:type="dxa"/>
            <w:vAlign w:val="bottom"/>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Trading Symbol(s)</w:t>
            </w:r>
          </w:p>
        </w:tc>
        <w:tc>
          <w:tcPr>
            <w:tcW w:w="120" w:type="dxa"/>
            <w:vAlign w:val="bottom"/>
          </w:tcPr>
          <w:p>
            <w:pPr>
              <w:spacing w:after="0"/>
              <w:rPr>
                <w:sz w:val="16"/>
                <w:szCs w:val="16"/>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Name of each exchange on which registered</w:t>
            </w:r>
          </w:p>
        </w:tc>
      </w:tr>
      <w:tr>
        <w:trPr>
          <w:trHeight w:val="185"/>
        </w:trPr>
        <w:tc>
          <w:tcPr>
            <w:tcW w:w="3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Common Stock, par value $0.001 per share</w:t>
            </w: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AVO</w:t>
            </w:r>
          </w:p>
        </w:tc>
        <w:tc>
          <w:tcPr>
            <w:tcW w:w="3700" w:type="dxa"/>
            <w:vAlign w:val="bottom"/>
          </w:tcPr>
          <w:p>
            <w:pPr>
              <w:jc w:val="center"/>
              <w:spacing w:after="0"/>
              <w:rPr>
                <w:sz w:val="20"/>
                <w:szCs w:val="20"/>
                <w:color w:val="auto"/>
              </w:rPr>
            </w:pPr>
            <w:r>
              <w:rPr>
                <w:rFonts w:ascii="Arial" w:cs="Arial" w:eastAsia="Arial" w:hAnsi="Arial"/>
                <w:sz w:val="14"/>
                <w:szCs w:val="14"/>
                <w:b w:val="1"/>
                <w:bCs w:val="1"/>
                <w:color w:val="auto"/>
                <w:w w:val="97"/>
              </w:rPr>
              <w:t>NASDAQ Global Select Market</w:t>
            </w:r>
          </w:p>
        </w:tc>
      </w:tr>
      <w:tr>
        <w:trPr>
          <w:trHeight w:val="147"/>
        </w:trPr>
        <w:tc>
          <w:tcPr>
            <w:tcW w:w="380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8"/>
              </w:rPr>
              <w:t>Series A Junior Participating Preferred Stock, par value</w:t>
            </w: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00" w:type="dxa"/>
            <w:vAlign w:val="bottom"/>
          </w:tcPr>
          <w:p>
            <w:pPr>
              <w:spacing w:after="0"/>
              <w:rPr>
                <w:sz w:val="12"/>
                <w:szCs w:val="12"/>
                <w:color w:val="auto"/>
              </w:rPr>
            </w:pPr>
          </w:p>
        </w:tc>
      </w:tr>
      <w:tr>
        <w:trPr>
          <w:trHeight w:val="188"/>
        </w:trPr>
        <w:tc>
          <w:tcPr>
            <w:tcW w:w="3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$0.001 per share</w:t>
            </w: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00" w:type="dxa"/>
            <w:vAlign w:val="bottom"/>
          </w:tcPr>
          <w:p>
            <w:pPr>
              <w:spacing w:after="0"/>
              <w:rPr>
                <w:sz w:val="16"/>
                <w:szCs w:val="16"/>
                <w:color w:val="auto"/>
              </w:rPr>
            </w:pPr>
          </w:p>
        </w:tc>
      </w:tr>
    </w:tbl>
    <w:p>
      <w:pPr>
        <w:spacing w:after="0" w:line="200" w:lineRule="exact"/>
        <w:rPr>
          <w:sz w:val="24"/>
          <w:szCs w:val="24"/>
          <w:color w:val="auto"/>
        </w:rPr>
      </w:pPr>
    </w:p>
    <w:p>
      <w:pPr>
        <w:spacing w:after="0" w:line="207" w:lineRule="exact"/>
        <w:rPr>
          <w:sz w:val="24"/>
          <w:szCs w:val="24"/>
          <w:color w:val="auto"/>
        </w:rPr>
      </w:pPr>
    </w:p>
    <w:p>
      <w:pPr>
        <w:ind w:right="120" w:firstLine="464"/>
        <w:spacing w:after="0" w:line="183"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2" w:lineRule="exact"/>
        <w:rPr>
          <w:sz w:val="24"/>
          <w:szCs w:val="24"/>
          <w:color w:val="auto"/>
        </w:rPr>
      </w:pPr>
    </w:p>
    <w:p>
      <w:pPr>
        <w:ind w:firstLine="464"/>
        <w:spacing w:after="0" w:line="17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1" w:lineRule="exact"/>
        <w:rPr>
          <w:sz w:val="24"/>
          <w:szCs w:val="24"/>
          <w:color w:val="auto"/>
        </w:rPr>
      </w:pPr>
    </w:p>
    <w:p>
      <w:pPr>
        <w:ind w:right="460" w:firstLine="464"/>
        <w:spacing w:after="0" w:line="318"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82" w:lineRule="exact"/>
        <w:rPr>
          <w:sz w:val="24"/>
          <w:szCs w:val="24"/>
          <w:color w:val="auto"/>
        </w:rPr>
      </w:pPr>
    </w:p>
    <w:tbl>
      <w:tblPr>
        <w:tblLayout w:type="fixed"/>
        <w:tblInd w:w="640" w:type="dxa"/>
        <w:tblCellMar>
          <w:top w:w="0" w:type="dxa"/>
          <w:left w:w="0" w:type="dxa"/>
          <w:bottom w:w="0" w:type="dxa"/>
          <w:right w:w="0" w:type="dxa"/>
        </w:tblCellMar>
      </w:tblPr>
      <w:tr>
        <w:trPr>
          <w:trHeight w:val="193"/>
        </w:trPr>
        <w:tc>
          <w:tcPr>
            <w:tcW w:w="18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82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4360" w:type="dxa"/>
            <w:vAlign w:val="bottom"/>
          </w:tcPr>
          <w:p>
            <w:pPr>
              <w:ind w:left="2480"/>
              <w:spacing w:after="0"/>
              <w:rPr>
                <w:sz w:val="20"/>
                <w:szCs w:val="20"/>
                <w:color w:val="auto"/>
              </w:rPr>
            </w:pPr>
            <w:r>
              <w:rPr>
                <w:rFonts w:ascii="Arial" w:cs="Arial" w:eastAsia="Arial" w:hAnsi="Arial"/>
                <w:sz w:val="14"/>
                <w:szCs w:val="14"/>
                <w:color w:val="auto"/>
              </w:rPr>
              <w:t>Accelerated filer</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93"/>
        </w:trPr>
        <w:tc>
          <w:tcPr>
            <w:tcW w:w="1880" w:type="dxa"/>
            <w:vAlign w:val="bottom"/>
          </w:tcPr>
          <w:p>
            <w:pPr>
              <w:spacing w:after="0"/>
              <w:rPr>
                <w:sz w:val="20"/>
                <w:szCs w:val="20"/>
                <w:color w:val="auto"/>
              </w:rPr>
            </w:pPr>
            <w:r>
              <w:rPr>
                <w:rFonts w:ascii="Arial" w:cs="Arial" w:eastAsia="Arial" w:hAnsi="Arial"/>
                <w:sz w:val="14"/>
                <w:szCs w:val="14"/>
                <w:color w:val="auto"/>
              </w:rPr>
              <w:t>Non-accelerated filer</w:t>
            </w:r>
          </w:p>
        </w:tc>
        <w:tc>
          <w:tcPr>
            <w:tcW w:w="282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4360" w:type="dxa"/>
            <w:vAlign w:val="bottom"/>
          </w:tcPr>
          <w:p>
            <w:pPr>
              <w:ind w:left="2480"/>
              <w:spacing w:after="0"/>
              <w:rPr>
                <w:sz w:val="20"/>
                <w:szCs w:val="20"/>
                <w:color w:val="auto"/>
              </w:rPr>
            </w:pPr>
            <w:r>
              <w:rPr>
                <w:rFonts w:ascii="Arial" w:cs="Arial" w:eastAsia="Arial" w:hAnsi="Arial"/>
                <w:sz w:val="14"/>
                <w:szCs w:val="14"/>
                <w:color w:val="auto"/>
              </w:rPr>
              <w:t>Smaller reporting company</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188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82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4360" w:type="dxa"/>
            <w:vAlign w:val="bottom"/>
          </w:tcPr>
          <w:p>
            <w:pPr>
              <w:spacing w:after="0"/>
              <w:rPr>
                <w:sz w:val="19"/>
                <w:szCs w:val="19"/>
                <w:color w:val="auto"/>
              </w:rPr>
            </w:pPr>
          </w:p>
        </w:tc>
        <w:tc>
          <w:tcPr>
            <w:tcW w:w="380" w:type="dxa"/>
            <w:vAlign w:val="bottom"/>
          </w:tcPr>
          <w:p>
            <w:pPr>
              <w:spacing w:after="0"/>
              <w:rPr>
                <w:sz w:val="19"/>
                <w:szCs w:val="19"/>
                <w:color w:val="auto"/>
              </w:rPr>
            </w:pPr>
          </w:p>
        </w:tc>
      </w:tr>
    </w:tbl>
    <w:p>
      <w:pPr>
        <w:spacing w:after="0" w:line="395" w:lineRule="exact"/>
        <w:rPr>
          <w:sz w:val="24"/>
          <w:szCs w:val="24"/>
          <w:color w:val="auto"/>
        </w:rPr>
      </w:pPr>
    </w:p>
    <w:p>
      <w:pPr>
        <w:ind w:right="300" w:firstLine="464"/>
        <w:spacing w:after="0" w:line="18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460" w:right="3520"/>
        <w:spacing w:after="0" w:line="210"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June 3, 2026, the registrant had 88,319,807 shares of common stock at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720725</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389890</wp:posOffset>
            </wp:positionV>
            <wp:extent cx="7138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414655</wp:posOffset>
            </wp:positionV>
            <wp:extent cx="71386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9"/>
          <w:szCs w:val="19"/>
          <w:b w:val="1"/>
          <w:bCs w:val="1"/>
          <w:color w:val="auto"/>
        </w:rPr>
        <w:t>MISSION PRODUCE,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TABLE OF CONTENTS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FORM 10-Q</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FISCAL SECOND QUARTER 2026</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2240" w:type="dxa"/>
            <w:vAlign w:val="bottom"/>
            <w:tcBorders>
              <w:bottom w:val="single" w:sz="8" w:color="0000FF"/>
            </w:tcBorders>
            <w:gridSpan w:val="8"/>
          </w:tcPr>
          <w:p>
            <w:pPr>
              <w:spacing w:after="0"/>
              <w:rPr>
                <w:sz w:val="20"/>
                <w:szCs w:val="20"/>
                <w:color w:val="auto"/>
              </w:rPr>
            </w:pPr>
            <w:r>
              <w:rPr>
                <w:rFonts w:ascii="Arial" w:cs="Arial" w:eastAsia="Arial" w:hAnsi="Arial"/>
                <w:sz w:val="14"/>
                <w:szCs w:val="14"/>
                <w:color w:val="0000FF"/>
                <w:w w:val="96"/>
              </w:rPr>
              <w:t>PART I- FINANCIAL INFORMATION</w:t>
            </w:r>
          </w:p>
        </w:tc>
        <w:tc>
          <w:tcPr>
            <w:tcW w:w="6180" w:type="dxa"/>
            <w:vAlign w:val="bottom"/>
            <w:gridSpan w:val="15"/>
          </w:tcPr>
          <w:p>
            <w:pPr>
              <w:spacing w:after="0"/>
              <w:rPr>
                <w:sz w:val="14"/>
                <w:szCs w:val="14"/>
                <w:color w:val="auto"/>
              </w:rPr>
            </w:pPr>
          </w:p>
        </w:tc>
        <w:tc>
          <w:tcPr>
            <w:tcW w:w="1920" w:type="dxa"/>
            <w:vAlign w:val="bottom"/>
          </w:tcPr>
          <w:p>
            <w:pPr>
              <w:spacing w:after="0"/>
              <w:rPr>
                <w:sz w:val="14"/>
                <w:szCs w:val="14"/>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4"/>
                <w:szCs w:val="14"/>
                <w:color w:val="0000FF"/>
                <w:w w:val="76"/>
              </w:rPr>
              <w:t>5</w:t>
            </w:r>
          </w:p>
        </w:tc>
        <w:tc>
          <w:tcPr>
            <w:tcW w:w="100" w:type="dxa"/>
            <w:vAlign w:val="bottom"/>
          </w:tcPr>
          <w:p>
            <w:pPr>
              <w:spacing w:after="0"/>
              <w:rPr>
                <w:sz w:val="14"/>
                <w:szCs w:val="14"/>
                <w:color w:val="auto"/>
              </w:rPr>
            </w:pPr>
          </w:p>
        </w:tc>
      </w:tr>
      <w:tr>
        <w:trPr>
          <w:trHeight w:val="341"/>
        </w:trPr>
        <w:tc>
          <w:tcPr>
            <w:tcW w:w="72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Arial" w:cs="Arial" w:eastAsia="Arial" w:hAnsi="Arial"/>
                <w:sz w:val="14"/>
                <w:szCs w:val="14"/>
                <w:color w:val="0000FF"/>
              </w:rPr>
              <w:t>Item 1.</w:t>
            </w:r>
          </w:p>
        </w:tc>
        <w:tc>
          <w:tcPr>
            <w:tcW w:w="7260" w:type="dxa"/>
            <w:vAlign w:val="bottom"/>
            <w:gridSpan w:val="20"/>
          </w:tcPr>
          <w:p>
            <w:pPr>
              <w:spacing w:after="0"/>
              <w:rPr>
                <w:sz w:val="20"/>
                <w:szCs w:val="20"/>
                <w:color w:val="auto"/>
              </w:rPr>
            </w:pPr>
            <w:r>
              <w:rPr>
                <w:rFonts w:ascii="Arial" w:cs="Arial" w:eastAsia="Arial" w:hAnsi="Arial"/>
                <w:sz w:val="14"/>
                <w:szCs w:val="14"/>
                <w:color w:val="0000FF"/>
              </w:rPr>
              <w:t>Financial Statements</w:t>
            </w:r>
          </w:p>
        </w:tc>
        <w:tc>
          <w:tcPr>
            <w:tcW w:w="2100" w:type="dxa"/>
            <w:vAlign w:val="bottom"/>
            <w:gridSpan w:val="3"/>
          </w:tcPr>
          <w:p>
            <w:pPr>
              <w:jc w:val="right"/>
              <w:ind w:right="100"/>
              <w:spacing w:after="0"/>
              <w:rPr>
                <w:sz w:val="20"/>
                <w:szCs w:val="20"/>
                <w:color w:val="auto"/>
              </w:rPr>
            </w:pPr>
            <w:r>
              <w:rPr>
                <w:rFonts w:ascii="Arial" w:cs="Arial" w:eastAsia="Arial" w:hAnsi="Arial"/>
                <w:sz w:val="14"/>
                <w:szCs w:val="14"/>
                <w:color w:val="0000FF"/>
              </w:rPr>
              <w:t>5</w:t>
            </w:r>
          </w:p>
        </w:tc>
      </w:tr>
      <w:tr>
        <w:trPr>
          <w:trHeight w:val="20"/>
        </w:trPr>
        <w:tc>
          <w:tcPr>
            <w:tcW w:w="7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0" w:type="dxa"/>
            <w:vAlign w:val="bottom"/>
            <w:tcBorders>
              <w:bottom w:val="single" w:sz="8" w:color="0000FF"/>
            </w:tcBorders>
            <w:gridSpan w:val="12"/>
          </w:tcPr>
          <w:p>
            <w:pPr>
              <w:spacing w:after="0"/>
              <w:rPr>
                <w:sz w:val="20"/>
                <w:szCs w:val="20"/>
                <w:color w:val="auto"/>
              </w:rPr>
            </w:pPr>
            <w:r>
              <w:rPr>
                <w:rFonts w:ascii="Arial" w:cs="Arial" w:eastAsia="Arial" w:hAnsi="Arial"/>
                <w:sz w:val="14"/>
                <w:szCs w:val="14"/>
                <w:color w:val="0000FF"/>
              </w:rPr>
              <w:t>Condensed Consolidated Balance Sheets (Unaudited)</w:t>
            </w:r>
          </w:p>
        </w:tc>
        <w:tc>
          <w:tcPr>
            <w:tcW w:w="3660" w:type="dxa"/>
            <w:vAlign w:val="bottom"/>
            <w:gridSpan w:val="8"/>
          </w:tcPr>
          <w:p>
            <w:pPr>
              <w:spacing w:after="0"/>
              <w:rPr>
                <w:sz w:val="17"/>
                <w:szCs w:val="17"/>
                <w:color w:val="auto"/>
              </w:rPr>
            </w:pPr>
          </w:p>
        </w:tc>
        <w:tc>
          <w:tcPr>
            <w:tcW w:w="1920" w:type="dxa"/>
            <w:vAlign w:val="bottom"/>
          </w:tcPr>
          <w:p>
            <w:pPr>
              <w:spacing w:after="0"/>
              <w:rPr>
                <w:sz w:val="17"/>
                <w:szCs w:val="17"/>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4"/>
                <w:szCs w:val="14"/>
                <w:color w:val="0000FF"/>
                <w:w w:val="76"/>
              </w:rPr>
              <w:t>5</w:t>
            </w:r>
          </w:p>
        </w:tc>
        <w:tc>
          <w:tcPr>
            <w:tcW w:w="100" w:type="dxa"/>
            <w:vAlign w:val="bottom"/>
          </w:tcPr>
          <w:p>
            <w:pPr>
              <w:spacing w:after="0"/>
              <w:rPr>
                <w:sz w:val="17"/>
                <w:szCs w:val="17"/>
                <w:color w:val="auto"/>
              </w:rPr>
            </w:pPr>
          </w:p>
        </w:tc>
      </w:tr>
      <w:tr>
        <w:trPr>
          <w:trHeight w:val="199"/>
        </w:trPr>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60" w:type="dxa"/>
            <w:vAlign w:val="bottom"/>
            <w:gridSpan w:val="20"/>
          </w:tcPr>
          <w:p>
            <w:pPr>
              <w:spacing w:after="0"/>
              <w:rPr>
                <w:sz w:val="20"/>
                <w:szCs w:val="20"/>
                <w:color w:val="auto"/>
              </w:rPr>
            </w:pPr>
            <w:r>
              <w:rPr>
                <w:rFonts w:ascii="Arial" w:cs="Arial" w:eastAsia="Arial" w:hAnsi="Arial"/>
                <w:sz w:val="14"/>
                <w:szCs w:val="14"/>
                <w:color w:val="0000FF"/>
              </w:rPr>
              <w:t xml:space="preserve">Condensed Consolidated Statements of Operations </w:t>
            </w:r>
            <w:r>
              <w:rPr>
                <w:rFonts w:ascii="Arial" w:cs="Arial" w:eastAsia="Arial" w:hAnsi="Arial"/>
                <w:sz w:val="14"/>
                <w:szCs w:val="14"/>
                <w:color w:val="3051F2"/>
              </w:rPr>
              <w:t>(Unaudited)</w:t>
            </w:r>
          </w:p>
        </w:tc>
        <w:tc>
          <w:tcPr>
            <w:tcW w:w="2100" w:type="dxa"/>
            <w:vAlign w:val="bottom"/>
            <w:gridSpan w:val="3"/>
          </w:tcPr>
          <w:p>
            <w:pPr>
              <w:jc w:val="right"/>
              <w:ind w:right="100"/>
              <w:spacing w:after="0"/>
              <w:rPr>
                <w:sz w:val="20"/>
                <w:szCs w:val="20"/>
                <w:color w:val="auto"/>
              </w:rPr>
            </w:pPr>
            <w:r>
              <w:rPr>
                <w:rFonts w:ascii="Arial" w:cs="Arial" w:eastAsia="Arial" w:hAnsi="Arial"/>
                <w:sz w:val="14"/>
                <w:szCs w:val="14"/>
                <w:color w:val="0000FF"/>
              </w:rPr>
              <w:t>6</w:t>
            </w:r>
          </w:p>
        </w:tc>
      </w:tr>
      <w:tr>
        <w:trPr>
          <w:trHeight w:val="20"/>
        </w:trPr>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60" w:type="dxa"/>
            <w:vAlign w:val="bottom"/>
            <w:gridSpan w:val="2"/>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60" w:type="dxa"/>
            <w:vAlign w:val="bottom"/>
            <w:gridSpan w:val="20"/>
          </w:tcPr>
          <w:p>
            <w:pPr>
              <w:spacing w:after="0"/>
              <w:rPr>
                <w:sz w:val="20"/>
                <w:szCs w:val="20"/>
                <w:color w:val="auto"/>
              </w:rPr>
            </w:pPr>
            <w:r>
              <w:rPr>
                <w:rFonts w:ascii="Arial" w:cs="Arial" w:eastAsia="Arial" w:hAnsi="Arial"/>
                <w:sz w:val="14"/>
                <w:szCs w:val="14"/>
                <w:color w:val="0000FF"/>
              </w:rPr>
              <w:t xml:space="preserve">Condensed Consolidated Statements of </w:t>
            </w:r>
            <w:r>
              <w:rPr>
                <w:rFonts w:ascii="Arial" w:cs="Arial" w:eastAsia="Arial" w:hAnsi="Arial"/>
                <w:sz w:val="14"/>
                <w:szCs w:val="14"/>
                <w:color w:val="3051F2"/>
              </w:rPr>
              <w:t>Comprehensive (Loss) Income (Unaudited)</w:t>
            </w:r>
          </w:p>
        </w:tc>
        <w:tc>
          <w:tcPr>
            <w:tcW w:w="2100" w:type="dxa"/>
            <w:vAlign w:val="bottom"/>
            <w:gridSpan w:val="3"/>
          </w:tcPr>
          <w:p>
            <w:pPr>
              <w:jc w:val="right"/>
              <w:ind w:right="100"/>
              <w:spacing w:after="0"/>
              <w:rPr>
                <w:sz w:val="20"/>
                <w:szCs w:val="20"/>
                <w:color w:val="auto"/>
              </w:rPr>
            </w:pPr>
            <w:r>
              <w:rPr>
                <w:rFonts w:ascii="Arial" w:cs="Arial" w:eastAsia="Arial" w:hAnsi="Arial"/>
                <w:sz w:val="14"/>
                <w:szCs w:val="14"/>
                <w:color w:val="0000FF"/>
              </w:rPr>
              <w:t>7</w:t>
            </w:r>
          </w:p>
        </w:tc>
      </w:tr>
      <w:tr>
        <w:trPr>
          <w:trHeight w:val="20"/>
        </w:trPr>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60" w:type="dxa"/>
            <w:vAlign w:val="bottom"/>
            <w:gridSpan w:val="3"/>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240" w:type="dxa"/>
            <w:vAlign w:val="bottom"/>
            <w:gridSpan w:val="2"/>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760" w:type="dxa"/>
            <w:vAlign w:val="bottom"/>
            <w:shd w:val="clear" w:color="auto" w:fill="3051F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60" w:type="dxa"/>
            <w:vAlign w:val="bottom"/>
            <w:gridSpan w:val="20"/>
          </w:tcPr>
          <w:p>
            <w:pPr>
              <w:spacing w:after="0"/>
              <w:rPr>
                <w:sz w:val="20"/>
                <w:szCs w:val="20"/>
                <w:color w:val="auto"/>
              </w:rPr>
            </w:pPr>
            <w:r>
              <w:rPr>
                <w:rFonts w:ascii="Arial" w:cs="Arial" w:eastAsia="Arial" w:hAnsi="Arial"/>
                <w:sz w:val="14"/>
                <w:szCs w:val="14"/>
                <w:color w:val="0000FF"/>
              </w:rPr>
              <w:t>Condensed Consolidated Statements of Changes in Equity (Unaudited)</w:t>
            </w:r>
          </w:p>
        </w:tc>
        <w:tc>
          <w:tcPr>
            <w:tcW w:w="2100" w:type="dxa"/>
            <w:vAlign w:val="bottom"/>
            <w:gridSpan w:val="3"/>
          </w:tcPr>
          <w:p>
            <w:pPr>
              <w:jc w:val="right"/>
              <w:ind w:right="100"/>
              <w:spacing w:after="0"/>
              <w:rPr>
                <w:sz w:val="20"/>
                <w:szCs w:val="20"/>
                <w:color w:val="auto"/>
              </w:rPr>
            </w:pPr>
            <w:r>
              <w:rPr>
                <w:rFonts w:ascii="Arial" w:cs="Arial" w:eastAsia="Arial" w:hAnsi="Arial"/>
                <w:sz w:val="14"/>
                <w:szCs w:val="14"/>
                <w:color w:val="0000FF"/>
              </w:rPr>
              <w:t>8</w:t>
            </w:r>
          </w:p>
        </w:tc>
      </w:tr>
      <w:tr>
        <w:trPr>
          <w:trHeight w:val="199"/>
        </w:trPr>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960" w:type="dxa"/>
            <w:vAlign w:val="bottom"/>
            <w:tcBorders>
              <w:top w:val="single" w:sz="8" w:color="0000FF"/>
              <w:bottom w:val="single" w:sz="8" w:color="0000FF"/>
            </w:tcBorders>
            <w:gridSpan w:val="15"/>
          </w:tcPr>
          <w:p>
            <w:pPr>
              <w:spacing w:after="0"/>
              <w:rPr>
                <w:sz w:val="20"/>
                <w:szCs w:val="20"/>
                <w:color w:val="auto"/>
              </w:rPr>
            </w:pPr>
            <w:r>
              <w:rPr>
                <w:rFonts w:ascii="Arial" w:cs="Arial" w:eastAsia="Arial" w:hAnsi="Arial"/>
                <w:sz w:val="14"/>
                <w:szCs w:val="14"/>
                <w:color w:val="0000FF"/>
                <w:w w:val="98"/>
              </w:rPr>
              <w:t>Condensed Consolidated Statements of Cash Flows (Unaudited)</w:t>
            </w:r>
          </w:p>
        </w:tc>
        <w:tc>
          <w:tcPr>
            <w:tcW w:w="380" w:type="dxa"/>
            <w:vAlign w:val="bottom"/>
            <w:tcBorders>
              <w:top w:val="single" w:sz="8" w:color="0000FF"/>
            </w:tcBorders>
            <w:gridSpan w:val="2"/>
          </w:tcPr>
          <w:p>
            <w:pPr>
              <w:spacing w:after="0"/>
              <w:rPr>
                <w:sz w:val="17"/>
                <w:szCs w:val="17"/>
                <w:color w:val="auto"/>
              </w:rPr>
            </w:pPr>
          </w:p>
        </w:tc>
        <w:tc>
          <w:tcPr>
            <w:tcW w:w="2920" w:type="dxa"/>
            <w:vAlign w:val="bottom"/>
            <w:gridSpan w:val="3"/>
          </w:tcPr>
          <w:p>
            <w:pPr>
              <w:spacing w:after="0"/>
              <w:rPr>
                <w:sz w:val="17"/>
                <w:szCs w:val="17"/>
                <w:color w:val="auto"/>
              </w:rPr>
            </w:pPr>
          </w:p>
        </w:tc>
        <w:tc>
          <w:tcPr>
            <w:tcW w:w="1920" w:type="dxa"/>
            <w:vAlign w:val="bottom"/>
          </w:tcPr>
          <w:p>
            <w:pPr>
              <w:spacing w:after="0"/>
              <w:rPr>
                <w:sz w:val="17"/>
                <w:szCs w:val="17"/>
                <w:color w:val="auto"/>
              </w:rPr>
            </w:pPr>
          </w:p>
        </w:tc>
        <w:tc>
          <w:tcPr>
            <w:tcW w:w="8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4"/>
                <w:szCs w:val="14"/>
                <w:color w:val="0000FF"/>
                <w:w w:val="76"/>
              </w:rPr>
              <w:t>9</w:t>
            </w:r>
          </w:p>
        </w:tc>
        <w:tc>
          <w:tcPr>
            <w:tcW w:w="100" w:type="dxa"/>
            <w:vAlign w:val="bottom"/>
          </w:tcPr>
          <w:p>
            <w:pPr>
              <w:spacing w:after="0"/>
              <w:rPr>
                <w:sz w:val="17"/>
                <w:szCs w:val="17"/>
                <w:color w:val="auto"/>
              </w:rPr>
            </w:pPr>
          </w:p>
        </w:tc>
      </w:tr>
      <w:tr>
        <w:trPr>
          <w:trHeight w:val="199"/>
        </w:trPr>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60" w:type="dxa"/>
            <w:vAlign w:val="bottom"/>
            <w:gridSpan w:val="20"/>
          </w:tcPr>
          <w:p>
            <w:pPr>
              <w:spacing w:after="0"/>
              <w:rPr>
                <w:sz w:val="20"/>
                <w:szCs w:val="20"/>
                <w:color w:val="auto"/>
              </w:rPr>
            </w:pPr>
            <w:r>
              <w:rPr>
                <w:rFonts w:ascii="Arial" w:cs="Arial" w:eastAsia="Arial" w:hAnsi="Arial"/>
                <w:sz w:val="14"/>
                <w:szCs w:val="14"/>
                <w:color w:val="0000FF"/>
              </w:rPr>
              <w:t>Notes to Unaudited Condensed Consolidated Financial Statements</w:t>
            </w:r>
          </w:p>
        </w:tc>
        <w:tc>
          <w:tcPr>
            <w:tcW w:w="2100" w:type="dxa"/>
            <w:vAlign w:val="bottom"/>
            <w:gridSpan w:val="3"/>
          </w:tcPr>
          <w:p>
            <w:pPr>
              <w:jc w:val="right"/>
              <w:ind w:right="100"/>
              <w:spacing w:after="0"/>
              <w:rPr>
                <w:sz w:val="20"/>
                <w:szCs w:val="20"/>
                <w:color w:val="auto"/>
              </w:rPr>
            </w:pPr>
            <w:r>
              <w:rPr>
                <w:rFonts w:ascii="Arial" w:cs="Arial" w:eastAsia="Arial" w:hAnsi="Arial"/>
                <w:sz w:val="14"/>
                <w:szCs w:val="14"/>
                <w:color w:val="0000FF"/>
              </w:rPr>
              <w:t>11</w:t>
            </w:r>
          </w:p>
        </w:tc>
      </w:tr>
      <w:tr>
        <w:trPr>
          <w:trHeight w:val="20"/>
        </w:trPr>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9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720" w:type="dxa"/>
            <w:vAlign w:val="bottom"/>
          </w:tcPr>
          <w:p>
            <w:pPr>
              <w:spacing w:after="0"/>
              <w:rPr>
                <w:sz w:val="17"/>
                <w:szCs w:val="17"/>
                <w:color w:val="auto"/>
              </w:rPr>
            </w:pPr>
          </w:p>
        </w:tc>
        <w:tc>
          <w:tcPr>
            <w:tcW w:w="1160" w:type="dxa"/>
            <w:vAlign w:val="bottom"/>
            <w:gridSpan w:val="3"/>
          </w:tcPr>
          <w:p>
            <w:pPr>
              <w:spacing w:after="0"/>
              <w:rPr>
                <w:sz w:val="20"/>
                <w:szCs w:val="20"/>
                <w:color w:val="auto"/>
              </w:rPr>
            </w:pPr>
            <w:r>
              <w:rPr>
                <w:rFonts w:ascii="Arial" w:cs="Arial" w:eastAsia="Arial" w:hAnsi="Arial"/>
                <w:sz w:val="14"/>
                <w:szCs w:val="14"/>
                <w:color w:val="0000FF"/>
              </w:rPr>
              <w:t>Item 2.</w:t>
            </w:r>
          </w:p>
        </w:tc>
        <w:tc>
          <w:tcPr>
            <w:tcW w:w="7260" w:type="dxa"/>
            <w:vAlign w:val="bottom"/>
            <w:gridSpan w:val="20"/>
          </w:tcPr>
          <w:p>
            <w:pPr>
              <w:spacing w:after="0"/>
              <w:rPr>
                <w:sz w:val="20"/>
                <w:szCs w:val="20"/>
                <w:color w:val="auto"/>
              </w:rPr>
            </w:pPr>
            <w:r>
              <w:rPr>
                <w:rFonts w:ascii="Arial" w:cs="Arial" w:eastAsia="Arial" w:hAnsi="Arial"/>
                <w:sz w:val="14"/>
                <w:szCs w:val="14"/>
                <w:color w:val="0000FF"/>
              </w:rPr>
              <w:t>Management's Discussion and Analysis of Financial Condition and Results of Operations</w:t>
            </w:r>
          </w:p>
        </w:tc>
        <w:tc>
          <w:tcPr>
            <w:tcW w:w="2100" w:type="dxa"/>
            <w:vAlign w:val="bottom"/>
            <w:gridSpan w:val="3"/>
          </w:tcPr>
          <w:p>
            <w:pPr>
              <w:jc w:val="right"/>
              <w:ind w:right="100"/>
              <w:spacing w:after="0"/>
              <w:rPr>
                <w:sz w:val="20"/>
                <w:szCs w:val="20"/>
                <w:color w:val="auto"/>
              </w:rPr>
            </w:pPr>
            <w:r>
              <w:rPr>
                <w:rFonts w:ascii="Arial" w:cs="Arial" w:eastAsia="Arial" w:hAnsi="Arial"/>
                <w:sz w:val="14"/>
                <w:szCs w:val="14"/>
                <w:color w:val="0000FF"/>
              </w:rPr>
              <w:t>22</w:t>
            </w:r>
          </w:p>
        </w:tc>
      </w:tr>
      <w:tr>
        <w:trPr>
          <w:trHeight w:val="20"/>
        </w:trPr>
        <w:tc>
          <w:tcPr>
            <w:tcW w:w="7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9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720" w:type="dxa"/>
            <w:vAlign w:val="bottom"/>
          </w:tcPr>
          <w:p>
            <w:pPr>
              <w:spacing w:after="0"/>
              <w:rPr>
                <w:sz w:val="17"/>
                <w:szCs w:val="17"/>
                <w:color w:val="auto"/>
              </w:rPr>
            </w:pPr>
          </w:p>
        </w:tc>
        <w:tc>
          <w:tcPr>
            <w:tcW w:w="1160" w:type="dxa"/>
            <w:vAlign w:val="bottom"/>
            <w:gridSpan w:val="3"/>
          </w:tcPr>
          <w:p>
            <w:pPr>
              <w:spacing w:after="0"/>
              <w:rPr>
                <w:sz w:val="20"/>
                <w:szCs w:val="20"/>
                <w:color w:val="auto"/>
              </w:rPr>
            </w:pPr>
            <w:r>
              <w:rPr>
                <w:rFonts w:ascii="Arial" w:cs="Arial" w:eastAsia="Arial" w:hAnsi="Arial"/>
                <w:sz w:val="14"/>
                <w:szCs w:val="14"/>
                <w:color w:val="0000FF"/>
              </w:rPr>
              <w:t>Item 3.</w:t>
            </w:r>
          </w:p>
        </w:tc>
        <w:tc>
          <w:tcPr>
            <w:tcW w:w="7260" w:type="dxa"/>
            <w:vAlign w:val="bottom"/>
            <w:gridSpan w:val="20"/>
          </w:tcPr>
          <w:p>
            <w:pPr>
              <w:spacing w:after="0"/>
              <w:rPr>
                <w:sz w:val="20"/>
                <w:szCs w:val="20"/>
                <w:color w:val="auto"/>
              </w:rPr>
            </w:pPr>
            <w:r>
              <w:rPr>
                <w:rFonts w:ascii="Arial" w:cs="Arial" w:eastAsia="Arial" w:hAnsi="Arial"/>
                <w:sz w:val="14"/>
                <w:szCs w:val="14"/>
                <w:color w:val="0000FF"/>
              </w:rPr>
              <w:t>Quantitative and Qualitative Disclosures About Market Risk</w:t>
            </w:r>
          </w:p>
        </w:tc>
        <w:tc>
          <w:tcPr>
            <w:tcW w:w="2100" w:type="dxa"/>
            <w:vAlign w:val="bottom"/>
            <w:gridSpan w:val="3"/>
          </w:tcPr>
          <w:p>
            <w:pPr>
              <w:jc w:val="right"/>
              <w:ind w:right="100"/>
              <w:spacing w:after="0"/>
              <w:rPr>
                <w:sz w:val="20"/>
                <w:szCs w:val="20"/>
                <w:color w:val="auto"/>
              </w:rPr>
            </w:pPr>
            <w:r>
              <w:rPr>
                <w:rFonts w:ascii="Arial" w:cs="Arial" w:eastAsia="Arial" w:hAnsi="Arial"/>
                <w:sz w:val="14"/>
                <w:szCs w:val="14"/>
                <w:color w:val="0000FF"/>
              </w:rPr>
              <w:t>31</w:t>
            </w:r>
          </w:p>
        </w:tc>
      </w:tr>
      <w:tr>
        <w:trPr>
          <w:trHeight w:val="20"/>
        </w:trPr>
        <w:tc>
          <w:tcPr>
            <w:tcW w:w="7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40" w:type="dxa"/>
            <w:vAlign w:val="bottom"/>
            <w:gridSpan w:val="7"/>
          </w:tcPr>
          <w:p>
            <w:pPr>
              <w:spacing w:after="0" w:line="20" w:lineRule="exact"/>
              <w:rPr>
                <w:sz w:val="1"/>
                <w:szCs w:val="1"/>
                <w:color w:val="auto"/>
              </w:rPr>
            </w:pPr>
          </w:p>
        </w:tc>
        <w:tc>
          <w:tcPr>
            <w:tcW w:w="19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720" w:type="dxa"/>
            <w:vAlign w:val="bottom"/>
          </w:tcPr>
          <w:p>
            <w:pPr>
              <w:spacing w:after="0"/>
              <w:rPr>
                <w:sz w:val="17"/>
                <w:szCs w:val="17"/>
                <w:color w:val="auto"/>
              </w:rPr>
            </w:pPr>
          </w:p>
        </w:tc>
        <w:tc>
          <w:tcPr>
            <w:tcW w:w="1160" w:type="dxa"/>
            <w:vAlign w:val="bottom"/>
            <w:gridSpan w:val="3"/>
          </w:tcPr>
          <w:p>
            <w:pPr>
              <w:spacing w:after="0"/>
              <w:rPr>
                <w:sz w:val="20"/>
                <w:szCs w:val="20"/>
                <w:color w:val="auto"/>
              </w:rPr>
            </w:pPr>
            <w:r>
              <w:rPr>
                <w:rFonts w:ascii="Arial" w:cs="Arial" w:eastAsia="Arial" w:hAnsi="Arial"/>
                <w:sz w:val="14"/>
                <w:szCs w:val="14"/>
                <w:color w:val="0000FF"/>
              </w:rPr>
              <w:t>Item 4.</w:t>
            </w:r>
          </w:p>
        </w:tc>
        <w:tc>
          <w:tcPr>
            <w:tcW w:w="7260" w:type="dxa"/>
            <w:vAlign w:val="bottom"/>
            <w:gridSpan w:val="20"/>
          </w:tcPr>
          <w:p>
            <w:pPr>
              <w:spacing w:after="0"/>
              <w:rPr>
                <w:sz w:val="20"/>
                <w:szCs w:val="20"/>
                <w:color w:val="auto"/>
              </w:rPr>
            </w:pPr>
            <w:r>
              <w:rPr>
                <w:rFonts w:ascii="Arial" w:cs="Arial" w:eastAsia="Arial" w:hAnsi="Arial"/>
                <w:sz w:val="14"/>
                <w:szCs w:val="14"/>
                <w:color w:val="0000FF"/>
              </w:rPr>
              <w:t>Controls and Procedures</w:t>
            </w:r>
          </w:p>
        </w:tc>
        <w:tc>
          <w:tcPr>
            <w:tcW w:w="2100" w:type="dxa"/>
            <w:vAlign w:val="bottom"/>
            <w:gridSpan w:val="3"/>
          </w:tcPr>
          <w:p>
            <w:pPr>
              <w:jc w:val="right"/>
              <w:ind w:right="100"/>
              <w:spacing w:after="0"/>
              <w:rPr>
                <w:sz w:val="20"/>
                <w:szCs w:val="20"/>
                <w:color w:val="auto"/>
              </w:rPr>
            </w:pPr>
            <w:r>
              <w:rPr>
                <w:rFonts w:ascii="Arial" w:cs="Arial" w:eastAsia="Arial" w:hAnsi="Arial"/>
                <w:sz w:val="14"/>
                <w:szCs w:val="14"/>
                <w:color w:val="0000FF"/>
              </w:rPr>
              <w:t>32</w:t>
            </w:r>
          </w:p>
        </w:tc>
      </w:tr>
      <w:tr>
        <w:trPr>
          <w:trHeight w:val="20"/>
        </w:trPr>
        <w:tc>
          <w:tcPr>
            <w:tcW w:w="7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3540" w:type="dxa"/>
            <w:vAlign w:val="bottom"/>
            <w:gridSpan w:val="7"/>
          </w:tcPr>
          <w:p>
            <w:pPr>
              <w:spacing w:after="0" w:line="20" w:lineRule="exact"/>
              <w:rPr>
                <w:sz w:val="1"/>
                <w:szCs w:val="1"/>
                <w:color w:val="auto"/>
              </w:rPr>
            </w:pPr>
          </w:p>
        </w:tc>
        <w:tc>
          <w:tcPr>
            <w:tcW w:w="19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7"/>
        </w:trPr>
        <w:tc>
          <w:tcPr>
            <w:tcW w:w="720" w:type="dxa"/>
            <w:vAlign w:val="bottom"/>
          </w:tcPr>
          <w:p>
            <w:pPr>
              <w:spacing w:after="0"/>
              <w:rPr>
                <w:sz w:val="24"/>
                <w:szCs w:val="24"/>
                <w:color w:val="auto"/>
              </w:rPr>
            </w:pPr>
          </w:p>
        </w:tc>
        <w:tc>
          <w:tcPr>
            <w:tcW w:w="2040" w:type="dxa"/>
            <w:vAlign w:val="bottom"/>
            <w:tcBorders>
              <w:bottom w:val="single" w:sz="8" w:color="0000FF"/>
            </w:tcBorders>
            <w:gridSpan w:val="7"/>
          </w:tcPr>
          <w:p>
            <w:pPr>
              <w:spacing w:after="0"/>
              <w:rPr>
                <w:sz w:val="20"/>
                <w:szCs w:val="20"/>
                <w:color w:val="auto"/>
              </w:rPr>
            </w:pPr>
            <w:r>
              <w:rPr>
                <w:rFonts w:ascii="Arial" w:cs="Arial" w:eastAsia="Arial" w:hAnsi="Arial"/>
                <w:sz w:val="14"/>
                <w:szCs w:val="14"/>
                <w:color w:val="0000FF"/>
                <w:w w:val="96"/>
              </w:rPr>
              <w:t>PART II- OTHER INFORMATION</w:t>
            </w:r>
          </w:p>
        </w:tc>
        <w:tc>
          <w:tcPr>
            <w:tcW w:w="6380" w:type="dxa"/>
            <w:vAlign w:val="bottom"/>
            <w:gridSpan w:val="16"/>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7"/>
                <w:szCs w:val="7"/>
                <w:color w:val="0000FF"/>
                <w:w w:val="76"/>
              </w:rPr>
              <w:t>32</w:t>
            </w:r>
          </w:p>
        </w:tc>
        <w:tc>
          <w:tcPr>
            <w:tcW w:w="100" w:type="dxa"/>
            <w:vAlign w:val="bottom"/>
          </w:tcPr>
          <w:p>
            <w:pPr>
              <w:spacing w:after="0"/>
              <w:rPr>
                <w:sz w:val="24"/>
                <w:szCs w:val="24"/>
                <w:color w:val="auto"/>
              </w:rPr>
            </w:pPr>
          </w:p>
        </w:tc>
      </w:tr>
      <w:tr>
        <w:trPr>
          <w:trHeight w:val="341"/>
        </w:trPr>
        <w:tc>
          <w:tcPr>
            <w:tcW w:w="72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Arial" w:cs="Arial" w:eastAsia="Arial" w:hAnsi="Arial"/>
                <w:sz w:val="14"/>
                <w:szCs w:val="14"/>
                <w:color w:val="0000FF"/>
              </w:rPr>
              <w:t>Item 1.</w:t>
            </w:r>
          </w:p>
        </w:tc>
        <w:tc>
          <w:tcPr>
            <w:tcW w:w="7260" w:type="dxa"/>
            <w:vAlign w:val="bottom"/>
            <w:gridSpan w:val="20"/>
          </w:tcPr>
          <w:p>
            <w:pPr>
              <w:spacing w:after="0"/>
              <w:rPr>
                <w:sz w:val="20"/>
                <w:szCs w:val="20"/>
                <w:color w:val="auto"/>
              </w:rPr>
            </w:pPr>
            <w:r>
              <w:rPr>
                <w:rFonts w:ascii="Arial" w:cs="Arial" w:eastAsia="Arial" w:hAnsi="Arial"/>
                <w:sz w:val="14"/>
                <w:szCs w:val="14"/>
                <w:color w:val="0000FF"/>
              </w:rPr>
              <w:t>Legal Proceedings</w:t>
            </w:r>
          </w:p>
        </w:tc>
        <w:tc>
          <w:tcPr>
            <w:tcW w:w="2100" w:type="dxa"/>
            <w:vAlign w:val="bottom"/>
            <w:gridSpan w:val="3"/>
          </w:tcPr>
          <w:p>
            <w:pPr>
              <w:jc w:val="right"/>
              <w:ind w:right="100"/>
              <w:spacing w:after="0"/>
              <w:rPr>
                <w:sz w:val="20"/>
                <w:szCs w:val="20"/>
                <w:color w:val="auto"/>
              </w:rPr>
            </w:pPr>
            <w:r>
              <w:rPr>
                <w:rFonts w:ascii="Arial" w:cs="Arial" w:eastAsia="Arial" w:hAnsi="Arial"/>
                <w:sz w:val="14"/>
                <w:szCs w:val="14"/>
                <w:color w:val="0000FF"/>
              </w:rPr>
              <w:t>32</w:t>
            </w:r>
          </w:p>
        </w:tc>
      </w:tr>
      <w:tr>
        <w:trPr>
          <w:trHeight w:val="20"/>
        </w:trPr>
        <w:tc>
          <w:tcPr>
            <w:tcW w:w="7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3540" w:type="dxa"/>
            <w:vAlign w:val="bottom"/>
            <w:gridSpan w:val="7"/>
          </w:tcPr>
          <w:p>
            <w:pPr>
              <w:spacing w:after="0" w:line="20" w:lineRule="exact"/>
              <w:rPr>
                <w:sz w:val="1"/>
                <w:szCs w:val="1"/>
                <w:color w:val="auto"/>
              </w:rPr>
            </w:pPr>
          </w:p>
        </w:tc>
        <w:tc>
          <w:tcPr>
            <w:tcW w:w="19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720" w:type="dxa"/>
            <w:vAlign w:val="bottom"/>
          </w:tcPr>
          <w:p>
            <w:pPr>
              <w:spacing w:after="0"/>
              <w:rPr>
                <w:sz w:val="17"/>
                <w:szCs w:val="17"/>
                <w:color w:val="auto"/>
              </w:rPr>
            </w:pPr>
          </w:p>
        </w:tc>
        <w:tc>
          <w:tcPr>
            <w:tcW w:w="1160" w:type="dxa"/>
            <w:vAlign w:val="bottom"/>
            <w:gridSpan w:val="3"/>
          </w:tcPr>
          <w:p>
            <w:pPr>
              <w:spacing w:after="0"/>
              <w:rPr>
                <w:sz w:val="20"/>
                <w:szCs w:val="20"/>
                <w:color w:val="auto"/>
              </w:rPr>
            </w:pPr>
            <w:r>
              <w:rPr>
                <w:rFonts w:ascii="Arial" w:cs="Arial" w:eastAsia="Arial" w:hAnsi="Arial"/>
                <w:sz w:val="14"/>
                <w:szCs w:val="14"/>
                <w:color w:val="0000FF"/>
              </w:rPr>
              <w:t>Item 1A.</w:t>
            </w:r>
          </w:p>
        </w:tc>
        <w:tc>
          <w:tcPr>
            <w:tcW w:w="7260" w:type="dxa"/>
            <w:vAlign w:val="bottom"/>
            <w:gridSpan w:val="20"/>
          </w:tcPr>
          <w:p>
            <w:pPr>
              <w:spacing w:after="0"/>
              <w:rPr>
                <w:sz w:val="20"/>
                <w:szCs w:val="20"/>
                <w:color w:val="auto"/>
              </w:rPr>
            </w:pPr>
            <w:r>
              <w:rPr>
                <w:rFonts w:ascii="Arial" w:cs="Arial" w:eastAsia="Arial" w:hAnsi="Arial"/>
                <w:sz w:val="14"/>
                <w:szCs w:val="14"/>
                <w:color w:val="0000FF"/>
              </w:rPr>
              <w:t>Risk Factors</w:t>
            </w:r>
          </w:p>
        </w:tc>
        <w:tc>
          <w:tcPr>
            <w:tcW w:w="2100" w:type="dxa"/>
            <w:vAlign w:val="bottom"/>
            <w:gridSpan w:val="3"/>
          </w:tcPr>
          <w:p>
            <w:pPr>
              <w:jc w:val="right"/>
              <w:ind w:right="100"/>
              <w:spacing w:after="0"/>
              <w:rPr>
                <w:sz w:val="20"/>
                <w:szCs w:val="20"/>
                <w:color w:val="auto"/>
              </w:rPr>
            </w:pPr>
            <w:r>
              <w:rPr>
                <w:rFonts w:ascii="Arial" w:cs="Arial" w:eastAsia="Arial" w:hAnsi="Arial"/>
                <w:sz w:val="14"/>
                <w:szCs w:val="14"/>
                <w:color w:val="0000FF"/>
              </w:rPr>
              <w:t>32</w:t>
            </w:r>
          </w:p>
        </w:tc>
      </w:tr>
      <w:tr>
        <w:trPr>
          <w:trHeight w:val="20"/>
        </w:trPr>
        <w:tc>
          <w:tcPr>
            <w:tcW w:w="7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3540" w:type="dxa"/>
            <w:vAlign w:val="bottom"/>
            <w:gridSpan w:val="7"/>
          </w:tcPr>
          <w:p>
            <w:pPr>
              <w:spacing w:after="0" w:line="20" w:lineRule="exact"/>
              <w:rPr>
                <w:sz w:val="1"/>
                <w:szCs w:val="1"/>
                <w:color w:val="auto"/>
              </w:rPr>
            </w:pPr>
          </w:p>
        </w:tc>
        <w:tc>
          <w:tcPr>
            <w:tcW w:w="19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720" w:type="dxa"/>
            <w:vAlign w:val="bottom"/>
          </w:tcPr>
          <w:p>
            <w:pPr>
              <w:spacing w:after="0"/>
              <w:rPr>
                <w:sz w:val="17"/>
                <w:szCs w:val="17"/>
                <w:color w:val="auto"/>
              </w:rPr>
            </w:pPr>
          </w:p>
        </w:tc>
        <w:tc>
          <w:tcPr>
            <w:tcW w:w="520" w:type="dxa"/>
            <w:vAlign w:val="bottom"/>
            <w:gridSpan w:val="2"/>
          </w:tcPr>
          <w:p>
            <w:pPr>
              <w:spacing w:after="0"/>
              <w:rPr>
                <w:sz w:val="20"/>
                <w:szCs w:val="20"/>
                <w:color w:val="auto"/>
              </w:rPr>
            </w:pPr>
            <w:r>
              <w:rPr>
                <w:rFonts w:ascii="Arial" w:cs="Arial" w:eastAsia="Arial" w:hAnsi="Arial"/>
                <w:sz w:val="14"/>
                <w:szCs w:val="14"/>
                <w:color w:val="0000FF"/>
              </w:rPr>
              <w:t>Item 2.</w:t>
            </w:r>
          </w:p>
        </w:tc>
        <w:tc>
          <w:tcPr>
            <w:tcW w:w="640" w:type="dxa"/>
            <w:vAlign w:val="bottom"/>
          </w:tcPr>
          <w:p>
            <w:pPr>
              <w:spacing w:after="0"/>
              <w:rPr>
                <w:sz w:val="17"/>
                <w:szCs w:val="17"/>
                <w:color w:val="auto"/>
              </w:rPr>
            </w:pPr>
          </w:p>
        </w:tc>
        <w:tc>
          <w:tcPr>
            <w:tcW w:w="7260" w:type="dxa"/>
            <w:vAlign w:val="bottom"/>
            <w:gridSpan w:val="20"/>
          </w:tcPr>
          <w:p>
            <w:pPr>
              <w:spacing w:after="0"/>
              <w:rPr>
                <w:sz w:val="20"/>
                <w:szCs w:val="20"/>
                <w:color w:val="auto"/>
              </w:rPr>
            </w:pPr>
            <w:r>
              <w:rPr>
                <w:rFonts w:ascii="Arial" w:cs="Arial" w:eastAsia="Arial" w:hAnsi="Arial"/>
                <w:sz w:val="14"/>
                <w:szCs w:val="14"/>
                <w:color w:val="0000FF"/>
              </w:rPr>
              <w:t>Unregistered Sales of Equity Securities and Use of Proceeds</w:t>
            </w:r>
          </w:p>
        </w:tc>
        <w:tc>
          <w:tcPr>
            <w:tcW w:w="2100" w:type="dxa"/>
            <w:vAlign w:val="bottom"/>
            <w:gridSpan w:val="3"/>
          </w:tcPr>
          <w:p>
            <w:pPr>
              <w:jc w:val="right"/>
              <w:ind w:right="100"/>
              <w:spacing w:after="0"/>
              <w:rPr>
                <w:sz w:val="20"/>
                <w:szCs w:val="20"/>
                <w:color w:val="auto"/>
              </w:rPr>
            </w:pPr>
            <w:r>
              <w:rPr>
                <w:rFonts w:ascii="Arial" w:cs="Arial" w:eastAsia="Arial" w:hAnsi="Arial"/>
                <w:sz w:val="14"/>
                <w:szCs w:val="14"/>
                <w:color w:val="0000FF"/>
              </w:rPr>
              <w:t>32</w:t>
            </w:r>
          </w:p>
        </w:tc>
      </w:tr>
      <w:tr>
        <w:trPr>
          <w:trHeight w:val="20"/>
        </w:trPr>
        <w:tc>
          <w:tcPr>
            <w:tcW w:w="7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760" w:type="dxa"/>
            <w:vAlign w:val="bottom"/>
            <w:gridSpan w:val="5"/>
            <w:shd w:val="clear" w:color="auto" w:fill="0000FF"/>
          </w:tcPr>
          <w:p>
            <w:pPr>
              <w:spacing w:after="0" w:line="20" w:lineRule="exact"/>
              <w:rPr>
                <w:sz w:val="1"/>
                <w:szCs w:val="1"/>
                <w:color w:val="auto"/>
              </w:rPr>
            </w:pPr>
          </w:p>
        </w:tc>
        <w:tc>
          <w:tcPr>
            <w:tcW w:w="3540" w:type="dxa"/>
            <w:vAlign w:val="bottom"/>
            <w:gridSpan w:val="7"/>
          </w:tcPr>
          <w:p>
            <w:pPr>
              <w:spacing w:after="0" w:line="20" w:lineRule="exact"/>
              <w:rPr>
                <w:sz w:val="1"/>
                <w:szCs w:val="1"/>
                <w:color w:val="auto"/>
              </w:rPr>
            </w:pPr>
          </w:p>
        </w:tc>
        <w:tc>
          <w:tcPr>
            <w:tcW w:w="19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720" w:type="dxa"/>
            <w:vAlign w:val="bottom"/>
          </w:tcPr>
          <w:p>
            <w:pPr>
              <w:spacing w:after="0"/>
              <w:rPr>
                <w:sz w:val="17"/>
                <w:szCs w:val="17"/>
                <w:color w:val="auto"/>
              </w:rPr>
            </w:pPr>
          </w:p>
        </w:tc>
        <w:tc>
          <w:tcPr>
            <w:tcW w:w="1160" w:type="dxa"/>
            <w:vAlign w:val="bottom"/>
            <w:gridSpan w:val="3"/>
          </w:tcPr>
          <w:p>
            <w:pPr>
              <w:spacing w:after="0"/>
              <w:rPr>
                <w:sz w:val="20"/>
                <w:szCs w:val="20"/>
                <w:color w:val="auto"/>
              </w:rPr>
            </w:pPr>
            <w:r>
              <w:rPr>
                <w:rFonts w:ascii="Arial" w:cs="Arial" w:eastAsia="Arial" w:hAnsi="Arial"/>
                <w:sz w:val="14"/>
                <w:szCs w:val="14"/>
                <w:color w:val="0000FF"/>
              </w:rPr>
              <w:t>Item 3.</w:t>
            </w:r>
          </w:p>
        </w:tc>
        <w:tc>
          <w:tcPr>
            <w:tcW w:w="7260" w:type="dxa"/>
            <w:vAlign w:val="bottom"/>
            <w:gridSpan w:val="20"/>
          </w:tcPr>
          <w:p>
            <w:pPr>
              <w:spacing w:after="0"/>
              <w:rPr>
                <w:sz w:val="20"/>
                <w:szCs w:val="20"/>
                <w:color w:val="auto"/>
              </w:rPr>
            </w:pPr>
            <w:r>
              <w:rPr>
                <w:rFonts w:ascii="Arial" w:cs="Arial" w:eastAsia="Arial" w:hAnsi="Arial"/>
                <w:sz w:val="14"/>
                <w:szCs w:val="14"/>
                <w:color w:val="0000FF"/>
              </w:rPr>
              <w:t>Defaults Upon Senior Securities</w:t>
            </w:r>
          </w:p>
        </w:tc>
        <w:tc>
          <w:tcPr>
            <w:tcW w:w="2100" w:type="dxa"/>
            <w:vAlign w:val="bottom"/>
            <w:gridSpan w:val="3"/>
          </w:tcPr>
          <w:p>
            <w:pPr>
              <w:jc w:val="right"/>
              <w:ind w:right="100"/>
              <w:spacing w:after="0"/>
              <w:rPr>
                <w:sz w:val="20"/>
                <w:szCs w:val="20"/>
                <w:color w:val="auto"/>
              </w:rPr>
            </w:pPr>
            <w:r>
              <w:rPr>
                <w:rFonts w:ascii="Arial" w:cs="Arial" w:eastAsia="Arial" w:hAnsi="Arial"/>
                <w:sz w:val="14"/>
                <w:szCs w:val="14"/>
                <w:color w:val="0000FF"/>
              </w:rPr>
              <w:t>33</w:t>
            </w:r>
          </w:p>
        </w:tc>
      </w:tr>
      <w:tr>
        <w:trPr>
          <w:trHeight w:val="20"/>
        </w:trPr>
        <w:tc>
          <w:tcPr>
            <w:tcW w:w="7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5300" w:type="dxa"/>
            <w:vAlign w:val="bottom"/>
            <w:gridSpan w:val="12"/>
          </w:tcPr>
          <w:p>
            <w:pPr>
              <w:spacing w:after="0" w:line="20" w:lineRule="exact"/>
              <w:rPr>
                <w:sz w:val="1"/>
                <w:szCs w:val="1"/>
                <w:color w:val="auto"/>
              </w:rPr>
            </w:pPr>
          </w:p>
        </w:tc>
        <w:tc>
          <w:tcPr>
            <w:tcW w:w="19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720" w:type="dxa"/>
            <w:vAlign w:val="bottom"/>
          </w:tcPr>
          <w:p>
            <w:pPr>
              <w:spacing w:after="0"/>
              <w:rPr>
                <w:sz w:val="17"/>
                <w:szCs w:val="17"/>
                <w:color w:val="auto"/>
              </w:rPr>
            </w:pPr>
          </w:p>
        </w:tc>
        <w:tc>
          <w:tcPr>
            <w:tcW w:w="1160" w:type="dxa"/>
            <w:vAlign w:val="bottom"/>
            <w:gridSpan w:val="3"/>
          </w:tcPr>
          <w:p>
            <w:pPr>
              <w:spacing w:after="0"/>
              <w:rPr>
                <w:sz w:val="20"/>
                <w:szCs w:val="20"/>
                <w:color w:val="auto"/>
              </w:rPr>
            </w:pPr>
            <w:r>
              <w:rPr>
                <w:rFonts w:ascii="Arial" w:cs="Arial" w:eastAsia="Arial" w:hAnsi="Arial"/>
                <w:sz w:val="14"/>
                <w:szCs w:val="14"/>
                <w:color w:val="0000FF"/>
              </w:rPr>
              <w:t>Item 4.</w:t>
            </w:r>
          </w:p>
        </w:tc>
        <w:tc>
          <w:tcPr>
            <w:tcW w:w="7260" w:type="dxa"/>
            <w:vAlign w:val="bottom"/>
            <w:gridSpan w:val="20"/>
          </w:tcPr>
          <w:p>
            <w:pPr>
              <w:spacing w:after="0"/>
              <w:rPr>
                <w:sz w:val="20"/>
                <w:szCs w:val="20"/>
                <w:color w:val="auto"/>
              </w:rPr>
            </w:pPr>
            <w:r>
              <w:rPr>
                <w:rFonts w:ascii="Arial" w:cs="Arial" w:eastAsia="Arial" w:hAnsi="Arial"/>
                <w:sz w:val="14"/>
                <w:szCs w:val="14"/>
                <w:color w:val="0000FF"/>
              </w:rPr>
              <w:t>Mine Safety Disclosures</w:t>
            </w:r>
          </w:p>
        </w:tc>
        <w:tc>
          <w:tcPr>
            <w:tcW w:w="2100" w:type="dxa"/>
            <w:vAlign w:val="bottom"/>
            <w:gridSpan w:val="3"/>
          </w:tcPr>
          <w:p>
            <w:pPr>
              <w:jc w:val="right"/>
              <w:ind w:right="100"/>
              <w:spacing w:after="0"/>
              <w:rPr>
                <w:sz w:val="20"/>
                <w:szCs w:val="20"/>
                <w:color w:val="auto"/>
              </w:rPr>
            </w:pPr>
            <w:r>
              <w:rPr>
                <w:rFonts w:ascii="Arial" w:cs="Arial" w:eastAsia="Arial" w:hAnsi="Arial"/>
                <w:sz w:val="14"/>
                <w:szCs w:val="14"/>
                <w:color w:val="0000FF"/>
              </w:rPr>
              <w:t>33</w:t>
            </w:r>
          </w:p>
        </w:tc>
      </w:tr>
      <w:tr>
        <w:trPr>
          <w:trHeight w:val="20"/>
        </w:trPr>
        <w:tc>
          <w:tcPr>
            <w:tcW w:w="7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5780" w:type="dxa"/>
            <w:vAlign w:val="bottom"/>
            <w:gridSpan w:val="13"/>
          </w:tcPr>
          <w:p>
            <w:pPr>
              <w:spacing w:after="0" w:line="20" w:lineRule="exact"/>
              <w:rPr>
                <w:sz w:val="1"/>
                <w:szCs w:val="1"/>
                <w:color w:val="auto"/>
              </w:rPr>
            </w:pPr>
          </w:p>
        </w:tc>
        <w:tc>
          <w:tcPr>
            <w:tcW w:w="19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720" w:type="dxa"/>
            <w:vAlign w:val="bottom"/>
          </w:tcPr>
          <w:p>
            <w:pPr>
              <w:spacing w:after="0"/>
              <w:rPr>
                <w:sz w:val="17"/>
                <w:szCs w:val="17"/>
                <w:color w:val="auto"/>
              </w:rPr>
            </w:pPr>
          </w:p>
        </w:tc>
        <w:tc>
          <w:tcPr>
            <w:tcW w:w="1160" w:type="dxa"/>
            <w:vAlign w:val="bottom"/>
            <w:gridSpan w:val="3"/>
          </w:tcPr>
          <w:p>
            <w:pPr>
              <w:spacing w:after="0"/>
              <w:rPr>
                <w:sz w:val="20"/>
                <w:szCs w:val="20"/>
                <w:color w:val="auto"/>
              </w:rPr>
            </w:pPr>
            <w:r>
              <w:rPr>
                <w:rFonts w:ascii="Arial" w:cs="Arial" w:eastAsia="Arial" w:hAnsi="Arial"/>
                <w:sz w:val="14"/>
                <w:szCs w:val="14"/>
                <w:color w:val="0000FF"/>
              </w:rPr>
              <w:t>Item 5.</w:t>
            </w:r>
          </w:p>
        </w:tc>
        <w:tc>
          <w:tcPr>
            <w:tcW w:w="7260" w:type="dxa"/>
            <w:vAlign w:val="bottom"/>
            <w:gridSpan w:val="20"/>
          </w:tcPr>
          <w:p>
            <w:pPr>
              <w:spacing w:after="0"/>
              <w:rPr>
                <w:sz w:val="20"/>
                <w:szCs w:val="20"/>
                <w:color w:val="auto"/>
              </w:rPr>
            </w:pPr>
            <w:r>
              <w:rPr>
                <w:rFonts w:ascii="Arial" w:cs="Arial" w:eastAsia="Arial" w:hAnsi="Arial"/>
                <w:sz w:val="14"/>
                <w:szCs w:val="14"/>
                <w:color w:val="0000FF"/>
              </w:rPr>
              <w:t>Other Information</w:t>
            </w:r>
          </w:p>
        </w:tc>
        <w:tc>
          <w:tcPr>
            <w:tcW w:w="2100" w:type="dxa"/>
            <w:vAlign w:val="bottom"/>
            <w:gridSpan w:val="3"/>
          </w:tcPr>
          <w:p>
            <w:pPr>
              <w:jc w:val="right"/>
              <w:ind w:right="100"/>
              <w:spacing w:after="0"/>
              <w:rPr>
                <w:sz w:val="20"/>
                <w:szCs w:val="20"/>
                <w:color w:val="auto"/>
              </w:rPr>
            </w:pPr>
            <w:r>
              <w:rPr>
                <w:rFonts w:ascii="Arial" w:cs="Arial" w:eastAsia="Arial" w:hAnsi="Arial"/>
                <w:sz w:val="14"/>
                <w:szCs w:val="14"/>
                <w:color w:val="0000FF"/>
              </w:rPr>
              <w:t>33</w:t>
            </w:r>
          </w:p>
        </w:tc>
      </w:tr>
      <w:tr>
        <w:trPr>
          <w:trHeight w:val="20"/>
        </w:trPr>
        <w:tc>
          <w:tcPr>
            <w:tcW w:w="7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6180" w:type="dxa"/>
            <w:vAlign w:val="bottom"/>
            <w:gridSpan w:val="15"/>
          </w:tcPr>
          <w:p>
            <w:pPr>
              <w:spacing w:after="0" w:line="20" w:lineRule="exact"/>
              <w:rPr>
                <w:sz w:val="1"/>
                <w:szCs w:val="1"/>
                <w:color w:val="auto"/>
              </w:rPr>
            </w:pPr>
          </w:p>
        </w:tc>
        <w:tc>
          <w:tcPr>
            <w:tcW w:w="19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720" w:type="dxa"/>
            <w:vAlign w:val="bottom"/>
          </w:tcPr>
          <w:p>
            <w:pPr>
              <w:spacing w:after="0"/>
              <w:rPr>
                <w:sz w:val="17"/>
                <w:szCs w:val="17"/>
                <w:color w:val="auto"/>
              </w:rPr>
            </w:pPr>
          </w:p>
        </w:tc>
        <w:tc>
          <w:tcPr>
            <w:tcW w:w="1160" w:type="dxa"/>
            <w:vAlign w:val="bottom"/>
            <w:gridSpan w:val="3"/>
          </w:tcPr>
          <w:p>
            <w:pPr>
              <w:spacing w:after="0"/>
              <w:rPr>
                <w:sz w:val="20"/>
                <w:szCs w:val="20"/>
                <w:color w:val="auto"/>
              </w:rPr>
            </w:pPr>
            <w:r>
              <w:rPr>
                <w:rFonts w:ascii="Arial" w:cs="Arial" w:eastAsia="Arial" w:hAnsi="Arial"/>
                <w:sz w:val="14"/>
                <w:szCs w:val="14"/>
                <w:color w:val="0000FF"/>
              </w:rPr>
              <w:t>Item 6.</w:t>
            </w:r>
          </w:p>
        </w:tc>
        <w:tc>
          <w:tcPr>
            <w:tcW w:w="7260" w:type="dxa"/>
            <w:vAlign w:val="bottom"/>
            <w:gridSpan w:val="20"/>
          </w:tcPr>
          <w:p>
            <w:pPr>
              <w:spacing w:after="0"/>
              <w:rPr>
                <w:sz w:val="20"/>
                <w:szCs w:val="20"/>
                <w:color w:val="auto"/>
              </w:rPr>
            </w:pPr>
            <w:r>
              <w:rPr>
                <w:rFonts w:ascii="Arial" w:cs="Arial" w:eastAsia="Arial" w:hAnsi="Arial"/>
                <w:sz w:val="14"/>
                <w:szCs w:val="14"/>
                <w:color w:val="0000FF"/>
              </w:rPr>
              <w:t>Exhibits</w:t>
            </w:r>
          </w:p>
        </w:tc>
        <w:tc>
          <w:tcPr>
            <w:tcW w:w="2100" w:type="dxa"/>
            <w:vAlign w:val="bottom"/>
            <w:gridSpan w:val="3"/>
          </w:tcPr>
          <w:p>
            <w:pPr>
              <w:jc w:val="right"/>
              <w:ind w:right="100"/>
              <w:spacing w:after="0"/>
              <w:rPr>
                <w:sz w:val="20"/>
                <w:szCs w:val="20"/>
                <w:color w:val="auto"/>
              </w:rPr>
            </w:pPr>
            <w:r>
              <w:rPr>
                <w:rFonts w:ascii="Arial" w:cs="Arial" w:eastAsia="Arial" w:hAnsi="Arial"/>
                <w:sz w:val="14"/>
                <w:szCs w:val="14"/>
                <w:color w:val="0000FF"/>
              </w:rPr>
              <w:t>34</w:t>
            </w:r>
          </w:p>
        </w:tc>
      </w:tr>
      <w:tr>
        <w:trPr>
          <w:trHeight w:val="20"/>
        </w:trPr>
        <w:tc>
          <w:tcPr>
            <w:tcW w:w="7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0" w:type="dxa"/>
            <w:vAlign w:val="bottom"/>
            <w:gridSpan w:val="18"/>
          </w:tcPr>
          <w:p>
            <w:pPr>
              <w:spacing w:after="0" w:line="20" w:lineRule="exact"/>
              <w:rPr>
                <w:sz w:val="1"/>
                <w:szCs w:val="1"/>
                <w:color w:val="auto"/>
              </w:rPr>
            </w:pPr>
          </w:p>
        </w:tc>
        <w:tc>
          <w:tcPr>
            <w:tcW w:w="19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5"/>
        </w:trPr>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60" w:type="dxa"/>
            <w:vAlign w:val="bottom"/>
            <w:gridSpan w:val="20"/>
          </w:tcPr>
          <w:p>
            <w:pPr>
              <w:spacing w:after="0"/>
              <w:rPr>
                <w:sz w:val="20"/>
                <w:szCs w:val="20"/>
                <w:color w:val="auto"/>
              </w:rPr>
            </w:pPr>
            <w:r>
              <w:rPr>
                <w:rFonts w:ascii="Arial" w:cs="Arial" w:eastAsia="Arial" w:hAnsi="Arial"/>
                <w:sz w:val="14"/>
                <w:szCs w:val="14"/>
                <w:color w:val="0000FF"/>
              </w:rPr>
              <w:t>Signatures</w:t>
            </w:r>
          </w:p>
        </w:tc>
        <w:tc>
          <w:tcPr>
            <w:tcW w:w="2100" w:type="dxa"/>
            <w:vAlign w:val="bottom"/>
            <w:gridSpan w:val="3"/>
          </w:tcPr>
          <w:p>
            <w:pPr>
              <w:jc w:val="right"/>
              <w:ind w:right="100"/>
              <w:spacing w:after="0"/>
              <w:rPr>
                <w:sz w:val="20"/>
                <w:szCs w:val="20"/>
                <w:color w:val="auto"/>
              </w:rPr>
            </w:pPr>
            <w:r>
              <w:rPr>
                <w:rFonts w:ascii="Arial" w:cs="Arial" w:eastAsia="Arial" w:hAnsi="Arial"/>
                <w:sz w:val="14"/>
                <w:szCs w:val="14"/>
                <w:color w:val="0000FF"/>
              </w:rPr>
              <w:t>34</w:t>
            </w:r>
          </w:p>
        </w:tc>
      </w:tr>
      <w:tr>
        <w:trPr>
          <w:trHeight w:val="1468"/>
        </w:trPr>
        <w:tc>
          <w:tcPr>
            <w:tcW w:w="7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FORWARD-LOOKING STATEMENTS</w:t>
      </w:r>
    </w:p>
    <w:p>
      <w:pPr>
        <w:spacing w:after="0" w:line="228" w:lineRule="exact"/>
        <w:rPr>
          <w:sz w:val="20"/>
          <w:szCs w:val="20"/>
          <w:color w:val="auto"/>
        </w:rPr>
      </w:pPr>
    </w:p>
    <w:p>
      <w:pPr>
        <w:ind w:firstLine="619"/>
        <w:spacing w:after="0" w:line="251" w:lineRule="auto"/>
        <w:rPr>
          <w:sz w:val="20"/>
          <w:szCs w:val="20"/>
          <w:color w:val="auto"/>
        </w:rPr>
      </w:pPr>
      <w:r>
        <w:rPr>
          <w:rFonts w:ascii="Arial" w:cs="Arial" w:eastAsia="Arial" w:hAnsi="Arial"/>
          <w:sz w:val="14"/>
          <w:szCs w:val="14"/>
          <w:color w:val="auto"/>
        </w:rPr>
        <w:t>This Quarterly Report on Form 10-Q contains forward-looking statements within the meaning of the federal securities laws, including the Private Securities Litigation Reform Act of 1995,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We believe that these factors include, but are not limited to, the following:</w:t>
      </w:r>
    </w:p>
    <w:p>
      <w:pPr>
        <w:spacing w:after="0" w:line="149" w:lineRule="exact"/>
        <w:rPr>
          <w:sz w:val="20"/>
          <w:szCs w:val="20"/>
          <w:color w:val="auto"/>
        </w:rPr>
      </w:pPr>
    </w:p>
    <w:p>
      <w:pPr>
        <w:ind w:left="620" w:right="20" w:hanging="307"/>
        <w:spacing w:after="0" w:line="248" w:lineRule="auto"/>
        <w:tabs>
          <w:tab w:leader="none" w:pos="616" w:val="left"/>
        </w:tabs>
        <w:numPr>
          <w:ilvl w:val="0"/>
          <w:numId w:val="3"/>
        </w:numPr>
        <w:rPr>
          <w:rFonts w:ascii="Arial" w:cs="Arial" w:eastAsia="Arial" w:hAnsi="Arial"/>
          <w:sz w:val="14"/>
          <w:szCs w:val="14"/>
          <w:color w:val="auto"/>
        </w:rPr>
      </w:pPr>
      <w:r>
        <w:rPr>
          <w:rFonts w:ascii="Arial" w:cs="Arial" w:eastAsia="Arial" w:hAnsi="Arial"/>
          <w:sz w:val="14"/>
          <w:szCs w:val="14"/>
          <w:color w:val="auto"/>
        </w:rPr>
        <w:t>Risks related to our business, including: reliance on primarily one main product; limitations regarding the supply of fruit, either through purchasing or growing; fluctuations in the market price of fruit; increasing competition; risks associated with doing business internationally, including Mexican and Peruvian economic, political and/or societal conditions; inflationary pressures; establishment of sales channels and geographic markets; loss of one or more of our largest customers; general economic conditions or downturns; supply chain failures or disruptions; disruption to the supply of reliable and cost-effective transportation; failure to recruit or retain employees, poor employee relations, and/or ineffective organizational structure; inherent farming risks, including climate change; seasonality in operating results; failures associated with information technology infrastructure, system security and cyber risks; new and changing privacy laws and our compliance with such laws; food safety events and recalls; failure to comply with laws and regulations; changes to trade policy and/or export/import laws and regulations; risks from business acquisitions, if any; lack of or failure of infrastructure; material litigation or governmental inquiries/actions; failure to maintain or protect our brand; changes in tax rates or international tax legislation; risks associated with global conflicts; and inability to accurately forecast future performance.</w:t>
      </w:r>
    </w:p>
    <w:p>
      <w:pPr>
        <w:spacing w:after="0" w:line="152" w:lineRule="exact"/>
        <w:rPr>
          <w:rFonts w:ascii="Arial" w:cs="Arial" w:eastAsia="Arial" w:hAnsi="Arial"/>
          <w:sz w:val="14"/>
          <w:szCs w:val="14"/>
          <w:color w:val="auto"/>
        </w:rPr>
      </w:pPr>
    </w:p>
    <w:p>
      <w:pPr>
        <w:ind w:left="620" w:right="100" w:hanging="307"/>
        <w:spacing w:after="0" w:line="259" w:lineRule="auto"/>
        <w:tabs>
          <w:tab w:leader="none" w:pos="616" w:val="left"/>
        </w:tabs>
        <w:numPr>
          <w:ilvl w:val="0"/>
          <w:numId w:val="3"/>
        </w:numPr>
        <w:rPr>
          <w:rFonts w:ascii="Arial" w:cs="Arial" w:eastAsia="Arial" w:hAnsi="Arial"/>
          <w:sz w:val="14"/>
          <w:szCs w:val="14"/>
          <w:color w:val="auto"/>
        </w:rPr>
      </w:pPr>
      <w:r>
        <w:rPr>
          <w:rFonts w:ascii="Arial" w:cs="Arial" w:eastAsia="Arial" w:hAnsi="Arial"/>
          <w:sz w:val="14"/>
          <w:szCs w:val="14"/>
          <w:color w:val="auto"/>
        </w:rPr>
        <w:t>Risks related to our common stock, including: the viability of an active, liquid, and orderly market for our common stock; volatility in the trading price of our common stock; the issuance of shares in our recent acquisition of Calavo; significant ownership and influence by our executive officers and directors over matters submitted to stockholders for approval; restrictions on takeover attempts in our charter documents and under Delaware law; and the selection of Delaware as the exclusive forum for substantially all disputes between us and our stockholders.</w:t>
      </w:r>
    </w:p>
    <w:p>
      <w:pPr>
        <w:spacing w:after="0" w:line="143" w:lineRule="exact"/>
        <w:rPr>
          <w:rFonts w:ascii="Arial" w:cs="Arial" w:eastAsia="Arial" w:hAnsi="Arial"/>
          <w:sz w:val="14"/>
          <w:szCs w:val="14"/>
          <w:color w:val="auto"/>
        </w:rPr>
      </w:pPr>
    </w:p>
    <w:p>
      <w:pPr>
        <w:ind w:left="620" w:right="60" w:hanging="307"/>
        <w:spacing w:after="0" w:line="278" w:lineRule="auto"/>
        <w:tabs>
          <w:tab w:leader="none" w:pos="616" w:val="left"/>
        </w:tabs>
        <w:numPr>
          <w:ilvl w:val="0"/>
          <w:numId w:val="3"/>
        </w:numPr>
        <w:rPr>
          <w:rFonts w:ascii="Arial" w:cs="Arial" w:eastAsia="Arial" w:hAnsi="Arial"/>
          <w:sz w:val="14"/>
          <w:szCs w:val="14"/>
          <w:color w:val="auto"/>
        </w:rPr>
      </w:pPr>
      <w:r>
        <w:rPr>
          <w:rFonts w:ascii="Arial" w:cs="Arial" w:eastAsia="Arial" w:hAnsi="Arial"/>
          <w:sz w:val="14"/>
          <w:szCs w:val="14"/>
          <w:color w:val="auto"/>
        </w:rPr>
        <w:t>Risks related to restrictive covenants under our credit facility, which could affect our flexibility to fund ongoing operations, uses of capital and strategic initiatives, and, if we are unable to maintain compliance with such covenants, lead to significant challenges in meeting our liquidity requirements and acceleration of our debt.</w:t>
      </w:r>
    </w:p>
    <w:p>
      <w:pPr>
        <w:spacing w:after="0" w:line="129" w:lineRule="exact"/>
        <w:rPr>
          <w:rFonts w:ascii="Arial" w:cs="Arial" w:eastAsia="Arial" w:hAnsi="Arial"/>
          <w:sz w:val="14"/>
          <w:szCs w:val="14"/>
          <w:color w:val="auto"/>
        </w:rPr>
      </w:pPr>
    </w:p>
    <w:p>
      <w:pPr>
        <w:ind w:left="620" w:right="120" w:hanging="307"/>
        <w:spacing w:after="0" w:line="251" w:lineRule="auto"/>
        <w:tabs>
          <w:tab w:leader="none" w:pos="616" w:val="left"/>
        </w:tabs>
        <w:numPr>
          <w:ilvl w:val="0"/>
          <w:numId w:val="3"/>
        </w:numPr>
        <w:rPr>
          <w:rFonts w:ascii="Arial" w:cs="Arial" w:eastAsia="Arial" w:hAnsi="Arial"/>
          <w:sz w:val="14"/>
          <w:szCs w:val="14"/>
          <w:color w:val="auto"/>
        </w:rPr>
      </w:pPr>
      <w:r>
        <w:rPr>
          <w:rFonts w:ascii="Arial" w:cs="Arial" w:eastAsia="Arial" w:hAnsi="Arial"/>
          <w:sz w:val="14"/>
          <w:szCs w:val="14"/>
          <w:color w:val="auto"/>
        </w:rPr>
        <w:t>Risks related to the completed acquisition of Calavo Growers, Inc. (“Calavo”), including: any statements of the plans, strategies and objectives of management for future operations, including execution of integration (including information technology systems integration) plans; the risk that the businesses will not be integrated successfully or that the integration will be more costly or difficult than expected; the risk of managing the expanded operations of a significantly larger and more complex company; the risk that the cost savings and any other synergies from the acquisition may not be fully realized or may take longer to realize than expected; the risk of litigation related to the acquisition; the risk of unanticipated liabilities arising from the acquired business; the risk that the credit ratings of the combined company or its subsidiaries may be different from what the companies expect; the diversion of management time and resources from ongoing business operations and opportunities as a result of the acquisition; and the risk of adverse reactions or changes to business or employee relationships, including those resulting from the completion of the acquisition.</w:t>
      </w:r>
    </w:p>
    <w:p>
      <w:pPr>
        <w:spacing w:after="0" w:line="149" w:lineRule="exact"/>
        <w:rPr>
          <w:rFonts w:ascii="Arial" w:cs="Arial" w:eastAsia="Arial" w:hAnsi="Arial"/>
          <w:sz w:val="14"/>
          <w:szCs w:val="14"/>
          <w:color w:val="auto"/>
        </w:rPr>
      </w:pPr>
    </w:p>
    <w:p>
      <w:pPr>
        <w:ind w:left="620" w:right="80" w:hanging="307"/>
        <w:spacing w:after="0" w:line="254" w:lineRule="auto"/>
        <w:tabs>
          <w:tab w:leader="none" w:pos="616" w:val="left"/>
        </w:tabs>
        <w:numPr>
          <w:ilvl w:val="0"/>
          <w:numId w:val="3"/>
        </w:numPr>
        <w:rPr>
          <w:rFonts w:ascii="Arial" w:cs="Arial" w:eastAsia="Arial" w:hAnsi="Arial"/>
          <w:sz w:val="14"/>
          <w:szCs w:val="14"/>
          <w:color w:val="auto"/>
        </w:rPr>
      </w:pPr>
      <w:r>
        <w:rPr>
          <w:rFonts w:ascii="Arial" w:cs="Arial" w:eastAsia="Arial" w:hAnsi="Arial"/>
          <w:sz w:val="14"/>
          <w:szCs w:val="14"/>
          <w:color w:val="auto"/>
        </w:rPr>
        <w:t>Other risks and factors listed under “Item 1A. Risk Factors” in our most recent Annual Report on Form 10-K for the year ended October 31, 2025, filed with the SEC on December 18, 2025 (the “2025 10-K”) and “Part II, Item 1A. Risk Factors” in the Quarterly Report on Form 10-Q for the quarter ended January 31, 2026, filed with the SEC on March 12, 2026 (the “Q1 10-Q”) and elsewhere in this report.</w:t>
      </w:r>
    </w:p>
    <w:p>
      <w:pPr>
        <w:spacing w:after="0" w:line="185" w:lineRule="exact"/>
        <w:rPr>
          <w:sz w:val="20"/>
          <w:szCs w:val="20"/>
          <w:color w:val="auto"/>
        </w:rPr>
      </w:pPr>
    </w:p>
    <w:p>
      <w:pPr>
        <w:ind w:firstLine="619"/>
        <w:spacing w:after="0" w:line="251" w:lineRule="auto"/>
        <w:rPr>
          <w:sz w:val="20"/>
          <w:szCs w:val="20"/>
          <w:color w:val="auto"/>
        </w:rPr>
      </w:pPr>
      <w:r>
        <w:rPr>
          <w:rFonts w:ascii="Arial" w:cs="Arial" w:eastAsia="Arial" w:hAnsi="Arial"/>
          <w:sz w:val="14"/>
          <w:szCs w:val="14"/>
          <w:color w:val="auto"/>
        </w:rPr>
        <w:t>We have based the forward-looking statements contained in this report primarily on our current expectations and projections about future events and trends that we believe may affect our business, financial condition, results of operations, prospects, business strategy and financial needs. The outcome of the events described in these forward-looking statements is subject to risks, uncertainties, assumptions and other factors described in “Item 1A. Risk Factors” in our 2025 10-K, as supplemented by the Q1 10-Q and elsewhere in this report. These risks are not exhaustive. Other sections of this report include additional factors that could adversely impact our business and financial performance. Furthermore, new risks and uncertainties emerge from time to time and it is not possible for us to predict all risks and uncertainties that could have an impact on the forward-looking statements contained in this report.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88" w:lineRule="exact"/>
        <w:rPr>
          <w:sz w:val="20"/>
          <w:szCs w:val="20"/>
          <w:color w:val="auto"/>
        </w:rPr>
      </w:pPr>
    </w:p>
    <w:p>
      <w:pPr>
        <w:ind w:firstLine="619"/>
        <w:spacing w:after="0" w:line="253" w:lineRule="auto"/>
        <w:rPr>
          <w:sz w:val="20"/>
          <w:szCs w:val="20"/>
          <w:color w:val="auto"/>
        </w:rPr>
      </w:pPr>
      <w:r>
        <w:rPr>
          <w:rFonts w:ascii="Arial" w:cs="Arial" w:eastAsia="Arial" w:hAnsi="Arial"/>
          <w:sz w:val="14"/>
          <w:szCs w:val="14"/>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829945</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3" w:name="page4"/>
    <w:bookmarkEnd w:id="3"/>
    <w:p>
      <w:pPr>
        <w:ind w:right="20" w:firstLine="619"/>
        <w:spacing w:after="0" w:line="264" w:lineRule="auto"/>
        <w:rPr>
          <w:sz w:val="20"/>
          <w:szCs w:val="20"/>
          <w:color w:val="auto"/>
        </w:rPr>
      </w:pPr>
      <w:r>
        <w:rPr>
          <w:rFonts w:ascii="Arial" w:cs="Arial" w:eastAsia="Arial" w:hAnsi="Arial"/>
          <w:sz w:val="14"/>
          <w:szCs w:val="14"/>
          <w:color w:val="auto"/>
        </w:rPr>
        <w:t>You should read this report, including documents that we reference in this report and exhibits that we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spacing w:after="0" w:line="165" w:lineRule="exact"/>
        <w:rPr>
          <w:sz w:val="20"/>
          <w:szCs w:val="20"/>
          <w:color w:val="auto"/>
        </w:rPr>
      </w:pPr>
    </w:p>
    <w:p>
      <w:pPr>
        <w:ind w:right="520" w:firstLine="619"/>
        <w:spacing w:after="0" w:line="278" w:lineRule="auto"/>
        <w:rPr>
          <w:sz w:val="20"/>
          <w:szCs w:val="20"/>
          <w:color w:val="auto"/>
        </w:rPr>
      </w:pPr>
      <w:r>
        <w:rPr>
          <w:rFonts w:ascii="Arial" w:cs="Arial" w:eastAsia="Arial" w:hAnsi="Arial"/>
          <w:sz w:val="14"/>
          <w:szCs w:val="14"/>
          <w:color w:val="auto"/>
        </w:rPr>
        <w:t>The forward-looking statements made in this report relate only to events as of the date on which such statements are made. We undertake no obligation to update any forward-looking statements after the date of this report or to conform such statements to actual results or revised expectations, except as required by law.</w:t>
      </w:r>
    </w:p>
    <w:p>
      <w:pPr>
        <w:spacing w:after="0" w:line="168" w:lineRule="exact"/>
        <w:rPr>
          <w:sz w:val="20"/>
          <w:szCs w:val="20"/>
          <w:color w:val="auto"/>
        </w:rPr>
      </w:pPr>
    </w:p>
    <w:p>
      <w:pPr>
        <w:ind w:firstLine="619"/>
        <w:spacing w:after="0" w:line="253" w:lineRule="auto"/>
        <w:rPr>
          <w:sz w:val="20"/>
          <w:szCs w:val="20"/>
          <w:color w:val="auto"/>
        </w:rPr>
      </w:pPr>
      <w:r>
        <w:rPr>
          <w:rFonts w:ascii="Arial" w:cs="Arial" w:eastAsia="Arial" w:hAnsi="Arial"/>
          <w:sz w:val="14"/>
          <w:szCs w:val="14"/>
          <w:color w:val="auto"/>
        </w:rPr>
        <w:t>This quarterly report may also include trademarks, tradenames and service marks that are the property of the Company and also certain trademarks, tradenames and service marks that are the property of other organizations. Solely for convenience, trademarks and tradenames referred to in this quarterly report appear without the ® and ™ symbols, but those references are not intended to indicate, in any way, that we will not assert, to the fullest extent under applicable law, our rights, or that the applicable owner will not assert its rights, to these trademarks and tradenames.</w:t>
      </w:r>
    </w:p>
    <w:p>
      <w:pPr>
        <w:spacing w:after="0" w:line="185" w:lineRule="exact"/>
        <w:rPr>
          <w:sz w:val="20"/>
          <w:szCs w:val="20"/>
          <w:color w:val="auto"/>
        </w:rPr>
      </w:pPr>
    </w:p>
    <w:p>
      <w:pPr>
        <w:ind w:right="80" w:firstLine="619"/>
        <w:spacing w:after="0" w:line="264" w:lineRule="auto"/>
        <w:rPr>
          <w:sz w:val="20"/>
          <w:szCs w:val="20"/>
          <w:color w:val="auto"/>
        </w:rPr>
      </w:pPr>
      <w:r>
        <w:rPr>
          <w:rFonts w:ascii="Arial" w:cs="Arial" w:eastAsia="Arial" w:hAnsi="Arial"/>
          <w:sz w:val="14"/>
          <w:szCs w:val="14"/>
          <w:color w:val="auto"/>
        </w:rPr>
        <w:t>We maintain a website at www.missionproduce.com, to which we regularly post copies of our press releases as well as additional information about us. Our filings with the Securities and Exchange Commission (“SEC”), are available free of charge through our website as soon as reasonably practicable after being electronically filed with or furnished to the SEC. Information contained in our website does not constitute a part of this report or our other filings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825500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9"/>
        </w:trPr>
        <w:tc>
          <w:tcPr>
            <w:tcW w:w="780" w:type="dxa"/>
            <w:vAlign w:val="bottom"/>
          </w:tcPr>
          <w:p>
            <w:pPr>
              <w:spacing w:after="0"/>
              <w:rPr>
                <w:sz w:val="22"/>
                <w:szCs w:val="22"/>
                <w:color w:val="auto"/>
              </w:rPr>
            </w:pPr>
          </w:p>
        </w:tc>
        <w:tc>
          <w:tcPr>
            <w:tcW w:w="6720" w:type="dxa"/>
            <w:vAlign w:val="bottom"/>
          </w:tcPr>
          <w:p>
            <w:pPr>
              <w:jc w:val="center"/>
              <w:ind w:left="2870"/>
              <w:spacing w:after="0"/>
              <w:rPr>
                <w:sz w:val="20"/>
                <w:szCs w:val="20"/>
                <w:color w:val="auto"/>
              </w:rPr>
            </w:pPr>
            <w:r>
              <w:rPr>
                <w:rFonts w:ascii="Arial" w:cs="Arial" w:eastAsia="Arial" w:hAnsi="Arial"/>
                <w:sz w:val="19"/>
                <w:szCs w:val="19"/>
                <w:b w:val="1"/>
                <w:bCs w:val="1"/>
                <w:color w:val="auto"/>
                <w:w w:val="98"/>
              </w:rPr>
              <w:t>PART I- FINANCIAL INFORMATION</w:t>
            </w:r>
          </w:p>
        </w:tc>
        <w:tc>
          <w:tcPr>
            <w:tcW w:w="9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438"/>
        </w:trPr>
        <w:tc>
          <w:tcPr>
            <w:tcW w:w="780" w:type="dxa"/>
            <w:vAlign w:val="bottom"/>
          </w:tcPr>
          <w:p>
            <w:pPr>
              <w:spacing w:after="0"/>
              <w:rPr>
                <w:sz w:val="20"/>
                <w:szCs w:val="20"/>
                <w:color w:val="auto"/>
              </w:rPr>
            </w:pPr>
            <w:r>
              <w:rPr>
                <w:rFonts w:ascii="Arial" w:cs="Arial" w:eastAsia="Arial" w:hAnsi="Arial"/>
                <w:sz w:val="19"/>
                <w:szCs w:val="19"/>
                <w:b w:val="1"/>
                <w:bCs w:val="1"/>
                <w:color w:val="auto"/>
              </w:rPr>
              <w:t>Item 1.</w:t>
            </w:r>
          </w:p>
        </w:tc>
        <w:tc>
          <w:tcPr>
            <w:tcW w:w="6720" w:type="dxa"/>
            <w:vAlign w:val="bottom"/>
          </w:tcPr>
          <w:p>
            <w:pPr>
              <w:ind w:left="40"/>
              <w:spacing w:after="0"/>
              <w:rPr>
                <w:sz w:val="20"/>
                <w:szCs w:val="20"/>
                <w:color w:val="auto"/>
              </w:rPr>
            </w:pPr>
            <w:r>
              <w:rPr>
                <w:rFonts w:ascii="Arial" w:cs="Arial" w:eastAsia="Arial" w:hAnsi="Arial"/>
                <w:sz w:val="19"/>
                <w:szCs w:val="19"/>
                <w:b w:val="1"/>
                <w:bCs w:val="1"/>
                <w:color w:val="auto"/>
              </w:rPr>
              <w:t>Financial Statements</w:t>
            </w: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03"/>
        </w:trPr>
        <w:tc>
          <w:tcPr>
            <w:tcW w:w="780" w:type="dxa"/>
            <w:vAlign w:val="bottom"/>
          </w:tcPr>
          <w:p>
            <w:pPr>
              <w:spacing w:after="0"/>
              <w:rPr>
                <w:sz w:val="24"/>
                <w:szCs w:val="24"/>
                <w:color w:val="auto"/>
              </w:rPr>
            </w:pPr>
          </w:p>
        </w:tc>
        <w:tc>
          <w:tcPr>
            <w:tcW w:w="6720" w:type="dxa"/>
            <w:vAlign w:val="bottom"/>
          </w:tcPr>
          <w:p>
            <w:pPr>
              <w:jc w:val="center"/>
              <w:ind w:left="2870"/>
              <w:spacing w:after="0"/>
              <w:rPr>
                <w:sz w:val="20"/>
                <w:szCs w:val="20"/>
                <w:color w:val="auto"/>
              </w:rPr>
            </w:pPr>
            <w:r>
              <w:rPr>
                <w:rFonts w:ascii="Arial" w:cs="Arial" w:eastAsia="Arial" w:hAnsi="Arial"/>
                <w:sz w:val="17"/>
                <w:szCs w:val="17"/>
                <w:b w:val="1"/>
                <w:bCs w:val="1"/>
                <w:color w:val="auto"/>
              </w:rPr>
              <w:t>MISSION PRODUCE, INC.</w:t>
            </w: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8"/>
        </w:trPr>
        <w:tc>
          <w:tcPr>
            <w:tcW w:w="780" w:type="dxa"/>
            <w:vAlign w:val="bottom"/>
          </w:tcPr>
          <w:p>
            <w:pPr>
              <w:spacing w:after="0"/>
              <w:rPr>
                <w:sz w:val="22"/>
                <w:szCs w:val="22"/>
                <w:color w:val="auto"/>
              </w:rPr>
            </w:pPr>
          </w:p>
        </w:tc>
        <w:tc>
          <w:tcPr>
            <w:tcW w:w="7620" w:type="dxa"/>
            <w:vAlign w:val="bottom"/>
            <w:gridSpan w:val="2"/>
          </w:tcPr>
          <w:p>
            <w:pPr>
              <w:jc w:val="center"/>
              <w:ind w:left="1990"/>
              <w:spacing w:after="0"/>
              <w:rPr>
                <w:sz w:val="20"/>
                <w:szCs w:val="20"/>
                <w:color w:val="auto"/>
              </w:rPr>
            </w:pPr>
            <w:r>
              <w:rPr>
                <w:rFonts w:ascii="Arial" w:cs="Arial" w:eastAsia="Arial" w:hAnsi="Arial"/>
                <w:sz w:val="17"/>
                <w:szCs w:val="17"/>
                <w:b w:val="1"/>
                <w:bCs w:val="1"/>
                <w:color w:val="auto"/>
              </w:rPr>
              <w:t>CONDENSED CONSOLIDATED BALANCE SHEETS (UNAUDITED)</w:t>
            </w:r>
          </w:p>
        </w:tc>
        <w:tc>
          <w:tcPr>
            <w:tcW w:w="10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25"/>
        </w:trPr>
        <w:tc>
          <w:tcPr>
            <w:tcW w:w="7500" w:type="dxa"/>
            <w:vAlign w:val="bottom"/>
            <w:gridSpan w:val="2"/>
          </w:tcPr>
          <w:p>
            <w:pPr>
              <w:ind w:left="20"/>
              <w:spacing w:after="0"/>
              <w:rPr>
                <w:sz w:val="20"/>
                <w:szCs w:val="20"/>
                <w:color w:val="auto"/>
              </w:rPr>
            </w:pPr>
            <w:r>
              <w:rPr>
                <w:rFonts w:ascii="Arial" w:cs="Arial" w:eastAsia="Arial" w:hAnsi="Arial"/>
                <w:sz w:val="12"/>
                <w:szCs w:val="12"/>
                <w:color w:val="auto"/>
              </w:rPr>
              <w:t>(In millions, except for shares)</w:t>
            </w:r>
          </w:p>
        </w:tc>
        <w:tc>
          <w:tcPr>
            <w:tcW w:w="900" w:type="dxa"/>
            <w:vAlign w:val="bottom"/>
          </w:tcPr>
          <w:p>
            <w:pPr>
              <w:spacing w:after="0"/>
              <w:rPr>
                <w:sz w:val="19"/>
                <w:szCs w:val="19"/>
                <w:color w:val="auto"/>
              </w:rPr>
            </w:pPr>
          </w:p>
        </w:tc>
        <w:tc>
          <w:tcPr>
            <w:tcW w:w="1060" w:type="dxa"/>
            <w:vAlign w:val="bottom"/>
          </w:tcPr>
          <w:p>
            <w:pPr>
              <w:jc w:val="right"/>
              <w:ind w:right="100"/>
              <w:spacing w:after="0"/>
              <w:rPr>
                <w:sz w:val="20"/>
                <w:szCs w:val="20"/>
                <w:color w:val="auto"/>
              </w:rPr>
            </w:pPr>
            <w:r>
              <w:rPr>
                <w:rFonts w:ascii="Arial" w:cs="Arial" w:eastAsia="Arial" w:hAnsi="Arial"/>
                <w:sz w:val="12"/>
                <w:szCs w:val="12"/>
                <w:b w:val="1"/>
                <w:bCs w:val="1"/>
                <w:color w:val="auto"/>
              </w:rPr>
              <w:t>April 30, 2026</w:t>
            </w: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2"/>
                <w:szCs w:val="12"/>
                <w:b w:val="1"/>
                <w:bCs w:val="1"/>
                <w:color w:val="auto"/>
              </w:rPr>
              <w:t>October 31, 2025</w:t>
            </w: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67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66"/>
        </w:trPr>
        <w:tc>
          <w:tcPr>
            <w:tcW w:w="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Assets</w:t>
            </w:r>
          </w:p>
        </w:tc>
        <w:tc>
          <w:tcPr>
            <w:tcW w:w="67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spacing w:after="0"/>
              <w:rPr>
                <w:sz w:val="14"/>
                <w:szCs w:val="14"/>
                <w:color w:val="auto"/>
              </w:rPr>
            </w:pPr>
          </w:p>
        </w:tc>
      </w:tr>
      <w:tr>
        <w:trPr>
          <w:trHeight w:val="167"/>
        </w:trPr>
        <w:tc>
          <w:tcPr>
            <w:tcW w:w="7500" w:type="dxa"/>
            <w:vAlign w:val="bottom"/>
            <w:gridSpan w:val="2"/>
          </w:tcPr>
          <w:p>
            <w:pPr>
              <w:ind w:left="20"/>
              <w:spacing w:after="0"/>
              <w:rPr>
                <w:sz w:val="20"/>
                <w:szCs w:val="20"/>
                <w:color w:val="auto"/>
              </w:rPr>
            </w:pPr>
            <w:r>
              <w:rPr>
                <w:rFonts w:ascii="Arial" w:cs="Arial" w:eastAsia="Arial" w:hAnsi="Arial"/>
                <w:sz w:val="12"/>
                <w:szCs w:val="12"/>
                <w:color w:val="auto"/>
              </w:rPr>
              <w:t>Current assets:</w:t>
            </w: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6"/>
        </w:trPr>
        <w:tc>
          <w:tcPr>
            <w:tcW w:w="750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73"/>
        </w:trPr>
        <w:tc>
          <w:tcPr>
            <w:tcW w:w="75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2"/>
                <w:szCs w:val="12"/>
                <w:color w:val="auto"/>
              </w:rPr>
              <w:t>Cash and cash equivalents</w:t>
            </w:r>
          </w:p>
        </w:tc>
        <w:tc>
          <w:tcPr>
            <w:tcW w:w="900" w:type="dxa"/>
            <w:vAlign w:val="bottom"/>
            <w:tcBorders>
              <w:bottom w:val="single" w:sz="8" w:color="CCEEFF"/>
            </w:tcBorders>
            <w:shd w:val="clear" w:color="auto" w:fill="CCEEFF"/>
          </w:tcPr>
          <w:p>
            <w:pPr>
              <w:jc w:val="right"/>
              <w:ind w:right="600"/>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2"/>
                <w:szCs w:val="12"/>
                <w:color w:val="auto"/>
              </w:rPr>
              <w:t>33.0</w:t>
            </w:r>
          </w:p>
        </w:tc>
        <w:tc>
          <w:tcPr>
            <w:tcW w:w="500" w:type="dxa"/>
            <w:vAlign w:val="bottom"/>
            <w:tcBorders>
              <w:bottom w:val="single" w:sz="8" w:color="CCEEFF"/>
            </w:tcBorders>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64.8</w:t>
            </w:r>
          </w:p>
        </w:tc>
      </w:tr>
      <w:tr>
        <w:trPr>
          <w:trHeight w:val="167"/>
        </w:trPr>
        <w:tc>
          <w:tcPr>
            <w:tcW w:w="7500" w:type="dxa"/>
            <w:vAlign w:val="bottom"/>
            <w:gridSpan w:val="2"/>
          </w:tcPr>
          <w:p>
            <w:pPr>
              <w:ind w:left="220"/>
              <w:spacing w:after="0"/>
              <w:rPr>
                <w:sz w:val="20"/>
                <w:szCs w:val="20"/>
                <w:color w:val="auto"/>
              </w:rPr>
            </w:pPr>
            <w:r>
              <w:rPr>
                <w:rFonts w:ascii="Arial" w:cs="Arial" w:eastAsia="Arial" w:hAnsi="Arial"/>
                <w:sz w:val="12"/>
                <w:szCs w:val="12"/>
                <w:color w:val="auto"/>
              </w:rPr>
              <w:t>Restricted cash</w:t>
            </w:r>
          </w:p>
        </w:tc>
        <w:tc>
          <w:tcPr>
            <w:tcW w:w="900" w:type="dxa"/>
            <w:vAlign w:val="bottom"/>
          </w:tcPr>
          <w:p>
            <w:pPr>
              <w:spacing w:after="0"/>
              <w:rPr>
                <w:sz w:val="14"/>
                <w:szCs w:val="14"/>
                <w:color w:val="auto"/>
              </w:rPr>
            </w:pPr>
          </w:p>
        </w:tc>
        <w:tc>
          <w:tcPr>
            <w:tcW w:w="1060" w:type="dxa"/>
            <w:vAlign w:val="bottom"/>
          </w:tcPr>
          <w:p>
            <w:pPr>
              <w:jc w:val="right"/>
              <w:ind w:right="140"/>
              <w:spacing w:after="0"/>
              <w:rPr>
                <w:sz w:val="20"/>
                <w:szCs w:val="20"/>
                <w:color w:val="auto"/>
              </w:rPr>
            </w:pPr>
            <w:r>
              <w:rPr>
                <w:rFonts w:ascii="Arial" w:cs="Arial" w:eastAsia="Arial" w:hAnsi="Arial"/>
                <w:sz w:val="12"/>
                <w:szCs w:val="12"/>
                <w:color w:val="auto"/>
              </w:rPr>
              <w:t>2.1</w:t>
            </w:r>
          </w:p>
        </w:tc>
        <w:tc>
          <w:tcPr>
            <w:tcW w:w="5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1.7</w:t>
            </w:r>
          </w:p>
        </w:tc>
      </w:tr>
      <w:tr>
        <w:trPr>
          <w:trHeight w:val="26"/>
        </w:trPr>
        <w:tc>
          <w:tcPr>
            <w:tcW w:w="750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73"/>
        </w:trPr>
        <w:tc>
          <w:tcPr>
            <w:tcW w:w="75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2"/>
                <w:szCs w:val="12"/>
                <w:color w:val="auto"/>
              </w:rPr>
              <w:t>Accounts receivable</w:t>
            </w:r>
          </w:p>
        </w:tc>
        <w:tc>
          <w:tcPr>
            <w:tcW w:w="9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r>
      <w:tr>
        <w:trPr>
          <w:trHeight w:val="167"/>
        </w:trPr>
        <w:tc>
          <w:tcPr>
            <w:tcW w:w="7500" w:type="dxa"/>
            <w:vAlign w:val="bottom"/>
            <w:gridSpan w:val="2"/>
          </w:tcPr>
          <w:p>
            <w:pPr>
              <w:ind w:left="440"/>
              <w:spacing w:after="0"/>
              <w:rPr>
                <w:sz w:val="20"/>
                <w:szCs w:val="20"/>
                <w:color w:val="auto"/>
              </w:rPr>
            </w:pPr>
            <w:r>
              <w:rPr>
                <w:rFonts w:ascii="Arial" w:cs="Arial" w:eastAsia="Arial" w:hAnsi="Arial"/>
                <w:sz w:val="12"/>
                <w:szCs w:val="12"/>
                <w:color w:val="auto"/>
              </w:rPr>
              <w:t>Trade, net of allowances of $0.6 and $0.7, respectively</w:t>
            </w:r>
          </w:p>
        </w:tc>
        <w:tc>
          <w:tcPr>
            <w:tcW w:w="900" w:type="dxa"/>
            <w:vAlign w:val="bottom"/>
          </w:tcPr>
          <w:p>
            <w:pPr>
              <w:spacing w:after="0"/>
              <w:rPr>
                <w:sz w:val="14"/>
                <w:szCs w:val="14"/>
                <w:color w:val="auto"/>
              </w:rPr>
            </w:pPr>
          </w:p>
        </w:tc>
        <w:tc>
          <w:tcPr>
            <w:tcW w:w="1060" w:type="dxa"/>
            <w:vAlign w:val="bottom"/>
          </w:tcPr>
          <w:p>
            <w:pPr>
              <w:jc w:val="right"/>
              <w:ind w:right="140"/>
              <w:spacing w:after="0"/>
              <w:rPr>
                <w:sz w:val="20"/>
                <w:szCs w:val="20"/>
                <w:color w:val="auto"/>
              </w:rPr>
            </w:pPr>
            <w:r>
              <w:rPr>
                <w:rFonts w:ascii="Arial" w:cs="Arial" w:eastAsia="Arial" w:hAnsi="Arial"/>
                <w:sz w:val="12"/>
                <w:szCs w:val="12"/>
                <w:color w:val="auto"/>
              </w:rPr>
              <w:t>91.6</w:t>
            </w:r>
          </w:p>
        </w:tc>
        <w:tc>
          <w:tcPr>
            <w:tcW w:w="5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80.5</w:t>
            </w:r>
          </w:p>
        </w:tc>
      </w:tr>
      <w:tr>
        <w:trPr>
          <w:trHeight w:val="26"/>
        </w:trPr>
        <w:tc>
          <w:tcPr>
            <w:tcW w:w="750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73"/>
        </w:trPr>
        <w:tc>
          <w:tcPr>
            <w:tcW w:w="750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2"/>
                <w:szCs w:val="12"/>
                <w:color w:val="auto"/>
              </w:rPr>
              <w:t>Grower and fruit advances</w:t>
            </w:r>
          </w:p>
        </w:tc>
        <w:tc>
          <w:tcPr>
            <w:tcW w:w="9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2"/>
                <w:szCs w:val="12"/>
                <w:color w:val="auto"/>
              </w:rPr>
              <w:t>2.7</w:t>
            </w:r>
          </w:p>
        </w:tc>
        <w:tc>
          <w:tcPr>
            <w:tcW w:w="5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2.7</w:t>
            </w:r>
          </w:p>
        </w:tc>
      </w:tr>
      <w:tr>
        <w:trPr>
          <w:trHeight w:val="167"/>
        </w:trPr>
        <w:tc>
          <w:tcPr>
            <w:tcW w:w="780" w:type="dxa"/>
            <w:vAlign w:val="bottom"/>
          </w:tcPr>
          <w:p>
            <w:pPr>
              <w:ind w:left="440"/>
              <w:spacing w:after="0"/>
              <w:rPr>
                <w:sz w:val="20"/>
                <w:szCs w:val="20"/>
                <w:color w:val="auto"/>
              </w:rPr>
            </w:pPr>
            <w:r>
              <w:rPr>
                <w:rFonts w:ascii="Arial" w:cs="Arial" w:eastAsia="Arial" w:hAnsi="Arial"/>
                <w:sz w:val="12"/>
                <w:szCs w:val="12"/>
                <w:color w:val="auto"/>
              </w:rPr>
              <w:t>Other</w:t>
            </w:r>
          </w:p>
        </w:tc>
        <w:tc>
          <w:tcPr>
            <w:tcW w:w="6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jc w:val="right"/>
              <w:ind w:right="140"/>
              <w:spacing w:after="0"/>
              <w:rPr>
                <w:sz w:val="20"/>
                <w:szCs w:val="20"/>
                <w:color w:val="auto"/>
              </w:rPr>
            </w:pPr>
            <w:r>
              <w:rPr>
                <w:rFonts w:ascii="Arial" w:cs="Arial" w:eastAsia="Arial" w:hAnsi="Arial"/>
                <w:sz w:val="12"/>
                <w:szCs w:val="12"/>
                <w:color w:val="auto"/>
              </w:rPr>
              <w:t>14.4</w:t>
            </w:r>
          </w:p>
        </w:tc>
        <w:tc>
          <w:tcPr>
            <w:tcW w:w="5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14.6</w:t>
            </w:r>
          </w:p>
        </w:tc>
      </w:tr>
      <w:tr>
        <w:trPr>
          <w:trHeight w:val="26"/>
        </w:trPr>
        <w:tc>
          <w:tcPr>
            <w:tcW w:w="7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73"/>
        </w:trPr>
        <w:tc>
          <w:tcPr>
            <w:tcW w:w="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2"/>
                <w:szCs w:val="12"/>
                <w:color w:val="auto"/>
              </w:rPr>
              <w:t>Inventory</w:t>
            </w:r>
          </w:p>
        </w:tc>
        <w:tc>
          <w:tcPr>
            <w:tcW w:w="67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2"/>
                <w:szCs w:val="12"/>
                <w:color w:val="auto"/>
              </w:rPr>
              <w:t>116.6</w:t>
            </w:r>
          </w:p>
        </w:tc>
        <w:tc>
          <w:tcPr>
            <w:tcW w:w="5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80.6</w:t>
            </w:r>
          </w:p>
        </w:tc>
      </w:tr>
      <w:tr>
        <w:trPr>
          <w:trHeight w:val="167"/>
        </w:trPr>
        <w:tc>
          <w:tcPr>
            <w:tcW w:w="7500" w:type="dxa"/>
            <w:vAlign w:val="bottom"/>
            <w:gridSpan w:val="2"/>
          </w:tcPr>
          <w:p>
            <w:pPr>
              <w:ind w:left="220"/>
              <w:spacing w:after="0"/>
              <w:rPr>
                <w:sz w:val="20"/>
                <w:szCs w:val="20"/>
                <w:color w:val="auto"/>
              </w:rPr>
            </w:pPr>
            <w:r>
              <w:rPr>
                <w:rFonts w:ascii="Arial" w:cs="Arial" w:eastAsia="Arial" w:hAnsi="Arial"/>
                <w:sz w:val="12"/>
                <w:szCs w:val="12"/>
                <w:color w:val="auto"/>
              </w:rPr>
              <w:t>Prepaid expenses and other current assets</w:t>
            </w:r>
          </w:p>
        </w:tc>
        <w:tc>
          <w:tcPr>
            <w:tcW w:w="900" w:type="dxa"/>
            <w:vAlign w:val="bottom"/>
          </w:tcPr>
          <w:p>
            <w:pPr>
              <w:spacing w:after="0"/>
              <w:rPr>
                <w:sz w:val="14"/>
                <w:szCs w:val="14"/>
                <w:color w:val="auto"/>
              </w:rPr>
            </w:pPr>
          </w:p>
        </w:tc>
        <w:tc>
          <w:tcPr>
            <w:tcW w:w="1060" w:type="dxa"/>
            <w:vAlign w:val="bottom"/>
          </w:tcPr>
          <w:p>
            <w:pPr>
              <w:jc w:val="right"/>
              <w:ind w:right="140"/>
              <w:spacing w:after="0"/>
              <w:rPr>
                <w:sz w:val="20"/>
                <w:szCs w:val="20"/>
                <w:color w:val="auto"/>
              </w:rPr>
            </w:pPr>
            <w:r>
              <w:rPr>
                <w:rFonts w:ascii="Arial" w:cs="Arial" w:eastAsia="Arial" w:hAnsi="Arial"/>
                <w:sz w:val="12"/>
                <w:szCs w:val="12"/>
                <w:color w:val="auto"/>
              </w:rPr>
              <w:t>8.9</w:t>
            </w:r>
          </w:p>
        </w:tc>
        <w:tc>
          <w:tcPr>
            <w:tcW w:w="5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8.5</w:t>
            </w:r>
          </w:p>
        </w:tc>
      </w:tr>
      <w:tr>
        <w:trPr>
          <w:trHeight w:val="26"/>
        </w:trPr>
        <w:tc>
          <w:tcPr>
            <w:tcW w:w="750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8"/>
        </w:trPr>
        <w:tc>
          <w:tcPr>
            <w:tcW w:w="75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2"/>
                <w:szCs w:val="12"/>
                <w:color w:val="auto"/>
              </w:rPr>
              <w:t>Income taxes receivable</w:t>
            </w:r>
          </w:p>
        </w:tc>
        <w:tc>
          <w:tcPr>
            <w:tcW w:w="9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2"/>
                <w:szCs w:val="12"/>
                <w:color w:val="auto"/>
              </w:rPr>
              <w:t>14.3</w:t>
            </w:r>
          </w:p>
        </w:tc>
        <w:tc>
          <w:tcPr>
            <w:tcW w:w="5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8.8</w:t>
            </w:r>
          </w:p>
        </w:tc>
      </w:tr>
      <w:tr>
        <w:trPr>
          <w:trHeight w:val="160"/>
        </w:trPr>
        <w:tc>
          <w:tcPr>
            <w:tcW w:w="7500" w:type="dxa"/>
            <w:vAlign w:val="bottom"/>
            <w:tcBorders>
              <w:top w:val="single" w:sz="8" w:color="auto"/>
            </w:tcBorders>
            <w:gridSpan w:val="2"/>
          </w:tcPr>
          <w:p>
            <w:pPr>
              <w:ind w:left="20"/>
              <w:spacing w:after="0"/>
              <w:rPr>
                <w:sz w:val="20"/>
                <w:szCs w:val="20"/>
                <w:color w:val="auto"/>
              </w:rPr>
            </w:pPr>
            <w:r>
              <w:rPr>
                <w:rFonts w:ascii="Arial" w:cs="Arial" w:eastAsia="Arial" w:hAnsi="Arial"/>
                <w:sz w:val="12"/>
                <w:szCs w:val="12"/>
                <w:color w:val="auto"/>
              </w:rPr>
              <w:t>Total current assets</w:t>
            </w:r>
          </w:p>
        </w:tc>
        <w:tc>
          <w:tcPr>
            <w:tcW w:w="9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140"/>
              <w:spacing w:after="0"/>
              <w:rPr>
                <w:sz w:val="20"/>
                <w:szCs w:val="20"/>
                <w:color w:val="auto"/>
              </w:rPr>
            </w:pPr>
            <w:r>
              <w:rPr>
                <w:rFonts w:ascii="Arial" w:cs="Arial" w:eastAsia="Arial" w:hAnsi="Arial"/>
                <w:sz w:val="12"/>
                <w:szCs w:val="12"/>
                <w:color w:val="auto"/>
              </w:rPr>
              <w:t>283.6</w:t>
            </w:r>
          </w:p>
        </w:tc>
        <w:tc>
          <w:tcPr>
            <w:tcW w:w="5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262.2</w:t>
            </w:r>
          </w:p>
        </w:tc>
      </w:tr>
      <w:tr>
        <w:trPr>
          <w:trHeight w:val="26"/>
        </w:trPr>
        <w:tc>
          <w:tcPr>
            <w:tcW w:w="750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73"/>
        </w:trPr>
        <w:tc>
          <w:tcPr>
            <w:tcW w:w="7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Property, plant and equipment, net</w:t>
            </w:r>
          </w:p>
        </w:tc>
        <w:tc>
          <w:tcPr>
            <w:tcW w:w="9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2"/>
                <w:szCs w:val="12"/>
                <w:color w:val="auto"/>
              </w:rPr>
              <w:t>544.7</w:t>
            </w:r>
          </w:p>
        </w:tc>
        <w:tc>
          <w:tcPr>
            <w:tcW w:w="5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542.2</w:t>
            </w:r>
          </w:p>
        </w:tc>
      </w:tr>
      <w:tr>
        <w:trPr>
          <w:trHeight w:val="167"/>
        </w:trPr>
        <w:tc>
          <w:tcPr>
            <w:tcW w:w="7500" w:type="dxa"/>
            <w:vAlign w:val="bottom"/>
            <w:gridSpan w:val="2"/>
          </w:tcPr>
          <w:p>
            <w:pPr>
              <w:ind w:left="20"/>
              <w:spacing w:after="0"/>
              <w:rPr>
                <w:sz w:val="20"/>
                <w:szCs w:val="20"/>
                <w:color w:val="auto"/>
              </w:rPr>
            </w:pPr>
            <w:r>
              <w:rPr>
                <w:rFonts w:ascii="Arial" w:cs="Arial" w:eastAsia="Arial" w:hAnsi="Arial"/>
                <w:sz w:val="12"/>
                <w:szCs w:val="12"/>
                <w:color w:val="auto"/>
              </w:rPr>
              <w:t>Operating lease right-of-use assets</w:t>
            </w:r>
          </w:p>
        </w:tc>
        <w:tc>
          <w:tcPr>
            <w:tcW w:w="900" w:type="dxa"/>
            <w:vAlign w:val="bottom"/>
          </w:tcPr>
          <w:p>
            <w:pPr>
              <w:spacing w:after="0"/>
              <w:rPr>
                <w:sz w:val="14"/>
                <w:szCs w:val="14"/>
                <w:color w:val="auto"/>
              </w:rPr>
            </w:pPr>
          </w:p>
        </w:tc>
        <w:tc>
          <w:tcPr>
            <w:tcW w:w="1060" w:type="dxa"/>
            <w:vAlign w:val="bottom"/>
          </w:tcPr>
          <w:p>
            <w:pPr>
              <w:jc w:val="right"/>
              <w:ind w:right="140"/>
              <w:spacing w:after="0"/>
              <w:rPr>
                <w:sz w:val="20"/>
                <w:szCs w:val="20"/>
                <w:color w:val="auto"/>
              </w:rPr>
            </w:pPr>
            <w:r>
              <w:rPr>
                <w:rFonts w:ascii="Arial" w:cs="Arial" w:eastAsia="Arial" w:hAnsi="Arial"/>
                <w:sz w:val="12"/>
                <w:szCs w:val="12"/>
                <w:color w:val="auto"/>
              </w:rPr>
              <w:t>65.7</w:t>
            </w:r>
          </w:p>
        </w:tc>
        <w:tc>
          <w:tcPr>
            <w:tcW w:w="5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67.7</w:t>
            </w:r>
          </w:p>
        </w:tc>
      </w:tr>
      <w:tr>
        <w:trPr>
          <w:trHeight w:val="26"/>
        </w:trPr>
        <w:tc>
          <w:tcPr>
            <w:tcW w:w="750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73"/>
        </w:trPr>
        <w:tc>
          <w:tcPr>
            <w:tcW w:w="7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Equity method investees</w:t>
            </w:r>
          </w:p>
        </w:tc>
        <w:tc>
          <w:tcPr>
            <w:tcW w:w="9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2"/>
                <w:szCs w:val="12"/>
                <w:color w:val="auto"/>
              </w:rPr>
              <w:t>33.1</w:t>
            </w:r>
          </w:p>
        </w:tc>
        <w:tc>
          <w:tcPr>
            <w:tcW w:w="5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34.8</w:t>
            </w:r>
          </w:p>
        </w:tc>
      </w:tr>
      <w:tr>
        <w:trPr>
          <w:trHeight w:val="167"/>
        </w:trPr>
        <w:tc>
          <w:tcPr>
            <w:tcW w:w="7500" w:type="dxa"/>
            <w:vAlign w:val="bottom"/>
            <w:gridSpan w:val="2"/>
          </w:tcPr>
          <w:p>
            <w:pPr>
              <w:ind w:left="20"/>
              <w:spacing w:after="0"/>
              <w:rPr>
                <w:sz w:val="20"/>
                <w:szCs w:val="20"/>
                <w:color w:val="auto"/>
              </w:rPr>
            </w:pPr>
            <w:r>
              <w:rPr>
                <w:rFonts w:ascii="Arial" w:cs="Arial" w:eastAsia="Arial" w:hAnsi="Arial"/>
                <w:sz w:val="12"/>
                <w:szCs w:val="12"/>
                <w:color w:val="auto"/>
              </w:rPr>
              <w:t>Deferred income tax assets, net</w:t>
            </w:r>
          </w:p>
        </w:tc>
        <w:tc>
          <w:tcPr>
            <w:tcW w:w="900" w:type="dxa"/>
            <w:vAlign w:val="bottom"/>
          </w:tcPr>
          <w:p>
            <w:pPr>
              <w:spacing w:after="0"/>
              <w:rPr>
                <w:sz w:val="14"/>
                <w:szCs w:val="14"/>
                <w:color w:val="auto"/>
              </w:rPr>
            </w:pPr>
          </w:p>
        </w:tc>
        <w:tc>
          <w:tcPr>
            <w:tcW w:w="1060" w:type="dxa"/>
            <w:vAlign w:val="bottom"/>
          </w:tcPr>
          <w:p>
            <w:pPr>
              <w:jc w:val="right"/>
              <w:ind w:right="140"/>
              <w:spacing w:after="0"/>
              <w:rPr>
                <w:sz w:val="20"/>
                <w:szCs w:val="20"/>
                <w:color w:val="auto"/>
              </w:rPr>
            </w:pPr>
            <w:r>
              <w:rPr>
                <w:rFonts w:ascii="Arial" w:cs="Arial" w:eastAsia="Arial" w:hAnsi="Arial"/>
                <w:sz w:val="12"/>
                <w:szCs w:val="12"/>
                <w:color w:val="auto"/>
              </w:rPr>
              <w:t>10.5</w:t>
            </w:r>
          </w:p>
        </w:tc>
        <w:tc>
          <w:tcPr>
            <w:tcW w:w="5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10.2</w:t>
            </w:r>
          </w:p>
        </w:tc>
      </w:tr>
      <w:tr>
        <w:trPr>
          <w:trHeight w:val="26"/>
        </w:trPr>
        <w:tc>
          <w:tcPr>
            <w:tcW w:w="7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73"/>
        </w:trPr>
        <w:tc>
          <w:tcPr>
            <w:tcW w:w="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Goodwill</w:t>
            </w:r>
          </w:p>
        </w:tc>
        <w:tc>
          <w:tcPr>
            <w:tcW w:w="67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2"/>
                <w:szCs w:val="12"/>
                <w:color w:val="auto"/>
              </w:rPr>
              <w:t>39.4</w:t>
            </w:r>
          </w:p>
        </w:tc>
        <w:tc>
          <w:tcPr>
            <w:tcW w:w="5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39.4</w:t>
            </w:r>
          </w:p>
        </w:tc>
      </w:tr>
      <w:tr>
        <w:trPr>
          <w:trHeight w:val="167"/>
        </w:trPr>
        <w:tc>
          <w:tcPr>
            <w:tcW w:w="780" w:type="dxa"/>
            <w:vAlign w:val="bottom"/>
          </w:tcPr>
          <w:p>
            <w:pPr>
              <w:ind w:left="20"/>
              <w:spacing w:after="0"/>
              <w:rPr>
                <w:sz w:val="20"/>
                <w:szCs w:val="20"/>
                <w:color w:val="auto"/>
              </w:rPr>
            </w:pPr>
            <w:r>
              <w:rPr>
                <w:rFonts w:ascii="Arial" w:cs="Arial" w:eastAsia="Arial" w:hAnsi="Arial"/>
                <w:sz w:val="12"/>
                <w:szCs w:val="12"/>
                <w:color w:val="auto"/>
              </w:rPr>
              <w:t>Other assets</w:t>
            </w:r>
          </w:p>
        </w:tc>
        <w:tc>
          <w:tcPr>
            <w:tcW w:w="6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jc w:val="right"/>
              <w:ind w:right="140"/>
              <w:spacing w:after="0"/>
              <w:rPr>
                <w:sz w:val="20"/>
                <w:szCs w:val="20"/>
                <w:color w:val="auto"/>
              </w:rPr>
            </w:pPr>
            <w:r>
              <w:rPr>
                <w:rFonts w:ascii="Arial" w:cs="Arial" w:eastAsia="Arial" w:hAnsi="Arial"/>
                <w:sz w:val="12"/>
                <w:szCs w:val="12"/>
                <w:color w:val="auto"/>
              </w:rPr>
              <w:t>31.2</w:t>
            </w:r>
          </w:p>
        </w:tc>
        <w:tc>
          <w:tcPr>
            <w:tcW w:w="5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26.5</w:t>
            </w:r>
          </w:p>
        </w:tc>
      </w:tr>
      <w:tr>
        <w:trPr>
          <w:trHeight w:val="26"/>
        </w:trPr>
        <w:tc>
          <w:tcPr>
            <w:tcW w:w="780" w:type="dxa"/>
            <w:vAlign w:val="bottom"/>
            <w:tcBorders>
              <w:bottom w:val="single" w:sz="8" w:color="auto"/>
            </w:tcBorders>
          </w:tcPr>
          <w:p>
            <w:pPr>
              <w:spacing w:after="0"/>
              <w:rPr>
                <w:sz w:val="2"/>
                <w:szCs w:val="2"/>
                <w:color w:val="auto"/>
              </w:rPr>
            </w:pPr>
          </w:p>
        </w:tc>
        <w:tc>
          <w:tcPr>
            <w:tcW w:w="6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1"/>
        </w:trPr>
        <w:tc>
          <w:tcPr>
            <w:tcW w:w="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assets</w:t>
            </w:r>
          </w:p>
        </w:tc>
        <w:tc>
          <w:tcPr>
            <w:tcW w:w="67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600"/>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2"/>
                <w:szCs w:val="12"/>
                <w:color w:val="auto"/>
              </w:rPr>
              <w:t>1,008.2</w:t>
            </w:r>
          </w:p>
        </w:tc>
        <w:tc>
          <w:tcPr>
            <w:tcW w:w="500" w:type="dxa"/>
            <w:vAlign w:val="bottom"/>
            <w:tcBorders>
              <w:bottom w:val="single" w:sz="8" w:color="CCEEFF"/>
            </w:tcBorders>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983.0</w:t>
            </w:r>
          </w:p>
        </w:tc>
      </w:tr>
      <w:tr>
        <w:trPr>
          <w:trHeight w:val="135"/>
        </w:trPr>
        <w:tc>
          <w:tcPr>
            <w:tcW w:w="780" w:type="dxa"/>
            <w:vAlign w:val="bottom"/>
            <w:tcBorders>
              <w:top w:val="single" w:sz="8" w:color="auto"/>
            </w:tcBorders>
          </w:tcPr>
          <w:p>
            <w:pPr>
              <w:spacing w:after="0"/>
              <w:rPr>
                <w:sz w:val="11"/>
                <w:szCs w:val="11"/>
                <w:color w:val="auto"/>
              </w:rPr>
            </w:pPr>
          </w:p>
        </w:tc>
        <w:tc>
          <w:tcPr>
            <w:tcW w:w="67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r>
      <w:tr>
        <w:trPr>
          <w:trHeight w:val="173"/>
        </w:trPr>
        <w:tc>
          <w:tcPr>
            <w:tcW w:w="7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Liabilities and Equity</w:t>
            </w:r>
          </w:p>
        </w:tc>
        <w:tc>
          <w:tcPr>
            <w:tcW w:w="9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r>
      <w:tr>
        <w:trPr>
          <w:trHeight w:val="167"/>
        </w:trPr>
        <w:tc>
          <w:tcPr>
            <w:tcW w:w="7500" w:type="dxa"/>
            <w:vAlign w:val="bottom"/>
            <w:gridSpan w:val="2"/>
          </w:tcPr>
          <w:p>
            <w:pPr>
              <w:ind w:left="20"/>
              <w:spacing w:after="0"/>
              <w:rPr>
                <w:sz w:val="20"/>
                <w:szCs w:val="20"/>
                <w:color w:val="auto"/>
              </w:rPr>
            </w:pPr>
            <w:r>
              <w:rPr>
                <w:rFonts w:ascii="Arial" w:cs="Arial" w:eastAsia="Arial" w:hAnsi="Arial"/>
                <w:sz w:val="12"/>
                <w:szCs w:val="12"/>
                <w:color w:val="auto"/>
              </w:rPr>
              <w:t>Current liabilities:</w:t>
            </w: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6"/>
        </w:trPr>
        <w:tc>
          <w:tcPr>
            <w:tcW w:w="750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73"/>
        </w:trPr>
        <w:tc>
          <w:tcPr>
            <w:tcW w:w="75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2"/>
                <w:szCs w:val="12"/>
                <w:color w:val="auto"/>
              </w:rPr>
              <w:t>Accounts payable</w:t>
            </w:r>
          </w:p>
        </w:tc>
        <w:tc>
          <w:tcPr>
            <w:tcW w:w="900" w:type="dxa"/>
            <w:vAlign w:val="bottom"/>
            <w:tcBorders>
              <w:bottom w:val="single" w:sz="8" w:color="CCEEFF"/>
            </w:tcBorders>
            <w:shd w:val="clear" w:color="auto" w:fill="CCEEFF"/>
          </w:tcPr>
          <w:p>
            <w:pPr>
              <w:jc w:val="right"/>
              <w:ind w:right="600"/>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2"/>
                <w:szCs w:val="12"/>
                <w:color w:val="auto"/>
              </w:rPr>
              <w:t>46.5</w:t>
            </w:r>
          </w:p>
        </w:tc>
        <w:tc>
          <w:tcPr>
            <w:tcW w:w="500" w:type="dxa"/>
            <w:vAlign w:val="bottom"/>
            <w:tcBorders>
              <w:bottom w:val="single" w:sz="8" w:color="CCEEFF"/>
            </w:tcBorders>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47.3</w:t>
            </w:r>
          </w:p>
        </w:tc>
      </w:tr>
      <w:tr>
        <w:trPr>
          <w:trHeight w:val="167"/>
        </w:trPr>
        <w:tc>
          <w:tcPr>
            <w:tcW w:w="7500" w:type="dxa"/>
            <w:vAlign w:val="bottom"/>
            <w:gridSpan w:val="2"/>
          </w:tcPr>
          <w:p>
            <w:pPr>
              <w:ind w:left="220"/>
              <w:spacing w:after="0"/>
              <w:rPr>
                <w:sz w:val="20"/>
                <w:szCs w:val="20"/>
                <w:color w:val="auto"/>
              </w:rPr>
            </w:pPr>
            <w:r>
              <w:rPr>
                <w:rFonts w:ascii="Arial" w:cs="Arial" w:eastAsia="Arial" w:hAnsi="Arial"/>
                <w:sz w:val="12"/>
                <w:szCs w:val="12"/>
                <w:color w:val="auto"/>
              </w:rPr>
              <w:t>Accrued expenses</w:t>
            </w:r>
          </w:p>
        </w:tc>
        <w:tc>
          <w:tcPr>
            <w:tcW w:w="900" w:type="dxa"/>
            <w:vAlign w:val="bottom"/>
          </w:tcPr>
          <w:p>
            <w:pPr>
              <w:spacing w:after="0"/>
              <w:rPr>
                <w:sz w:val="14"/>
                <w:szCs w:val="14"/>
                <w:color w:val="auto"/>
              </w:rPr>
            </w:pPr>
          </w:p>
        </w:tc>
        <w:tc>
          <w:tcPr>
            <w:tcW w:w="1060" w:type="dxa"/>
            <w:vAlign w:val="bottom"/>
          </w:tcPr>
          <w:p>
            <w:pPr>
              <w:jc w:val="right"/>
              <w:ind w:right="140"/>
              <w:spacing w:after="0"/>
              <w:rPr>
                <w:sz w:val="20"/>
                <w:szCs w:val="20"/>
                <w:color w:val="auto"/>
              </w:rPr>
            </w:pPr>
            <w:r>
              <w:rPr>
                <w:rFonts w:ascii="Arial" w:cs="Arial" w:eastAsia="Arial" w:hAnsi="Arial"/>
                <w:sz w:val="12"/>
                <w:szCs w:val="12"/>
                <w:color w:val="auto"/>
              </w:rPr>
              <w:t>45.7</w:t>
            </w:r>
          </w:p>
        </w:tc>
        <w:tc>
          <w:tcPr>
            <w:tcW w:w="5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38.9</w:t>
            </w:r>
          </w:p>
        </w:tc>
      </w:tr>
      <w:tr>
        <w:trPr>
          <w:trHeight w:val="26"/>
        </w:trPr>
        <w:tc>
          <w:tcPr>
            <w:tcW w:w="750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73"/>
        </w:trPr>
        <w:tc>
          <w:tcPr>
            <w:tcW w:w="75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2"/>
                <w:szCs w:val="12"/>
                <w:color w:val="auto"/>
              </w:rPr>
              <w:t>Income taxes payable</w:t>
            </w:r>
          </w:p>
        </w:tc>
        <w:tc>
          <w:tcPr>
            <w:tcW w:w="9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6.8</w:t>
            </w:r>
          </w:p>
        </w:tc>
      </w:tr>
      <w:tr>
        <w:trPr>
          <w:trHeight w:val="167"/>
        </w:trPr>
        <w:tc>
          <w:tcPr>
            <w:tcW w:w="7500" w:type="dxa"/>
            <w:vAlign w:val="bottom"/>
            <w:gridSpan w:val="2"/>
          </w:tcPr>
          <w:p>
            <w:pPr>
              <w:ind w:left="220"/>
              <w:spacing w:after="0"/>
              <w:rPr>
                <w:sz w:val="20"/>
                <w:szCs w:val="20"/>
                <w:color w:val="auto"/>
              </w:rPr>
            </w:pPr>
            <w:r>
              <w:rPr>
                <w:rFonts w:ascii="Arial" w:cs="Arial" w:eastAsia="Arial" w:hAnsi="Arial"/>
                <w:sz w:val="12"/>
                <w:szCs w:val="12"/>
                <w:color w:val="auto"/>
              </w:rPr>
              <w:t>Grower payables</w:t>
            </w:r>
          </w:p>
        </w:tc>
        <w:tc>
          <w:tcPr>
            <w:tcW w:w="900" w:type="dxa"/>
            <w:vAlign w:val="bottom"/>
          </w:tcPr>
          <w:p>
            <w:pPr>
              <w:spacing w:after="0"/>
              <w:rPr>
                <w:sz w:val="14"/>
                <w:szCs w:val="14"/>
                <w:color w:val="auto"/>
              </w:rPr>
            </w:pPr>
          </w:p>
        </w:tc>
        <w:tc>
          <w:tcPr>
            <w:tcW w:w="1060" w:type="dxa"/>
            <w:vAlign w:val="bottom"/>
          </w:tcPr>
          <w:p>
            <w:pPr>
              <w:jc w:val="right"/>
              <w:ind w:right="140"/>
              <w:spacing w:after="0"/>
              <w:rPr>
                <w:sz w:val="20"/>
                <w:szCs w:val="20"/>
                <w:color w:val="auto"/>
              </w:rPr>
            </w:pPr>
            <w:r>
              <w:rPr>
                <w:rFonts w:ascii="Arial" w:cs="Arial" w:eastAsia="Arial" w:hAnsi="Arial"/>
                <w:sz w:val="12"/>
                <w:szCs w:val="12"/>
                <w:color w:val="auto"/>
              </w:rPr>
              <w:t>41.5</w:t>
            </w:r>
          </w:p>
        </w:tc>
        <w:tc>
          <w:tcPr>
            <w:tcW w:w="5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23.8</w:t>
            </w:r>
          </w:p>
        </w:tc>
      </w:tr>
      <w:tr>
        <w:trPr>
          <w:trHeight w:val="26"/>
        </w:trPr>
        <w:tc>
          <w:tcPr>
            <w:tcW w:w="750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73"/>
        </w:trPr>
        <w:tc>
          <w:tcPr>
            <w:tcW w:w="75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2"/>
                <w:szCs w:val="12"/>
                <w:color w:val="auto"/>
              </w:rPr>
              <w:t>Short-term borrowings</w:t>
            </w:r>
          </w:p>
        </w:tc>
        <w:tc>
          <w:tcPr>
            <w:tcW w:w="9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4.5</w:t>
            </w:r>
          </w:p>
        </w:tc>
      </w:tr>
      <w:tr>
        <w:trPr>
          <w:trHeight w:val="167"/>
        </w:trPr>
        <w:tc>
          <w:tcPr>
            <w:tcW w:w="7500" w:type="dxa"/>
            <w:vAlign w:val="bottom"/>
            <w:gridSpan w:val="2"/>
          </w:tcPr>
          <w:p>
            <w:pPr>
              <w:ind w:left="220"/>
              <w:spacing w:after="0"/>
              <w:rPr>
                <w:sz w:val="20"/>
                <w:szCs w:val="20"/>
                <w:color w:val="auto"/>
              </w:rPr>
            </w:pPr>
            <w:r>
              <w:rPr>
                <w:rFonts w:ascii="Arial" w:cs="Arial" w:eastAsia="Arial" w:hAnsi="Arial"/>
                <w:sz w:val="12"/>
                <w:szCs w:val="12"/>
                <w:color w:val="auto"/>
              </w:rPr>
              <w:t>Loans from noncontrolling interest holders—current portion</w:t>
            </w:r>
          </w:p>
        </w:tc>
        <w:tc>
          <w:tcPr>
            <w:tcW w:w="900" w:type="dxa"/>
            <w:vAlign w:val="bottom"/>
          </w:tcPr>
          <w:p>
            <w:pPr>
              <w:spacing w:after="0"/>
              <w:rPr>
                <w:sz w:val="14"/>
                <w:szCs w:val="14"/>
                <w:color w:val="auto"/>
              </w:rPr>
            </w:pPr>
          </w:p>
        </w:tc>
        <w:tc>
          <w:tcPr>
            <w:tcW w:w="1060" w:type="dxa"/>
            <w:vAlign w:val="bottom"/>
          </w:tcPr>
          <w:p>
            <w:pPr>
              <w:jc w:val="right"/>
              <w:ind w:right="140"/>
              <w:spacing w:after="0"/>
              <w:rPr>
                <w:sz w:val="20"/>
                <w:szCs w:val="20"/>
                <w:color w:val="auto"/>
              </w:rPr>
            </w:pPr>
            <w:r>
              <w:rPr>
                <w:rFonts w:ascii="Arial" w:cs="Arial" w:eastAsia="Arial" w:hAnsi="Arial"/>
                <w:sz w:val="12"/>
                <w:szCs w:val="12"/>
                <w:color w:val="auto"/>
              </w:rPr>
              <w:t>3.4</w:t>
            </w:r>
          </w:p>
        </w:tc>
        <w:tc>
          <w:tcPr>
            <w:tcW w:w="5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0.2</w:t>
            </w:r>
          </w:p>
        </w:tc>
      </w:tr>
      <w:tr>
        <w:trPr>
          <w:trHeight w:val="26"/>
        </w:trPr>
        <w:tc>
          <w:tcPr>
            <w:tcW w:w="750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73"/>
        </w:trPr>
        <w:tc>
          <w:tcPr>
            <w:tcW w:w="75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2"/>
                <w:szCs w:val="12"/>
                <w:color w:val="auto"/>
              </w:rPr>
              <w:t>Long-term debt—current portion</w:t>
            </w:r>
          </w:p>
        </w:tc>
        <w:tc>
          <w:tcPr>
            <w:tcW w:w="9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2"/>
                <w:szCs w:val="12"/>
                <w:color w:val="auto"/>
              </w:rPr>
              <w:t>3.0</w:t>
            </w:r>
          </w:p>
        </w:tc>
        <w:tc>
          <w:tcPr>
            <w:tcW w:w="5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3.0</w:t>
            </w:r>
          </w:p>
        </w:tc>
      </w:tr>
      <w:tr>
        <w:trPr>
          <w:trHeight w:val="167"/>
        </w:trPr>
        <w:tc>
          <w:tcPr>
            <w:tcW w:w="7500" w:type="dxa"/>
            <w:vAlign w:val="bottom"/>
            <w:gridSpan w:val="2"/>
          </w:tcPr>
          <w:p>
            <w:pPr>
              <w:ind w:left="220"/>
              <w:spacing w:after="0"/>
              <w:rPr>
                <w:sz w:val="20"/>
                <w:szCs w:val="20"/>
                <w:color w:val="auto"/>
              </w:rPr>
            </w:pPr>
            <w:r>
              <w:rPr>
                <w:rFonts w:ascii="Arial" w:cs="Arial" w:eastAsia="Arial" w:hAnsi="Arial"/>
                <w:sz w:val="12"/>
                <w:szCs w:val="12"/>
                <w:color w:val="auto"/>
              </w:rPr>
              <w:t>Operating leases—current portion</w:t>
            </w:r>
          </w:p>
        </w:tc>
        <w:tc>
          <w:tcPr>
            <w:tcW w:w="900" w:type="dxa"/>
            <w:vAlign w:val="bottom"/>
          </w:tcPr>
          <w:p>
            <w:pPr>
              <w:spacing w:after="0"/>
              <w:rPr>
                <w:sz w:val="14"/>
                <w:szCs w:val="14"/>
                <w:color w:val="auto"/>
              </w:rPr>
            </w:pPr>
          </w:p>
        </w:tc>
        <w:tc>
          <w:tcPr>
            <w:tcW w:w="1060" w:type="dxa"/>
            <w:vAlign w:val="bottom"/>
          </w:tcPr>
          <w:p>
            <w:pPr>
              <w:jc w:val="right"/>
              <w:ind w:right="140"/>
              <w:spacing w:after="0"/>
              <w:rPr>
                <w:sz w:val="20"/>
                <w:szCs w:val="20"/>
                <w:color w:val="auto"/>
              </w:rPr>
            </w:pPr>
            <w:r>
              <w:rPr>
                <w:rFonts w:ascii="Arial" w:cs="Arial" w:eastAsia="Arial" w:hAnsi="Arial"/>
                <w:sz w:val="12"/>
                <w:szCs w:val="12"/>
                <w:color w:val="auto"/>
              </w:rPr>
              <w:t>6.3</w:t>
            </w:r>
          </w:p>
        </w:tc>
        <w:tc>
          <w:tcPr>
            <w:tcW w:w="5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6.9</w:t>
            </w:r>
          </w:p>
        </w:tc>
      </w:tr>
      <w:tr>
        <w:trPr>
          <w:trHeight w:val="26"/>
        </w:trPr>
        <w:tc>
          <w:tcPr>
            <w:tcW w:w="750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8"/>
        </w:trPr>
        <w:tc>
          <w:tcPr>
            <w:tcW w:w="75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2"/>
                <w:szCs w:val="12"/>
                <w:color w:val="auto"/>
              </w:rPr>
              <w:t>Finance leases—current portion</w:t>
            </w:r>
          </w:p>
        </w:tc>
        <w:tc>
          <w:tcPr>
            <w:tcW w:w="9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2"/>
                <w:szCs w:val="12"/>
                <w:color w:val="auto"/>
              </w:rPr>
              <w:t>2.1</w:t>
            </w:r>
          </w:p>
        </w:tc>
        <w:tc>
          <w:tcPr>
            <w:tcW w:w="5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3.1</w:t>
            </w:r>
          </w:p>
        </w:tc>
      </w:tr>
      <w:tr>
        <w:trPr>
          <w:trHeight w:val="160"/>
        </w:trPr>
        <w:tc>
          <w:tcPr>
            <w:tcW w:w="7500" w:type="dxa"/>
            <w:vAlign w:val="bottom"/>
            <w:tcBorders>
              <w:top w:val="single" w:sz="8" w:color="auto"/>
            </w:tcBorders>
            <w:gridSpan w:val="2"/>
          </w:tcPr>
          <w:p>
            <w:pPr>
              <w:ind w:left="20"/>
              <w:spacing w:after="0"/>
              <w:rPr>
                <w:sz w:val="20"/>
                <w:szCs w:val="20"/>
                <w:color w:val="auto"/>
              </w:rPr>
            </w:pPr>
            <w:r>
              <w:rPr>
                <w:rFonts w:ascii="Arial" w:cs="Arial" w:eastAsia="Arial" w:hAnsi="Arial"/>
                <w:sz w:val="12"/>
                <w:szCs w:val="12"/>
                <w:color w:val="auto"/>
              </w:rPr>
              <w:t>Total current liabilities</w:t>
            </w:r>
          </w:p>
        </w:tc>
        <w:tc>
          <w:tcPr>
            <w:tcW w:w="9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140"/>
              <w:spacing w:after="0"/>
              <w:rPr>
                <w:sz w:val="20"/>
                <w:szCs w:val="20"/>
                <w:color w:val="auto"/>
              </w:rPr>
            </w:pPr>
            <w:r>
              <w:rPr>
                <w:rFonts w:ascii="Arial" w:cs="Arial" w:eastAsia="Arial" w:hAnsi="Arial"/>
                <w:sz w:val="12"/>
                <w:szCs w:val="12"/>
                <w:color w:val="auto"/>
              </w:rPr>
              <w:t>148.5</w:t>
            </w:r>
          </w:p>
        </w:tc>
        <w:tc>
          <w:tcPr>
            <w:tcW w:w="5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134.5</w:t>
            </w:r>
          </w:p>
        </w:tc>
      </w:tr>
      <w:tr>
        <w:trPr>
          <w:trHeight w:val="26"/>
        </w:trPr>
        <w:tc>
          <w:tcPr>
            <w:tcW w:w="750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73"/>
        </w:trPr>
        <w:tc>
          <w:tcPr>
            <w:tcW w:w="7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Long-term debt, net of current portion</w:t>
            </w:r>
          </w:p>
        </w:tc>
        <w:tc>
          <w:tcPr>
            <w:tcW w:w="9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2"/>
                <w:szCs w:val="12"/>
                <w:color w:val="auto"/>
              </w:rPr>
              <w:t>115.8</w:t>
            </w:r>
          </w:p>
        </w:tc>
        <w:tc>
          <w:tcPr>
            <w:tcW w:w="5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92.8</w:t>
            </w:r>
          </w:p>
        </w:tc>
      </w:tr>
      <w:tr>
        <w:trPr>
          <w:trHeight w:val="167"/>
        </w:trPr>
        <w:tc>
          <w:tcPr>
            <w:tcW w:w="7500" w:type="dxa"/>
            <w:vAlign w:val="bottom"/>
            <w:gridSpan w:val="2"/>
          </w:tcPr>
          <w:p>
            <w:pPr>
              <w:ind w:left="20"/>
              <w:spacing w:after="0"/>
              <w:rPr>
                <w:sz w:val="20"/>
                <w:szCs w:val="20"/>
                <w:color w:val="auto"/>
              </w:rPr>
            </w:pPr>
            <w:r>
              <w:rPr>
                <w:rFonts w:ascii="Arial" w:cs="Arial" w:eastAsia="Arial" w:hAnsi="Arial"/>
                <w:sz w:val="12"/>
                <w:szCs w:val="12"/>
                <w:color w:val="auto"/>
              </w:rPr>
              <w:t>Loans from noncontrolling interest holders, net of current portion</w:t>
            </w:r>
          </w:p>
        </w:tc>
        <w:tc>
          <w:tcPr>
            <w:tcW w:w="900" w:type="dxa"/>
            <w:vAlign w:val="bottom"/>
          </w:tcPr>
          <w:p>
            <w:pPr>
              <w:spacing w:after="0"/>
              <w:rPr>
                <w:sz w:val="14"/>
                <w:szCs w:val="14"/>
                <w:color w:val="auto"/>
              </w:rPr>
            </w:pPr>
          </w:p>
        </w:tc>
        <w:tc>
          <w:tcPr>
            <w:tcW w:w="106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0.9</w:t>
            </w:r>
          </w:p>
        </w:tc>
      </w:tr>
      <w:tr>
        <w:trPr>
          <w:trHeight w:val="26"/>
        </w:trPr>
        <w:tc>
          <w:tcPr>
            <w:tcW w:w="750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73"/>
        </w:trPr>
        <w:tc>
          <w:tcPr>
            <w:tcW w:w="7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Operating leases, net of current portion</w:t>
            </w:r>
          </w:p>
        </w:tc>
        <w:tc>
          <w:tcPr>
            <w:tcW w:w="9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2"/>
                <w:szCs w:val="12"/>
                <w:color w:val="auto"/>
              </w:rPr>
              <w:t>65.5</w:t>
            </w:r>
          </w:p>
        </w:tc>
        <w:tc>
          <w:tcPr>
            <w:tcW w:w="5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67.5</w:t>
            </w:r>
          </w:p>
        </w:tc>
      </w:tr>
      <w:tr>
        <w:trPr>
          <w:trHeight w:val="167"/>
        </w:trPr>
        <w:tc>
          <w:tcPr>
            <w:tcW w:w="7500" w:type="dxa"/>
            <w:vAlign w:val="bottom"/>
            <w:gridSpan w:val="2"/>
          </w:tcPr>
          <w:p>
            <w:pPr>
              <w:ind w:left="20"/>
              <w:spacing w:after="0"/>
              <w:rPr>
                <w:sz w:val="20"/>
                <w:szCs w:val="20"/>
                <w:color w:val="auto"/>
              </w:rPr>
            </w:pPr>
            <w:r>
              <w:rPr>
                <w:rFonts w:ascii="Arial" w:cs="Arial" w:eastAsia="Arial" w:hAnsi="Arial"/>
                <w:sz w:val="12"/>
                <w:szCs w:val="12"/>
                <w:color w:val="auto"/>
              </w:rPr>
              <w:t>Finance leases, net of current portion</w:t>
            </w:r>
          </w:p>
        </w:tc>
        <w:tc>
          <w:tcPr>
            <w:tcW w:w="900" w:type="dxa"/>
            <w:vAlign w:val="bottom"/>
          </w:tcPr>
          <w:p>
            <w:pPr>
              <w:spacing w:after="0"/>
              <w:rPr>
                <w:sz w:val="14"/>
                <w:szCs w:val="14"/>
                <w:color w:val="auto"/>
              </w:rPr>
            </w:pPr>
          </w:p>
        </w:tc>
        <w:tc>
          <w:tcPr>
            <w:tcW w:w="1060" w:type="dxa"/>
            <w:vAlign w:val="bottom"/>
          </w:tcPr>
          <w:p>
            <w:pPr>
              <w:jc w:val="right"/>
              <w:ind w:right="140"/>
              <w:spacing w:after="0"/>
              <w:rPr>
                <w:sz w:val="20"/>
                <w:szCs w:val="20"/>
                <w:color w:val="auto"/>
              </w:rPr>
            </w:pPr>
            <w:r>
              <w:rPr>
                <w:rFonts w:ascii="Arial" w:cs="Arial" w:eastAsia="Arial" w:hAnsi="Arial"/>
                <w:sz w:val="12"/>
                <w:szCs w:val="12"/>
                <w:color w:val="auto"/>
              </w:rPr>
              <w:t>21.6</w:t>
            </w:r>
          </w:p>
        </w:tc>
        <w:tc>
          <w:tcPr>
            <w:tcW w:w="5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22.0</w:t>
            </w:r>
          </w:p>
        </w:tc>
      </w:tr>
      <w:tr>
        <w:trPr>
          <w:trHeight w:val="26"/>
        </w:trPr>
        <w:tc>
          <w:tcPr>
            <w:tcW w:w="750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73"/>
        </w:trPr>
        <w:tc>
          <w:tcPr>
            <w:tcW w:w="7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Income taxes payable</w:t>
            </w:r>
          </w:p>
        </w:tc>
        <w:tc>
          <w:tcPr>
            <w:tcW w:w="9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2"/>
                <w:szCs w:val="12"/>
                <w:color w:val="auto"/>
              </w:rPr>
              <w:t>0.3</w:t>
            </w:r>
          </w:p>
        </w:tc>
        <w:tc>
          <w:tcPr>
            <w:tcW w:w="5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7"/>
        </w:trPr>
        <w:tc>
          <w:tcPr>
            <w:tcW w:w="7500" w:type="dxa"/>
            <w:vAlign w:val="bottom"/>
            <w:gridSpan w:val="2"/>
          </w:tcPr>
          <w:p>
            <w:pPr>
              <w:ind w:left="20"/>
              <w:spacing w:after="0"/>
              <w:rPr>
                <w:sz w:val="20"/>
                <w:szCs w:val="20"/>
                <w:color w:val="auto"/>
              </w:rPr>
            </w:pPr>
            <w:r>
              <w:rPr>
                <w:rFonts w:ascii="Arial" w:cs="Arial" w:eastAsia="Arial" w:hAnsi="Arial"/>
                <w:sz w:val="12"/>
                <w:szCs w:val="12"/>
                <w:color w:val="auto"/>
              </w:rPr>
              <w:t>Deferred income tax liabilities, net</w:t>
            </w:r>
          </w:p>
        </w:tc>
        <w:tc>
          <w:tcPr>
            <w:tcW w:w="900" w:type="dxa"/>
            <w:vAlign w:val="bottom"/>
          </w:tcPr>
          <w:p>
            <w:pPr>
              <w:spacing w:after="0"/>
              <w:rPr>
                <w:sz w:val="14"/>
                <w:szCs w:val="14"/>
                <w:color w:val="auto"/>
              </w:rPr>
            </w:pPr>
          </w:p>
        </w:tc>
        <w:tc>
          <w:tcPr>
            <w:tcW w:w="1060" w:type="dxa"/>
            <w:vAlign w:val="bottom"/>
          </w:tcPr>
          <w:p>
            <w:pPr>
              <w:jc w:val="right"/>
              <w:ind w:right="140"/>
              <w:spacing w:after="0"/>
              <w:rPr>
                <w:sz w:val="20"/>
                <w:szCs w:val="20"/>
                <w:color w:val="auto"/>
              </w:rPr>
            </w:pPr>
            <w:r>
              <w:rPr>
                <w:rFonts w:ascii="Arial" w:cs="Arial" w:eastAsia="Arial" w:hAnsi="Arial"/>
                <w:sz w:val="12"/>
                <w:szCs w:val="12"/>
                <w:color w:val="auto"/>
              </w:rPr>
              <w:t>19.1</w:t>
            </w:r>
          </w:p>
        </w:tc>
        <w:tc>
          <w:tcPr>
            <w:tcW w:w="5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19.1</w:t>
            </w:r>
          </w:p>
        </w:tc>
      </w:tr>
      <w:tr>
        <w:trPr>
          <w:trHeight w:val="26"/>
        </w:trPr>
        <w:tc>
          <w:tcPr>
            <w:tcW w:w="750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8"/>
        </w:trPr>
        <w:tc>
          <w:tcPr>
            <w:tcW w:w="7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Other long-term liabilities</w:t>
            </w:r>
          </w:p>
        </w:tc>
        <w:tc>
          <w:tcPr>
            <w:tcW w:w="9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2"/>
                <w:szCs w:val="12"/>
                <w:color w:val="auto"/>
              </w:rPr>
              <w:t>25.8</w:t>
            </w:r>
          </w:p>
        </w:tc>
        <w:tc>
          <w:tcPr>
            <w:tcW w:w="5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26.3</w:t>
            </w:r>
          </w:p>
        </w:tc>
      </w:tr>
      <w:tr>
        <w:trPr>
          <w:trHeight w:val="160"/>
        </w:trPr>
        <w:tc>
          <w:tcPr>
            <w:tcW w:w="78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w w:val="98"/>
              </w:rPr>
              <w:t>Total liabilities</w:t>
            </w:r>
          </w:p>
        </w:tc>
        <w:tc>
          <w:tcPr>
            <w:tcW w:w="67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140"/>
              <w:spacing w:after="0"/>
              <w:rPr>
                <w:sz w:val="20"/>
                <w:szCs w:val="20"/>
                <w:color w:val="auto"/>
              </w:rPr>
            </w:pPr>
            <w:r>
              <w:rPr>
                <w:rFonts w:ascii="Arial" w:cs="Arial" w:eastAsia="Arial" w:hAnsi="Arial"/>
                <w:sz w:val="12"/>
                <w:szCs w:val="12"/>
                <w:color w:val="auto"/>
              </w:rPr>
              <w:t>396.6</w:t>
            </w:r>
          </w:p>
        </w:tc>
        <w:tc>
          <w:tcPr>
            <w:tcW w:w="5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363.1</w:t>
            </w:r>
          </w:p>
        </w:tc>
      </w:tr>
      <w:tr>
        <w:trPr>
          <w:trHeight w:val="26"/>
        </w:trPr>
        <w:tc>
          <w:tcPr>
            <w:tcW w:w="750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73"/>
        </w:trPr>
        <w:tc>
          <w:tcPr>
            <w:tcW w:w="7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Commitments and contingencies (Note 7)</w:t>
            </w:r>
          </w:p>
        </w:tc>
        <w:tc>
          <w:tcPr>
            <w:tcW w:w="9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r>
      <w:tr>
        <w:trPr>
          <w:trHeight w:val="167"/>
        </w:trPr>
        <w:tc>
          <w:tcPr>
            <w:tcW w:w="7500" w:type="dxa"/>
            <w:vAlign w:val="bottom"/>
            <w:gridSpan w:val="2"/>
          </w:tcPr>
          <w:p>
            <w:pPr>
              <w:ind w:left="20"/>
              <w:spacing w:after="0"/>
              <w:rPr>
                <w:sz w:val="20"/>
                <w:szCs w:val="20"/>
                <w:color w:val="auto"/>
              </w:rPr>
            </w:pPr>
            <w:r>
              <w:rPr>
                <w:rFonts w:ascii="Arial" w:cs="Arial" w:eastAsia="Arial" w:hAnsi="Arial"/>
                <w:sz w:val="12"/>
                <w:szCs w:val="12"/>
                <w:color w:val="auto"/>
              </w:rPr>
              <w:t>Shareholders’ Equity</w:t>
            </w: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6"/>
        </w:trPr>
        <w:tc>
          <w:tcPr>
            <w:tcW w:w="750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50"/>
        </w:trPr>
        <w:tc>
          <w:tcPr>
            <w:tcW w:w="75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Common stock ($0.001 par value, 1,000,000,000 shares authorized; 70,788,984 and 70,569,517 shares issued and outstanding as of</w:t>
            </w:r>
          </w:p>
        </w:tc>
        <w:tc>
          <w:tcPr>
            <w:tcW w:w="90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0.1</w:t>
            </w:r>
          </w:p>
        </w:tc>
        <w:tc>
          <w:tcPr>
            <w:tcW w:w="50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w:t>
            </w:r>
          </w:p>
        </w:tc>
      </w:tr>
      <w:tr>
        <w:trPr>
          <w:trHeight w:val="165"/>
        </w:trPr>
        <w:tc>
          <w:tcPr>
            <w:tcW w:w="75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2"/>
                <w:szCs w:val="12"/>
                <w:color w:val="auto"/>
              </w:rPr>
              <w:t>April 30, 2026 and October 31, 2025, respectively)</w:t>
            </w:r>
          </w:p>
        </w:tc>
        <w:tc>
          <w:tcPr>
            <w:tcW w:w="9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spacing w:after="0"/>
              <w:rPr>
                <w:sz w:val="14"/>
                <w:szCs w:val="14"/>
                <w:color w:val="auto"/>
              </w:rPr>
            </w:pPr>
          </w:p>
        </w:tc>
      </w:tr>
      <w:tr>
        <w:trPr>
          <w:trHeight w:val="167"/>
        </w:trPr>
        <w:tc>
          <w:tcPr>
            <w:tcW w:w="7500" w:type="dxa"/>
            <w:vAlign w:val="bottom"/>
            <w:gridSpan w:val="2"/>
          </w:tcPr>
          <w:p>
            <w:pPr>
              <w:ind w:left="220"/>
              <w:spacing w:after="0"/>
              <w:rPr>
                <w:sz w:val="20"/>
                <w:szCs w:val="20"/>
                <w:color w:val="auto"/>
              </w:rPr>
            </w:pPr>
            <w:r>
              <w:rPr>
                <w:rFonts w:ascii="Arial" w:cs="Arial" w:eastAsia="Arial" w:hAnsi="Arial"/>
                <w:sz w:val="12"/>
                <w:szCs w:val="12"/>
                <w:color w:val="auto"/>
              </w:rPr>
              <w:t>Additional paid-in capital</w:t>
            </w:r>
          </w:p>
        </w:tc>
        <w:tc>
          <w:tcPr>
            <w:tcW w:w="900" w:type="dxa"/>
            <w:vAlign w:val="bottom"/>
          </w:tcPr>
          <w:p>
            <w:pPr>
              <w:spacing w:after="0"/>
              <w:rPr>
                <w:sz w:val="14"/>
                <w:szCs w:val="14"/>
                <w:color w:val="auto"/>
              </w:rPr>
            </w:pPr>
          </w:p>
        </w:tc>
        <w:tc>
          <w:tcPr>
            <w:tcW w:w="1060" w:type="dxa"/>
            <w:vAlign w:val="bottom"/>
          </w:tcPr>
          <w:p>
            <w:pPr>
              <w:jc w:val="right"/>
              <w:ind w:right="140"/>
              <w:spacing w:after="0"/>
              <w:rPr>
                <w:sz w:val="20"/>
                <w:szCs w:val="20"/>
                <w:color w:val="auto"/>
              </w:rPr>
            </w:pPr>
            <w:r>
              <w:rPr>
                <w:rFonts w:ascii="Arial" w:cs="Arial" w:eastAsia="Arial" w:hAnsi="Arial"/>
                <w:sz w:val="12"/>
                <w:szCs w:val="12"/>
                <w:color w:val="auto"/>
              </w:rPr>
              <w:t>247.6</w:t>
            </w:r>
          </w:p>
        </w:tc>
        <w:tc>
          <w:tcPr>
            <w:tcW w:w="5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247.3</w:t>
            </w:r>
          </w:p>
        </w:tc>
      </w:tr>
      <w:tr>
        <w:trPr>
          <w:trHeight w:val="26"/>
        </w:trPr>
        <w:tc>
          <w:tcPr>
            <w:tcW w:w="750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73"/>
        </w:trPr>
        <w:tc>
          <w:tcPr>
            <w:tcW w:w="75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2"/>
                <w:szCs w:val="12"/>
                <w:color w:val="auto"/>
              </w:rPr>
              <w:t>Accumulated other comprehensive income</w:t>
            </w:r>
          </w:p>
        </w:tc>
        <w:tc>
          <w:tcPr>
            <w:tcW w:w="9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2"/>
                <w:szCs w:val="12"/>
                <w:color w:val="auto"/>
              </w:rPr>
              <w:t>1.7</w:t>
            </w:r>
          </w:p>
        </w:tc>
        <w:tc>
          <w:tcPr>
            <w:tcW w:w="5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0.6</w:t>
            </w:r>
          </w:p>
        </w:tc>
      </w:tr>
      <w:tr>
        <w:trPr>
          <w:trHeight w:val="167"/>
        </w:trPr>
        <w:tc>
          <w:tcPr>
            <w:tcW w:w="7500" w:type="dxa"/>
            <w:vAlign w:val="bottom"/>
            <w:gridSpan w:val="2"/>
          </w:tcPr>
          <w:p>
            <w:pPr>
              <w:ind w:left="220"/>
              <w:spacing w:after="0"/>
              <w:rPr>
                <w:sz w:val="20"/>
                <w:szCs w:val="20"/>
                <w:color w:val="auto"/>
              </w:rPr>
            </w:pPr>
            <w:r>
              <w:rPr>
                <w:rFonts w:ascii="Arial" w:cs="Arial" w:eastAsia="Arial" w:hAnsi="Arial"/>
                <w:sz w:val="12"/>
                <w:szCs w:val="12"/>
                <w:color w:val="auto"/>
              </w:rPr>
              <w:t>Retained earnings</w:t>
            </w:r>
          </w:p>
        </w:tc>
        <w:tc>
          <w:tcPr>
            <w:tcW w:w="900" w:type="dxa"/>
            <w:vAlign w:val="bottom"/>
          </w:tcPr>
          <w:p>
            <w:pPr>
              <w:spacing w:after="0"/>
              <w:rPr>
                <w:sz w:val="14"/>
                <w:szCs w:val="14"/>
                <w:color w:val="auto"/>
              </w:rPr>
            </w:pPr>
          </w:p>
        </w:tc>
        <w:tc>
          <w:tcPr>
            <w:tcW w:w="1060" w:type="dxa"/>
            <w:vAlign w:val="bottom"/>
          </w:tcPr>
          <w:p>
            <w:pPr>
              <w:jc w:val="right"/>
              <w:ind w:right="140"/>
              <w:spacing w:after="0"/>
              <w:rPr>
                <w:sz w:val="20"/>
                <w:szCs w:val="20"/>
                <w:color w:val="auto"/>
              </w:rPr>
            </w:pPr>
            <w:r>
              <w:rPr>
                <w:rFonts w:ascii="Arial" w:cs="Arial" w:eastAsia="Arial" w:hAnsi="Arial"/>
                <w:sz w:val="12"/>
                <w:szCs w:val="12"/>
                <w:color w:val="auto"/>
              </w:rPr>
              <w:t>329.2</w:t>
            </w:r>
          </w:p>
        </w:tc>
        <w:tc>
          <w:tcPr>
            <w:tcW w:w="5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339.3</w:t>
            </w:r>
          </w:p>
        </w:tc>
      </w:tr>
      <w:tr>
        <w:trPr>
          <w:trHeight w:val="26"/>
        </w:trPr>
        <w:tc>
          <w:tcPr>
            <w:tcW w:w="750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66"/>
        </w:trPr>
        <w:tc>
          <w:tcPr>
            <w:tcW w:w="7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Mission Produce shareholders' equity</w:t>
            </w:r>
          </w:p>
        </w:tc>
        <w:tc>
          <w:tcPr>
            <w:tcW w:w="9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2"/>
                <w:szCs w:val="12"/>
                <w:color w:val="auto"/>
              </w:rPr>
              <w:t>578.6</w:t>
            </w:r>
          </w:p>
        </w:tc>
        <w:tc>
          <w:tcPr>
            <w:tcW w:w="5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587.3</w:t>
            </w:r>
          </w:p>
        </w:tc>
      </w:tr>
      <w:tr>
        <w:trPr>
          <w:trHeight w:val="167"/>
        </w:trPr>
        <w:tc>
          <w:tcPr>
            <w:tcW w:w="7500" w:type="dxa"/>
            <w:vAlign w:val="bottom"/>
            <w:gridSpan w:val="2"/>
          </w:tcPr>
          <w:p>
            <w:pPr>
              <w:ind w:left="20"/>
              <w:spacing w:after="0"/>
              <w:rPr>
                <w:sz w:val="20"/>
                <w:szCs w:val="20"/>
                <w:color w:val="auto"/>
              </w:rPr>
            </w:pPr>
            <w:r>
              <w:rPr>
                <w:rFonts w:ascii="Arial" w:cs="Arial" w:eastAsia="Arial" w:hAnsi="Arial"/>
                <w:sz w:val="12"/>
                <w:szCs w:val="12"/>
                <w:color w:val="auto"/>
              </w:rPr>
              <w:t>Noncontrolling interest</w:t>
            </w:r>
          </w:p>
        </w:tc>
        <w:tc>
          <w:tcPr>
            <w:tcW w:w="900" w:type="dxa"/>
            <w:vAlign w:val="bottom"/>
          </w:tcPr>
          <w:p>
            <w:pPr>
              <w:spacing w:after="0"/>
              <w:rPr>
                <w:sz w:val="14"/>
                <w:szCs w:val="14"/>
                <w:color w:val="auto"/>
              </w:rPr>
            </w:pPr>
          </w:p>
        </w:tc>
        <w:tc>
          <w:tcPr>
            <w:tcW w:w="1060" w:type="dxa"/>
            <w:vAlign w:val="bottom"/>
          </w:tcPr>
          <w:p>
            <w:pPr>
              <w:jc w:val="right"/>
              <w:ind w:right="140"/>
              <w:spacing w:after="0"/>
              <w:rPr>
                <w:sz w:val="20"/>
                <w:szCs w:val="20"/>
                <w:color w:val="auto"/>
              </w:rPr>
            </w:pPr>
            <w:r>
              <w:rPr>
                <w:rFonts w:ascii="Arial" w:cs="Arial" w:eastAsia="Arial" w:hAnsi="Arial"/>
                <w:sz w:val="12"/>
                <w:szCs w:val="12"/>
                <w:color w:val="auto"/>
              </w:rPr>
              <w:t>33.0</w:t>
            </w:r>
          </w:p>
        </w:tc>
        <w:tc>
          <w:tcPr>
            <w:tcW w:w="5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32.6</w:t>
            </w:r>
          </w:p>
        </w:tc>
      </w:tr>
      <w:tr>
        <w:trPr>
          <w:trHeight w:val="26"/>
        </w:trPr>
        <w:tc>
          <w:tcPr>
            <w:tcW w:w="780" w:type="dxa"/>
            <w:vAlign w:val="bottom"/>
            <w:tcBorders>
              <w:bottom w:val="single" w:sz="8" w:color="auto"/>
            </w:tcBorders>
          </w:tcPr>
          <w:p>
            <w:pPr>
              <w:spacing w:after="0"/>
              <w:rPr>
                <w:sz w:val="2"/>
                <w:szCs w:val="2"/>
                <w:color w:val="auto"/>
              </w:rPr>
            </w:pPr>
          </w:p>
        </w:tc>
        <w:tc>
          <w:tcPr>
            <w:tcW w:w="6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1"/>
        </w:trPr>
        <w:tc>
          <w:tcPr>
            <w:tcW w:w="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equity</w:t>
            </w:r>
          </w:p>
        </w:tc>
        <w:tc>
          <w:tcPr>
            <w:tcW w:w="67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2"/>
                <w:szCs w:val="12"/>
                <w:color w:val="auto"/>
              </w:rPr>
              <w:t>611.6</w:t>
            </w:r>
          </w:p>
        </w:tc>
        <w:tc>
          <w:tcPr>
            <w:tcW w:w="5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619.9</w:t>
            </w:r>
          </w:p>
        </w:tc>
      </w:tr>
      <w:tr>
        <w:trPr>
          <w:trHeight w:val="160"/>
        </w:trPr>
        <w:tc>
          <w:tcPr>
            <w:tcW w:w="7500" w:type="dxa"/>
            <w:vAlign w:val="bottom"/>
            <w:tcBorders>
              <w:top w:val="single" w:sz="8" w:color="auto"/>
            </w:tcBorders>
            <w:gridSpan w:val="2"/>
          </w:tcPr>
          <w:p>
            <w:pPr>
              <w:ind w:left="20"/>
              <w:spacing w:after="0"/>
              <w:rPr>
                <w:sz w:val="20"/>
                <w:szCs w:val="20"/>
                <w:color w:val="auto"/>
              </w:rPr>
            </w:pPr>
            <w:r>
              <w:rPr>
                <w:rFonts w:ascii="Arial" w:cs="Arial" w:eastAsia="Arial" w:hAnsi="Arial"/>
                <w:sz w:val="12"/>
                <w:szCs w:val="12"/>
                <w:color w:val="auto"/>
              </w:rPr>
              <w:t>Total liabilities and equity</w:t>
            </w:r>
          </w:p>
        </w:tc>
        <w:tc>
          <w:tcPr>
            <w:tcW w:w="900" w:type="dxa"/>
            <w:vAlign w:val="bottom"/>
            <w:tcBorders>
              <w:top w:val="single" w:sz="8" w:color="auto"/>
            </w:tcBorders>
          </w:tcPr>
          <w:p>
            <w:pPr>
              <w:jc w:val="right"/>
              <w:ind w:right="600"/>
              <w:spacing w:after="0"/>
              <w:rPr>
                <w:sz w:val="20"/>
                <w:szCs w:val="20"/>
                <w:color w:val="auto"/>
              </w:rPr>
            </w:pPr>
            <w:r>
              <w:rPr>
                <w:rFonts w:ascii="Arial" w:cs="Arial" w:eastAsia="Arial" w:hAnsi="Arial"/>
                <w:sz w:val="12"/>
                <w:szCs w:val="12"/>
                <w:color w:val="auto"/>
              </w:rPr>
              <w:t>$</w:t>
            </w:r>
          </w:p>
        </w:tc>
        <w:tc>
          <w:tcPr>
            <w:tcW w:w="1060" w:type="dxa"/>
            <w:vAlign w:val="bottom"/>
            <w:tcBorders>
              <w:top w:val="single" w:sz="8" w:color="auto"/>
            </w:tcBorders>
          </w:tcPr>
          <w:p>
            <w:pPr>
              <w:jc w:val="right"/>
              <w:ind w:right="140"/>
              <w:spacing w:after="0"/>
              <w:rPr>
                <w:sz w:val="20"/>
                <w:szCs w:val="20"/>
                <w:color w:val="auto"/>
              </w:rPr>
            </w:pPr>
            <w:r>
              <w:rPr>
                <w:rFonts w:ascii="Arial" w:cs="Arial" w:eastAsia="Arial" w:hAnsi="Arial"/>
                <w:sz w:val="12"/>
                <w:szCs w:val="12"/>
                <w:color w:val="auto"/>
              </w:rPr>
              <w:t>1,008.2</w:t>
            </w:r>
          </w:p>
        </w:tc>
        <w:tc>
          <w:tcPr>
            <w:tcW w:w="500" w:type="dxa"/>
            <w:vAlign w:val="bottom"/>
            <w:tcBorders>
              <w:top w:val="single" w:sz="8" w:color="auto"/>
            </w:tcBorders>
          </w:tcPr>
          <w:p>
            <w:pPr>
              <w:jc w:val="right"/>
              <w:ind w:right="240"/>
              <w:spacing w:after="0"/>
              <w:rPr>
                <w:sz w:val="20"/>
                <w:szCs w:val="20"/>
                <w:color w:val="auto"/>
              </w:rPr>
            </w:pPr>
            <w:r>
              <w:rPr>
                <w:rFonts w:ascii="Arial" w:cs="Arial" w:eastAsia="Arial" w:hAnsi="Arial"/>
                <w:sz w:val="12"/>
                <w:szCs w:val="12"/>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983.0</w:t>
            </w:r>
          </w:p>
        </w:tc>
      </w:tr>
      <w:tr>
        <w:trPr>
          <w:trHeight w:val="26"/>
        </w:trPr>
        <w:tc>
          <w:tcPr>
            <w:tcW w:w="780" w:type="dxa"/>
            <w:vAlign w:val="bottom"/>
            <w:tcBorders>
              <w:bottom w:val="single" w:sz="8" w:color="auto"/>
            </w:tcBorders>
          </w:tcPr>
          <w:p>
            <w:pPr>
              <w:spacing w:after="0"/>
              <w:rPr>
                <w:sz w:val="2"/>
                <w:szCs w:val="2"/>
                <w:color w:val="auto"/>
              </w:rPr>
            </w:pPr>
          </w:p>
        </w:tc>
        <w:tc>
          <w:tcPr>
            <w:tcW w:w="6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See accompanying 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649605</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7"/>
          <w:szCs w:val="17"/>
          <w:b w:val="1"/>
          <w:bCs w:val="1"/>
          <w:color w:val="auto"/>
        </w:rPr>
        <w:t>MISSION PRODUCE, INC.</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 (UNAUDITED)</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40" w:type="dxa"/>
            <w:vAlign w:val="bottom"/>
            <w:gridSpan w:val="2"/>
          </w:tcPr>
          <w:p>
            <w:pPr>
              <w:jc w:val="right"/>
              <w:ind w:right="91"/>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80" w:type="dxa"/>
            <w:vAlign w:val="bottom"/>
            <w:gridSpan w:val="2"/>
          </w:tcPr>
          <w:p>
            <w:pPr>
              <w:jc w:val="right"/>
              <w:ind w:right="151"/>
              <w:spacing w:after="0"/>
              <w:rPr>
                <w:sz w:val="20"/>
                <w:szCs w:val="20"/>
                <w:color w:val="auto"/>
              </w:rPr>
            </w:pPr>
            <w:r>
              <w:rPr>
                <w:rFonts w:ascii="Arial" w:cs="Arial" w:eastAsia="Arial" w:hAnsi="Arial"/>
                <w:sz w:val="14"/>
                <w:szCs w:val="14"/>
                <w:b w:val="1"/>
                <w:bCs w:val="1"/>
                <w:color w:val="auto"/>
              </w:rPr>
              <w:t>Six Months Ended</w:t>
            </w:r>
          </w:p>
        </w:tc>
        <w:tc>
          <w:tcPr>
            <w:tcW w:w="620" w:type="dxa"/>
            <w:vAlign w:val="bottom"/>
          </w:tcPr>
          <w:p>
            <w:pPr>
              <w:spacing w:after="0"/>
              <w:rPr>
                <w:sz w:val="14"/>
                <w:szCs w:val="14"/>
                <w:color w:val="auto"/>
              </w:rPr>
            </w:pPr>
          </w:p>
        </w:tc>
      </w:tr>
      <w:tr>
        <w:trPr>
          <w:trHeight w:val="196"/>
        </w:trPr>
        <w:tc>
          <w:tcPr>
            <w:tcW w:w="52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tcPr>
          <w:p>
            <w:pPr>
              <w:jc w:val="right"/>
              <w:ind w:right="491"/>
              <w:spacing w:after="0"/>
              <w:rPr>
                <w:sz w:val="20"/>
                <w:szCs w:val="20"/>
                <w:color w:val="auto"/>
              </w:rPr>
            </w:pPr>
            <w:r>
              <w:rPr>
                <w:rFonts w:ascii="Arial" w:cs="Arial" w:eastAsia="Arial" w:hAnsi="Arial"/>
                <w:sz w:val="14"/>
                <w:szCs w:val="14"/>
                <w:b w:val="1"/>
                <w:bCs w:val="1"/>
                <w:color w:val="auto"/>
              </w:rPr>
              <w:t>April 30,</w:t>
            </w:r>
          </w:p>
        </w:tc>
        <w:tc>
          <w:tcPr>
            <w:tcW w:w="5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2"/>
          </w:tcPr>
          <w:p>
            <w:pPr>
              <w:jc w:val="right"/>
              <w:ind w:right="471"/>
              <w:spacing w:after="0"/>
              <w:rPr>
                <w:sz w:val="20"/>
                <w:szCs w:val="20"/>
                <w:color w:val="auto"/>
              </w:rPr>
            </w:pPr>
            <w:r>
              <w:rPr>
                <w:rFonts w:ascii="Arial" w:cs="Arial" w:eastAsia="Arial" w:hAnsi="Arial"/>
                <w:sz w:val="14"/>
                <w:szCs w:val="14"/>
                <w:b w:val="1"/>
                <w:bCs w:val="1"/>
                <w:color w:val="auto"/>
              </w:rPr>
              <w:t>April 30,</w:t>
            </w:r>
          </w:p>
        </w:tc>
        <w:tc>
          <w:tcPr>
            <w:tcW w:w="620" w:type="dxa"/>
            <w:vAlign w:val="bottom"/>
            <w:tcBorders>
              <w:bottom w:val="single" w:sz="8" w:color="auto"/>
            </w:tcBorders>
          </w:tcPr>
          <w:p>
            <w:pPr>
              <w:spacing w:after="0"/>
              <w:rPr>
                <w:sz w:val="17"/>
                <w:szCs w:val="17"/>
                <w:color w:val="auto"/>
              </w:rPr>
            </w:pPr>
          </w:p>
        </w:tc>
      </w:tr>
      <w:tr>
        <w:trPr>
          <w:trHeight w:val="212"/>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 except for per share amounts)</w:t>
            </w: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2026</w:t>
            </w: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2026</w:t>
            </w:r>
          </w:p>
        </w:tc>
        <w:tc>
          <w:tcPr>
            <w:tcW w:w="8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2025</w:t>
            </w:r>
          </w:p>
        </w:tc>
      </w:tr>
      <w:tr>
        <w:trPr>
          <w:trHeight w:val="199"/>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42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290.9</w:t>
            </w:r>
          </w:p>
        </w:tc>
        <w:tc>
          <w:tcPr>
            <w:tcW w:w="860" w:type="dxa"/>
            <w:vAlign w:val="bottom"/>
            <w:tcBorders>
              <w:bottom w:val="single" w:sz="8" w:color="CCEEFF"/>
            </w:tcBorders>
            <w:shd w:val="clear" w:color="auto" w:fill="CCEEFF"/>
          </w:tcPr>
          <w:p>
            <w:pPr>
              <w:jc w:val="right"/>
              <w:ind w:right="611"/>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380.3</w:t>
            </w:r>
          </w:p>
        </w:tc>
        <w:tc>
          <w:tcPr>
            <w:tcW w:w="2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569.5</w:t>
            </w:r>
          </w:p>
        </w:tc>
        <w:tc>
          <w:tcPr>
            <w:tcW w:w="820" w:type="dxa"/>
            <w:vAlign w:val="bottom"/>
            <w:tcBorders>
              <w:bottom w:val="single" w:sz="8" w:color="CCEEFF"/>
            </w:tcBorders>
            <w:shd w:val="clear" w:color="auto" w:fill="CCEEFF"/>
          </w:tcPr>
          <w:p>
            <w:pPr>
              <w:jc w:val="right"/>
              <w:ind w:right="571"/>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714.5</w:t>
            </w:r>
          </w:p>
        </w:tc>
      </w:tr>
      <w:tr>
        <w:trPr>
          <w:trHeight w:val="199"/>
        </w:trPr>
        <w:tc>
          <w:tcPr>
            <w:tcW w:w="528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420" w:type="dxa"/>
            <w:vAlign w:val="bottom"/>
          </w:tcPr>
          <w:p>
            <w:pPr>
              <w:spacing w:after="0"/>
              <w:rPr>
                <w:sz w:val="17"/>
                <w:szCs w:val="17"/>
                <w:color w:val="auto"/>
              </w:rPr>
            </w:pPr>
          </w:p>
        </w:tc>
        <w:tc>
          <w:tcPr>
            <w:tcW w:w="980" w:type="dxa"/>
            <w:vAlign w:val="bottom"/>
          </w:tcPr>
          <w:p>
            <w:pPr>
              <w:jc w:val="right"/>
              <w:ind w:right="51"/>
              <w:spacing w:after="0"/>
              <w:rPr>
                <w:sz w:val="20"/>
                <w:szCs w:val="20"/>
                <w:color w:val="auto"/>
              </w:rPr>
            </w:pPr>
            <w:r>
              <w:rPr>
                <w:rFonts w:ascii="Arial" w:cs="Arial" w:eastAsia="Arial" w:hAnsi="Arial"/>
                <w:sz w:val="14"/>
                <w:szCs w:val="14"/>
                <w:color w:val="auto"/>
              </w:rPr>
              <w:t>270.4</w:t>
            </w:r>
          </w:p>
        </w:tc>
        <w:tc>
          <w:tcPr>
            <w:tcW w:w="8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351.9</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jc w:val="right"/>
              <w:ind w:right="51"/>
              <w:spacing w:after="0"/>
              <w:rPr>
                <w:sz w:val="20"/>
                <w:szCs w:val="20"/>
                <w:color w:val="auto"/>
              </w:rPr>
            </w:pPr>
            <w:r>
              <w:rPr>
                <w:rFonts w:ascii="Arial" w:cs="Arial" w:eastAsia="Arial" w:hAnsi="Arial"/>
                <w:sz w:val="14"/>
                <w:szCs w:val="14"/>
                <w:color w:val="auto"/>
              </w:rPr>
              <w:t>517.4</w:t>
            </w:r>
          </w:p>
        </w:tc>
        <w:tc>
          <w:tcPr>
            <w:tcW w:w="8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654.6</w:t>
            </w:r>
          </w:p>
        </w:tc>
      </w:tr>
      <w:tr>
        <w:trPr>
          <w:trHeight w:val="20"/>
        </w:trPr>
        <w:tc>
          <w:tcPr>
            <w:tcW w:w="5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92"/>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4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20.5</w:t>
            </w:r>
          </w:p>
        </w:tc>
        <w:tc>
          <w:tcPr>
            <w:tcW w:w="8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26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52.1</w:t>
            </w:r>
          </w:p>
        </w:tc>
        <w:tc>
          <w:tcPr>
            <w:tcW w:w="8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59.9</w:t>
            </w:r>
          </w:p>
        </w:tc>
      </w:tr>
      <w:tr>
        <w:trPr>
          <w:trHeight w:val="199"/>
        </w:trPr>
        <w:tc>
          <w:tcPr>
            <w:tcW w:w="5280" w:type="dxa"/>
            <w:vAlign w:val="bottom"/>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420" w:type="dxa"/>
            <w:vAlign w:val="bottom"/>
          </w:tcPr>
          <w:p>
            <w:pPr>
              <w:spacing w:after="0"/>
              <w:rPr>
                <w:sz w:val="17"/>
                <w:szCs w:val="17"/>
                <w:color w:val="auto"/>
              </w:rPr>
            </w:pPr>
          </w:p>
        </w:tc>
        <w:tc>
          <w:tcPr>
            <w:tcW w:w="980" w:type="dxa"/>
            <w:vAlign w:val="bottom"/>
          </w:tcPr>
          <w:p>
            <w:pPr>
              <w:jc w:val="right"/>
              <w:ind w:right="51"/>
              <w:spacing w:after="0"/>
              <w:rPr>
                <w:sz w:val="20"/>
                <w:szCs w:val="20"/>
                <w:color w:val="auto"/>
              </w:rPr>
            </w:pPr>
            <w:r>
              <w:rPr>
                <w:rFonts w:ascii="Arial" w:cs="Arial" w:eastAsia="Arial" w:hAnsi="Arial"/>
                <w:sz w:val="14"/>
                <w:szCs w:val="14"/>
                <w:color w:val="auto"/>
              </w:rPr>
              <w:t>21.1</w:t>
            </w:r>
          </w:p>
        </w:tc>
        <w:tc>
          <w:tcPr>
            <w:tcW w:w="8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21.4</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jc w:val="right"/>
              <w:ind w:right="51"/>
              <w:spacing w:after="0"/>
              <w:rPr>
                <w:sz w:val="20"/>
                <w:szCs w:val="20"/>
                <w:color w:val="auto"/>
              </w:rPr>
            </w:pPr>
            <w:r>
              <w:rPr>
                <w:rFonts w:ascii="Arial" w:cs="Arial" w:eastAsia="Arial" w:hAnsi="Arial"/>
                <w:sz w:val="14"/>
                <w:szCs w:val="14"/>
                <w:color w:val="auto"/>
              </w:rPr>
              <w:t>43.2</w:t>
            </w:r>
          </w:p>
        </w:tc>
        <w:tc>
          <w:tcPr>
            <w:tcW w:w="8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43.5</w:t>
            </w:r>
          </w:p>
        </w:tc>
      </w:tr>
      <w:tr>
        <w:trPr>
          <w:trHeight w:val="20"/>
        </w:trPr>
        <w:tc>
          <w:tcPr>
            <w:tcW w:w="5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4"/>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Transaction advisory costs</w:t>
            </w:r>
          </w:p>
        </w:tc>
        <w:tc>
          <w:tcPr>
            <w:tcW w:w="4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6.4</w:t>
            </w:r>
          </w:p>
        </w:tc>
        <w:tc>
          <w:tcPr>
            <w:tcW w:w="8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2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13.4</w:t>
            </w:r>
          </w:p>
        </w:tc>
        <w:tc>
          <w:tcPr>
            <w:tcW w:w="8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192"/>
        </w:trPr>
        <w:tc>
          <w:tcPr>
            <w:tcW w:w="52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Operating (loss) income</w:t>
            </w:r>
          </w:p>
        </w:tc>
        <w:tc>
          <w:tcPr>
            <w:tcW w:w="4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(7.0)</w:t>
            </w:r>
          </w:p>
        </w:tc>
        <w:tc>
          <w:tcPr>
            <w:tcW w:w="8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2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(4.5)</w:t>
            </w:r>
          </w:p>
        </w:tc>
        <w:tc>
          <w:tcPr>
            <w:tcW w:w="8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16.2</w:t>
            </w:r>
          </w:p>
        </w:tc>
      </w:tr>
      <w:tr>
        <w:trPr>
          <w:trHeight w:val="20"/>
        </w:trPr>
        <w:tc>
          <w:tcPr>
            <w:tcW w:w="5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9"/>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4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(1.9)</w:t>
            </w:r>
          </w:p>
        </w:tc>
        <w:tc>
          <w:tcPr>
            <w:tcW w:w="8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2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(3.6)</w:t>
            </w:r>
          </w:p>
        </w:tc>
        <w:tc>
          <w:tcPr>
            <w:tcW w:w="8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w:t>
            </w:r>
          </w:p>
        </w:tc>
      </w:tr>
      <w:tr>
        <w:trPr>
          <w:trHeight w:val="199"/>
        </w:trPr>
        <w:tc>
          <w:tcPr>
            <w:tcW w:w="5280" w:type="dxa"/>
            <w:vAlign w:val="bottom"/>
          </w:tcPr>
          <w:p>
            <w:pPr>
              <w:ind w:left="20"/>
              <w:spacing w:after="0"/>
              <w:rPr>
                <w:sz w:val="20"/>
                <w:szCs w:val="20"/>
                <w:color w:val="auto"/>
              </w:rPr>
            </w:pPr>
            <w:r>
              <w:rPr>
                <w:rFonts w:ascii="Arial" w:cs="Arial" w:eastAsia="Arial" w:hAnsi="Arial"/>
                <w:sz w:val="14"/>
                <w:szCs w:val="14"/>
                <w:color w:val="auto"/>
              </w:rPr>
              <w:t>Equity method income</w:t>
            </w:r>
          </w:p>
        </w:tc>
        <w:tc>
          <w:tcPr>
            <w:tcW w:w="420" w:type="dxa"/>
            <w:vAlign w:val="bottom"/>
          </w:tcPr>
          <w:p>
            <w:pPr>
              <w:spacing w:after="0"/>
              <w:rPr>
                <w:sz w:val="17"/>
                <w:szCs w:val="17"/>
                <w:color w:val="auto"/>
              </w:rPr>
            </w:pPr>
          </w:p>
        </w:tc>
        <w:tc>
          <w:tcPr>
            <w:tcW w:w="980" w:type="dxa"/>
            <w:vAlign w:val="bottom"/>
          </w:tcPr>
          <w:p>
            <w:pPr>
              <w:jc w:val="right"/>
              <w:ind w:right="51"/>
              <w:spacing w:after="0"/>
              <w:rPr>
                <w:sz w:val="20"/>
                <w:szCs w:val="20"/>
                <w:color w:val="auto"/>
              </w:rPr>
            </w:pPr>
            <w:r>
              <w:rPr>
                <w:rFonts w:ascii="Arial" w:cs="Arial" w:eastAsia="Arial" w:hAnsi="Arial"/>
                <w:sz w:val="14"/>
                <w:szCs w:val="14"/>
                <w:color w:val="auto"/>
              </w:rPr>
              <w:t>1.3</w:t>
            </w:r>
          </w:p>
        </w:tc>
        <w:tc>
          <w:tcPr>
            <w:tcW w:w="8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0.9</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jc w:val="right"/>
              <w:ind w:right="51"/>
              <w:spacing w:after="0"/>
              <w:rPr>
                <w:sz w:val="20"/>
                <w:szCs w:val="20"/>
                <w:color w:val="auto"/>
              </w:rPr>
            </w:pPr>
            <w:r>
              <w:rPr>
                <w:rFonts w:ascii="Arial" w:cs="Arial" w:eastAsia="Arial" w:hAnsi="Arial"/>
                <w:sz w:val="14"/>
                <w:szCs w:val="14"/>
                <w:color w:val="auto"/>
              </w:rPr>
              <w:t>2.8</w:t>
            </w:r>
          </w:p>
        </w:tc>
        <w:tc>
          <w:tcPr>
            <w:tcW w:w="8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0"/>
        </w:trPr>
        <w:tc>
          <w:tcPr>
            <w:tcW w:w="5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4"/>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(expense) income, net</w:t>
            </w:r>
          </w:p>
        </w:tc>
        <w:tc>
          <w:tcPr>
            <w:tcW w:w="4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(1.1)</w:t>
            </w:r>
          </w:p>
        </w:tc>
        <w:tc>
          <w:tcPr>
            <w:tcW w:w="8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2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(2.4)</w:t>
            </w:r>
          </w:p>
        </w:tc>
        <w:tc>
          <w:tcPr>
            <w:tcW w:w="8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0.9</w:t>
            </w:r>
          </w:p>
        </w:tc>
      </w:tr>
      <w:tr>
        <w:trPr>
          <w:trHeight w:val="192"/>
        </w:trPr>
        <w:tc>
          <w:tcPr>
            <w:tcW w:w="52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(Loss) income before income taxes</w:t>
            </w:r>
          </w:p>
        </w:tc>
        <w:tc>
          <w:tcPr>
            <w:tcW w:w="4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(8.7)</w:t>
            </w:r>
          </w:p>
        </w:tc>
        <w:tc>
          <w:tcPr>
            <w:tcW w:w="8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2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(7.7)</w:t>
            </w:r>
          </w:p>
        </w:tc>
        <w:tc>
          <w:tcPr>
            <w:tcW w:w="8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14.1</w:t>
            </w:r>
          </w:p>
        </w:tc>
      </w:tr>
      <w:tr>
        <w:trPr>
          <w:trHeight w:val="20"/>
        </w:trPr>
        <w:tc>
          <w:tcPr>
            <w:tcW w:w="5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4"/>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(Benefit) provision for income taxes</w:t>
            </w:r>
          </w:p>
        </w:tc>
        <w:tc>
          <w:tcPr>
            <w:tcW w:w="4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(1.3)</w:t>
            </w:r>
          </w:p>
        </w:tc>
        <w:tc>
          <w:tcPr>
            <w:tcW w:w="8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2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(0.2)</w:t>
            </w:r>
          </w:p>
        </w:tc>
        <w:tc>
          <w:tcPr>
            <w:tcW w:w="8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w:t>
            </w:r>
          </w:p>
        </w:tc>
      </w:tr>
      <w:tr>
        <w:trPr>
          <w:trHeight w:val="192"/>
        </w:trPr>
        <w:tc>
          <w:tcPr>
            <w:tcW w:w="52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Net (loss) income</w:t>
            </w:r>
          </w:p>
        </w:tc>
        <w:tc>
          <w:tcPr>
            <w:tcW w:w="420" w:type="dxa"/>
            <w:vAlign w:val="bottom"/>
            <w:tcBorders>
              <w:top w:val="single" w:sz="8" w:color="auto"/>
            </w:tcBorders>
          </w:tcPr>
          <w:p>
            <w:pPr>
              <w:jc w:val="right"/>
              <w:ind w:right="271"/>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(7.4)</w:t>
            </w:r>
          </w:p>
        </w:tc>
        <w:tc>
          <w:tcPr>
            <w:tcW w:w="860" w:type="dxa"/>
            <w:vAlign w:val="bottom"/>
            <w:tcBorders>
              <w:top w:val="single" w:sz="8" w:color="auto"/>
            </w:tcBorders>
          </w:tcPr>
          <w:p>
            <w:pPr>
              <w:jc w:val="right"/>
              <w:ind w:right="611"/>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2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ind w:right="291"/>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(7.5)</w:t>
            </w:r>
          </w:p>
        </w:tc>
        <w:tc>
          <w:tcPr>
            <w:tcW w:w="820" w:type="dxa"/>
            <w:vAlign w:val="bottom"/>
            <w:tcBorders>
              <w:top w:val="single" w:sz="8" w:color="auto"/>
            </w:tcBorders>
          </w:tcPr>
          <w:p>
            <w:pPr>
              <w:jc w:val="right"/>
              <w:ind w:right="571"/>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9.2</w:t>
            </w:r>
          </w:p>
        </w:tc>
      </w:tr>
      <w:tr>
        <w:trPr>
          <w:trHeight w:val="20"/>
        </w:trPr>
        <w:tc>
          <w:tcPr>
            <w:tcW w:w="5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6"/>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w:t>
            </w:r>
          </w:p>
        </w:tc>
        <w:tc>
          <w:tcPr>
            <w:tcW w:w="4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r>
      <w:tr>
        <w:trPr>
          <w:trHeight w:val="206"/>
        </w:trPr>
        <w:tc>
          <w:tcPr>
            <w:tcW w:w="5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(loss) income attributable to noncontrolling interest</w:t>
            </w:r>
          </w:p>
        </w:tc>
        <w:tc>
          <w:tcPr>
            <w:tcW w:w="4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(0.2)</w:t>
            </w:r>
          </w:p>
        </w:tc>
        <w:tc>
          <w:tcPr>
            <w:tcW w:w="8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2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0.4</w:t>
            </w:r>
          </w:p>
        </w:tc>
        <w:tc>
          <w:tcPr>
            <w:tcW w:w="8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w:t>
            </w:r>
          </w:p>
        </w:tc>
      </w:tr>
      <w:tr>
        <w:trPr>
          <w:trHeight w:val="192"/>
        </w:trPr>
        <w:tc>
          <w:tcPr>
            <w:tcW w:w="52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Net (loss) income attributable to Mission Produce</w:t>
            </w:r>
          </w:p>
        </w:tc>
        <w:tc>
          <w:tcPr>
            <w:tcW w:w="420" w:type="dxa"/>
            <w:vAlign w:val="bottom"/>
            <w:tcBorders>
              <w:top w:val="single" w:sz="8" w:color="auto"/>
            </w:tcBorders>
          </w:tcPr>
          <w:p>
            <w:pPr>
              <w:jc w:val="right"/>
              <w:ind w:right="271"/>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(7.2)</w:t>
            </w:r>
          </w:p>
        </w:tc>
        <w:tc>
          <w:tcPr>
            <w:tcW w:w="860" w:type="dxa"/>
            <w:vAlign w:val="bottom"/>
            <w:tcBorders>
              <w:top w:val="single" w:sz="8" w:color="auto"/>
            </w:tcBorders>
          </w:tcPr>
          <w:p>
            <w:pPr>
              <w:jc w:val="right"/>
              <w:ind w:right="611"/>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2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ind w:right="291"/>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(7.9)</w:t>
            </w:r>
          </w:p>
        </w:tc>
        <w:tc>
          <w:tcPr>
            <w:tcW w:w="820" w:type="dxa"/>
            <w:vAlign w:val="bottom"/>
            <w:tcBorders>
              <w:top w:val="single" w:sz="8" w:color="auto"/>
            </w:tcBorders>
          </w:tcPr>
          <w:p>
            <w:pPr>
              <w:jc w:val="right"/>
              <w:ind w:right="571"/>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w:t>
            </w:r>
          </w:p>
        </w:tc>
      </w:tr>
      <w:tr>
        <w:trPr>
          <w:trHeight w:val="20"/>
        </w:trPr>
        <w:tc>
          <w:tcPr>
            <w:tcW w:w="5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58"/>
        </w:trPr>
        <w:tc>
          <w:tcPr>
            <w:tcW w:w="5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r>
      <w:tr>
        <w:trPr>
          <w:trHeight w:val="199"/>
        </w:trPr>
        <w:tc>
          <w:tcPr>
            <w:tcW w:w="5280" w:type="dxa"/>
            <w:vAlign w:val="bottom"/>
          </w:tcPr>
          <w:p>
            <w:pPr>
              <w:ind w:left="20"/>
              <w:spacing w:after="0"/>
              <w:rPr>
                <w:sz w:val="20"/>
                <w:szCs w:val="20"/>
                <w:color w:val="auto"/>
              </w:rPr>
            </w:pPr>
            <w:r>
              <w:rPr>
                <w:rFonts w:ascii="Arial" w:cs="Arial" w:eastAsia="Arial" w:hAnsi="Arial"/>
                <w:sz w:val="14"/>
                <w:szCs w:val="14"/>
                <w:color w:val="auto"/>
              </w:rPr>
              <w:t>Net (loss) income per share attributable to Mission Produce:</w:t>
            </w: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
        </w:trPr>
        <w:tc>
          <w:tcPr>
            <w:tcW w:w="5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9"/>
        </w:trPr>
        <w:tc>
          <w:tcPr>
            <w:tcW w:w="5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Basic</w:t>
            </w:r>
          </w:p>
        </w:tc>
        <w:tc>
          <w:tcPr>
            <w:tcW w:w="42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(0.10)</w:t>
            </w:r>
          </w:p>
        </w:tc>
        <w:tc>
          <w:tcPr>
            <w:tcW w:w="860" w:type="dxa"/>
            <w:vAlign w:val="bottom"/>
            <w:tcBorders>
              <w:bottom w:val="single" w:sz="8" w:color="CCEEFF"/>
            </w:tcBorders>
            <w:shd w:val="clear" w:color="auto" w:fill="CCEEFF"/>
          </w:tcPr>
          <w:p>
            <w:pPr>
              <w:jc w:val="right"/>
              <w:ind w:right="611"/>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2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(0.11)</w:t>
            </w:r>
          </w:p>
        </w:tc>
        <w:tc>
          <w:tcPr>
            <w:tcW w:w="820" w:type="dxa"/>
            <w:vAlign w:val="bottom"/>
            <w:tcBorders>
              <w:bottom w:val="single" w:sz="8" w:color="CCEEFF"/>
            </w:tcBorders>
            <w:shd w:val="clear" w:color="auto" w:fill="CCEEFF"/>
          </w:tcPr>
          <w:p>
            <w:pPr>
              <w:jc w:val="right"/>
              <w:ind w:right="571"/>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0.10</w:t>
            </w:r>
          </w:p>
        </w:tc>
      </w:tr>
      <w:tr>
        <w:trPr>
          <w:trHeight w:val="199"/>
        </w:trPr>
        <w:tc>
          <w:tcPr>
            <w:tcW w:w="5280" w:type="dxa"/>
            <w:vAlign w:val="bottom"/>
          </w:tcPr>
          <w:p>
            <w:pPr>
              <w:ind w:left="320"/>
              <w:spacing w:after="0"/>
              <w:rPr>
                <w:sz w:val="20"/>
                <w:szCs w:val="20"/>
                <w:color w:val="auto"/>
              </w:rPr>
            </w:pPr>
            <w:r>
              <w:rPr>
                <w:rFonts w:ascii="Arial" w:cs="Arial" w:eastAsia="Arial" w:hAnsi="Arial"/>
                <w:sz w:val="14"/>
                <w:szCs w:val="14"/>
                <w:color w:val="auto"/>
              </w:rPr>
              <w:t>Diluted</w:t>
            </w:r>
          </w:p>
        </w:tc>
        <w:tc>
          <w:tcPr>
            <w:tcW w:w="420" w:type="dxa"/>
            <w:vAlign w:val="bottom"/>
          </w:tcPr>
          <w:p>
            <w:pPr>
              <w:jc w:val="right"/>
              <w:ind w:right="271"/>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(0.10)</w:t>
            </w:r>
          </w:p>
        </w:tc>
        <w:tc>
          <w:tcPr>
            <w:tcW w:w="860" w:type="dxa"/>
            <w:vAlign w:val="bottom"/>
          </w:tcPr>
          <w:p>
            <w:pPr>
              <w:jc w:val="right"/>
              <w:ind w:right="611"/>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0.04</w:t>
            </w:r>
          </w:p>
        </w:tc>
        <w:tc>
          <w:tcPr>
            <w:tcW w:w="260" w:type="dxa"/>
            <w:vAlign w:val="bottom"/>
          </w:tcPr>
          <w:p>
            <w:pPr>
              <w:spacing w:after="0"/>
              <w:rPr>
                <w:sz w:val="17"/>
                <w:szCs w:val="17"/>
                <w:color w:val="auto"/>
              </w:rPr>
            </w:pPr>
          </w:p>
        </w:tc>
        <w:tc>
          <w:tcPr>
            <w:tcW w:w="460" w:type="dxa"/>
            <w:vAlign w:val="bottom"/>
          </w:tcPr>
          <w:p>
            <w:pPr>
              <w:jc w:val="right"/>
              <w:ind w:right="291"/>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1"/>
              <w:spacing w:after="0"/>
              <w:rPr>
                <w:sz w:val="20"/>
                <w:szCs w:val="20"/>
                <w:color w:val="auto"/>
              </w:rPr>
            </w:pPr>
            <w:r>
              <w:rPr>
                <w:rFonts w:ascii="Arial" w:cs="Arial" w:eastAsia="Arial" w:hAnsi="Arial"/>
                <w:sz w:val="14"/>
                <w:szCs w:val="14"/>
                <w:color w:val="auto"/>
              </w:rPr>
              <w:t>(0.11)</w:t>
            </w:r>
          </w:p>
        </w:tc>
        <w:tc>
          <w:tcPr>
            <w:tcW w:w="820" w:type="dxa"/>
            <w:vAlign w:val="bottom"/>
          </w:tcPr>
          <w:p>
            <w:pPr>
              <w:jc w:val="right"/>
              <w:ind w:right="571"/>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0.10</w:t>
            </w:r>
          </w:p>
        </w:tc>
      </w:tr>
      <w:tr>
        <w:trPr>
          <w:trHeight w:val="20"/>
        </w:trPr>
        <w:tc>
          <w:tcPr>
            <w:tcW w:w="5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864235</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68" w:right="339" w:bottom="1440" w:gutter="0" w:footer="0" w:header="0"/>
        </w:sectPr>
      </w:pPr>
    </w:p>
    <w:bookmarkStart w:id="6" w:name="page7"/>
    <w:bookmarkEnd w:id="6"/>
    <w:p>
      <w:pPr>
        <w:spacing w:after="0" w:line="1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MISSION PRODUCE, INC.</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COMPREHENSIVE (LOSS) INCOME (UNAUDITED)</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20" w:type="dxa"/>
            <w:vAlign w:val="bottom"/>
            <w:gridSpan w:val="2"/>
          </w:tcPr>
          <w:p>
            <w:pPr>
              <w:jc w:val="right"/>
              <w:ind w:right="31"/>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gridSpan w:val="2"/>
          </w:tcPr>
          <w:p>
            <w:pPr>
              <w:jc w:val="right"/>
              <w:ind w:right="91"/>
              <w:spacing w:after="0"/>
              <w:rPr>
                <w:sz w:val="20"/>
                <w:szCs w:val="20"/>
                <w:color w:val="auto"/>
              </w:rPr>
            </w:pPr>
            <w:r>
              <w:rPr>
                <w:rFonts w:ascii="Arial" w:cs="Arial" w:eastAsia="Arial" w:hAnsi="Arial"/>
                <w:sz w:val="14"/>
                <w:szCs w:val="14"/>
                <w:b w:val="1"/>
                <w:bCs w:val="1"/>
                <w:color w:val="auto"/>
              </w:rPr>
              <w:t>Six Months Ended</w:t>
            </w:r>
          </w:p>
        </w:tc>
        <w:tc>
          <w:tcPr>
            <w:tcW w:w="560" w:type="dxa"/>
            <w:vAlign w:val="bottom"/>
          </w:tcPr>
          <w:p>
            <w:pPr>
              <w:spacing w:after="0"/>
              <w:rPr>
                <w:sz w:val="14"/>
                <w:szCs w:val="14"/>
                <w:color w:val="auto"/>
              </w:rPr>
            </w:pPr>
          </w:p>
        </w:tc>
      </w:tr>
      <w:tr>
        <w:trPr>
          <w:trHeight w:val="196"/>
        </w:trPr>
        <w:tc>
          <w:tcPr>
            <w:tcW w:w="57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2"/>
          </w:tcPr>
          <w:p>
            <w:pPr>
              <w:jc w:val="right"/>
              <w:ind w:right="431"/>
              <w:spacing w:after="0"/>
              <w:rPr>
                <w:sz w:val="20"/>
                <w:szCs w:val="20"/>
                <w:color w:val="auto"/>
              </w:rPr>
            </w:pPr>
            <w:r>
              <w:rPr>
                <w:rFonts w:ascii="Arial" w:cs="Arial" w:eastAsia="Arial" w:hAnsi="Arial"/>
                <w:sz w:val="14"/>
                <w:szCs w:val="14"/>
                <w:b w:val="1"/>
                <w:bCs w:val="1"/>
                <w:color w:val="auto"/>
              </w:rPr>
              <w:t>April 30,</w:t>
            </w:r>
          </w:p>
        </w:tc>
        <w:tc>
          <w:tcPr>
            <w:tcW w:w="54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jc w:val="right"/>
              <w:ind w:right="411"/>
              <w:spacing w:after="0"/>
              <w:rPr>
                <w:sz w:val="20"/>
                <w:szCs w:val="20"/>
                <w:color w:val="auto"/>
              </w:rPr>
            </w:pPr>
            <w:r>
              <w:rPr>
                <w:rFonts w:ascii="Arial" w:cs="Arial" w:eastAsia="Arial" w:hAnsi="Arial"/>
                <w:sz w:val="14"/>
                <w:szCs w:val="14"/>
                <w:b w:val="1"/>
                <w:bCs w:val="1"/>
                <w:color w:val="auto"/>
              </w:rPr>
              <w:t>April 30,</w:t>
            </w:r>
          </w:p>
        </w:tc>
        <w:tc>
          <w:tcPr>
            <w:tcW w:w="560" w:type="dxa"/>
            <w:vAlign w:val="bottom"/>
            <w:tcBorders>
              <w:bottom w:val="single" w:sz="8" w:color="auto"/>
            </w:tcBorders>
          </w:tcPr>
          <w:p>
            <w:pPr>
              <w:spacing w:after="0"/>
              <w:rPr>
                <w:sz w:val="17"/>
                <w:szCs w:val="17"/>
                <w:color w:val="auto"/>
              </w:rPr>
            </w:pPr>
          </w:p>
        </w:tc>
      </w:tr>
      <w:tr>
        <w:trPr>
          <w:trHeight w:val="212"/>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2026</w:t>
            </w:r>
          </w:p>
        </w:tc>
        <w:tc>
          <w:tcPr>
            <w:tcW w:w="7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2026</w:t>
            </w:r>
          </w:p>
        </w:tc>
        <w:tc>
          <w:tcPr>
            <w:tcW w:w="7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2025</w:t>
            </w:r>
          </w:p>
        </w:tc>
      </w:tr>
      <w:tr>
        <w:trPr>
          <w:trHeight w:val="199"/>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income</w:t>
            </w:r>
          </w:p>
        </w:tc>
        <w:tc>
          <w:tcPr>
            <w:tcW w:w="38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(7.4)</w:t>
            </w:r>
          </w:p>
        </w:tc>
        <w:tc>
          <w:tcPr>
            <w:tcW w:w="780" w:type="dxa"/>
            <w:vAlign w:val="bottom"/>
            <w:tcBorders>
              <w:bottom w:val="single" w:sz="8" w:color="CCEEFF"/>
            </w:tcBorders>
            <w:shd w:val="clear" w:color="auto" w:fill="CCEEFF"/>
          </w:tcPr>
          <w:p>
            <w:pPr>
              <w:jc w:val="right"/>
              <w:ind w:right="531"/>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center"/>
              <w:ind w:left="151"/>
              <w:spacing w:after="0"/>
              <w:rPr>
                <w:sz w:val="20"/>
                <w:szCs w:val="20"/>
                <w:color w:val="auto"/>
              </w:rPr>
            </w:pPr>
            <w:r>
              <w:rPr>
                <w:rFonts w:ascii="Arial" w:cs="Arial" w:eastAsia="Arial" w:hAnsi="Arial"/>
                <w:sz w:val="14"/>
                <w:szCs w:val="14"/>
                <w:color w:val="auto"/>
              </w:rPr>
              <w:t>3.0</w:t>
            </w:r>
          </w:p>
        </w:tc>
        <w:tc>
          <w:tcPr>
            <w:tcW w:w="2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(7.5)</w:t>
            </w:r>
          </w:p>
        </w:tc>
        <w:tc>
          <w:tcPr>
            <w:tcW w:w="760" w:type="dxa"/>
            <w:vAlign w:val="bottom"/>
            <w:tcBorders>
              <w:bottom w:val="single" w:sz="8" w:color="CCEEFF"/>
            </w:tcBorders>
            <w:shd w:val="clear" w:color="auto" w:fill="CCEEFF"/>
          </w:tcPr>
          <w:p>
            <w:pPr>
              <w:jc w:val="right"/>
              <w:ind w:right="511"/>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w:t>
            </w:r>
          </w:p>
        </w:tc>
      </w:tr>
      <w:tr>
        <w:trPr>
          <w:trHeight w:val="199"/>
        </w:trPr>
        <w:tc>
          <w:tcPr>
            <w:tcW w:w="5720" w:type="dxa"/>
            <w:vAlign w:val="bottom"/>
          </w:tcPr>
          <w:p>
            <w:pPr>
              <w:ind w:left="20"/>
              <w:spacing w:after="0"/>
              <w:rPr>
                <w:sz w:val="20"/>
                <w:szCs w:val="20"/>
                <w:color w:val="auto"/>
              </w:rPr>
            </w:pPr>
            <w:r>
              <w:rPr>
                <w:rFonts w:ascii="Arial" w:cs="Arial" w:eastAsia="Arial" w:hAnsi="Arial"/>
                <w:sz w:val="14"/>
                <w:szCs w:val="14"/>
                <w:color w:val="auto"/>
              </w:rPr>
              <w:t>Other comprehensive income, net of tax</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
        </w:trPr>
        <w:tc>
          <w:tcPr>
            <w:tcW w:w="5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9"/>
        </w:trPr>
        <w:tc>
          <w:tcPr>
            <w:tcW w:w="57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Changes in foreign currency translation adjustments:</w:t>
            </w:r>
          </w:p>
        </w:tc>
        <w:tc>
          <w:tcPr>
            <w:tcW w:w="3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r>
      <w:tr>
        <w:trPr>
          <w:trHeight w:val="199"/>
        </w:trPr>
        <w:tc>
          <w:tcPr>
            <w:tcW w:w="5720" w:type="dxa"/>
            <w:vAlign w:val="bottom"/>
          </w:tcPr>
          <w:p>
            <w:pPr>
              <w:ind w:left="480"/>
              <w:spacing w:after="0"/>
              <w:rPr>
                <w:sz w:val="20"/>
                <w:szCs w:val="20"/>
                <w:color w:val="auto"/>
              </w:rPr>
            </w:pPr>
            <w:r>
              <w:rPr>
                <w:rFonts w:ascii="Arial" w:cs="Arial" w:eastAsia="Arial" w:hAnsi="Arial"/>
                <w:sz w:val="14"/>
                <w:szCs w:val="14"/>
                <w:color w:val="auto"/>
              </w:rPr>
              <w:t>Foreign currency translation adjustments</w:t>
            </w:r>
          </w:p>
        </w:tc>
        <w:tc>
          <w:tcPr>
            <w:tcW w:w="380" w:type="dxa"/>
            <w:vAlign w:val="bottom"/>
          </w:tcPr>
          <w:p>
            <w:pPr>
              <w:spacing w:after="0"/>
              <w:rPr>
                <w:sz w:val="17"/>
                <w:szCs w:val="17"/>
                <w:color w:val="auto"/>
              </w:rPr>
            </w:pPr>
          </w:p>
        </w:tc>
        <w:tc>
          <w:tcPr>
            <w:tcW w:w="9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7"/>
                <w:szCs w:val="17"/>
                <w:color w:val="auto"/>
              </w:rPr>
            </w:pPr>
          </w:p>
        </w:tc>
        <w:tc>
          <w:tcPr>
            <w:tcW w:w="540" w:type="dxa"/>
            <w:vAlign w:val="bottom"/>
          </w:tcPr>
          <w:p>
            <w:pPr>
              <w:jc w:val="center"/>
              <w:ind w:left="151"/>
              <w:spacing w:after="0"/>
              <w:rPr>
                <w:sz w:val="20"/>
                <w:szCs w:val="20"/>
                <w:color w:val="auto"/>
              </w:rPr>
            </w:pPr>
            <w:r>
              <w:rPr>
                <w:rFonts w:ascii="Arial" w:cs="Arial" w:eastAsia="Arial" w:hAnsi="Arial"/>
                <w:sz w:val="14"/>
                <w:szCs w:val="14"/>
                <w:color w:val="auto"/>
              </w:rPr>
              <w:t>1.6</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ind w:right="71"/>
              <w:spacing w:after="0"/>
              <w:rPr>
                <w:sz w:val="20"/>
                <w:szCs w:val="20"/>
                <w:color w:val="auto"/>
              </w:rPr>
            </w:pPr>
            <w:r>
              <w:rPr>
                <w:rFonts w:ascii="Arial" w:cs="Arial" w:eastAsia="Arial" w:hAnsi="Arial"/>
                <w:sz w:val="14"/>
                <w:szCs w:val="14"/>
                <w:color w:val="auto"/>
              </w:rPr>
              <w:t>1.1</w:t>
            </w:r>
          </w:p>
        </w:tc>
        <w:tc>
          <w:tcPr>
            <w:tcW w:w="7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20"/>
        </w:trPr>
        <w:tc>
          <w:tcPr>
            <w:tcW w:w="5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4"/>
        </w:trPr>
        <w:tc>
          <w:tcPr>
            <w:tcW w:w="57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Amounts reclassified to earnings</w:t>
            </w:r>
          </w:p>
        </w:tc>
        <w:tc>
          <w:tcPr>
            <w:tcW w:w="3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center"/>
              <w:ind w:left="151"/>
              <w:spacing w:after="0"/>
              <w:rPr>
                <w:sz w:val="20"/>
                <w:szCs w:val="20"/>
                <w:color w:val="auto"/>
              </w:rPr>
            </w:pPr>
            <w:r>
              <w:rPr>
                <w:rFonts w:ascii="Arial" w:cs="Arial" w:eastAsia="Arial" w:hAnsi="Arial"/>
                <w:sz w:val="14"/>
                <w:szCs w:val="14"/>
                <w:color w:val="auto"/>
              </w:rPr>
              <w:t>0.3</w:t>
            </w:r>
          </w:p>
        </w:tc>
        <w:tc>
          <w:tcPr>
            <w:tcW w:w="2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w:t>
            </w:r>
          </w:p>
        </w:tc>
      </w:tr>
      <w:tr>
        <w:trPr>
          <w:trHeight w:val="192"/>
        </w:trPr>
        <w:tc>
          <w:tcPr>
            <w:tcW w:w="57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Total comprehensive income, net of tax</w:t>
            </w:r>
          </w:p>
        </w:tc>
        <w:tc>
          <w:tcPr>
            <w:tcW w:w="3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(7.4)</w:t>
            </w:r>
          </w:p>
        </w:tc>
        <w:tc>
          <w:tcPr>
            <w:tcW w:w="7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center"/>
              <w:ind w:left="151"/>
              <w:spacing w:after="0"/>
              <w:rPr>
                <w:sz w:val="20"/>
                <w:szCs w:val="20"/>
                <w:color w:val="auto"/>
              </w:rPr>
            </w:pPr>
            <w:r>
              <w:rPr>
                <w:rFonts w:ascii="Arial" w:cs="Arial" w:eastAsia="Arial" w:hAnsi="Arial"/>
                <w:sz w:val="14"/>
                <w:szCs w:val="14"/>
                <w:color w:val="auto"/>
              </w:rPr>
              <w:t>4.9</w:t>
            </w:r>
          </w:p>
        </w:tc>
        <w:tc>
          <w:tcPr>
            <w:tcW w:w="26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(6.4)</w:t>
            </w:r>
          </w:p>
        </w:tc>
        <w:tc>
          <w:tcPr>
            <w:tcW w:w="7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w:t>
            </w:r>
          </w:p>
        </w:tc>
      </w:tr>
      <w:tr>
        <w:trPr>
          <w:trHeight w:val="20"/>
        </w:trPr>
        <w:tc>
          <w:tcPr>
            <w:tcW w:w="5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6"/>
        </w:trPr>
        <w:tc>
          <w:tcPr>
            <w:tcW w:w="5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w:t>
            </w: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r>
      <w:tr>
        <w:trPr>
          <w:trHeight w:val="206"/>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Comprehensive income attributable to noncontrolling interest</w:t>
            </w:r>
          </w:p>
        </w:tc>
        <w:tc>
          <w:tcPr>
            <w:tcW w:w="3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(0.2)</w:t>
            </w:r>
          </w:p>
        </w:tc>
        <w:tc>
          <w:tcPr>
            <w:tcW w:w="7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center"/>
              <w:ind w:left="131"/>
              <w:spacing w:after="0"/>
              <w:rPr>
                <w:sz w:val="20"/>
                <w:szCs w:val="20"/>
                <w:color w:val="auto"/>
              </w:rPr>
            </w:pPr>
            <w:r>
              <w:rPr>
                <w:rFonts w:ascii="Arial" w:cs="Arial" w:eastAsia="Arial" w:hAnsi="Arial"/>
                <w:sz w:val="14"/>
                <w:szCs w:val="14"/>
                <w:color w:val="auto"/>
              </w:rPr>
              <w:t>(0.1)</w:t>
            </w:r>
          </w:p>
        </w:tc>
        <w:tc>
          <w:tcPr>
            <w:tcW w:w="2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0.4</w:t>
            </w:r>
          </w:p>
        </w:tc>
        <w:tc>
          <w:tcPr>
            <w:tcW w:w="7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w:t>
            </w:r>
          </w:p>
        </w:tc>
      </w:tr>
      <w:tr>
        <w:trPr>
          <w:trHeight w:val="192"/>
        </w:trPr>
        <w:tc>
          <w:tcPr>
            <w:tcW w:w="57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Comprehensive (loss) income</w:t>
            </w:r>
          </w:p>
        </w:tc>
        <w:tc>
          <w:tcPr>
            <w:tcW w:w="380" w:type="dxa"/>
            <w:vAlign w:val="bottom"/>
            <w:tcBorders>
              <w:top w:val="single" w:sz="8" w:color="auto"/>
            </w:tcBorders>
          </w:tcPr>
          <w:p>
            <w:pPr>
              <w:jc w:val="right"/>
              <w:ind w:right="211"/>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(7.2)</w:t>
            </w:r>
          </w:p>
        </w:tc>
        <w:tc>
          <w:tcPr>
            <w:tcW w:w="780" w:type="dxa"/>
            <w:vAlign w:val="bottom"/>
            <w:tcBorders>
              <w:top w:val="single" w:sz="8" w:color="auto"/>
            </w:tcBorders>
          </w:tcPr>
          <w:p>
            <w:pPr>
              <w:jc w:val="right"/>
              <w:ind w:right="531"/>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tcPr>
          <w:p>
            <w:pPr>
              <w:jc w:val="center"/>
              <w:ind w:left="151"/>
              <w:spacing w:after="0"/>
              <w:rPr>
                <w:sz w:val="20"/>
                <w:szCs w:val="20"/>
                <w:color w:val="auto"/>
              </w:rPr>
            </w:pPr>
            <w:r>
              <w:rPr>
                <w:rFonts w:ascii="Arial" w:cs="Arial" w:eastAsia="Arial" w:hAnsi="Arial"/>
                <w:sz w:val="14"/>
                <w:szCs w:val="14"/>
                <w:color w:val="auto"/>
              </w:rPr>
              <w:t>5.0</w:t>
            </w:r>
          </w:p>
        </w:tc>
        <w:tc>
          <w:tcPr>
            <w:tcW w:w="26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jc w:val="right"/>
              <w:ind w:right="251"/>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(6.8)</w:t>
            </w:r>
          </w:p>
        </w:tc>
        <w:tc>
          <w:tcPr>
            <w:tcW w:w="760" w:type="dxa"/>
            <w:vAlign w:val="bottom"/>
            <w:tcBorders>
              <w:top w:val="single" w:sz="8" w:color="auto"/>
            </w:tcBorders>
          </w:tcPr>
          <w:p>
            <w:pPr>
              <w:jc w:val="right"/>
              <w:ind w:right="511"/>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7.8</w:t>
            </w:r>
          </w:p>
        </w:tc>
      </w:tr>
      <w:tr>
        <w:trPr>
          <w:trHeight w:val="20"/>
        </w:trPr>
        <w:tc>
          <w:tcPr>
            <w:tcW w:w="5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1060450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7"/>
          <w:szCs w:val="17"/>
          <w:b w:val="1"/>
          <w:bCs w:val="1"/>
          <w:color w:val="auto"/>
        </w:rPr>
        <w:t>MISSION PRODUCE, INC.</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CHANGES IN EQUITY (UNAUDITED)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660" w:type="dxa"/>
            <w:vAlign w:val="bottom"/>
          </w:tcPr>
          <w:p>
            <w:pPr>
              <w:spacing w:after="0"/>
              <w:rPr>
                <w:sz w:val="12"/>
                <w:szCs w:val="12"/>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Common stock</w:t>
            </w: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Additional paid-in</w:t>
            </w:r>
          </w:p>
        </w:tc>
        <w:tc>
          <w:tcPr>
            <w:tcW w:w="16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0"/>
                <w:szCs w:val="10"/>
                <w:b w:val="1"/>
                <w:bCs w:val="1"/>
                <w:color w:val="auto"/>
              </w:rPr>
              <w:t>Accumulated other</w:t>
            </w: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660" w:type="dxa"/>
            <w:vAlign w:val="bottom"/>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tcPr>
          <w:p>
            <w:pPr>
              <w:jc w:val="right"/>
              <w:spacing w:after="0" w:line="65" w:lineRule="exact"/>
              <w:rPr>
                <w:sz w:val="20"/>
                <w:szCs w:val="20"/>
                <w:color w:val="auto"/>
              </w:rPr>
            </w:pPr>
            <w:r>
              <w:rPr>
                <w:rFonts w:ascii="Arial" w:cs="Arial" w:eastAsia="Arial" w:hAnsi="Arial"/>
                <w:sz w:val="7"/>
                <w:szCs w:val="7"/>
                <w:b w:val="1"/>
                <w:bCs w:val="1"/>
                <w:color w:val="auto"/>
              </w:rPr>
              <w:t>comprehensive (loss)</w:t>
            </w: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(In millions, except for shares)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Shares</w:t>
            </w:r>
          </w:p>
        </w:tc>
        <w:tc>
          <w:tcPr>
            <w:tcW w:w="4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Amount</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capital</w:t>
            </w: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income</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Retained earnings</w:t>
            </w: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Noncontrolling interest</w:t>
            </w: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Total equity</w:t>
            </w:r>
          </w:p>
        </w:tc>
        <w:tc>
          <w:tcPr>
            <w:tcW w:w="0" w:type="dxa"/>
            <w:vAlign w:val="bottom"/>
          </w:tcPr>
          <w:p>
            <w:pPr>
              <w:spacing w:after="0"/>
              <w:rPr>
                <w:sz w:val="1"/>
                <w:szCs w:val="1"/>
                <w:color w:val="auto"/>
              </w:rPr>
            </w:pPr>
          </w:p>
        </w:tc>
      </w:tr>
      <w:tr>
        <w:trPr>
          <w:trHeight w:val="173"/>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at October 31, 2024</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70,914,767</w:t>
            </w:r>
          </w:p>
        </w:tc>
        <w:tc>
          <w:tcPr>
            <w:tcW w:w="460" w:type="dxa"/>
            <w:vAlign w:val="bottom"/>
            <w:tcBorders>
              <w:bottom w:val="single" w:sz="8" w:color="CCEEFF"/>
            </w:tcBorders>
            <w:shd w:val="clear" w:color="auto" w:fill="CCEEFF"/>
          </w:tcPr>
          <w:p>
            <w:pPr>
              <w:jc w:val="right"/>
              <w:ind w:right="320"/>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0.1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239.7</w:t>
            </w:r>
          </w:p>
        </w:tc>
        <w:tc>
          <w:tcPr>
            <w:tcW w:w="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(0.2)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307.7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29.8</w:t>
            </w:r>
          </w:p>
        </w:tc>
        <w:tc>
          <w:tcPr>
            <w:tcW w:w="30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577.1</w:t>
            </w:r>
          </w:p>
        </w:tc>
        <w:tc>
          <w:tcPr>
            <w:tcW w:w="0" w:type="dxa"/>
            <w:vAlign w:val="bottom"/>
          </w:tcPr>
          <w:p>
            <w:pPr>
              <w:spacing w:after="0"/>
              <w:rPr>
                <w:sz w:val="1"/>
                <w:szCs w:val="1"/>
                <w:color w:val="auto"/>
              </w:rPr>
            </w:pPr>
          </w:p>
        </w:tc>
      </w:tr>
      <w:tr>
        <w:trPr>
          <w:trHeight w:val="167"/>
        </w:trPr>
        <w:tc>
          <w:tcPr>
            <w:tcW w:w="2660" w:type="dxa"/>
            <w:vAlign w:val="bottom"/>
          </w:tcPr>
          <w:p>
            <w:pPr>
              <w:ind w:left="20"/>
              <w:spacing w:after="0"/>
              <w:rPr>
                <w:sz w:val="20"/>
                <w:szCs w:val="20"/>
                <w:color w:val="auto"/>
              </w:rPr>
            </w:pPr>
            <w:r>
              <w:rPr>
                <w:rFonts w:ascii="Arial" w:cs="Arial" w:eastAsia="Arial" w:hAnsi="Arial"/>
                <w:sz w:val="12"/>
                <w:szCs w:val="12"/>
                <w:color w:val="auto"/>
              </w:rPr>
              <w:t>Stock-based compensation</w:t>
            </w: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2.0</w:t>
            </w:r>
          </w:p>
        </w:tc>
        <w:tc>
          <w:tcPr>
            <w:tcW w:w="160" w:type="dxa"/>
            <w:vAlign w:val="bottom"/>
          </w:tcPr>
          <w:p>
            <w:pPr>
              <w:spacing w:after="0"/>
              <w:rPr>
                <w:sz w:val="14"/>
                <w:szCs w:val="14"/>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26"/>
        </w:trPr>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2660" w:type="dxa"/>
            <w:vAlign w:val="bottom"/>
            <w:shd w:val="clear" w:color="auto" w:fill="CCEEFF"/>
          </w:tcPr>
          <w:p>
            <w:pPr>
              <w:ind w:left="20"/>
              <w:spacing w:after="0"/>
              <w:rPr>
                <w:sz w:val="20"/>
                <w:szCs w:val="20"/>
                <w:color w:val="auto"/>
              </w:rPr>
            </w:pPr>
            <w:r>
              <w:rPr>
                <w:rFonts w:ascii="Arial" w:cs="Arial" w:eastAsia="Arial" w:hAnsi="Arial"/>
                <w:sz w:val="12"/>
                <w:szCs w:val="12"/>
                <w:color w:val="auto"/>
              </w:rPr>
              <w:t>Issuance of common stock for equity awards, net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153,856</w:t>
            </w:r>
          </w:p>
        </w:tc>
        <w:tc>
          <w:tcPr>
            <w:tcW w:w="4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65"/>
        </w:trPr>
        <w:tc>
          <w:tcPr>
            <w:tcW w:w="2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of shares withheld for the settlement of taxes</w:t>
            </w:r>
          </w:p>
        </w:tc>
        <w:tc>
          <w:tcPr>
            <w:tcW w:w="12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660" w:type="dxa"/>
            <w:vAlign w:val="bottom"/>
          </w:tcPr>
          <w:p>
            <w:pPr>
              <w:ind w:left="20"/>
              <w:spacing w:after="0"/>
              <w:rPr>
                <w:sz w:val="20"/>
                <w:szCs w:val="20"/>
                <w:color w:val="auto"/>
              </w:rPr>
            </w:pPr>
            <w:r>
              <w:rPr>
                <w:rFonts w:ascii="Arial" w:cs="Arial" w:eastAsia="Arial" w:hAnsi="Arial"/>
                <w:sz w:val="12"/>
                <w:szCs w:val="12"/>
                <w:color w:val="auto"/>
              </w:rPr>
              <w:t>Exercise of stock options</w:t>
            </w:r>
          </w:p>
        </w:tc>
        <w:tc>
          <w:tcPr>
            <w:tcW w:w="1200" w:type="dxa"/>
            <w:vAlign w:val="bottom"/>
          </w:tcPr>
          <w:p>
            <w:pPr>
              <w:jc w:val="right"/>
              <w:spacing w:after="0"/>
              <w:rPr>
                <w:sz w:val="20"/>
                <w:szCs w:val="20"/>
                <w:color w:val="auto"/>
              </w:rPr>
            </w:pPr>
            <w:r>
              <w:rPr>
                <w:rFonts w:ascii="Arial" w:cs="Arial" w:eastAsia="Arial" w:hAnsi="Arial"/>
                <w:sz w:val="12"/>
                <w:szCs w:val="12"/>
                <w:color w:val="auto"/>
              </w:rPr>
              <w:t>21,929</w:t>
            </w:r>
          </w:p>
        </w:tc>
        <w:tc>
          <w:tcPr>
            <w:tcW w:w="4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0.3</w:t>
            </w:r>
          </w:p>
        </w:tc>
        <w:tc>
          <w:tcPr>
            <w:tcW w:w="160" w:type="dxa"/>
            <w:vAlign w:val="bottom"/>
          </w:tcPr>
          <w:p>
            <w:pPr>
              <w:spacing w:after="0"/>
              <w:rPr>
                <w:sz w:val="14"/>
                <w:szCs w:val="14"/>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0.3</w:t>
            </w:r>
          </w:p>
        </w:tc>
        <w:tc>
          <w:tcPr>
            <w:tcW w:w="0" w:type="dxa"/>
            <w:vAlign w:val="bottom"/>
          </w:tcPr>
          <w:p>
            <w:pPr>
              <w:spacing w:after="0"/>
              <w:rPr>
                <w:sz w:val="1"/>
                <w:szCs w:val="1"/>
                <w:color w:val="auto"/>
              </w:rPr>
            </w:pPr>
          </w:p>
        </w:tc>
      </w:tr>
      <w:tr>
        <w:trPr>
          <w:trHeight w:val="26"/>
        </w:trPr>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Purchase and retirement of common stock</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(25,000)</w:t>
            </w:r>
          </w:p>
        </w:tc>
        <w:tc>
          <w:tcPr>
            <w:tcW w:w="4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(0.3)</w:t>
            </w: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(0.3)</w:t>
            </w:r>
          </w:p>
        </w:tc>
        <w:tc>
          <w:tcPr>
            <w:tcW w:w="0" w:type="dxa"/>
            <w:vAlign w:val="bottom"/>
          </w:tcPr>
          <w:p>
            <w:pPr>
              <w:spacing w:after="0"/>
              <w:rPr>
                <w:sz w:val="1"/>
                <w:szCs w:val="1"/>
                <w:color w:val="auto"/>
              </w:rPr>
            </w:pPr>
          </w:p>
        </w:tc>
      </w:tr>
      <w:tr>
        <w:trPr>
          <w:trHeight w:val="167"/>
        </w:trPr>
        <w:tc>
          <w:tcPr>
            <w:tcW w:w="2660" w:type="dxa"/>
            <w:vAlign w:val="bottom"/>
          </w:tcPr>
          <w:p>
            <w:pPr>
              <w:ind w:left="20"/>
              <w:spacing w:after="0"/>
              <w:rPr>
                <w:sz w:val="20"/>
                <w:szCs w:val="20"/>
                <w:color w:val="auto"/>
              </w:rPr>
            </w:pPr>
            <w:r>
              <w:rPr>
                <w:rFonts w:ascii="Arial" w:cs="Arial" w:eastAsia="Arial" w:hAnsi="Arial"/>
                <w:sz w:val="12"/>
                <w:szCs w:val="12"/>
                <w:color w:val="auto"/>
              </w:rPr>
              <w:t>Net income</w:t>
            </w: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3.9</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2.3</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6.2</w:t>
            </w:r>
          </w:p>
        </w:tc>
        <w:tc>
          <w:tcPr>
            <w:tcW w:w="0" w:type="dxa"/>
            <w:vAlign w:val="bottom"/>
          </w:tcPr>
          <w:p>
            <w:pPr>
              <w:spacing w:after="0"/>
              <w:rPr>
                <w:sz w:val="1"/>
                <w:szCs w:val="1"/>
                <w:color w:val="auto"/>
              </w:rPr>
            </w:pPr>
          </w:p>
        </w:tc>
      </w:tr>
      <w:tr>
        <w:trPr>
          <w:trHeight w:val="26"/>
        </w:trPr>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Other comprehensive loss</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60"/>
        </w:trPr>
        <w:tc>
          <w:tcPr>
            <w:tcW w:w="266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Balance at January 31, 2025</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71,065,552</w:t>
            </w:r>
          </w:p>
        </w:tc>
        <w:tc>
          <w:tcPr>
            <w:tcW w:w="460" w:type="dxa"/>
            <w:vAlign w:val="bottom"/>
            <w:tcBorders>
              <w:top w:val="single" w:sz="8" w:color="auto"/>
            </w:tcBorders>
          </w:tcPr>
          <w:p>
            <w:pPr>
              <w:jc w:val="right"/>
              <w:ind w:right="320"/>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0.1</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240.7</w:t>
            </w:r>
          </w:p>
        </w:tc>
        <w:tc>
          <w:tcPr>
            <w:tcW w:w="160" w:type="dxa"/>
            <w:vAlign w:val="bottom"/>
            <w:tcBorders>
              <w:top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(1.3)</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311.3</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32.1</w:t>
            </w:r>
          </w:p>
        </w:tc>
        <w:tc>
          <w:tcPr>
            <w:tcW w:w="300" w:type="dxa"/>
            <w:vAlign w:val="bottom"/>
            <w:tcBorders>
              <w:top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582.9</w:t>
            </w:r>
          </w:p>
        </w:tc>
        <w:tc>
          <w:tcPr>
            <w:tcW w:w="0" w:type="dxa"/>
            <w:vAlign w:val="bottom"/>
          </w:tcPr>
          <w:p>
            <w:pPr>
              <w:spacing w:after="0"/>
              <w:rPr>
                <w:sz w:val="1"/>
                <w:szCs w:val="1"/>
                <w:color w:val="auto"/>
              </w:rPr>
            </w:pPr>
          </w:p>
        </w:tc>
      </w:tr>
      <w:tr>
        <w:trPr>
          <w:trHeight w:val="26"/>
        </w:trPr>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Stock-based compensation</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1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150"/>
        </w:trPr>
        <w:tc>
          <w:tcPr>
            <w:tcW w:w="2660" w:type="dxa"/>
            <w:vAlign w:val="bottom"/>
          </w:tcPr>
          <w:p>
            <w:pPr>
              <w:ind w:left="20"/>
              <w:spacing w:after="0"/>
              <w:rPr>
                <w:sz w:val="20"/>
                <w:szCs w:val="20"/>
                <w:color w:val="auto"/>
              </w:rPr>
            </w:pPr>
            <w:r>
              <w:rPr>
                <w:rFonts w:ascii="Arial" w:cs="Arial" w:eastAsia="Arial" w:hAnsi="Arial"/>
                <w:sz w:val="12"/>
                <w:szCs w:val="12"/>
                <w:color w:val="auto"/>
              </w:rPr>
              <w:t>Issuance of common stock for equity awards, net</w:t>
            </w:r>
          </w:p>
        </w:tc>
        <w:tc>
          <w:tcPr>
            <w:tcW w:w="1200" w:type="dxa"/>
            <w:vAlign w:val="bottom"/>
          </w:tcPr>
          <w:p>
            <w:pPr>
              <w:jc w:val="right"/>
              <w:spacing w:after="0"/>
              <w:rPr>
                <w:sz w:val="20"/>
                <w:szCs w:val="20"/>
                <w:color w:val="auto"/>
              </w:rPr>
            </w:pPr>
            <w:r>
              <w:rPr>
                <w:rFonts w:ascii="Arial" w:cs="Arial" w:eastAsia="Arial" w:hAnsi="Arial"/>
                <w:sz w:val="12"/>
                <w:szCs w:val="12"/>
                <w:color w:val="auto"/>
              </w:rPr>
              <w:t>70,200</w:t>
            </w:r>
          </w:p>
        </w:tc>
        <w:tc>
          <w:tcPr>
            <w:tcW w:w="4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(0.2)</w:t>
            </w:r>
          </w:p>
        </w:tc>
        <w:tc>
          <w:tcPr>
            <w:tcW w:w="16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(0.2)</w:t>
            </w:r>
          </w:p>
        </w:tc>
        <w:tc>
          <w:tcPr>
            <w:tcW w:w="0" w:type="dxa"/>
            <w:vAlign w:val="bottom"/>
          </w:tcPr>
          <w:p>
            <w:pPr>
              <w:spacing w:after="0"/>
              <w:rPr>
                <w:sz w:val="1"/>
                <w:szCs w:val="1"/>
                <w:color w:val="auto"/>
              </w:rPr>
            </w:pPr>
          </w:p>
        </w:tc>
      </w:tr>
      <w:tr>
        <w:trPr>
          <w:trHeight w:val="159"/>
        </w:trPr>
        <w:tc>
          <w:tcPr>
            <w:tcW w:w="2660" w:type="dxa"/>
            <w:vAlign w:val="bottom"/>
          </w:tcPr>
          <w:p>
            <w:pPr>
              <w:ind w:left="180"/>
              <w:spacing w:after="0"/>
              <w:rPr>
                <w:sz w:val="20"/>
                <w:szCs w:val="20"/>
                <w:color w:val="auto"/>
              </w:rPr>
            </w:pPr>
            <w:r>
              <w:rPr>
                <w:rFonts w:ascii="Arial" w:cs="Arial" w:eastAsia="Arial" w:hAnsi="Arial"/>
                <w:sz w:val="12"/>
                <w:szCs w:val="12"/>
                <w:color w:val="auto"/>
              </w:rPr>
              <w:t>of shares withheld for the settlement of taxes</w:t>
            </w:r>
          </w:p>
        </w:tc>
        <w:tc>
          <w:tcPr>
            <w:tcW w:w="1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Purchase and retirement of common stock</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(517,801)</w:t>
            </w:r>
          </w:p>
        </w:tc>
        <w:tc>
          <w:tcPr>
            <w:tcW w:w="4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(5.2)</w:t>
            </w: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(5.2)</w:t>
            </w:r>
          </w:p>
        </w:tc>
        <w:tc>
          <w:tcPr>
            <w:tcW w:w="0" w:type="dxa"/>
            <w:vAlign w:val="bottom"/>
          </w:tcPr>
          <w:p>
            <w:pPr>
              <w:spacing w:after="0"/>
              <w:rPr>
                <w:sz w:val="1"/>
                <w:szCs w:val="1"/>
                <w:color w:val="auto"/>
              </w:rPr>
            </w:pPr>
          </w:p>
        </w:tc>
      </w:tr>
      <w:tr>
        <w:trPr>
          <w:trHeight w:val="167"/>
        </w:trPr>
        <w:tc>
          <w:tcPr>
            <w:tcW w:w="2660" w:type="dxa"/>
            <w:vAlign w:val="bottom"/>
          </w:tcPr>
          <w:p>
            <w:pPr>
              <w:ind w:left="20"/>
              <w:spacing w:after="0"/>
              <w:rPr>
                <w:sz w:val="20"/>
                <w:szCs w:val="20"/>
                <w:color w:val="auto"/>
              </w:rPr>
            </w:pPr>
            <w:r>
              <w:rPr>
                <w:rFonts w:ascii="Arial" w:cs="Arial" w:eastAsia="Arial" w:hAnsi="Arial"/>
                <w:sz w:val="12"/>
                <w:szCs w:val="12"/>
                <w:color w:val="auto"/>
              </w:rPr>
              <w:t>Net income (loss)</w:t>
            </w: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3.1</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(0.1)</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26"/>
        </w:trPr>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Other comprehensive income</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1.9</w:t>
            </w: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160"/>
        </w:trPr>
        <w:tc>
          <w:tcPr>
            <w:tcW w:w="266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Balance at April 30, 2025</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70,617,951</w:t>
            </w:r>
          </w:p>
        </w:tc>
        <w:tc>
          <w:tcPr>
            <w:tcW w:w="460" w:type="dxa"/>
            <w:vAlign w:val="bottom"/>
            <w:tcBorders>
              <w:top w:val="single" w:sz="8" w:color="auto"/>
            </w:tcBorders>
          </w:tcPr>
          <w:p>
            <w:pPr>
              <w:jc w:val="right"/>
              <w:ind w:right="320"/>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0.1</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242.4</w:t>
            </w:r>
          </w:p>
        </w:tc>
        <w:tc>
          <w:tcPr>
            <w:tcW w:w="160" w:type="dxa"/>
            <w:vAlign w:val="bottom"/>
            <w:tcBorders>
              <w:top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114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0.6</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309.2</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32.0</w:t>
            </w:r>
          </w:p>
        </w:tc>
        <w:tc>
          <w:tcPr>
            <w:tcW w:w="300" w:type="dxa"/>
            <w:vAlign w:val="bottom"/>
            <w:tcBorders>
              <w:top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584.3</w:t>
            </w:r>
          </w:p>
        </w:tc>
        <w:tc>
          <w:tcPr>
            <w:tcW w:w="0" w:type="dxa"/>
            <w:vAlign w:val="bottom"/>
          </w:tcPr>
          <w:p>
            <w:pPr>
              <w:spacing w:after="0"/>
              <w:rPr>
                <w:sz w:val="1"/>
                <w:szCs w:val="1"/>
                <w:color w:val="auto"/>
              </w:rPr>
            </w:pPr>
          </w:p>
        </w:tc>
      </w:tr>
      <w:tr>
        <w:trPr>
          <w:trHeight w:val="26"/>
        </w:trPr>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6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660" w:type="dxa"/>
            <w:vAlign w:val="bottom"/>
          </w:tcPr>
          <w:p>
            <w:pPr>
              <w:ind w:left="20"/>
              <w:spacing w:after="0"/>
              <w:rPr>
                <w:sz w:val="20"/>
                <w:szCs w:val="20"/>
                <w:color w:val="auto"/>
              </w:rPr>
            </w:pPr>
            <w:r>
              <w:rPr>
                <w:rFonts w:ascii="Arial" w:cs="Arial" w:eastAsia="Arial" w:hAnsi="Arial"/>
                <w:sz w:val="12"/>
                <w:szCs w:val="12"/>
                <w:color w:val="auto"/>
              </w:rPr>
              <w:t>Balance at October 31, 2025</w:t>
            </w:r>
          </w:p>
        </w:tc>
        <w:tc>
          <w:tcPr>
            <w:tcW w:w="1200" w:type="dxa"/>
            <w:vAlign w:val="bottom"/>
          </w:tcPr>
          <w:p>
            <w:pPr>
              <w:jc w:val="right"/>
              <w:spacing w:after="0"/>
              <w:rPr>
                <w:sz w:val="20"/>
                <w:szCs w:val="20"/>
                <w:color w:val="auto"/>
              </w:rPr>
            </w:pPr>
            <w:r>
              <w:rPr>
                <w:rFonts w:ascii="Arial" w:cs="Arial" w:eastAsia="Arial" w:hAnsi="Arial"/>
                <w:sz w:val="12"/>
                <w:szCs w:val="12"/>
                <w:color w:val="auto"/>
              </w:rPr>
              <w:t>70,569,517</w:t>
            </w:r>
          </w:p>
        </w:tc>
        <w:tc>
          <w:tcPr>
            <w:tcW w:w="460" w:type="dxa"/>
            <w:vAlign w:val="bottom"/>
          </w:tcPr>
          <w:p>
            <w:pPr>
              <w:jc w:val="right"/>
              <w:ind w:right="320"/>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0.1</w:t>
            </w: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247.3</w:t>
            </w: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0.6</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339.3</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32.6</w:t>
            </w: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619.9</w:t>
            </w:r>
          </w:p>
        </w:tc>
        <w:tc>
          <w:tcPr>
            <w:tcW w:w="0" w:type="dxa"/>
            <w:vAlign w:val="bottom"/>
          </w:tcPr>
          <w:p>
            <w:pPr>
              <w:spacing w:after="0"/>
              <w:rPr>
                <w:sz w:val="1"/>
                <w:szCs w:val="1"/>
                <w:color w:val="auto"/>
              </w:rPr>
            </w:pPr>
          </w:p>
        </w:tc>
      </w:tr>
      <w:tr>
        <w:trPr>
          <w:trHeight w:val="26"/>
        </w:trPr>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Stock-based compensation</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1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150"/>
        </w:trPr>
        <w:tc>
          <w:tcPr>
            <w:tcW w:w="2660" w:type="dxa"/>
            <w:vAlign w:val="bottom"/>
          </w:tcPr>
          <w:p>
            <w:pPr>
              <w:ind w:left="20"/>
              <w:spacing w:after="0"/>
              <w:rPr>
                <w:sz w:val="20"/>
                <w:szCs w:val="20"/>
                <w:color w:val="auto"/>
              </w:rPr>
            </w:pPr>
            <w:r>
              <w:rPr>
                <w:rFonts w:ascii="Arial" w:cs="Arial" w:eastAsia="Arial" w:hAnsi="Arial"/>
                <w:sz w:val="12"/>
                <w:szCs w:val="12"/>
                <w:color w:val="auto"/>
              </w:rPr>
              <w:t>Issuance of common stock for equity awards, net</w:t>
            </w:r>
          </w:p>
        </w:tc>
        <w:tc>
          <w:tcPr>
            <w:tcW w:w="1200" w:type="dxa"/>
            <w:vAlign w:val="bottom"/>
          </w:tcPr>
          <w:p>
            <w:pPr>
              <w:jc w:val="right"/>
              <w:spacing w:after="0"/>
              <w:rPr>
                <w:sz w:val="20"/>
                <w:szCs w:val="20"/>
                <w:color w:val="auto"/>
              </w:rPr>
            </w:pPr>
            <w:r>
              <w:rPr>
                <w:rFonts w:ascii="Arial" w:cs="Arial" w:eastAsia="Arial" w:hAnsi="Arial"/>
                <w:sz w:val="12"/>
                <w:szCs w:val="12"/>
                <w:color w:val="auto"/>
              </w:rPr>
              <w:t>269,758</w:t>
            </w:r>
          </w:p>
        </w:tc>
        <w:tc>
          <w:tcPr>
            <w:tcW w:w="4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(2.2)</w:t>
            </w:r>
          </w:p>
        </w:tc>
        <w:tc>
          <w:tcPr>
            <w:tcW w:w="16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(2.2)</w:t>
            </w:r>
          </w:p>
        </w:tc>
        <w:tc>
          <w:tcPr>
            <w:tcW w:w="0" w:type="dxa"/>
            <w:vAlign w:val="bottom"/>
          </w:tcPr>
          <w:p>
            <w:pPr>
              <w:spacing w:after="0"/>
              <w:rPr>
                <w:sz w:val="1"/>
                <w:szCs w:val="1"/>
                <w:color w:val="auto"/>
              </w:rPr>
            </w:pPr>
          </w:p>
        </w:tc>
      </w:tr>
      <w:tr>
        <w:trPr>
          <w:trHeight w:val="159"/>
        </w:trPr>
        <w:tc>
          <w:tcPr>
            <w:tcW w:w="2660" w:type="dxa"/>
            <w:vAlign w:val="bottom"/>
          </w:tcPr>
          <w:p>
            <w:pPr>
              <w:ind w:left="180"/>
              <w:spacing w:after="0"/>
              <w:rPr>
                <w:sz w:val="20"/>
                <w:szCs w:val="20"/>
                <w:color w:val="auto"/>
              </w:rPr>
            </w:pPr>
            <w:r>
              <w:rPr>
                <w:rFonts w:ascii="Arial" w:cs="Arial" w:eastAsia="Arial" w:hAnsi="Arial"/>
                <w:sz w:val="12"/>
                <w:szCs w:val="12"/>
                <w:color w:val="auto"/>
              </w:rPr>
              <w:t>of shares withheld for the settlement of taxes</w:t>
            </w:r>
          </w:p>
        </w:tc>
        <w:tc>
          <w:tcPr>
            <w:tcW w:w="1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(loss) income</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(0.7)</w:t>
            </w: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0.6</w:t>
            </w:r>
          </w:p>
        </w:tc>
        <w:tc>
          <w:tcPr>
            <w:tcW w:w="3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(0.1)</w:t>
            </w:r>
          </w:p>
        </w:tc>
        <w:tc>
          <w:tcPr>
            <w:tcW w:w="0" w:type="dxa"/>
            <w:vAlign w:val="bottom"/>
          </w:tcPr>
          <w:p>
            <w:pPr>
              <w:spacing w:after="0"/>
              <w:rPr>
                <w:sz w:val="1"/>
                <w:szCs w:val="1"/>
                <w:color w:val="auto"/>
              </w:rPr>
            </w:pPr>
          </w:p>
        </w:tc>
      </w:tr>
      <w:tr>
        <w:trPr>
          <w:trHeight w:val="167"/>
        </w:trPr>
        <w:tc>
          <w:tcPr>
            <w:tcW w:w="2660" w:type="dxa"/>
            <w:vAlign w:val="bottom"/>
          </w:tcPr>
          <w:p>
            <w:pPr>
              <w:ind w:left="20"/>
              <w:spacing w:after="0"/>
              <w:rPr>
                <w:sz w:val="20"/>
                <w:szCs w:val="20"/>
                <w:color w:val="auto"/>
              </w:rPr>
            </w:pPr>
            <w:r>
              <w:rPr>
                <w:rFonts w:ascii="Arial" w:cs="Arial" w:eastAsia="Arial" w:hAnsi="Arial"/>
                <w:sz w:val="12"/>
                <w:szCs w:val="12"/>
                <w:color w:val="auto"/>
              </w:rPr>
              <w:t>Other comprehensive loss</w:t>
            </w: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1.1</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26"/>
        </w:trPr>
        <w:tc>
          <w:tcPr>
            <w:tcW w:w="26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at January 31, 2026</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70,839,275</w:t>
            </w:r>
          </w:p>
        </w:tc>
        <w:tc>
          <w:tcPr>
            <w:tcW w:w="460" w:type="dxa"/>
            <w:vAlign w:val="bottom"/>
            <w:tcBorders>
              <w:bottom w:val="single" w:sz="8" w:color="CCEEFF"/>
            </w:tcBorders>
            <w:shd w:val="clear" w:color="auto" w:fill="CCEEFF"/>
          </w:tcPr>
          <w:p>
            <w:pPr>
              <w:jc w:val="right"/>
              <w:ind w:right="320"/>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0.1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246.5</w:t>
            </w:r>
          </w:p>
        </w:tc>
        <w:tc>
          <w:tcPr>
            <w:tcW w:w="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1.7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338.6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33.2</w:t>
            </w:r>
          </w:p>
        </w:tc>
        <w:tc>
          <w:tcPr>
            <w:tcW w:w="30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620.1</w:t>
            </w:r>
          </w:p>
        </w:tc>
        <w:tc>
          <w:tcPr>
            <w:tcW w:w="0" w:type="dxa"/>
            <w:vAlign w:val="bottom"/>
          </w:tcPr>
          <w:p>
            <w:pPr>
              <w:spacing w:after="0"/>
              <w:rPr>
                <w:sz w:val="1"/>
                <w:szCs w:val="1"/>
                <w:color w:val="auto"/>
              </w:rPr>
            </w:pPr>
          </w:p>
        </w:tc>
      </w:tr>
      <w:tr>
        <w:trPr>
          <w:trHeight w:val="167"/>
        </w:trPr>
        <w:tc>
          <w:tcPr>
            <w:tcW w:w="2660" w:type="dxa"/>
            <w:vAlign w:val="bottom"/>
          </w:tcPr>
          <w:p>
            <w:pPr>
              <w:ind w:left="20"/>
              <w:spacing w:after="0"/>
              <w:rPr>
                <w:sz w:val="20"/>
                <w:szCs w:val="20"/>
                <w:color w:val="auto"/>
              </w:rPr>
            </w:pPr>
            <w:r>
              <w:rPr>
                <w:rFonts w:ascii="Arial" w:cs="Arial" w:eastAsia="Arial" w:hAnsi="Arial"/>
                <w:sz w:val="12"/>
                <w:szCs w:val="12"/>
                <w:color w:val="auto"/>
              </w:rPr>
              <w:t>Stock-based compensation</w:t>
            </w: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1.4</w:t>
            </w:r>
          </w:p>
        </w:tc>
        <w:tc>
          <w:tcPr>
            <w:tcW w:w="160" w:type="dxa"/>
            <w:vAlign w:val="bottom"/>
          </w:tcPr>
          <w:p>
            <w:pPr>
              <w:spacing w:after="0"/>
              <w:rPr>
                <w:sz w:val="14"/>
                <w:szCs w:val="14"/>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26"/>
        </w:trPr>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2660" w:type="dxa"/>
            <w:vAlign w:val="bottom"/>
            <w:shd w:val="clear" w:color="auto" w:fill="CCEEFF"/>
          </w:tcPr>
          <w:p>
            <w:pPr>
              <w:ind w:left="20"/>
              <w:spacing w:after="0"/>
              <w:rPr>
                <w:sz w:val="20"/>
                <w:szCs w:val="20"/>
                <w:color w:val="auto"/>
              </w:rPr>
            </w:pPr>
            <w:r>
              <w:rPr>
                <w:rFonts w:ascii="Arial" w:cs="Arial" w:eastAsia="Arial" w:hAnsi="Arial"/>
                <w:sz w:val="12"/>
                <w:szCs w:val="12"/>
                <w:color w:val="auto"/>
              </w:rPr>
              <w:t>Issuance of common stock for equity awards, net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123,609</w:t>
            </w:r>
          </w:p>
        </w:tc>
        <w:tc>
          <w:tcPr>
            <w:tcW w:w="4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w:t>
            </w: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w:t>
            </w:r>
          </w:p>
        </w:tc>
        <w:tc>
          <w:tcPr>
            <w:tcW w:w="0" w:type="dxa"/>
            <w:vAlign w:val="bottom"/>
          </w:tcPr>
          <w:p>
            <w:pPr>
              <w:spacing w:after="0"/>
              <w:rPr>
                <w:sz w:val="1"/>
                <w:szCs w:val="1"/>
                <w:color w:val="auto"/>
              </w:rPr>
            </w:pPr>
          </w:p>
        </w:tc>
      </w:tr>
      <w:tr>
        <w:trPr>
          <w:trHeight w:val="165"/>
        </w:trPr>
        <w:tc>
          <w:tcPr>
            <w:tcW w:w="2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of shares withheld for the settlement of taxes</w:t>
            </w:r>
          </w:p>
        </w:tc>
        <w:tc>
          <w:tcPr>
            <w:tcW w:w="12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660" w:type="dxa"/>
            <w:vAlign w:val="bottom"/>
          </w:tcPr>
          <w:p>
            <w:pPr>
              <w:ind w:left="20"/>
              <w:spacing w:after="0"/>
              <w:rPr>
                <w:sz w:val="20"/>
                <w:szCs w:val="20"/>
                <w:color w:val="auto"/>
              </w:rPr>
            </w:pPr>
            <w:r>
              <w:rPr>
                <w:rFonts w:ascii="Arial" w:cs="Arial" w:eastAsia="Arial" w:hAnsi="Arial"/>
                <w:sz w:val="12"/>
                <w:szCs w:val="12"/>
                <w:color w:val="auto"/>
              </w:rPr>
              <w:t>Purchase and retirement of common stock</w:t>
            </w:r>
          </w:p>
        </w:tc>
        <w:tc>
          <w:tcPr>
            <w:tcW w:w="1200" w:type="dxa"/>
            <w:vAlign w:val="bottom"/>
          </w:tcPr>
          <w:p>
            <w:pPr>
              <w:jc w:val="right"/>
              <w:spacing w:after="0"/>
              <w:rPr>
                <w:sz w:val="20"/>
                <w:szCs w:val="20"/>
                <w:color w:val="auto"/>
              </w:rPr>
            </w:pPr>
            <w:r>
              <w:rPr>
                <w:rFonts w:ascii="Arial" w:cs="Arial" w:eastAsia="Arial" w:hAnsi="Arial"/>
                <w:sz w:val="12"/>
                <w:szCs w:val="12"/>
                <w:color w:val="auto"/>
              </w:rPr>
              <w:t>(173,900)</w:t>
            </w:r>
          </w:p>
        </w:tc>
        <w:tc>
          <w:tcPr>
            <w:tcW w:w="4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(2.2)</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(2.2)</w:t>
            </w:r>
          </w:p>
        </w:tc>
        <w:tc>
          <w:tcPr>
            <w:tcW w:w="0" w:type="dxa"/>
            <w:vAlign w:val="bottom"/>
          </w:tcPr>
          <w:p>
            <w:pPr>
              <w:spacing w:after="0"/>
              <w:rPr>
                <w:sz w:val="1"/>
                <w:szCs w:val="1"/>
                <w:color w:val="auto"/>
              </w:rPr>
            </w:pPr>
          </w:p>
        </w:tc>
      </w:tr>
      <w:tr>
        <w:trPr>
          <w:trHeight w:val="26"/>
        </w:trPr>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loss</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(7.2)</w:t>
            </w: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(0.2)</w:t>
            </w:r>
          </w:p>
        </w:tc>
        <w:tc>
          <w:tcPr>
            <w:tcW w:w="3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(7.4)</w:t>
            </w:r>
          </w:p>
        </w:tc>
        <w:tc>
          <w:tcPr>
            <w:tcW w:w="0" w:type="dxa"/>
            <w:vAlign w:val="bottom"/>
          </w:tcPr>
          <w:p>
            <w:pPr>
              <w:spacing w:after="0"/>
              <w:rPr>
                <w:sz w:val="1"/>
                <w:szCs w:val="1"/>
                <w:color w:val="auto"/>
              </w:rPr>
            </w:pPr>
          </w:p>
        </w:tc>
      </w:tr>
      <w:tr>
        <w:trPr>
          <w:trHeight w:val="160"/>
        </w:trPr>
        <w:tc>
          <w:tcPr>
            <w:tcW w:w="266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Balance at April 30, 2026</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70,788,984</w:t>
            </w:r>
          </w:p>
        </w:tc>
        <w:tc>
          <w:tcPr>
            <w:tcW w:w="460" w:type="dxa"/>
            <w:vAlign w:val="bottom"/>
            <w:tcBorders>
              <w:top w:val="single" w:sz="8" w:color="auto"/>
            </w:tcBorders>
          </w:tcPr>
          <w:p>
            <w:pPr>
              <w:jc w:val="right"/>
              <w:ind w:right="320"/>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0.1</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247.6</w:t>
            </w:r>
          </w:p>
        </w:tc>
        <w:tc>
          <w:tcPr>
            <w:tcW w:w="160" w:type="dxa"/>
            <w:vAlign w:val="bottom"/>
            <w:tcBorders>
              <w:top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114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1.7</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329.2</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33.0</w:t>
            </w:r>
          </w:p>
        </w:tc>
        <w:tc>
          <w:tcPr>
            <w:tcW w:w="300" w:type="dxa"/>
            <w:vAlign w:val="bottom"/>
            <w:tcBorders>
              <w:top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611.6</w:t>
            </w:r>
          </w:p>
        </w:tc>
        <w:tc>
          <w:tcPr>
            <w:tcW w:w="0" w:type="dxa"/>
            <w:vAlign w:val="bottom"/>
          </w:tcPr>
          <w:p>
            <w:pPr>
              <w:spacing w:after="0"/>
              <w:rPr>
                <w:sz w:val="1"/>
                <w:szCs w:val="1"/>
                <w:color w:val="auto"/>
              </w:rPr>
            </w:pPr>
          </w:p>
        </w:tc>
      </w:tr>
      <w:tr>
        <w:trPr>
          <w:trHeight w:val="26"/>
        </w:trPr>
        <w:tc>
          <w:tcPr>
            <w:tcW w:w="26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650875</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58"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7"/>
          <w:szCs w:val="17"/>
          <w:b w:val="1"/>
          <w:bCs w:val="1"/>
          <w:color w:val="auto"/>
        </w:rPr>
        <w:t>MISSION PRODUCE, INC.</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 (UNAUDITED)</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0" w:type="dxa"/>
            <w:vAlign w:val="bottom"/>
            <w:gridSpan w:val="2"/>
          </w:tcPr>
          <w:p>
            <w:pPr>
              <w:jc w:val="right"/>
              <w:ind w:right="351"/>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6"/>
        </w:trPr>
        <w:tc>
          <w:tcPr>
            <w:tcW w:w="74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2"/>
          </w:tcPr>
          <w:p>
            <w:pPr>
              <w:jc w:val="right"/>
              <w:ind w:right="671"/>
              <w:spacing w:after="0"/>
              <w:rPr>
                <w:sz w:val="20"/>
                <w:szCs w:val="20"/>
                <w:color w:val="auto"/>
              </w:rPr>
            </w:pPr>
            <w:r>
              <w:rPr>
                <w:rFonts w:ascii="Arial" w:cs="Arial" w:eastAsia="Arial" w:hAnsi="Arial"/>
                <w:sz w:val="14"/>
                <w:szCs w:val="14"/>
                <w:b w:val="1"/>
                <w:bCs w:val="1"/>
                <w:color w:val="auto"/>
              </w:rPr>
              <w:t>April 30,</w:t>
            </w:r>
          </w:p>
        </w:tc>
        <w:tc>
          <w:tcPr>
            <w:tcW w:w="8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15"/>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6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2026</w:t>
            </w:r>
          </w:p>
        </w:tc>
        <w:tc>
          <w:tcPr>
            <w:tcW w:w="10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8"/>
                <w:szCs w:val="18"/>
                <w:color w:val="auto"/>
              </w:rPr>
            </w:pPr>
          </w:p>
        </w:tc>
      </w:tr>
      <w:tr>
        <w:trPr>
          <w:trHeight w:val="422"/>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6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tcPr>
          <w:p>
            <w:pPr>
              <w:spacing w:after="0"/>
              <w:rPr>
                <w:sz w:val="24"/>
                <w:szCs w:val="24"/>
                <w:color w:val="auto"/>
              </w:rPr>
            </w:pPr>
          </w:p>
        </w:tc>
      </w:tr>
      <w:tr>
        <w:trPr>
          <w:trHeight w:val="199"/>
        </w:trPr>
        <w:tc>
          <w:tcPr>
            <w:tcW w:w="7400" w:type="dxa"/>
            <w:vAlign w:val="bottom"/>
          </w:tcPr>
          <w:p>
            <w:pPr>
              <w:ind w:left="20"/>
              <w:spacing w:after="0"/>
              <w:rPr>
                <w:sz w:val="20"/>
                <w:szCs w:val="20"/>
                <w:color w:val="auto"/>
              </w:rPr>
            </w:pPr>
            <w:r>
              <w:rPr>
                <w:rFonts w:ascii="Arial" w:cs="Arial" w:eastAsia="Arial" w:hAnsi="Arial"/>
                <w:sz w:val="14"/>
                <w:szCs w:val="14"/>
                <w:color w:val="auto"/>
              </w:rPr>
              <w:t>Net (loss) income</w:t>
            </w:r>
          </w:p>
        </w:tc>
        <w:tc>
          <w:tcPr>
            <w:tcW w:w="680" w:type="dxa"/>
            <w:vAlign w:val="bottom"/>
          </w:tcPr>
          <w:p>
            <w:pPr>
              <w:jc w:val="right"/>
              <w:ind w:right="511"/>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31"/>
              <w:spacing w:after="0"/>
              <w:rPr>
                <w:sz w:val="20"/>
                <w:szCs w:val="20"/>
                <w:color w:val="auto"/>
              </w:rPr>
            </w:pPr>
            <w:r>
              <w:rPr>
                <w:rFonts w:ascii="Arial" w:cs="Arial" w:eastAsia="Arial" w:hAnsi="Arial"/>
                <w:sz w:val="14"/>
                <w:szCs w:val="14"/>
                <w:color w:val="auto"/>
              </w:rPr>
              <w:t>(7.5)</w:t>
            </w:r>
          </w:p>
        </w:tc>
        <w:tc>
          <w:tcPr>
            <w:tcW w:w="1020" w:type="dxa"/>
            <w:vAlign w:val="bottom"/>
          </w:tcPr>
          <w:p>
            <w:pPr>
              <w:jc w:val="right"/>
              <w:ind w:right="671"/>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17"/>
                <w:szCs w:val="17"/>
                <w:color w:val="auto"/>
              </w:rPr>
            </w:pPr>
          </w:p>
        </w:tc>
      </w:tr>
      <w:tr>
        <w:trPr>
          <w:trHeight w:val="20"/>
        </w:trPr>
        <w:tc>
          <w:tcPr>
            <w:tcW w:w="7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income to net cash used in operating activities:</w:t>
            </w:r>
          </w:p>
        </w:tc>
        <w:tc>
          <w:tcPr>
            <w:tcW w:w="6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20" w:type="dxa"/>
            <w:vAlign w:val="bottom"/>
          </w:tcPr>
          <w:p>
            <w:pPr>
              <w:spacing w:after="0"/>
              <w:rPr>
                <w:sz w:val="17"/>
                <w:szCs w:val="17"/>
                <w:color w:val="auto"/>
              </w:rPr>
            </w:pPr>
          </w:p>
        </w:tc>
      </w:tr>
      <w:tr>
        <w:trPr>
          <w:trHeight w:val="199"/>
        </w:trPr>
        <w:tc>
          <w:tcPr>
            <w:tcW w:w="7400" w:type="dxa"/>
            <w:vAlign w:val="bottom"/>
          </w:tcPr>
          <w:p>
            <w:pPr>
              <w:ind w:left="440"/>
              <w:spacing w:after="0"/>
              <w:rPr>
                <w:sz w:val="20"/>
                <w:szCs w:val="20"/>
                <w:color w:val="auto"/>
              </w:rPr>
            </w:pPr>
            <w:r>
              <w:rPr>
                <w:rFonts w:ascii="Arial" w:cs="Arial" w:eastAsia="Arial" w:hAnsi="Arial"/>
                <w:sz w:val="14"/>
                <w:szCs w:val="14"/>
                <w:color w:val="auto"/>
              </w:rPr>
              <w:t>Depreciation and amortization</w:t>
            </w:r>
          </w:p>
        </w:tc>
        <w:tc>
          <w:tcPr>
            <w:tcW w:w="680" w:type="dxa"/>
            <w:vAlign w:val="bottom"/>
          </w:tcPr>
          <w:p>
            <w:pPr>
              <w:spacing w:after="0"/>
              <w:rPr>
                <w:sz w:val="17"/>
                <w:szCs w:val="17"/>
                <w:color w:val="auto"/>
              </w:rPr>
            </w:pPr>
          </w:p>
        </w:tc>
        <w:tc>
          <w:tcPr>
            <w:tcW w:w="1180" w:type="dxa"/>
            <w:vAlign w:val="bottom"/>
          </w:tcPr>
          <w:p>
            <w:pPr>
              <w:jc w:val="right"/>
              <w:ind w:right="171"/>
              <w:spacing w:after="0"/>
              <w:rPr>
                <w:sz w:val="20"/>
                <w:szCs w:val="20"/>
                <w:color w:val="auto"/>
              </w:rPr>
            </w:pPr>
            <w:r>
              <w:rPr>
                <w:rFonts w:ascii="Arial" w:cs="Arial" w:eastAsia="Arial" w:hAnsi="Arial"/>
                <w:sz w:val="14"/>
                <w:szCs w:val="14"/>
                <w:color w:val="auto"/>
              </w:rPr>
              <w:t>15.9</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15.7</w:t>
            </w:r>
          </w:p>
        </w:tc>
        <w:tc>
          <w:tcPr>
            <w:tcW w:w="120" w:type="dxa"/>
            <w:vAlign w:val="bottom"/>
          </w:tcPr>
          <w:p>
            <w:pPr>
              <w:spacing w:after="0"/>
              <w:rPr>
                <w:sz w:val="17"/>
                <w:szCs w:val="17"/>
                <w:color w:val="auto"/>
              </w:rPr>
            </w:pPr>
          </w:p>
        </w:tc>
      </w:tr>
      <w:tr>
        <w:trPr>
          <w:trHeight w:val="20"/>
        </w:trPr>
        <w:tc>
          <w:tcPr>
            <w:tcW w:w="7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74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Amortization of debt issuance costs</w:t>
            </w:r>
          </w:p>
        </w:tc>
        <w:tc>
          <w:tcPr>
            <w:tcW w:w="6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4"/>
                <w:szCs w:val="14"/>
                <w:color w:val="auto"/>
              </w:rPr>
              <w:t>0.1</w:t>
            </w:r>
          </w:p>
        </w:tc>
        <w:tc>
          <w:tcPr>
            <w:tcW w:w="10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7"/>
                <w:szCs w:val="17"/>
                <w:color w:val="auto"/>
              </w:rPr>
            </w:pPr>
          </w:p>
        </w:tc>
      </w:tr>
      <w:tr>
        <w:trPr>
          <w:trHeight w:val="199"/>
        </w:trPr>
        <w:tc>
          <w:tcPr>
            <w:tcW w:w="7400" w:type="dxa"/>
            <w:vAlign w:val="bottom"/>
          </w:tcPr>
          <w:p>
            <w:pPr>
              <w:ind w:left="440"/>
              <w:spacing w:after="0"/>
              <w:rPr>
                <w:sz w:val="20"/>
                <w:szCs w:val="20"/>
                <w:color w:val="auto"/>
              </w:rPr>
            </w:pPr>
            <w:r>
              <w:rPr>
                <w:rFonts w:ascii="Arial" w:cs="Arial" w:eastAsia="Arial" w:hAnsi="Arial"/>
                <w:sz w:val="14"/>
                <w:szCs w:val="14"/>
                <w:color w:val="auto"/>
              </w:rPr>
              <w:t>Equity method income</w:t>
            </w:r>
          </w:p>
        </w:tc>
        <w:tc>
          <w:tcPr>
            <w:tcW w:w="680" w:type="dxa"/>
            <w:vAlign w:val="bottom"/>
          </w:tcPr>
          <w:p>
            <w:pPr>
              <w:spacing w:after="0"/>
              <w:rPr>
                <w:sz w:val="17"/>
                <w:szCs w:val="17"/>
                <w:color w:val="auto"/>
              </w:rPr>
            </w:pPr>
          </w:p>
        </w:tc>
        <w:tc>
          <w:tcPr>
            <w:tcW w:w="1180" w:type="dxa"/>
            <w:vAlign w:val="bottom"/>
          </w:tcPr>
          <w:p>
            <w:pPr>
              <w:jc w:val="right"/>
              <w:ind w:right="131"/>
              <w:spacing w:after="0"/>
              <w:rPr>
                <w:sz w:val="20"/>
                <w:szCs w:val="20"/>
                <w:color w:val="auto"/>
              </w:rPr>
            </w:pPr>
            <w:r>
              <w:rPr>
                <w:rFonts w:ascii="Arial" w:cs="Arial" w:eastAsia="Arial" w:hAnsi="Arial"/>
                <w:sz w:val="14"/>
                <w:szCs w:val="14"/>
                <w:color w:val="auto"/>
              </w:rPr>
              <w:t>(2.8)</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7"/>
                <w:szCs w:val="17"/>
                <w:color w:val="auto"/>
              </w:rPr>
            </w:pPr>
          </w:p>
        </w:tc>
      </w:tr>
      <w:tr>
        <w:trPr>
          <w:trHeight w:val="20"/>
        </w:trPr>
        <w:tc>
          <w:tcPr>
            <w:tcW w:w="7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74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Noncash lease expense</w:t>
            </w:r>
          </w:p>
        </w:tc>
        <w:tc>
          <w:tcPr>
            <w:tcW w:w="6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4"/>
                <w:szCs w:val="14"/>
                <w:color w:val="auto"/>
              </w:rPr>
              <w:t>3.1</w:t>
            </w:r>
          </w:p>
        </w:tc>
        <w:tc>
          <w:tcPr>
            <w:tcW w:w="10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7"/>
                <w:szCs w:val="17"/>
                <w:color w:val="auto"/>
              </w:rPr>
            </w:pPr>
          </w:p>
        </w:tc>
      </w:tr>
      <w:tr>
        <w:trPr>
          <w:trHeight w:val="199"/>
        </w:trPr>
        <w:tc>
          <w:tcPr>
            <w:tcW w:w="7400" w:type="dxa"/>
            <w:vAlign w:val="bottom"/>
          </w:tcPr>
          <w:p>
            <w:pPr>
              <w:ind w:left="440"/>
              <w:spacing w:after="0"/>
              <w:rPr>
                <w:sz w:val="20"/>
                <w:szCs w:val="20"/>
                <w:color w:val="auto"/>
              </w:rPr>
            </w:pPr>
            <w:r>
              <w:rPr>
                <w:rFonts w:ascii="Arial" w:cs="Arial" w:eastAsia="Arial" w:hAnsi="Arial"/>
                <w:sz w:val="14"/>
                <w:szCs w:val="14"/>
                <w:color w:val="auto"/>
              </w:rPr>
              <w:t>Stock-based compensation</w:t>
            </w:r>
          </w:p>
        </w:tc>
        <w:tc>
          <w:tcPr>
            <w:tcW w:w="680" w:type="dxa"/>
            <w:vAlign w:val="bottom"/>
          </w:tcPr>
          <w:p>
            <w:pPr>
              <w:spacing w:after="0"/>
              <w:rPr>
                <w:sz w:val="17"/>
                <w:szCs w:val="17"/>
                <w:color w:val="auto"/>
              </w:rPr>
            </w:pPr>
          </w:p>
        </w:tc>
        <w:tc>
          <w:tcPr>
            <w:tcW w:w="1180" w:type="dxa"/>
            <w:vAlign w:val="bottom"/>
          </w:tcPr>
          <w:p>
            <w:pPr>
              <w:jc w:val="right"/>
              <w:ind w:right="171"/>
              <w:spacing w:after="0"/>
              <w:rPr>
                <w:sz w:val="20"/>
                <w:szCs w:val="20"/>
                <w:color w:val="auto"/>
              </w:rPr>
            </w:pPr>
            <w:r>
              <w:rPr>
                <w:rFonts w:ascii="Arial" w:cs="Arial" w:eastAsia="Arial" w:hAnsi="Arial"/>
                <w:sz w:val="14"/>
                <w:szCs w:val="14"/>
                <w:color w:val="auto"/>
              </w:rPr>
              <w:t>2.8</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7"/>
                <w:szCs w:val="17"/>
                <w:color w:val="auto"/>
              </w:rPr>
            </w:pPr>
          </w:p>
        </w:tc>
      </w:tr>
      <w:tr>
        <w:trPr>
          <w:trHeight w:val="20"/>
        </w:trPr>
        <w:tc>
          <w:tcPr>
            <w:tcW w:w="7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74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Dividends received from equity method investees</w:t>
            </w:r>
          </w:p>
        </w:tc>
        <w:tc>
          <w:tcPr>
            <w:tcW w:w="6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4"/>
                <w:szCs w:val="14"/>
                <w:color w:val="auto"/>
              </w:rPr>
              <w:t>4.9</w:t>
            </w:r>
          </w:p>
        </w:tc>
        <w:tc>
          <w:tcPr>
            <w:tcW w:w="10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7"/>
                <w:szCs w:val="17"/>
                <w:color w:val="auto"/>
              </w:rPr>
            </w:pPr>
          </w:p>
        </w:tc>
      </w:tr>
      <w:tr>
        <w:trPr>
          <w:trHeight w:val="199"/>
        </w:trPr>
        <w:tc>
          <w:tcPr>
            <w:tcW w:w="7400" w:type="dxa"/>
            <w:vAlign w:val="bottom"/>
          </w:tcPr>
          <w:p>
            <w:pPr>
              <w:ind w:left="440"/>
              <w:spacing w:after="0"/>
              <w:rPr>
                <w:sz w:val="20"/>
                <w:szCs w:val="20"/>
                <w:color w:val="auto"/>
              </w:rPr>
            </w:pPr>
            <w:r>
              <w:rPr>
                <w:rFonts w:ascii="Arial" w:cs="Arial" w:eastAsia="Arial" w:hAnsi="Arial"/>
                <w:sz w:val="14"/>
                <w:szCs w:val="14"/>
                <w:color w:val="auto"/>
              </w:rPr>
              <w:t>Losses on asset impairment, disposals and sales</w:t>
            </w:r>
          </w:p>
        </w:tc>
        <w:tc>
          <w:tcPr>
            <w:tcW w:w="680" w:type="dxa"/>
            <w:vAlign w:val="bottom"/>
          </w:tcPr>
          <w:p>
            <w:pPr>
              <w:spacing w:after="0"/>
              <w:rPr>
                <w:sz w:val="17"/>
                <w:szCs w:val="17"/>
                <w:color w:val="auto"/>
              </w:rPr>
            </w:pPr>
          </w:p>
        </w:tc>
        <w:tc>
          <w:tcPr>
            <w:tcW w:w="1180" w:type="dxa"/>
            <w:vAlign w:val="bottom"/>
          </w:tcPr>
          <w:p>
            <w:pPr>
              <w:jc w:val="right"/>
              <w:ind w:right="171"/>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7"/>
                <w:szCs w:val="17"/>
                <w:color w:val="auto"/>
              </w:rPr>
            </w:pPr>
          </w:p>
        </w:tc>
      </w:tr>
      <w:tr>
        <w:trPr>
          <w:trHeight w:val="20"/>
        </w:trPr>
        <w:tc>
          <w:tcPr>
            <w:tcW w:w="7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74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Deferred income taxes</w:t>
            </w:r>
          </w:p>
        </w:tc>
        <w:tc>
          <w:tcPr>
            <w:tcW w:w="6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4"/>
                <w:szCs w:val="14"/>
                <w:color w:val="auto"/>
              </w:rPr>
              <w:t>(0.2)</w:t>
            </w:r>
          </w:p>
        </w:tc>
        <w:tc>
          <w:tcPr>
            <w:tcW w:w="10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7"/>
                <w:szCs w:val="17"/>
                <w:color w:val="auto"/>
              </w:rPr>
            </w:pPr>
          </w:p>
        </w:tc>
      </w:tr>
      <w:tr>
        <w:trPr>
          <w:trHeight w:val="199"/>
        </w:trPr>
        <w:tc>
          <w:tcPr>
            <w:tcW w:w="7400" w:type="dxa"/>
            <w:vAlign w:val="bottom"/>
          </w:tcPr>
          <w:p>
            <w:pPr>
              <w:ind w:left="440"/>
              <w:spacing w:after="0"/>
              <w:rPr>
                <w:sz w:val="20"/>
                <w:szCs w:val="20"/>
                <w:color w:val="auto"/>
              </w:rPr>
            </w:pPr>
            <w:r>
              <w:rPr>
                <w:rFonts w:ascii="Arial" w:cs="Arial" w:eastAsia="Arial" w:hAnsi="Arial"/>
                <w:sz w:val="14"/>
                <w:szCs w:val="14"/>
                <w:color w:val="auto"/>
              </w:rPr>
              <w:t>Unrealized losses on foreign currency transactions</w:t>
            </w:r>
          </w:p>
        </w:tc>
        <w:tc>
          <w:tcPr>
            <w:tcW w:w="680" w:type="dxa"/>
            <w:vAlign w:val="bottom"/>
          </w:tcPr>
          <w:p>
            <w:pPr>
              <w:spacing w:after="0"/>
              <w:rPr>
                <w:sz w:val="17"/>
                <w:szCs w:val="17"/>
                <w:color w:val="auto"/>
              </w:rPr>
            </w:pPr>
          </w:p>
        </w:tc>
        <w:tc>
          <w:tcPr>
            <w:tcW w:w="1180" w:type="dxa"/>
            <w:vAlign w:val="bottom"/>
          </w:tcPr>
          <w:p>
            <w:pPr>
              <w:jc w:val="right"/>
              <w:ind w:right="171"/>
              <w:spacing w:after="0"/>
              <w:rPr>
                <w:sz w:val="20"/>
                <w:szCs w:val="20"/>
                <w:color w:val="auto"/>
              </w:rPr>
            </w:pPr>
            <w:r>
              <w:rPr>
                <w:rFonts w:ascii="Arial" w:cs="Arial" w:eastAsia="Arial" w:hAnsi="Arial"/>
                <w:sz w:val="14"/>
                <w:szCs w:val="14"/>
                <w:color w:val="auto"/>
              </w:rPr>
              <w:t>0.8</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7"/>
                <w:szCs w:val="17"/>
                <w:color w:val="auto"/>
              </w:rPr>
            </w:pPr>
          </w:p>
        </w:tc>
      </w:tr>
      <w:tr>
        <w:trPr>
          <w:trHeight w:val="20"/>
        </w:trPr>
        <w:tc>
          <w:tcPr>
            <w:tcW w:w="7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74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Unrealized loss on derivative financial instruments</w:t>
            </w:r>
          </w:p>
        </w:tc>
        <w:tc>
          <w:tcPr>
            <w:tcW w:w="6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7"/>
                <w:szCs w:val="17"/>
                <w:color w:val="auto"/>
              </w:rPr>
            </w:pPr>
          </w:p>
        </w:tc>
      </w:tr>
      <w:tr>
        <w:trPr>
          <w:trHeight w:val="199"/>
        </w:trPr>
        <w:tc>
          <w:tcPr>
            <w:tcW w:w="7400" w:type="dxa"/>
            <w:vAlign w:val="bottom"/>
          </w:tcPr>
          <w:p>
            <w:pPr>
              <w:ind w:left="440"/>
              <w:spacing w:after="0"/>
              <w:rPr>
                <w:sz w:val="20"/>
                <w:szCs w:val="20"/>
                <w:color w:val="auto"/>
              </w:rPr>
            </w:pPr>
            <w:r>
              <w:rPr>
                <w:rFonts w:ascii="Arial" w:cs="Arial" w:eastAsia="Arial" w:hAnsi="Arial"/>
                <w:sz w:val="14"/>
                <w:szCs w:val="14"/>
                <w:color w:val="auto"/>
              </w:rPr>
              <w:t>Other</w:t>
            </w:r>
          </w:p>
        </w:tc>
        <w:tc>
          <w:tcPr>
            <w:tcW w:w="680" w:type="dxa"/>
            <w:vAlign w:val="bottom"/>
          </w:tcPr>
          <w:p>
            <w:pPr>
              <w:spacing w:after="0"/>
              <w:rPr>
                <w:sz w:val="17"/>
                <w:szCs w:val="17"/>
                <w:color w:val="auto"/>
              </w:rPr>
            </w:pPr>
          </w:p>
        </w:tc>
        <w:tc>
          <w:tcPr>
            <w:tcW w:w="1180" w:type="dxa"/>
            <w:vAlign w:val="bottom"/>
          </w:tcPr>
          <w:p>
            <w:pPr>
              <w:jc w:val="right"/>
              <w:ind w:right="171"/>
              <w:spacing w:after="0"/>
              <w:rPr>
                <w:sz w:val="20"/>
                <w:szCs w:val="20"/>
                <w:color w:val="auto"/>
              </w:rPr>
            </w:pPr>
            <w:r>
              <w:rPr>
                <w:rFonts w:ascii="Arial" w:cs="Arial" w:eastAsia="Arial" w:hAnsi="Arial"/>
                <w:sz w:val="14"/>
                <w:szCs w:val="14"/>
                <w:color w:val="auto"/>
              </w:rPr>
              <w:t>0.1</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7"/>
                <w:szCs w:val="17"/>
                <w:color w:val="auto"/>
              </w:rPr>
            </w:pPr>
          </w:p>
        </w:tc>
      </w:tr>
      <w:tr>
        <w:trPr>
          <w:trHeight w:val="20"/>
        </w:trPr>
        <w:tc>
          <w:tcPr>
            <w:tcW w:w="7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Effect on cash of changes in operating assets and liabilities:</w:t>
            </w:r>
          </w:p>
        </w:tc>
        <w:tc>
          <w:tcPr>
            <w:tcW w:w="6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20" w:type="dxa"/>
            <w:vAlign w:val="bottom"/>
          </w:tcPr>
          <w:p>
            <w:pPr>
              <w:spacing w:after="0"/>
              <w:rPr>
                <w:sz w:val="17"/>
                <w:szCs w:val="17"/>
                <w:color w:val="auto"/>
              </w:rPr>
            </w:pPr>
          </w:p>
        </w:tc>
      </w:tr>
      <w:tr>
        <w:trPr>
          <w:trHeight w:val="199"/>
        </w:trPr>
        <w:tc>
          <w:tcPr>
            <w:tcW w:w="7400" w:type="dxa"/>
            <w:vAlign w:val="bottom"/>
          </w:tcPr>
          <w:p>
            <w:pPr>
              <w:ind w:left="440"/>
              <w:spacing w:after="0"/>
              <w:rPr>
                <w:sz w:val="20"/>
                <w:szCs w:val="20"/>
                <w:color w:val="auto"/>
              </w:rPr>
            </w:pPr>
            <w:r>
              <w:rPr>
                <w:rFonts w:ascii="Arial" w:cs="Arial" w:eastAsia="Arial" w:hAnsi="Arial"/>
                <w:sz w:val="14"/>
                <w:szCs w:val="14"/>
                <w:color w:val="auto"/>
              </w:rPr>
              <w:t>Trade accounts receivable</w:t>
            </w:r>
          </w:p>
        </w:tc>
        <w:tc>
          <w:tcPr>
            <w:tcW w:w="680" w:type="dxa"/>
            <w:vAlign w:val="bottom"/>
          </w:tcPr>
          <w:p>
            <w:pPr>
              <w:spacing w:after="0"/>
              <w:rPr>
                <w:sz w:val="17"/>
                <w:szCs w:val="17"/>
                <w:color w:val="auto"/>
              </w:rPr>
            </w:pPr>
          </w:p>
        </w:tc>
        <w:tc>
          <w:tcPr>
            <w:tcW w:w="1180" w:type="dxa"/>
            <w:vAlign w:val="bottom"/>
          </w:tcPr>
          <w:p>
            <w:pPr>
              <w:jc w:val="right"/>
              <w:ind w:right="131"/>
              <w:spacing w:after="0"/>
              <w:rPr>
                <w:sz w:val="20"/>
                <w:szCs w:val="20"/>
                <w:color w:val="auto"/>
              </w:rPr>
            </w:pPr>
            <w:r>
              <w:rPr>
                <w:rFonts w:ascii="Arial" w:cs="Arial" w:eastAsia="Arial" w:hAnsi="Arial"/>
                <w:sz w:val="14"/>
                <w:szCs w:val="14"/>
                <w:color w:val="auto"/>
              </w:rPr>
              <w:t>(11.5)</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(18.3)</w:t>
            </w:r>
          </w:p>
        </w:tc>
        <w:tc>
          <w:tcPr>
            <w:tcW w:w="120" w:type="dxa"/>
            <w:vAlign w:val="bottom"/>
          </w:tcPr>
          <w:p>
            <w:pPr>
              <w:spacing w:after="0"/>
              <w:rPr>
                <w:sz w:val="17"/>
                <w:szCs w:val="17"/>
                <w:color w:val="auto"/>
              </w:rPr>
            </w:pPr>
          </w:p>
        </w:tc>
      </w:tr>
      <w:tr>
        <w:trPr>
          <w:trHeight w:val="20"/>
        </w:trPr>
        <w:tc>
          <w:tcPr>
            <w:tcW w:w="7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74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Grower fruit advances</w:t>
            </w:r>
          </w:p>
        </w:tc>
        <w:tc>
          <w:tcPr>
            <w:tcW w:w="6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7"/>
                <w:szCs w:val="17"/>
                <w:color w:val="auto"/>
              </w:rPr>
            </w:pPr>
          </w:p>
        </w:tc>
      </w:tr>
      <w:tr>
        <w:trPr>
          <w:trHeight w:val="199"/>
        </w:trPr>
        <w:tc>
          <w:tcPr>
            <w:tcW w:w="7400" w:type="dxa"/>
            <w:vAlign w:val="bottom"/>
          </w:tcPr>
          <w:p>
            <w:pPr>
              <w:ind w:left="440"/>
              <w:spacing w:after="0"/>
              <w:rPr>
                <w:sz w:val="20"/>
                <w:szCs w:val="20"/>
                <w:color w:val="auto"/>
              </w:rPr>
            </w:pPr>
            <w:r>
              <w:rPr>
                <w:rFonts w:ascii="Arial" w:cs="Arial" w:eastAsia="Arial" w:hAnsi="Arial"/>
                <w:sz w:val="14"/>
                <w:szCs w:val="14"/>
                <w:color w:val="auto"/>
              </w:rPr>
              <w:t>Other receivables</w:t>
            </w:r>
          </w:p>
        </w:tc>
        <w:tc>
          <w:tcPr>
            <w:tcW w:w="680" w:type="dxa"/>
            <w:vAlign w:val="bottom"/>
          </w:tcPr>
          <w:p>
            <w:pPr>
              <w:spacing w:after="0"/>
              <w:rPr>
                <w:sz w:val="17"/>
                <w:szCs w:val="17"/>
                <w:color w:val="auto"/>
              </w:rPr>
            </w:pPr>
          </w:p>
        </w:tc>
        <w:tc>
          <w:tcPr>
            <w:tcW w:w="1180" w:type="dxa"/>
            <w:vAlign w:val="bottom"/>
          </w:tcPr>
          <w:p>
            <w:pPr>
              <w:jc w:val="right"/>
              <w:ind w:right="171"/>
              <w:spacing w:after="0"/>
              <w:rPr>
                <w:sz w:val="20"/>
                <w:szCs w:val="20"/>
                <w:color w:val="auto"/>
              </w:rPr>
            </w:pPr>
            <w:r>
              <w:rPr>
                <w:rFonts w:ascii="Arial" w:cs="Arial" w:eastAsia="Arial" w:hAnsi="Arial"/>
                <w:sz w:val="14"/>
                <w:szCs w:val="14"/>
                <w:color w:val="auto"/>
              </w:rPr>
              <w:t>0.2</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7"/>
                <w:szCs w:val="17"/>
                <w:color w:val="auto"/>
              </w:rPr>
            </w:pPr>
          </w:p>
        </w:tc>
      </w:tr>
      <w:tr>
        <w:trPr>
          <w:trHeight w:val="20"/>
        </w:trPr>
        <w:tc>
          <w:tcPr>
            <w:tcW w:w="7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74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Inventory</w:t>
            </w:r>
          </w:p>
        </w:tc>
        <w:tc>
          <w:tcPr>
            <w:tcW w:w="6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4"/>
                <w:szCs w:val="14"/>
                <w:color w:val="auto"/>
              </w:rPr>
              <w:t>(33.9)</w:t>
            </w:r>
          </w:p>
        </w:tc>
        <w:tc>
          <w:tcPr>
            <w:tcW w:w="10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120" w:type="dxa"/>
            <w:vAlign w:val="bottom"/>
          </w:tcPr>
          <w:p>
            <w:pPr>
              <w:spacing w:after="0"/>
              <w:rPr>
                <w:sz w:val="17"/>
                <w:szCs w:val="17"/>
                <w:color w:val="auto"/>
              </w:rPr>
            </w:pPr>
          </w:p>
        </w:tc>
      </w:tr>
      <w:tr>
        <w:trPr>
          <w:trHeight w:val="199"/>
        </w:trPr>
        <w:tc>
          <w:tcPr>
            <w:tcW w:w="7400" w:type="dxa"/>
            <w:vAlign w:val="bottom"/>
          </w:tcPr>
          <w:p>
            <w:pPr>
              <w:ind w:left="440"/>
              <w:spacing w:after="0"/>
              <w:rPr>
                <w:sz w:val="20"/>
                <w:szCs w:val="20"/>
                <w:color w:val="auto"/>
              </w:rPr>
            </w:pPr>
            <w:r>
              <w:rPr>
                <w:rFonts w:ascii="Arial" w:cs="Arial" w:eastAsia="Arial" w:hAnsi="Arial"/>
                <w:sz w:val="14"/>
                <w:szCs w:val="14"/>
                <w:color w:val="auto"/>
              </w:rPr>
              <w:t>Prepaid expenses and other current assets</w:t>
            </w:r>
          </w:p>
        </w:tc>
        <w:tc>
          <w:tcPr>
            <w:tcW w:w="680" w:type="dxa"/>
            <w:vAlign w:val="bottom"/>
          </w:tcPr>
          <w:p>
            <w:pPr>
              <w:spacing w:after="0"/>
              <w:rPr>
                <w:sz w:val="17"/>
                <w:szCs w:val="17"/>
                <w:color w:val="auto"/>
              </w:rPr>
            </w:pPr>
          </w:p>
        </w:tc>
        <w:tc>
          <w:tcPr>
            <w:tcW w:w="1180" w:type="dxa"/>
            <w:vAlign w:val="bottom"/>
          </w:tcPr>
          <w:p>
            <w:pPr>
              <w:jc w:val="right"/>
              <w:ind w:right="131"/>
              <w:spacing w:after="0"/>
              <w:rPr>
                <w:sz w:val="20"/>
                <w:szCs w:val="20"/>
                <w:color w:val="auto"/>
              </w:rPr>
            </w:pPr>
            <w:r>
              <w:rPr>
                <w:rFonts w:ascii="Arial" w:cs="Arial" w:eastAsia="Arial" w:hAnsi="Arial"/>
                <w:sz w:val="14"/>
                <w:szCs w:val="14"/>
                <w:color w:val="auto"/>
              </w:rPr>
              <w:t>(0.5)</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7"/>
                <w:szCs w:val="17"/>
                <w:color w:val="auto"/>
              </w:rPr>
            </w:pPr>
          </w:p>
        </w:tc>
      </w:tr>
      <w:tr>
        <w:trPr>
          <w:trHeight w:val="20"/>
        </w:trPr>
        <w:tc>
          <w:tcPr>
            <w:tcW w:w="7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74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Income taxes receivable</w:t>
            </w:r>
          </w:p>
        </w:tc>
        <w:tc>
          <w:tcPr>
            <w:tcW w:w="6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4"/>
                <w:szCs w:val="14"/>
                <w:color w:val="auto"/>
              </w:rPr>
              <w:t>(5.4)</w:t>
            </w:r>
          </w:p>
        </w:tc>
        <w:tc>
          <w:tcPr>
            <w:tcW w:w="10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7"/>
                <w:szCs w:val="17"/>
                <w:color w:val="auto"/>
              </w:rPr>
            </w:pPr>
          </w:p>
        </w:tc>
      </w:tr>
      <w:tr>
        <w:trPr>
          <w:trHeight w:val="199"/>
        </w:trPr>
        <w:tc>
          <w:tcPr>
            <w:tcW w:w="7400" w:type="dxa"/>
            <w:vAlign w:val="bottom"/>
          </w:tcPr>
          <w:p>
            <w:pPr>
              <w:ind w:left="440"/>
              <w:spacing w:after="0"/>
              <w:rPr>
                <w:sz w:val="20"/>
                <w:szCs w:val="20"/>
                <w:color w:val="auto"/>
              </w:rPr>
            </w:pPr>
            <w:r>
              <w:rPr>
                <w:rFonts w:ascii="Arial" w:cs="Arial" w:eastAsia="Arial" w:hAnsi="Arial"/>
                <w:sz w:val="14"/>
                <w:szCs w:val="14"/>
                <w:color w:val="auto"/>
              </w:rPr>
              <w:t>Other assets</w:t>
            </w:r>
          </w:p>
        </w:tc>
        <w:tc>
          <w:tcPr>
            <w:tcW w:w="680" w:type="dxa"/>
            <w:vAlign w:val="bottom"/>
          </w:tcPr>
          <w:p>
            <w:pPr>
              <w:spacing w:after="0"/>
              <w:rPr>
                <w:sz w:val="17"/>
                <w:szCs w:val="17"/>
                <w:color w:val="auto"/>
              </w:rPr>
            </w:pPr>
          </w:p>
        </w:tc>
        <w:tc>
          <w:tcPr>
            <w:tcW w:w="1180" w:type="dxa"/>
            <w:vAlign w:val="bottom"/>
          </w:tcPr>
          <w:p>
            <w:pPr>
              <w:jc w:val="right"/>
              <w:ind w:right="131"/>
              <w:spacing w:after="0"/>
              <w:rPr>
                <w:sz w:val="20"/>
                <w:szCs w:val="20"/>
                <w:color w:val="auto"/>
              </w:rPr>
            </w:pPr>
            <w:r>
              <w:rPr>
                <w:rFonts w:ascii="Arial" w:cs="Arial" w:eastAsia="Arial" w:hAnsi="Arial"/>
                <w:sz w:val="14"/>
                <w:szCs w:val="14"/>
                <w:color w:val="auto"/>
              </w:rPr>
              <w:t>(3.4)</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17"/>
                <w:szCs w:val="17"/>
                <w:color w:val="auto"/>
              </w:rPr>
            </w:pPr>
          </w:p>
        </w:tc>
      </w:tr>
      <w:tr>
        <w:trPr>
          <w:trHeight w:val="20"/>
        </w:trPr>
        <w:tc>
          <w:tcPr>
            <w:tcW w:w="7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74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Accounts payable and accrued expenses</w:t>
            </w:r>
          </w:p>
        </w:tc>
        <w:tc>
          <w:tcPr>
            <w:tcW w:w="6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4"/>
                <w:szCs w:val="14"/>
                <w:color w:val="auto"/>
              </w:rPr>
              <w:t>10.6</w:t>
            </w:r>
          </w:p>
        </w:tc>
        <w:tc>
          <w:tcPr>
            <w:tcW w:w="10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7"/>
                <w:szCs w:val="17"/>
                <w:color w:val="auto"/>
              </w:rPr>
            </w:pPr>
          </w:p>
        </w:tc>
      </w:tr>
      <w:tr>
        <w:trPr>
          <w:trHeight w:val="199"/>
        </w:trPr>
        <w:tc>
          <w:tcPr>
            <w:tcW w:w="7400" w:type="dxa"/>
            <w:vAlign w:val="bottom"/>
          </w:tcPr>
          <w:p>
            <w:pPr>
              <w:ind w:left="440"/>
              <w:spacing w:after="0"/>
              <w:rPr>
                <w:sz w:val="20"/>
                <w:szCs w:val="20"/>
                <w:color w:val="auto"/>
              </w:rPr>
            </w:pPr>
            <w:r>
              <w:rPr>
                <w:rFonts w:ascii="Arial" w:cs="Arial" w:eastAsia="Arial" w:hAnsi="Arial"/>
                <w:sz w:val="14"/>
                <w:szCs w:val="14"/>
                <w:color w:val="auto"/>
              </w:rPr>
              <w:t>Income taxes payable</w:t>
            </w:r>
          </w:p>
        </w:tc>
        <w:tc>
          <w:tcPr>
            <w:tcW w:w="680" w:type="dxa"/>
            <w:vAlign w:val="bottom"/>
          </w:tcPr>
          <w:p>
            <w:pPr>
              <w:spacing w:after="0"/>
              <w:rPr>
                <w:sz w:val="17"/>
                <w:szCs w:val="17"/>
                <w:color w:val="auto"/>
              </w:rPr>
            </w:pPr>
          </w:p>
        </w:tc>
        <w:tc>
          <w:tcPr>
            <w:tcW w:w="1180" w:type="dxa"/>
            <w:vAlign w:val="bottom"/>
          </w:tcPr>
          <w:p>
            <w:pPr>
              <w:jc w:val="right"/>
              <w:ind w:right="131"/>
              <w:spacing w:after="0"/>
              <w:rPr>
                <w:sz w:val="20"/>
                <w:szCs w:val="20"/>
                <w:color w:val="auto"/>
              </w:rPr>
            </w:pPr>
            <w:r>
              <w:rPr>
                <w:rFonts w:ascii="Arial" w:cs="Arial" w:eastAsia="Arial" w:hAnsi="Arial"/>
                <w:sz w:val="14"/>
                <w:szCs w:val="14"/>
                <w:color w:val="auto"/>
              </w:rPr>
              <w:t>(6.5)</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17"/>
                <w:szCs w:val="17"/>
                <w:color w:val="auto"/>
              </w:rPr>
            </w:pPr>
          </w:p>
        </w:tc>
      </w:tr>
      <w:tr>
        <w:trPr>
          <w:trHeight w:val="20"/>
        </w:trPr>
        <w:tc>
          <w:tcPr>
            <w:tcW w:w="7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74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Grower payables</w:t>
            </w:r>
          </w:p>
        </w:tc>
        <w:tc>
          <w:tcPr>
            <w:tcW w:w="6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4"/>
                <w:szCs w:val="14"/>
                <w:color w:val="auto"/>
              </w:rPr>
              <w:t>17.6</w:t>
            </w:r>
          </w:p>
        </w:tc>
        <w:tc>
          <w:tcPr>
            <w:tcW w:w="10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17"/>
                <w:szCs w:val="17"/>
                <w:color w:val="auto"/>
              </w:rPr>
            </w:pPr>
          </w:p>
        </w:tc>
      </w:tr>
      <w:tr>
        <w:trPr>
          <w:trHeight w:val="199"/>
        </w:trPr>
        <w:tc>
          <w:tcPr>
            <w:tcW w:w="7400" w:type="dxa"/>
            <w:vAlign w:val="bottom"/>
          </w:tcPr>
          <w:p>
            <w:pPr>
              <w:ind w:left="440"/>
              <w:spacing w:after="0"/>
              <w:rPr>
                <w:sz w:val="20"/>
                <w:szCs w:val="20"/>
                <w:color w:val="auto"/>
              </w:rPr>
            </w:pPr>
            <w:r>
              <w:rPr>
                <w:rFonts w:ascii="Arial" w:cs="Arial" w:eastAsia="Arial" w:hAnsi="Arial"/>
                <w:sz w:val="14"/>
                <w:szCs w:val="14"/>
                <w:color w:val="auto"/>
              </w:rPr>
              <w:t>Operating lease liabilities</w:t>
            </w:r>
          </w:p>
        </w:tc>
        <w:tc>
          <w:tcPr>
            <w:tcW w:w="680" w:type="dxa"/>
            <w:vAlign w:val="bottom"/>
          </w:tcPr>
          <w:p>
            <w:pPr>
              <w:spacing w:after="0"/>
              <w:rPr>
                <w:sz w:val="17"/>
                <w:szCs w:val="17"/>
                <w:color w:val="auto"/>
              </w:rPr>
            </w:pPr>
          </w:p>
        </w:tc>
        <w:tc>
          <w:tcPr>
            <w:tcW w:w="1180" w:type="dxa"/>
            <w:vAlign w:val="bottom"/>
          </w:tcPr>
          <w:p>
            <w:pPr>
              <w:jc w:val="right"/>
              <w:ind w:right="131"/>
              <w:spacing w:after="0"/>
              <w:rPr>
                <w:sz w:val="20"/>
                <w:szCs w:val="20"/>
                <w:color w:val="auto"/>
              </w:rPr>
            </w:pPr>
            <w:r>
              <w:rPr>
                <w:rFonts w:ascii="Arial" w:cs="Arial" w:eastAsia="Arial" w:hAnsi="Arial"/>
                <w:sz w:val="14"/>
                <w:szCs w:val="14"/>
                <w:color w:val="auto"/>
              </w:rPr>
              <w:t>(3.8)</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7"/>
                <w:szCs w:val="17"/>
                <w:color w:val="auto"/>
              </w:rPr>
            </w:pPr>
          </w:p>
        </w:tc>
      </w:tr>
      <w:tr>
        <w:trPr>
          <w:trHeight w:val="20"/>
        </w:trPr>
        <w:tc>
          <w:tcPr>
            <w:tcW w:w="7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4"/>
        </w:trPr>
        <w:tc>
          <w:tcPr>
            <w:tcW w:w="74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Other long-term liabilities</w:t>
            </w:r>
          </w:p>
        </w:tc>
        <w:tc>
          <w:tcPr>
            <w:tcW w:w="6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4"/>
                <w:szCs w:val="14"/>
                <w:color w:val="auto"/>
              </w:rPr>
              <w:t>(1.6)</w:t>
            </w:r>
          </w:p>
        </w:tc>
        <w:tc>
          <w:tcPr>
            <w:tcW w:w="10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9"/>
                <w:szCs w:val="19"/>
                <w:color w:val="auto"/>
              </w:rPr>
            </w:pPr>
          </w:p>
        </w:tc>
      </w:tr>
      <w:tr>
        <w:trPr>
          <w:trHeight w:val="192"/>
        </w:trPr>
        <w:tc>
          <w:tcPr>
            <w:tcW w:w="74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Net cash used in operating activities</w:t>
            </w:r>
          </w:p>
        </w:tc>
        <w:tc>
          <w:tcPr>
            <w:tcW w:w="680" w:type="dxa"/>
            <w:vAlign w:val="bottom"/>
            <w:tcBorders>
              <w:top w:val="single" w:sz="8" w:color="auto"/>
            </w:tcBorders>
          </w:tcPr>
          <w:p>
            <w:pPr>
              <w:jc w:val="right"/>
              <w:ind w:right="511"/>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tcPr>
          <w:p>
            <w:pPr>
              <w:jc w:val="right"/>
              <w:ind w:right="131"/>
              <w:spacing w:after="0"/>
              <w:rPr>
                <w:sz w:val="20"/>
                <w:szCs w:val="20"/>
                <w:color w:val="auto"/>
              </w:rPr>
            </w:pPr>
            <w:r>
              <w:rPr>
                <w:rFonts w:ascii="Arial" w:cs="Arial" w:eastAsia="Arial" w:hAnsi="Arial"/>
                <w:sz w:val="14"/>
                <w:szCs w:val="14"/>
                <w:color w:val="auto"/>
              </w:rPr>
              <w:t>(21.0)</w:t>
            </w:r>
          </w:p>
        </w:tc>
        <w:tc>
          <w:tcPr>
            <w:tcW w:w="1020" w:type="dxa"/>
            <w:vAlign w:val="bottom"/>
            <w:tcBorders>
              <w:top w:val="single" w:sz="8" w:color="auto"/>
            </w:tcBorders>
          </w:tcPr>
          <w:p>
            <w:pPr>
              <w:jc w:val="right"/>
              <w:ind w:right="671"/>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16"/>
                <w:szCs w:val="16"/>
                <w:color w:val="auto"/>
              </w:rPr>
            </w:pPr>
          </w:p>
        </w:tc>
      </w:tr>
      <w:tr>
        <w:trPr>
          <w:trHeight w:val="20"/>
        </w:trPr>
        <w:tc>
          <w:tcPr>
            <w:tcW w:w="7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5"/>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6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tcPr>
          <w:p>
            <w:pPr>
              <w:spacing w:after="0"/>
              <w:rPr>
                <w:sz w:val="24"/>
                <w:szCs w:val="24"/>
                <w:color w:val="auto"/>
              </w:rPr>
            </w:pPr>
          </w:p>
        </w:tc>
      </w:tr>
      <w:tr>
        <w:trPr>
          <w:trHeight w:val="199"/>
        </w:trPr>
        <w:tc>
          <w:tcPr>
            <w:tcW w:w="7400" w:type="dxa"/>
            <w:vAlign w:val="bottom"/>
          </w:tcPr>
          <w:p>
            <w:pPr>
              <w:ind w:left="20"/>
              <w:spacing w:after="0"/>
              <w:rPr>
                <w:sz w:val="20"/>
                <w:szCs w:val="20"/>
                <w:color w:val="auto"/>
              </w:rPr>
            </w:pPr>
            <w:r>
              <w:rPr>
                <w:rFonts w:ascii="Arial" w:cs="Arial" w:eastAsia="Arial" w:hAnsi="Arial"/>
                <w:sz w:val="14"/>
                <w:szCs w:val="14"/>
                <w:color w:val="auto"/>
              </w:rPr>
              <w:t>Purchases of property, plant and equipment</w:t>
            </w:r>
          </w:p>
        </w:tc>
        <w:tc>
          <w:tcPr>
            <w:tcW w:w="680" w:type="dxa"/>
            <w:vAlign w:val="bottom"/>
          </w:tcPr>
          <w:p>
            <w:pPr>
              <w:spacing w:after="0"/>
              <w:rPr>
                <w:sz w:val="17"/>
                <w:szCs w:val="17"/>
                <w:color w:val="auto"/>
              </w:rPr>
            </w:pPr>
          </w:p>
        </w:tc>
        <w:tc>
          <w:tcPr>
            <w:tcW w:w="1180" w:type="dxa"/>
            <w:vAlign w:val="bottom"/>
          </w:tcPr>
          <w:p>
            <w:pPr>
              <w:jc w:val="right"/>
              <w:ind w:right="131"/>
              <w:spacing w:after="0"/>
              <w:rPr>
                <w:sz w:val="20"/>
                <w:szCs w:val="20"/>
                <w:color w:val="auto"/>
              </w:rPr>
            </w:pPr>
            <w:r>
              <w:rPr>
                <w:rFonts w:ascii="Arial" w:cs="Arial" w:eastAsia="Arial" w:hAnsi="Arial"/>
                <w:sz w:val="14"/>
                <w:szCs w:val="14"/>
                <w:color w:val="auto"/>
              </w:rPr>
              <w:t>(22.9)</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(28.0)</w:t>
            </w:r>
          </w:p>
        </w:tc>
        <w:tc>
          <w:tcPr>
            <w:tcW w:w="120" w:type="dxa"/>
            <w:vAlign w:val="bottom"/>
          </w:tcPr>
          <w:p>
            <w:pPr>
              <w:spacing w:after="0"/>
              <w:rPr>
                <w:sz w:val="17"/>
                <w:szCs w:val="17"/>
                <w:color w:val="auto"/>
              </w:rPr>
            </w:pPr>
          </w:p>
        </w:tc>
      </w:tr>
      <w:tr>
        <w:trPr>
          <w:trHeight w:val="20"/>
        </w:trPr>
        <w:tc>
          <w:tcPr>
            <w:tcW w:w="7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199"/>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Proceeds from sale of property, plant and equipment</w:t>
            </w:r>
          </w:p>
        </w:tc>
        <w:tc>
          <w:tcPr>
            <w:tcW w:w="6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4"/>
                <w:szCs w:val="14"/>
                <w:color w:val="auto"/>
              </w:rPr>
              <w:t>0.1</w:t>
            </w:r>
          </w:p>
        </w:tc>
        <w:tc>
          <w:tcPr>
            <w:tcW w:w="10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r>
      <w:tr>
        <w:trPr>
          <w:trHeight w:val="199"/>
        </w:trPr>
        <w:tc>
          <w:tcPr>
            <w:tcW w:w="7400" w:type="dxa"/>
            <w:vAlign w:val="bottom"/>
          </w:tcPr>
          <w:p>
            <w:pPr>
              <w:ind w:left="20"/>
              <w:spacing w:after="0"/>
              <w:rPr>
                <w:sz w:val="20"/>
                <w:szCs w:val="20"/>
                <w:color w:val="auto"/>
              </w:rPr>
            </w:pPr>
            <w:r>
              <w:rPr>
                <w:rFonts w:ascii="Arial" w:cs="Arial" w:eastAsia="Arial" w:hAnsi="Arial"/>
                <w:sz w:val="14"/>
                <w:szCs w:val="14"/>
                <w:color w:val="auto"/>
              </w:rPr>
              <w:t>Other</w:t>
            </w:r>
          </w:p>
        </w:tc>
        <w:tc>
          <w:tcPr>
            <w:tcW w:w="680" w:type="dxa"/>
            <w:vAlign w:val="bottom"/>
          </w:tcPr>
          <w:p>
            <w:pPr>
              <w:spacing w:after="0"/>
              <w:rPr>
                <w:sz w:val="17"/>
                <w:szCs w:val="17"/>
                <w:color w:val="auto"/>
              </w:rPr>
            </w:pPr>
          </w:p>
        </w:tc>
        <w:tc>
          <w:tcPr>
            <w:tcW w:w="1180" w:type="dxa"/>
            <w:vAlign w:val="bottom"/>
          </w:tcPr>
          <w:p>
            <w:pPr>
              <w:jc w:val="right"/>
              <w:ind w:right="131"/>
              <w:spacing w:after="0"/>
              <w:rPr>
                <w:sz w:val="20"/>
                <w:szCs w:val="20"/>
                <w:color w:val="auto"/>
              </w:rPr>
            </w:pPr>
            <w:r>
              <w:rPr>
                <w:rFonts w:ascii="Arial" w:cs="Arial" w:eastAsia="Arial" w:hAnsi="Arial"/>
                <w:sz w:val="14"/>
                <w:szCs w:val="14"/>
                <w:color w:val="auto"/>
              </w:rPr>
              <w:t>(0.3)</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7"/>
                <w:szCs w:val="17"/>
                <w:color w:val="auto"/>
              </w:rPr>
            </w:pPr>
          </w:p>
        </w:tc>
      </w:tr>
      <w:tr>
        <w:trPr>
          <w:trHeight w:val="20"/>
        </w:trPr>
        <w:tc>
          <w:tcPr>
            <w:tcW w:w="7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2"/>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used in investing activities</w:t>
            </w:r>
          </w:p>
        </w:tc>
        <w:tc>
          <w:tcPr>
            <w:tcW w:w="680" w:type="dxa"/>
            <w:vAlign w:val="bottom"/>
            <w:tcBorders>
              <w:bottom w:val="single" w:sz="8" w:color="CCEEFF"/>
            </w:tcBorders>
            <w:shd w:val="clear" w:color="auto" w:fill="CCEEFF"/>
          </w:tcPr>
          <w:p>
            <w:pPr>
              <w:jc w:val="right"/>
              <w:ind w:right="511"/>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4"/>
                <w:szCs w:val="14"/>
                <w:color w:val="auto"/>
              </w:rPr>
              <w:t>(23.1)</w:t>
            </w:r>
          </w:p>
        </w:tc>
        <w:tc>
          <w:tcPr>
            <w:tcW w:w="1020" w:type="dxa"/>
            <w:vAlign w:val="bottom"/>
            <w:tcBorders>
              <w:bottom w:val="single" w:sz="8" w:color="CCEEFF"/>
            </w:tcBorders>
            <w:shd w:val="clear" w:color="auto" w:fill="CCEEFF"/>
          </w:tcPr>
          <w:p>
            <w:pPr>
              <w:jc w:val="right"/>
              <w:ind w:right="671"/>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120" w:type="dxa"/>
            <w:vAlign w:val="bottom"/>
          </w:tcPr>
          <w:p>
            <w:pPr>
              <w:spacing w:after="0"/>
              <w:rPr>
                <w:sz w:val="16"/>
                <w:szCs w:val="16"/>
                <w:color w:val="auto"/>
              </w:rPr>
            </w:pPr>
          </w:p>
        </w:tc>
      </w:tr>
      <w:tr>
        <w:trPr>
          <w:trHeight w:val="418"/>
        </w:trPr>
        <w:tc>
          <w:tcPr>
            <w:tcW w:w="740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6"/>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Borrowings on revolving credit facility</w:t>
            </w:r>
          </w:p>
        </w:tc>
        <w:tc>
          <w:tcPr>
            <w:tcW w:w="6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4"/>
                <w:szCs w:val="14"/>
                <w:color w:val="auto"/>
              </w:rPr>
              <w:t>45.0</w:t>
            </w:r>
          </w:p>
        </w:tc>
        <w:tc>
          <w:tcPr>
            <w:tcW w:w="10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55.0</w:t>
            </w:r>
          </w:p>
        </w:tc>
        <w:tc>
          <w:tcPr>
            <w:tcW w:w="120" w:type="dxa"/>
            <w:vAlign w:val="bottom"/>
          </w:tcPr>
          <w:p>
            <w:pPr>
              <w:spacing w:after="0"/>
              <w:rPr>
                <w:sz w:val="17"/>
                <w:szCs w:val="17"/>
                <w:color w:val="auto"/>
              </w:rPr>
            </w:pPr>
          </w:p>
        </w:tc>
      </w:tr>
      <w:tr>
        <w:trPr>
          <w:trHeight w:val="199"/>
        </w:trPr>
        <w:tc>
          <w:tcPr>
            <w:tcW w:w="7400" w:type="dxa"/>
            <w:vAlign w:val="bottom"/>
          </w:tcPr>
          <w:p>
            <w:pPr>
              <w:ind w:left="20"/>
              <w:spacing w:after="0"/>
              <w:rPr>
                <w:sz w:val="20"/>
                <w:szCs w:val="20"/>
                <w:color w:val="auto"/>
              </w:rPr>
            </w:pPr>
            <w:r>
              <w:rPr>
                <w:rFonts w:ascii="Arial" w:cs="Arial" w:eastAsia="Arial" w:hAnsi="Arial"/>
                <w:sz w:val="14"/>
                <w:szCs w:val="14"/>
                <w:color w:val="auto"/>
              </w:rPr>
              <w:t>Payments on revolving credit facility</w:t>
            </w:r>
          </w:p>
        </w:tc>
        <w:tc>
          <w:tcPr>
            <w:tcW w:w="680" w:type="dxa"/>
            <w:vAlign w:val="bottom"/>
          </w:tcPr>
          <w:p>
            <w:pPr>
              <w:spacing w:after="0"/>
              <w:rPr>
                <w:sz w:val="17"/>
                <w:szCs w:val="17"/>
                <w:color w:val="auto"/>
              </w:rPr>
            </w:pPr>
          </w:p>
        </w:tc>
        <w:tc>
          <w:tcPr>
            <w:tcW w:w="1180" w:type="dxa"/>
            <w:vAlign w:val="bottom"/>
          </w:tcPr>
          <w:p>
            <w:pPr>
              <w:jc w:val="right"/>
              <w:ind w:right="131"/>
              <w:spacing w:after="0"/>
              <w:rPr>
                <w:sz w:val="20"/>
                <w:szCs w:val="20"/>
                <w:color w:val="auto"/>
              </w:rPr>
            </w:pPr>
            <w:r>
              <w:rPr>
                <w:rFonts w:ascii="Arial" w:cs="Arial" w:eastAsia="Arial" w:hAnsi="Arial"/>
                <w:sz w:val="14"/>
                <w:szCs w:val="14"/>
                <w:color w:val="auto"/>
              </w:rPr>
              <w:t>(30.0)</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(20.0)</w:t>
            </w:r>
          </w:p>
        </w:tc>
        <w:tc>
          <w:tcPr>
            <w:tcW w:w="120" w:type="dxa"/>
            <w:vAlign w:val="bottom"/>
          </w:tcPr>
          <w:p>
            <w:pPr>
              <w:spacing w:after="0"/>
              <w:rPr>
                <w:sz w:val="17"/>
                <w:szCs w:val="17"/>
                <w:color w:val="auto"/>
              </w:rPr>
            </w:pPr>
          </w:p>
        </w:tc>
      </w:tr>
      <w:tr>
        <w:trPr>
          <w:trHeight w:val="20"/>
        </w:trPr>
        <w:tc>
          <w:tcPr>
            <w:tcW w:w="7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Repayment of short-term borrowings</w:t>
            </w:r>
          </w:p>
        </w:tc>
        <w:tc>
          <w:tcPr>
            <w:tcW w:w="6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4"/>
                <w:szCs w:val="14"/>
                <w:color w:val="auto"/>
              </w:rPr>
              <w:t>(4.5)</w:t>
            </w:r>
          </w:p>
        </w:tc>
        <w:tc>
          <w:tcPr>
            <w:tcW w:w="10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7"/>
                <w:szCs w:val="17"/>
                <w:color w:val="auto"/>
              </w:rPr>
            </w:pPr>
          </w:p>
        </w:tc>
      </w:tr>
      <w:tr>
        <w:trPr>
          <w:trHeight w:val="199"/>
        </w:trPr>
        <w:tc>
          <w:tcPr>
            <w:tcW w:w="7400" w:type="dxa"/>
            <w:vAlign w:val="bottom"/>
          </w:tcPr>
          <w:p>
            <w:pPr>
              <w:ind w:left="20"/>
              <w:spacing w:after="0"/>
              <w:rPr>
                <w:sz w:val="20"/>
                <w:szCs w:val="20"/>
                <w:color w:val="auto"/>
              </w:rPr>
            </w:pPr>
            <w:r>
              <w:rPr>
                <w:rFonts w:ascii="Arial" w:cs="Arial" w:eastAsia="Arial" w:hAnsi="Arial"/>
                <w:sz w:val="14"/>
                <w:szCs w:val="14"/>
                <w:color w:val="auto"/>
              </w:rPr>
              <w:t>Borrowings under long-term debt obligations</w:t>
            </w:r>
          </w:p>
        </w:tc>
        <w:tc>
          <w:tcPr>
            <w:tcW w:w="680" w:type="dxa"/>
            <w:vAlign w:val="bottom"/>
          </w:tcPr>
          <w:p>
            <w:pPr>
              <w:spacing w:after="0"/>
              <w:rPr>
                <w:sz w:val="17"/>
                <w:szCs w:val="17"/>
                <w:color w:val="auto"/>
              </w:rPr>
            </w:pPr>
          </w:p>
        </w:tc>
        <w:tc>
          <w:tcPr>
            <w:tcW w:w="1180" w:type="dxa"/>
            <w:vAlign w:val="bottom"/>
          </w:tcPr>
          <w:p>
            <w:pPr>
              <w:jc w:val="right"/>
              <w:ind w:right="171"/>
              <w:spacing w:after="0"/>
              <w:rPr>
                <w:sz w:val="20"/>
                <w:szCs w:val="20"/>
                <w:color w:val="auto"/>
              </w:rPr>
            </w:pPr>
            <w:r>
              <w:rPr>
                <w:rFonts w:ascii="Arial" w:cs="Arial" w:eastAsia="Arial" w:hAnsi="Arial"/>
                <w:sz w:val="14"/>
                <w:szCs w:val="14"/>
                <w:color w:val="auto"/>
              </w:rPr>
              <w:t>100.0</w:t>
            </w:r>
          </w:p>
        </w:tc>
        <w:tc>
          <w:tcPr>
            <w:tcW w:w="102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20"/>
        </w:trPr>
        <w:tc>
          <w:tcPr>
            <w:tcW w:w="7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199"/>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Payment of debt restructuring fees</w:t>
            </w:r>
          </w:p>
        </w:tc>
        <w:tc>
          <w:tcPr>
            <w:tcW w:w="6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4"/>
                <w:szCs w:val="14"/>
                <w:color w:val="auto"/>
              </w:rPr>
              <w:t>(2.2)</w:t>
            </w:r>
          </w:p>
        </w:tc>
        <w:tc>
          <w:tcPr>
            <w:tcW w:w="10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r>
      <w:tr>
        <w:trPr>
          <w:trHeight w:val="199"/>
        </w:trPr>
        <w:tc>
          <w:tcPr>
            <w:tcW w:w="7400" w:type="dxa"/>
            <w:vAlign w:val="bottom"/>
          </w:tcPr>
          <w:p>
            <w:pPr>
              <w:ind w:left="20"/>
              <w:spacing w:after="0"/>
              <w:rPr>
                <w:sz w:val="20"/>
                <w:szCs w:val="20"/>
                <w:color w:val="auto"/>
              </w:rPr>
            </w:pPr>
            <w:r>
              <w:rPr>
                <w:rFonts w:ascii="Arial" w:cs="Arial" w:eastAsia="Arial" w:hAnsi="Arial"/>
                <w:sz w:val="14"/>
                <w:szCs w:val="14"/>
                <w:color w:val="auto"/>
              </w:rPr>
              <w:t>Principal payments on long-term debt obligations</w:t>
            </w:r>
          </w:p>
        </w:tc>
        <w:tc>
          <w:tcPr>
            <w:tcW w:w="680" w:type="dxa"/>
            <w:vAlign w:val="bottom"/>
          </w:tcPr>
          <w:p>
            <w:pPr>
              <w:spacing w:after="0"/>
              <w:rPr>
                <w:sz w:val="17"/>
                <w:szCs w:val="17"/>
                <w:color w:val="auto"/>
              </w:rPr>
            </w:pPr>
          </w:p>
        </w:tc>
        <w:tc>
          <w:tcPr>
            <w:tcW w:w="1180" w:type="dxa"/>
            <w:vAlign w:val="bottom"/>
          </w:tcPr>
          <w:p>
            <w:pPr>
              <w:jc w:val="right"/>
              <w:ind w:right="131"/>
              <w:spacing w:after="0"/>
              <w:rPr>
                <w:sz w:val="20"/>
                <w:szCs w:val="20"/>
                <w:color w:val="auto"/>
              </w:rPr>
            </w:pPr>
            <w:r>
              <w:rPr>
                <w:rFonts w:ascii="Arial" w:cs="Arial" w:eastAsia="Arial" w:hAnsi="Arial"/>
                <w:sz w:val="14"/>
                <w:szCs w:val="14"/>
                <w:color w:val="auto"/>
              </w:rPr>
              <w:t>(91.0)</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7"/>
                <w:szCs w:val="17"/>
                <w:color w:val="auto"/>
              </w:rPr>
            </w:pPr>
          </w:p>
        </w:tc>
      </w:tr>
      <w:tr>
        <w:trPr>
          <w:trHeight w:val="20"/>
        </w:trPr>
        <w:tc>
          <w:tcPr>
            <w:tcW w:w="7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Principal payments on finance lease obligations</w:t>
            </w:r>
          </w:p>
        </w:tc>
        <w:tc>
          <w:tcPr>
            <w:tcW w:w="6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4"/>
                <w:szCs w:val="14"/>
                <w:color w:val="auto"/>
              </w:rPr>
              <w:t>(0.5)</w:t>
            </w:r>
          </w:p>
        </w:tc>
        <w:tc>
          <w:tcPr>
            <w:tcW w:w="10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7"/>
                <w:szCs w:val="17"/>
                <w:color w:val="auto"/>
              </w:rPr>
            </w:pPr>
          </w:p>
        </w:tc>
      </w:tr>
      <w:tr>
        <w:trPr>
          <w:trHeight w:val="199"/>
        </w:trPr>
        <w:tc>
          <w:tcPr>
            <w:tcW w:w="7400" w:type="dxa"/>
            <w:vAlign w:val="bottom"/>
          </w:tcPr>
          <w:p>
            <w:pPr>
              <w:ind w:left="20"/>
              <w:spacing w:after="0"/>
              <w:rPr>
                <w:sz w:val="20"/>
                <w:szCs w:val="20"/>
                <w:color w:val="auto"/>
              </w:rPr>
            </w:pPr>
            <w:r>
              <w:rPr>
                <w:rFonts w:ascii="Arial" w:cs="Arial" w:eastAsia="Arial" w:hAnsi="Arial"/>
                <w:sz w:val="14"/>
                <w:szCs w:val="14"/>
                <w:color w:val="auto"/>
              </w:rPr>
              <w:t>Payments for long-term supplier financing</w:t>
            </w:r>
          </w:p>
        </w:tc>
        <w:tc>
          <w:tcPr>
            <w:tcW w:w="680" w:type="dxa"/>
            <w:vAlign w:val="bottom"/>
          </w:tcPr>
          <w:p>
            <w:pPr>
              <w:spacing w:after="0"/>
              <w:rPr>
                <w:sz w:val="17"/>
                <w:szCs w:val="17"/>
                <w:color w:val="auto"/>
              </w:rPr>
            </w:pPr>
          </w:p>
        </w:tc>
        <w:tc>
          <w:tcPr>
            <w:tcW w:w="1180" w:type="dxa"/>
            <w:vAlign w:val="bottom"/>
          </w:tcPr>
          <w:p>
            <w:pPr>
              <w:jc w:val="right"/>
              <w:ind w:right="131"/>
              <w:spacing w:after="0"/>
              <w:rPr>
                <w:sz w:val="20"/>
                <w:szCs w:val="20"/>
                <w:color w:val="auto"/>
              </w:rPr>
            </w:pPr>
            <w:r>
              <w:rPr>
                <w:rFonts w:ascii="Arial" w:cs="Arial" w:eastAsia="Arial" w:hAnsi="Arial"/>
                <w:sz w:val="14"/>
                <w:szCs w:val="14"/>
                <w:color w:val="auto"/>
              </w:rPr>
              <w:t>(2.6)</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7"/>
                <w:szCs w:val="17"/>
                <w:color w:val="auto"/>
              </w:rPr>
            </w:pPr>
          </w:p>
        </w:tc>
      </w:tr>
      <w:tr>
        <w:trPr>
          <w:trHeight w:val="20"/>
        </w:trPr>
        <w:tc>
          <w:tcPr>
            <w:tcW w:w="7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Payments to noncontrolling interest holder for long-term supply financing</w:t>
            </w:r>
          </w:p>
        </w:tc>
        <w:tc>
          <w:tcPr>
            <w:tcW w:w="6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7"/>
                <w:szCs w:val="17"/>
                <w:color w:val="auto"/>
              </w:rPr>
            </w:pPr>
          </w:p>
        </w:tc>
      </w:tr>
      <w:tr>
        <w:trPr>
          <w:trHeight w:val="199"/>
        </w:trPr>
        <w:tc>
          <w:tcPr>
            <w:tcW w:w="7400" w:type="dxa"/>
            <w:vAlign w:val="bottom"/>
          </w:tcPr>
          <w:p>
            <w:pPr>
              <w:ind w:left="20"/>
              <w:spacing w:after="0"/>
              <w:rPr>
                <w:sz w:val="20"/>
                <w:szCs w:val="20"/>
                <w:color w:val="auto"/>
              </w:rPr>
            </w:pPr>
            <w:r>
              <w:rPr>
                <w:rFonts w:ascii="Arial" w:cs="Arial" w:eastAsia="Arial" w:hAnsi="Arial"/>
                <w:sz w:val="14"/>
                <w:szCs w:val="14"/>
                <w:color w:val="auto"/>
              </w:rPr>
              <w:t>Proceeds from loan from noncontrolling interest holder</w:t>
            </w:r>
          </w:p>
        </w:tc>
        <w:tc>
          <w:tcPr>
            <w:tcW w:w="680" w:type="dxa"/>
            <w:vAlign w:val="bottom"/>
          </w:tcPr>
          <w:p>
            <w:pPr>
              <w:spacing w:after="0"/>
              <w:rPr>
                <w:sz w:val="17"/>
                <w:szCs w:val="17"/>
                <w:color w:val="auto"/>
              </w:rPr>
            </w:pPr>
          </w:p>
        </w:tc>
        <w:tc>
          <w:tcPr>
            <w:tcW w:w="1180" w:type="dxa"/>
            <w:vAlign w:val="bottom"/>
          </w:tcPr>
          <w:p>
            <w:pPr>
              <w:jc w:val="right"/>
              <w:ind w:right="171"/>
              <w:spacing w:after="0"/>
              <w:rPr>
                <w:sz w:val="20"/>
                <w:szCs w:val="20"/>
                <w:color w:val="auto"/>
              </w:rPr>
            </w:pPr>
            <w:r>
              <w:rPr>
                <w:rFonts w:ascii="Arial" w:cs="Arial" w:eastAsia="Arial" w:hAnsi="Arial"/>
                <w:sz w:val="14"/>
                <w:szCs w:val="14"/>
                <w:color w:val="auto"/>
              </w:rPr>
              <w:t>3.1</w:t>
            </w:r>
          </w:p>
        </w:tc>
        <w:tc>
          <w:tcPr>
            <w:tcW w:w="102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20"/>
        </w:trPr>
        <w:tc>
          <w:tcPr>
            <w:tcW w:w="7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199"/>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Principal payments on loans due to noncontrolling interest holder</w:t>
            </w:r>
          </w:p>
        </w:tc>
        <w:tc>
          <w:tcPr>
            <w:tcW w:w="6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4"/>
                <w:szCs w:val="14"/>
                <w:color w:val="auto"/>
              </w:rPr>
              <w:t>(0.1)</w:t>
            </w:r>
          </w:p>
        </w:tc>
        <w:tc>
          <w:tcPr>
            <w:tcW w:w="10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r>
      <w:tr>
        <w:trPr>
          <w:trHeight w:val="199"/>
        </w:trPr>
        <w:tc>
          <w:tcPr>
            <w:tcW w:w="7400" w:type="dxa"/>
            <w:vAlign w:val="bottom"/>
          </w:tcPr>
          <w:p>
            <w:pPr>
              <w:ind w:left="20"/>
              <w:spacing w:after="0"/>
              <w:rPr>
                <w:sz w:val="20"/>
                <w:szCs w:val="20"/>
                <w:color w:val="auto"/>
              </w:rPr>
            </w:pPr>
            <w:r>
              <w:rPr>
                <w:rFonts w:ascii="Arial" w:cs="Arial" w:eastAsia="Arial" w:hAnsi="Arial"/>
                <w:sz w:val="14"/>
                <w:szCs w:val="14"/>
                <w:color w:val="auto"/>
              </w:rPr>
              <w:t>Payments of minimum withholding taxes on net share settlement of equity awards</w:t>
            </w:r>
          </w:p>
        </w:tc>
        <w:tc>
          <w:tcPr>
            <w:tcW w:w="680" w:type="dxa"/>
            <w:vAlign w:val="bottom"/>
          </w:tcPr>
          <w:p>
            <w:pPr>
              <w:spacing w:after="0"/>
              <w:rPr>
                <w:sz w:val="17"/>
                <w:szCs w:val="17"/>
                <w:color w:val="auto"/>
              </w:rPr>
            </w:pPr>
          </w:p>
        </w:tc>
        <w:tc>
          <w:tcPr>
            <w:tcW w:w="1180" w:type="dxa"/>
            <w:vAlign w:val="bottom"/>
          </w:tcPr>
          <w:p>
            <w:pPr>
              <w:jc w:val="right"/>
              <w:ind w:right="131"/>
              <w:spacing w:after="0"/>
              <w:rPr>
                <w:sz w:val="20"/>
                <w:szCs w:val="20"/>
                <w:color w:val="auto"/>
              </w:rPr>
            </w:pPr>
            <w:r>
              <w:rPr>
                <w:rFonts w:ascii="Arial" w:cs="Arial" w:eastAsia="Arial" w:hAnsi="Arial"/>
                <w:sz w:val="14"/>
                <w:szCs w:val="14"/>
                <w:color w:val="auto"/>
              </w:rPr>
              <w:t>(2.5)</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7"/>
                <w:szCs w:val="17"/>
                <w:color w:val="auto"/>
              </w:rPr>
            </w:pPr>
          </w:p>
        </w:tc>
      </w:tr>
      <w:tr>
        <w:trPr>
          <w:trHeight w:val="20"/>
        </w:trPr>
        <w:tc>
          <w:tcPr>
            <w:tcW w:w="7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Exercise of stock options</w:t>
            </w:r>
          </w:p>
        </w:tc>
        <w:tc>
          <w:tcPr>
            <w:tcW w:w="6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7"/>
                <w:szCs w:val="17"/>
                <w:color w:val="auto"/>
              </w:rPr>
            </w:pPr>
          </w:p>
        </w:tc>
      </w:tr>
      <w:tr>
        <w:trPr>
          <w:trHeight w:val="199"/>
        </w:trPr>
        <w:tc>
          <w:tcPr>
            <w:tcW w:w="7400" w:type="dxa"/>
            <w:vAlign w:val="bottom"/>
          </w:tcPr>
          <w:p>
            <w:pPr>
              <w:ind w:left="20"/>
              <w:spacing w:after="0"/>
              <w:rPr>
                <w:sz w:val="20"/>
                <w:szCs w:val="20"/>
                <w:color w:val="auto"/>
              </w:rPr>
            </w:pPr>
            <w:r>
              <w:rPr>
                <w:rFonts w:ascii="Arial" w:cs="Arial" w:eastAsia="Arial" w:hAnsi="Arial"/>
                <w:sz w:val="14"/>
                <w:szCs w:val="14"/>
                <w:color w:val="auto"/>
              </w:rPr>
              <w:t>Purchase and retirement of common stock</w:t>
            </w:r>
          </w:p>
        </w:tc>
        <w:tc>
          <w:tcPr>
            <w:tcW w:w="680" w:type="dxa"/>
            <w:vAlign w:val="bottom"/>
          </w:tcPr>
          <w:p>
            <w:pPr>
              <w:spacing w:after="0"/>
              <w:rPr>
                <w:sz w:val="17"/>
                <w:szCs w:val="17"/>
                <w:color w:val="auto"/>
              </w:rPr>
            </w:pPr>
          </w:p>
        </w:tc>
        <w:tc>
          <w:tcPr>
            <w:tcW w:w="1180" w:type="dxa"/>
            <w:vAlign w:val="bottom"/>
          </w:tcPr>
          <w:p>
            <w:pPr>
              <w:jc w:val="right"/>
              <w:ind w:right="131"/>
              <w:spacing w:after="0"/>
              <w:rPr>
                <w:sz w:val="20"/>
                <w:szCs w:val="20"/>
                <w:color w:val="auto"/>
              </w:rPr>
            </w:pPr>
            <w:r>
              <w:rPr>
                <w:rFonts w:ascii="Arial" w:cs="Arial" w:eastAsia="Arial" w:hAnsi="Arial"/>
                <w:sz w:val="14"/>
                <w:szCs w:val="14"/>
                <w:color w:val="auto"/>
              </w:rPr>
              <w:t>(2.2)</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7"/>
                <w:szCs w:val="17"/>
                <w:color w:val="auto"/>
              </w:rPr>
            </w:pPr>
          </w:p>
        </w:tc>
      </w:tr>
      <w:tr>
        <w:trPr>
          <w:trHeight w:val="20"/>
        </w:trPr>
        <w:tc>
          <w:tcPr>
            <w:tcW w:w="7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2"/>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680" w:type="dxa"/>
            <w:vAlign w:val="bottom"/>
            <w:tcBorders>
              <w:bottom w:val="single" w:sz="8" w:color="CCEEFF"/>
            </w:tcBorders>
            <w:shd w:val="clear" w:color="auto" w:fill="CCEEFF"/>
          </w:tcPr>
          <w:p>
            <w:pPr>
              <w:jc w:val="right"/>
              <w:ind w:right="511"/>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4"/>
                <w:szCs w:val="14"/>
                <w:color w:val="auto"/>
              </w:rPr>
              <w:t>12.5</w:t>
            </w:r>
          </w:p>
        </w:tc>
        <w:tc>
          <w:tcPr>
            <w:tcW w:w="1020" w:type="dxa"/>
            <w:vAlign w:val="bottom"/>
            <w:tcBorders>
              <w:bottom w:val="single" w:sz="8" w:color="CCEEFF"/>
            </w:tcBorders>
            <w:shd w:val="clear" w:color="auto" w:fill="CCEEFF"/>
          </w:tcPr>
          <w:p>
            <w:pPr>
              <w:jc w:val="right"/>
              <w:ind w:right="671"/>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120" w:type="dxa"/>
            <w:vAlign w:val="bottom"/>
          </w:tcPr>
          <w:p>
            <w:pPr>
              <w:spacing w:after="0"/>
              <w:rPr>
                <w:sz w:val="16"/>
                <w:szCs w:val="16"/>
                <w:color w:val="auto"/>
              </w:rPr>
            </w:pPr>
          </w:p>
        </w:tc>
      </w:tr>
      <w:tr>
        <w:trPr>
          <w:trHeight w:val="199"/>
        </w:trPr>
        <w:tc>
          <w:tcPr>
            <w:tcW w:w="7400" w:type="dxa"/>
            <w:vAlign w:val="bottom"/>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680" w:type="dxa"/>
            <w:vAlign w:val="bottom"/>
          </w:tcPr>
          <w:p>
            <w:pPr>
              <w:spacing w:after="0"/>
              <w:rPr>
                <w:sz w:val="17"/>
                <w:szCs w:val="17"/>
                <w:color w:val="auto"/>
              </w:rPr>
            </w:pPr>
          </w:p>
        </w:tc>
        <w:tc>
          <w:tcPr>
            <w:tcW w:w="1180" w:type="dxa"/>
            <w:vAlign w:val="bottom"/>
          </w:tcPr>
          <w:p>
            <w:pPr>
              <w:jc w:val="right"/>
              <w:ind w:right="171"/>
              <w:spacing w:after="0"/>
              <w:rPr>
                <w:sz w:val="20"/>
                <w:szCs w:val="20"/>
                <w:color w:val="auto"/>
              </w:rPr>
            </w:pPr>
            <w:r>
              <w:rPr>
                <w:rFonts w:ascii="Arial" w:cs="Arial" w:eastAsia="Arial" w:hAnsi="Arial"/>
                <w:sz w:val="14"/>
                <w:szCs w:val="14"/>
                <w:color w:val="auto"/>
              </w:rPr>
              <w:t>0.2</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7"/>
                <w:szCs w:val="17"/>
                <w:color w:val="auto"/>
              </w:rPr>
            </w:pPr>
          </w:p>
        </w:tc>
      </w:tr>
      <w:tr>
        <w:trPr>
          <w:trHeight w:val="20"/>
        </w:trPr>
        <w:tc>
          <w:tcPr>
            <w:tcW w:w="7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120"/>
        </w:trPr>
        <w:tc>
          <w:tcPr>
            <w:tcW w:w="74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58" w:right="339" w:bottom="715"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8"/>
        </w:trPr>
        <w:tc>
          <w:tcPr>
            <w:tcW w:w="7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0" w:type="dxa"/>
            <w:vAlign w:val="bottom"/>
            <w:gridSpan w:val="2"/>
          </w:tcPr>
          <w:p>
            <w:pPr>
              <w:jc w:val="right"/>
              <w:ind w:right="351"/>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r>
      <w:tr>
        <w:trPr>
          <w:trHeight w:val="196"/>
        </w:trPr>
        <w:tc>
          <w:tcPr>
            <w:tcW w:w="74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2"/>
          </w:tcPr>
          <w:p>
            <w:pPr>
              <w:jc w:val="right"/>
              <w:ind w:right="671"/>
              <w:spacing w:after="0"/>
              <w:rPr>
                <w:sz w:val="20"/>
                <w:szCs w:val="20"/>
                <w:color w:val="auto"/>
              </w:rPr>
            </w:pPr>
            <w:r>
              <w:rPr>
                <w:rFonts w:ascii="Arial" w:cs="Arial" w:eastAsia="Arial" w:hAnsi="Arial"/>
                <w:sz w:val="14"/>
                <w:szCs w:val="14"/>
                <w:b w:val="1"/>
                <w:bCs w:val="1"/>
                <w:color w:val="auto"/>
              </w:rPr>
              <w:t>April 30,</w:t>
            </w:r>
          </w:p>
        </w:tc>
        <w:tc>
          <w:tcPr>
            <w:tcW w:w="840" w:type="dxa"/>
            <w:vAlign w:val="bottom"/>
            <w:tcBorders>
              <w:bottom w:val="single" w:sz="8" w:color="auto"/>
            </w:tcBorders>
          </w:tcPr>
          <w:p>
            <w:pPr>
              <w:spacing w:after="0"/>
              <w:rPr>
                <w:sz w:val="17"/>
                <w:szCs w:val="17"/>
                <w:color w:val="auto"/>
              </w:rPr>
            </w:pPr>
          </w:p>
        </w:tc>
      </w:tr>
      <w:tr>
        <w:trPr>
          <w:trHeight w:val="215"/>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6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2026</w:t>
            </w:r>
          </w:p>
        </w:tc>
        <w:tc>
          <w:tcPr>
            <w:tcW w:w="10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2025</w:t>
            </w:r>
          </w:p>
        </w:tc>
      </w:tr>
      <w:tr>
        <w:trPr>
          <w:trHeight w:val="196"/>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decrease in cash, cash equivalents and restricted cash</w:t>
            </w:r>
          </w:p>
        </w:tc>
        <w:tc>
          <w:tcPr>
            <w:tcW w:w="6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4"/>
                <w:szCs w:val="14"/>
                <w:color w:val="auto"/>
              </w:rPr>
              <w:t>(31.4)</w:t>
            </w:r>
          </w:p>
        </w:tc>
        <w:tc>
          <w:tcPr>
            <w:tcW w:w="10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(20.3)</w:t>
            </w:r>
          </w:p>
        </w:tc>
      </w:tr>
      <w:tr>
        <w:trPr>
          <w:trHeight w:val="199"/>
        </w:trPr>
        <w:tc>
          <w:tcPr>
            <w:tcW w:w="740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680" w:type="dxa"/>
            <w:vAlign w:val="bottom"/>
          </w:tcPr>
          <w:p>
            <w:pPr>
              <w:spacing w:after="0"/>
              <w:rPr>
                <w:sz w:val="17"/>
                <w:szCs w:val="17"/>
                <w:color w:val="auto"/>
              </w:rPr>
            </w:pPr>
          </w:p>
        </w:tc>
        <w:tc>
          <w:tcPr>
            <w:tcW w:w="1180" w:type="dxa"/>
            <w:vAlign w:val="bottom"/>
          </w:tcPr>
          <w:p>
            <w:pPr>
              <w:jc w:val="right"/>
              <w:ind w:right="171"/>
              <w:spacing w:after="0"/>
              <w:rPr>
                <w:sz w:val="20"/>
                <w:szCs w:val="20"/>
                <w:color w:val="auto"/>
              </w:rPr>
            </w:pPr>
            <w:r>
              <w:rPr>
                <w:rFonts w:ascii="Arial" w:cs="Arial" w:eastAsia="Arial" w:hAnsi="Arial"/>
                <w:sz w:val="14"/>
                <w:szCs w:val="14"/>
                <w:color w:val="auto"/>
              </w:rPr>
              <w:t>66.5</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59.3</w:t>
            </w:r>
          </w:p>
        </w:tc>
      </w:tr>
      <w:tr>
        <w:trPr>
          <w:trHeight w:val="20"/>
        </w:trPr>
        <w:tc>
          <w:tcPr>
            <w:tcW w:w="7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17"/>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end of period</w:t>
            </w:r>
          </w:p>
        </w:tc>
        <w:tc>
          <w:tcPr>
            <w:tcW w:w="680" w:type="dxa"/>
            <w:vAlign w:val="bottom"/>
            <w:tcBorders>
              <w:bottom w:val="single" w:sz="8" w:color="CCEEFF"/>
            </w:tcBorders>
            <w:shd w:val="clear" w:color="auto" w:fill="CCEEFF"/>
          </w:tcPr>
          <w:p>
            <w:pPr>
              <w:jc w:val="right"/>
              <w:ind w:right="511"/>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4"/>
                <w:szCs w:val="14"/>
                <w:color w:val="auto"/>
              </w:rPr>
              <w:t>35.1</w:t>
            </w:r>
          </w:p>
        </w:tc>
        <w:tc>
          <w:tcPr>
            <w:tcW w:w="1020" w:type="dxa"/>
            <w:vAlign w:val="bottom"/>
            <w:tcBorders>
              <w:bottom w:val="single" w:sz="8" w:color="CCEEFF"/>
            </w:tcBorders>
            <w:shd w:val="clear" w:color="auto" w:fill="CCEEFF"/>
          </w:tcPr>
          <w:p>
            <w:pPr>
              <w:jc w:val="right"/>
              <w:ind w:right="671"/>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39.0</w:t>
            </w:r>
          </w:p>
        </w:tc>
      </w:tr>
      <w:tr>
        <w:trPr>
          <w:trHeight w:val="238"/>
        </w:trPr>
        <w:tc>
          <w:tcPr>
            <w:tcW w:w="74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r>
      <w:tr>
        <w:trPr>
          <w:trHeight w:val="184"/>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Summary of cash, cash equivalents and restricted cash reported within the condensed consolidated balance</w:t>
            </w:r>
          </w:p>
        </w:tc>
        <w:tc>
          <w:tcPr>
            <w:tcW w:w="6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03"/>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sheets:</w:t>
            </w:r>
          </w:p>
        </w:tc>
        <w:tc>
          <w:tcPr>
            <w:tcW w:w="6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199"/>
        </w:trPr>
        <w:tc>
          <w:tcPr>
            <w:tcW w:w="740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680" w:type="dxa"/>
            <w:vAlign w:val="bottom"/>
          </w:tcPr>
          <w:p>
            <w:pPr>
              <w:jc w:val="right"/>
              <w:ind w:right="511"/>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71"/>
              <w:spacing w:after="0"/>
              <w:rPr>
                <w:sz w:val="20"/>
                <w:szCs w:val="20"/>
                <w:color w:val="auto"/>
              </w:rPr>
            </w:pPr>
            <w:r>
              <w:rPr>
                <w:rFonts w:ascii="Arial" w:cs="Arial" w:eastAsia="Arial" w:hAnsi="Arial"/>
                <w:sz w:val="14"/>
                <w:szCs w:val="14"/>
                <w:color w:val="auto"/>
              </w:rPr>
              <w:t>33.0</w:t>
            </w:r>
          </w:p>
        </w:tc>
        <w:tc>
          <w:tcPr>
            <w:tcW w:w="1020" w:type="dxa"/>
            <w:vAlign w:val="bottom"/>
          </w:tcPr>
          <w:p>
            <w:pPr>
              <w:jc w:val="right"/>
              <w:ind w:right="671"/>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36.7</w:t>
            </w:r>
          </w:p>
        </w:tc>
      </w:tr>
      <w:tr>
        <w:trPr>
          <w:trHeight w:val="20"/>
        </w:trPr>
        <w:tc>
          <w:tcPr>
            <w:tcW w:w="7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24"/>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6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4"/>
                <w:szCs w:val="14"/>
                <w:color w:val="auto"/>
              </w:rPr>
              <w:t>2.1</w:t>
            </w:r>
          </w:p>
        </w:tc>
        <w:tc>
          <w:tcPr>
            <w:tcW w:w="10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w:t>
            </w:r>
          </w:p>
        </w:tc>
      </w:tr>
      <w:tr>
        <w:trPr>
          <w:trHeight w:val="192"/>
        </w:trPr>
        <w:tc>
          <w:tcPr>
            <w:tcW w:w="74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Total cash, cash equivalents, and restricted cash shown in the condensed consolidated statements of cash flows</w:t>
            </w:r>
          </w:p>
        </w:tc>
        <w:tc>
          <w:tcPr>
            <w:tcW w:w="680" w:type="dxa"/>
            <w:vAlign w:val="bottom"/>
            <w:tcBorders>
              <w:top w:val="single" w:sz="8" w:color="auto"/>
            </w:tcBorders>
          </w:tcPr>
          <w:p>
            <w:pPr>
              <w:jc w:val="right"/>
              <w:ind w:right="511"/>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tcPr>
          <w:p>
            <w:pPr>
              <w:jc w:val="right"/>
              <w:ind w:right="171"/>
              <w:spacing w:after="0"/>
              <w:rPr>
                <w:sz w:val="20"/>
                <w:szCs w:val="20"/>
                <w:color w:val="auto"/>
              </w:rPr>
            </w:pPr>
            <w:r>
              <w:rPr>
                <w:rFonts w:ascii="Arial" w:cs="Arial" w:eastAsia="Arial" w:hAnsi="Arial"/>
                <w:sz w:val="14"/>
                <w:szCs w:val="14"/>
                <w:color w:val="auto"/>
              </w:rPr>
              <w:t>35.1</w:t>
            </w:r>
          </w:p>
        </w:tc>
        <w:tc>
          <w:tcPr>
            <w:tcW w:w="1020" w:type="dxa"/>
            <w:vAlign w:val="bottom"/>
            <w:tcBorders>
              <w:top w:val="single" w:sz="8" w:color="auto"/>
            </w:tcBorders>
          </w:tcPr>
          <w:p>
            <w:pPr>
              <w:jc w:val="right"/>
              <w:ind w:right="671"/>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39.0</w:t>
            </w:r>
          </w:p>
        </w:tc>
      </w:tr>
      <w:tr>
        <w:trPr>
          <w:trHeight w:val="20"/>
        </w:trPr>
        <w:tc>
          <w:tcPr>
            <w:tcW w:w="7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683895</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20"/>
          </w:cols>
          <w:pgMar w:left="320" w:top="1419" w:right="459" w:bottom="1440" w:gutter="0" w:footer="0" w:header="0"/>
        </w:sectPr>
      </w:pPr>
    </w:p>
    <w:bookmarkStart w:id="10" w:name="page11"/>
    <w:bookmarkEnd w:id="10"/>
    <w:p>
      <w:pPr>
        <w:jc w:val="center"/>
        <w:spacing w:after="0"/>
        <w:rPr>
          <w:sz w:val="20"/>
          <w:szCs w:val="20"/>
          <w:color w:val="auto"/>
        </w:rPr>
      </w:pPr>
      <w:r>
        <w:rPr>
          <w:rFonts w:ascii="Arial" w:cs="Arial" w:eastAsia="Arial" w:hAnsi="Arial"/>
          <w:sz w:val="19"/>
          <w:szCs w:val="19"/>
          <w:b w:val="1"/>
          <w:bCs w:val="1"/>
          <w:color w:val="auto"/>
        </w:rPr>
        <w:t>MISSION PRODUCE,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80" w:hanging="377"/>
        <w:spacing w:after="0"/>
        <w:tabs>
          <w:tab w:leader="none" w:pos="38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General</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21" w:lineRule="exact"/>
        <w:rPr>
          <w:sz w:val="20"/>
          <w:szCs w:val="20"/>
          <w:color w:val="auto"/>
        </w:rPr>
      </w:pPr>
    </w:p>
    <w:p>
      <w:pPr>
        <w:ind w:right="220" w:firstLine="619"/>
        <w:spacing w:after="0" w:line="285" w:lineRule="auto"/>
        <w:rPr>
          <w:sz w:val="20"/>
          <w:szCs w:val="20"/>
          <w:color w:val="auto"/>
        </w:rPr>
      </w:pPr>
      <w:r>
        <w:rPr>
          <w:rFonts w:ascii="Arial" w:cs="Arial" w:eastAsia="Arial" w:hAnsi="Arial"/>
          <w:sz w:val="13"/>
          <w:szCs w:val="13"/>
          <w:color w:val="auto"/>
        </w:rPr>
        <w:t>Mission Produce, Inc. together with its consolidated subsidiaries (“Mission,” “the Company,” “we,” “us” or “our”), is a global leader in the avocado industry. The Company’s expertise lies in the farming, packaging, marketing and distribution of avocados to food retailers, distributors and produce wholesalers worldwide. The Company procures avocados principally from California, Mexico and Peru. Through our various operating facilities, we grow, sort, pack, bag and ripen avocados and a small amount of other fruits for distribution to domestic and international markets. We report our results of operations in three operating segments: Marketing &amp; Distribution, International Farming and Blueberries (see Note 12).</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Basis of presentation and consolidation</w:t>
      </w:r>
    </w:p>
    <w:p>
      <w:pPr>
        <w:spacing w:after="0" w:line="221" w:lineRule="exact"/>
        <w:rPr>
          <w:sz w:val="20"/>
          <w:szCs w:val="20"/>
          <w:color w:val="auto"/>
        </w:rPr>
      </w:pPr>
    </w:p>
    <w:p>
      <w:pPr>
        <w:ind w:firstLine="619"/>
        <w:spacing w:after="0" w:line="251" w:lineRule="auto"/>
        <w:rPr>
          <w:sz w:val="20"/>
          <w:szCs w:val="20"/>
          <w:color w:val="auto"/>
        </w:rPr>
      </w:pPr>
      <w:r>
        <w:rPr>
          <w:rFonts w:ascii="Arial" w:cs="Arial" w:eastAsia="Arial" w:hAnsi="Arial"/>
          <w:sz w:val="14"/>
          <w:szCs w:val="14"/>
          <w:color w:val="auto"/>
        </w:rPr>
        <w:t>The unaudited interim condensed consolidated financial statements are presented in accordance with accounting principles generally accepted in the United States of America (“U.S. GAAP”) for interim financial information and include the Company’s consolidated domestic and international subsidiaries and variable interest entity (“VIE”) for which we are the primary beneficiary and have a controlling interest. Certain information and disclosures normally included in annual consolidated financial statements prepared in accordance with U.S. GAAP have been condensed or omitted. Accordingly, these unaudited interim condensed consolidated financial statements and accompanying footnotes should be read in conjunction with the Company’s Annual Report for the year ended October 31, 2025. In the opinion of management, all adjustments, of a normal recurring nature, considered necessary for a fair statement have been included in the unaudited condensed consolidated financial statements. Interim results of operations are not necessarily indicative of future results, including results that may be expected for the twelve months ended October 31, 2026.</w:t>
      </w:r>
    </w:p>
    <w:p>
      <w:pPr>
        <w:spacing w:after="0" w:line="188" w:lineRule="exact"/>
        <w:rPr>
          <w:sz w:val="20"/>
          <w:szCs w:val="20"/>
          <w:color w:val="auto"/>
        </w:rPr>
      </w:pPr>
    </w:p>
    <w:p>
      <w:pPr>
        <w:ind w:right="280" w:firstLine="619"/>
        <w:spacing w:after="0" w:line="259" w:lineRule="auto"/>
        <w:rPr>
          <w:sz w:val="20"/>
          <w:szCs w:val="20"/>
          <w:color w:val="auto"/>
        </w:rPr>
      </w:pPr>
      <w:r>
        <w:rPr>
          <w:rFonts w:ascii="Arial" w:cs="Arial" w:eastAsia="Arial" w:hAnsi="Arial"/>
          <w:sz w:val="14"/>
          <w:szCs w:val="14"/>
          <w:color w:val="auto"/>
        </w:rPr>
        <w:t>Certain reclassifications have been made to previously reported balances in the unaudited condensed consolidated statements of operations in order to conform to current period presentation.</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Recently issued accounting standards</w:t>
      </w:r>
    </w:p>
    <w:p>
      <w:pPr>
        <w:spacing w:after="0" w:line="234" w:lineRule="exact"/>
        <w:rPr>
          <w:sz w:val="20"/>
          <w:szCs w:val="20"/>
          <w:color w:val="auto"/>
        </w:rPr>
      </w:pPr>
    </w:p>
    <w:p>
      <w:pPr>
        <w:jc w:val="both"/>
        <w:ind w:right="180" w:firstLine="619"/>
        <w:spacing w:after="0" w:line="252" w:lineRule="auto"/>
        <w:rPr>
          <w:sz w:val="20"/>
          <w:szCs w:val="20"/>
          <w:color w:val="auto"/>
        </w:rPr>
      </w:pPr>
      <w:r>
        <w:rPr>
          <w:rFonts w:ascii="Arial" w:cs="Arial" w:eastAsia="Arial" w:hAnsi="Arial"/>
          <w:sz w:val="14"/>
          <w:szCs w:val="14"/>
          <w:color w:val="auto"/>
        </w:rPr>
        <w:t>In December 2025, the Financial Accounting Standards Board (“FASB”) issued Accounting Standards Update (“ASU”) 2025-11, Interim Reporting (Topic 270) Narrow-Scope Improvements. The amendments in this Update clarify interim disclosure requirements and the applicability of Topic 270. The objective of the update is to provide clarity about current interim requirements. The amendments in this Update also include a disclosure principle that requires entities to disclose events since the end of the last annual reporting period that have a material impact on the entity. The amendments in this ASU are required to be adopted for interim periods within annual reporting periods beginning after December 15, 2027. Early adoption is permitted. We are currently evaluating the impact of adoption on our financial disclosures.</w:t>
      </w:r>
    </w:p>
    <w:p>
      <w:pPr>
        <w:spacing w:after="0" w:line="186" w:lineRule="exact"/>
        <w:rPr>
          <w:sz w:val="20"/>
          <w:szCs w:val="20"/>
          <w:color w:val="auto"/>
        </w:rPr>
      </w:pPr>
    </w:p>
    <w:p>
      <w:pPr>
        <w:ind w:right="60" w:firstLine="619"/>
        <w:spacing w:after="0" w:line="251" w:lineRule="auto"/>
        <w:rPr>
          <w:sz w:val="20"/>
          <w:szCs w:val="20"/>
          <w:color w:val="auto"/>
        </w:rPr>
      </w:pPr>
      <w:r>
        <w:rPr>
          <w:rFonts w:ascii="Arial" w:cs="Arial" w:eastAsia="Arial" w:hAnsi="Arial"/>
          <w:sz w:val="14"/>
          <w:szCs w:val="14"/>
          <w:color w:val="auto"/>
        </w:rPr>
        <w:t>In November 2024, and as updated in January 2025, the FASB issued ASU 2024-03, Income Statement—Reporting Comprehensive Income—Expense Disaggregation Disclosures. The ASU requires that an entity disclose additional information about specific expense categories in the notes to financial statements at interim and annual reporting periods. This information is generally not presented in the financial statements today. The amendments in this ASU are required to be adopted for fiscal years beginning after December 15, 2026, and interim periods within annual reporting periods beginning after December 15, 2027. Early adoption is permitted. The amendments should be applied either (1) prospectively to financial statements issued for reporting periods after the effective date of this update or (2) retrospectively to any or all prior periods presented in the financial statements. We are currently evaluating the impact of adoption on our financial disclosures.</w:t>
      </w:r>
    </w:p>
    <w:p>
      <w:pPr>
        <w:spacing w:after="0" w:line="176" w:lineRule="exact"/>
        <w:rPr>
          <w:sz w:val="20"/>
          <w:szCs w:val="20"/>
          <w:color w:val="auto"/>
        </w:rPr>
      </w:pPr>
    </w:p>
    <w:p>
      <w:pPr>
        <w:ind w:right="120" w:firstLine="619"/>
        <w:spacing w:after="0" w:line="252" w:lineRule="auto"/>
        <w:rPr>
          <w:sz w:val="20"/>
          <w:szCs w:val="20"/>
          <w:color w:val="auto"/>
        </w:rPr>
      </w:pPr>
      <w:r>
        <w:rPr>
          <w:rFonts w:ascii="Arial" w:cs="Arial" w:eastAsia="Arial" w:hAnsi="Arial"/>
          <w:sz w:val="14"/>
          <w:szCs w:val="14"/>
          <w:color w:val="auto"/>
        </w:rPr>
        <w:t>In December 2023, the FASB issued ASU 2023-09, Income Taxes (Topic 740)—Improvements to Income Tax Disclosures. The ASU requires that an entity disclose specific categories in the effective tax rate reconciliation as well as provide additional information for reconciling items that meet a quantitative threshold. Further, the ASU requires certain disclosures of state versus federal income tax expense and taxes paid. The amendments in this ASU are required to be adopted for fiscal years beginning after December 15, 2024. Early adoption is permitted for annual financial statements that have not yet been issued. The amendments should be applied on a prospective basis although retrospective application is permitted. We are currently evaluating the impact of adoption on our financial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830580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9"/>
          <w:szCs w:val="19"/>
          <w:b w:val="1"/>
          <w:bCs w:val="1"/>
          <w:color w:val="auto"/>
        </w:rPr>
        <w:t>MISSION PRODUCE,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 w:type="dxa"/>
            <w:vAlign w:val="bottom"/>
          </w:tcPr>
          <w:p>
            <w:pPr>
              <w:spacing w:after="0"/>
              <w:rPr>
                <w:sz w:val="20"/>
                <w:szCs w:val="20"/>
                <w:color w:val="auto"/>
              </w:rPr>
            </w:pPr>
            <w:r>
              <w:rPr>
                <w:rFonts w:ascii="Arial" w:cs="Arial" w:eastAsia="Arial" w:hAnsi="Arial"/>
                <w:sz w:val="17"/>
                <w:szCs w:val="17"/>
                <w:b w:val="1"/>
                <w:bCs w:val="1"/>
                <w:color w:val="auto"/>
              </w:rPr>
              <w:t>2.</w:t>
            </w:r>
          </w:p>
        </w:tc>
        <w:tc>
          <w:tcPr>
            <w:tcW w:w="5180" w:type="dxa"/>
            <w:vAlign w:val="bottom"/>
          </w:tcPr>
          <w:p>
            <w:pPr>
              <w:ind w:left="120"/>
              <w:spacing w:after="0"/>
              <w:rPr>
                <w:sz w:val="20"/>
                <w:szCs w:val="20"/>
                <w:color w:val="auto"/>
              </w:rPr>
            </w:pPr>
            <w:r>
              <w:rPr>
                <w:rFonts w:ascii="Arial" w:cs="Arial" w:eastAsia="Arial" w:hAnsi="Arial"/>
                <w:sz w:val="17"/>
                <w:szCs w:val="17"/>
                <w:b w:val="1"/>
                <w:bCs w:val="1"/>
                <w:color w:val="auto"/>
              </w:rPr>
              <w:t>Inventory</w:t>
            </w:r>
          </w:p>
        </w:tc>
        <w:tc>
          <w:tcPr>
            <w:tcW w:w="26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67"/>
        </w:trPr>
        <w:tc>
          <w:tcPr>
            <w:tcW w:w="260" w:type="dxa"/>
            <w:vAlign w:val="bottom"/>
          </w:tcPr>
          <w:p>
            <w:pPr>
              <w:spacing w:after="0"/>
              <w:rPr>
                <w:sz w:val="24"/>
                <w:szCs w:val="24"/>
                <w:color w:val="auto"/>
              </w:rPr>
            </w:pPr>
          </w:p>
        </w:tc>
        <w:tc>
          <w:tcPr>
            <w:tcW w:w="5180" w:type="dxa"/>
            <w:vAlign w:val="bottom"/>
          </w:tcPr>
          <w:p>
            <w:pPr>
              <w:ind w:left="360"/>
              <w:spacing w:after="0"/>
              <w:rPr>
                <w:sz w:val="20"/>
                <w:szCs w:val="20"/>
                <w:color w:val="auto"/>
              </w:rPr>
            </w:pPr>
            <w:r>
              <w:rPr>
                <w:rFonts w:ascii="Arial" w:cs="Arial" w:eastAsia="Arial" w:hAnsi="Arial"/>
                <w:sz w:val="14"/>
                <w:szCs w:val="14"/>
                <w:color w:val="auto"/>
              </w:rPr>
              <w:t>Major classes of inventory were as follows:</w:t>
            </w:r>
          </w:p>
        </w:tc>
        <w:tc>
          <w:tcPr>
            <w:tcW w:w="2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68"/>
        </w:trPr>
        <w:tc>
          <w:tcPr>
            <w:tcW w:w="54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 millions)</w:t>
            </w:r>
          </w:p>
        </w:tc>
        <w:tc>
          <w:tcPr>
            <w:tcW w:w="26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April 30, 2026</w:t>
            </w:r>
          </w:p>
        </w:tc>
        <w:tc>
          <w:tcPr>
            <w:tcW w:w="4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October 31, 2025</w:t>
            </w:r>
          </w:p>
        </w:tc>
      </w:tr>
      <w:tr>
        <w:trPr>
          <w:trHeight w:val="196"/>
        </w:trPr>
        <w:tc>
          <w:tcPr>
            <w:tcW w:w="5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Finished goods</w:t>
            </w:r>
          </w:p>
        </w:tc>
        <w:tc>
          <w:tcPr>
            <w:tcW w:w="262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4"/>
                <w:szCs w:val="14"/>
                <w:color w:val="auto"/>
              </w:rPr>
              <w:t>36.0</w:t>
            </w:r>
          </w:p>
        </w:tc>
        <w:tc>
          <w:tcPr>
            <w:tcW w:w="4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29.9</w:t>
            </w:r>
          </w:p>
        </w:tc>
      </w:tr>
      <w:tr>
        <w:trPr>
          <w:trHeight w:val="199"/>
        </w:trPr>
        <w:tc>
          <w:tcPr>
            <w:tcW w:w="5440" w:type="dxa"/>
            <w:vAlign w:val="bottom"/>
            <w:gridSpan w:val="2"/>
          </w:tcPr>
          <w:p>
            <w:pPr>
              <w:ind w:left="20"/>
              <w:spacing w:after="0"/>
              <w:rPr>
                <w:sz w:val="20"/>
                <w:szCs w:val="20"/>
                <w:color w:val="auto"/>
              </w:rPr>
            </w:pPr>
            <w:r>
              <w:rPr>
                <w:rFonts w:ascii="Arial" w:cs="Arial" w:eastAsia="Arial" w:hAnsi="Arial"/>
                <w:sz w:val="14"/>
                <w:szCs w:val="14"/>
                <w:color w:val="auto"/>
              </w:rPr>
              <w:t>Crop growing costs</w:t>
            </w:r>
          </w:p>
        </w:tc>
        <w:tc>
          <w:tcPr>
            <w:tcW w:w="2620" w:type="dxa"/>
            <w:vAlign w:val="bottom"/>
          </w:tcPr>
          <w:p>
            <w:pPr>
              <w:spacing w:after="0"/>
              <w:rPr>
                <w:sz w:val="17"/>
                <w:szCs w:val="17"/>
                <w:color w:val="auto"/>
              </w:rPr>
            </w:pPr>
          </w:p>
        </w:tc>
        <w:tc>
          <w:tcPr>
            <w:tcW w:w="1380" w:type="dxa"/>
            <w:vAlign w:val="bottom"/>
          </w:tcPr>
          <w:p>
            <w:pPr>
              <w:jc w:val="right"/>
              <w:ind w:right="131"/>
              <w:spacing w:after="0"/>
              <w:rPr>
                <w:sz w:val="20"/>
                <w:szCs w:val="20"/>
                <w:color w:val="auto"/>
              </w:rPr>
            </w:pPr>
            <w:r>
              <w:rPr>
                <w:rFonts w:ascii="Arial" w:cs="Arial" w:eastAsia="Arial" w:hAnsi="Arial"/>
                <w:sz w:val="14"/>
                <w:szCs w:val="14"/>
                <w:color w:val="auto"/>
              </w:rPr>
              <w:t>59.5</w:t>
            </w:r>
          </w:p>
        </w:tc>
        <w:tc>
          <w:tcPr>
            <w:tcW w:w="4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29.8</w:t>
            </w:r>
          </w:p>
        </w:tc>
      </w:tr>
      <w:tr>
        <w:trPr>
          <w:trHeight w:val="20"/>
        </w:trPr>
        <w:tc>
          <w:tcPr>
            <w:tcW w:w="544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24"/>
        </w:trPr>
        <w:tc>
          <w:tcPr>
            <w:tcW w:w="5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Packaging and supplies</w:t>
            </w:r>
          </w:p>
        </w:tc>
        <w:tc>
          <w:tcPr>
            <w:tcW w:w="26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4"/>
                <w:szCs w:val="14"/>
                <w:color w:val="auto"/>
              </w:rPr>
              <w:t>21.1</w:t>
            </w:r>
          </w:p>
        </w:tc>
        <w:tc>
          <w:tcPr>
            <w:tcW w:w="4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20.9</w:t>
            </w:r>
          </w:p>
        </w:tc>
      </w:tr>
      <w:tr>
        <w:trPr>
          <w:trHeight w:val="192"/>
        </w:trPr>
        <w:tc>
          <w:tcPr>
            <w:tcW w:w="54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color w:val="auto"/>
              </w:rPr>
              <w:t>Inventory</w:t>
            </w:r>
          </w:p>
        </w:tc>
        <w:tc>
          <w:tcPr>
            <w:tcW w:w="2620" w:type="dxa"/>
            <w:vAlign w:val="bottom"/>
            <w:tcBorders>
              <w:top w:val="single" w:sz="8" w:color="auto"/>
            </w:tcBorders>
          </w:tcPr>
          <w:p>
            <w:pPr>
              <w:jc w:val="right"/>
              <w:ind w:right="271"/>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tcPr>
          <w:p>
            <w:pPr>
              <w:jc w:val="right"/>
              <w:ind w:right="131"/>
              <w:spacing w:after="0"/>
              <w:rPr>
                <w:sz w:val="20"/>
                <w:szCs w:val="20"/>
                <w:color w:val="auto"/>
              </w:rPr>
            </w:pPr>
            <w:r>
              <w:rPr>
                <w:rFonts w:ascii="Arial" w:cs="Arial" w:eastAsia="Arial" w:hAnsi="Arial"/>
                <w:sz w:val="14"/>
                <w:szCs w:val="14"/>
                <w:color w:val="auto"/>
              </w:rPr>
              <w:t>116.6</w:t>
            </w:r>
          </w:p>
        </w:tc>
        <w:tc>
          <w:tcPr>
            <w:tcW w:w="460" w:type="dxa"/>
            <w:vAlign w:val="bottom"/>
            <w:tcBorders>
              <w:top w:val="single" w:sz="8" w:color="auto"/>
            </w:tcBorders>
          </w:tcPr>
          <w:p>
            <w:pPr>
              <w:jc w:val="right"/>
              <w:ind w:right="171"/>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80.6</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518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b w:val="1"/>
          <w:bCs w:val="1"/>
          <w:color w:val="auto"/>
        </w:rPr>
        <w:t>3.</w:t>
        <w:tab/>
        <w:t>Goodwill</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4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International Farming</w:t>
            </w:r>
          </w:p>
        </w:tc>
        <w:tc>
          <w:tcPr>
            <w:tcW w:w="5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Blueberries</w:t>
            </w:r>
          </w:p>
        </w:tc>
        <w:tc>
          <w:tcPr>
            <w:tcW w:w="7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w w:val="95"/>
              </w:rPr>
              <w:t>Total</w:t>
            </w:r>
          </w:p>
        </w:tc>
      </w:tr>
      <w:tr>
        <w:trPr>
          <w:trHeight w:val="196"/>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Goodwill as of both April 30, 2026 and October 31, 2025</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26.9</w:t>
            </w:r>
          </w:p>
        </w:tc>
        <w:tc>
          <w:tcPr>
            <w:tcW w:w="580" w:type="dxa"/>
            <w:vAlign w:val="bottom"/>
            <w:tcBorders>
              <w:bottom w:val="single" w:sz="8" w:color="CCEEFF"/>
            </w:tcBorders>
            <w:shd w:val="clear" w:color="auto" w:fill="CCEEFF"/>
          </w:tcPr>
          <w:p>
            <w:pPr>
              <w:jc w:val="right"/>
              <w:ind w:right="331"/>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12.5</w:t>
            </w:r>
          </w:p>
        </w:tc>
        <w:tc>
          <w:tcPr>
            <w:tcW w:w="780" w:type="dxa"/>
            <w:vAlign w:val="bottom"/>
            <w:tcBorders>
              <w:bottom w:val="single" w:sz="8" w:color="CCEEFF"/>
            </w:tcBorders>
            <w:shd w:val="clear" w:color="auto" w:fill="CCEEFF"/>
          </w:tcPr>
          <w:p>
            <w:pPr>
              <w:jc w:val="right"/>
              <w:ind w:right="551"/>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4"/>
                <w:szCs w:val="14"/>
                <w:color w:val="auto"/>
              </w:rPr>
              <w:t>39.4</w:t>
            </w:r>
          </w:p>
        </w:tc>
      </w:tr>
      <w:tr>
        <w:trPr>
          <w:trHeight w:val="20"/>
        </w:trPr>
        <w:tc>
          <w:tcPr>
            <w:tcW w:w="46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263" w:lineRule="exact"/>
        <w:rPr>
          <w:sz w:val="20"/>
          <w:szCs w:val="20"/>
          <w:color w:val="auto"/>
        </w:rPr>
      </w:pPr>
    </w:p>
    <w:p>
      <w:pPr>
        <w:jc w:val="both"/>
        <w:ind w:right="140" w:firstLine="619"/>
        <w:spacing w:after="0" w:line="264" w:lineRule="auto"/>
        <w:rPr>
          <w:sz w:val="20"/>
          <w:szCs w:val="20"/>
          <w:color w:val="auto"/>
        </w:rPr>
      </w:pPr>
      <w:r>
        <w:rPr>
          <w:rFonts w:ascii="Arial" w:cs="Arial" w:eastAsia="Arial" w:hAnsi="Arial"/>
          <w:sz w:val="14"/>
          <w:szCs w:val="14"/>
          <w:color w:val="auto"/>
        </w:rPr>
        <w:t>The carrying amounts of goodwill as of both April 30, 2026 and October 31, 2025 were net of accumulated impairment losses of $49.5 million, attributable to the International Farming segment. Goodwill is tested for impairment on an annual basis in the fourth quarter, or when an event or changes in circumstances indicate that its carrying value may not be recoverable.</w:t>
      </w:r>
    </w:p>
    <w:p>
      <w:pPr>
        <w:spacing w:after="0" w:line="218"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b w:val="1"/>
          <w:bCs w:val="1"/>
          <w:color w:val="auto"/>
        </w:rPr>
        <w:t>4.</w:t>
        <w:tab/>
        <w:t>Details of Certain Account Balances</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Accrued expenses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3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April 30, 2026</w:t>
            </w:r>
          </w:p>
        </w:tc>
        <w:tc>
          <w:tcPr>
            <w:tcW w:w="4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October 31, 2025</w:t>
            </w:r>
          </w:p>
        </w:tc>
      </w:tr>
      <w:tr>
        <w:trPr>
          <w:trHeight w:val="19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Employee-related</w:t>
            </w:r>
          </w:p>
        </w:tc>
        <w:tc>
          <w:tcPr>
            <w:tcW w:w="336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4"/>
                <w:szCs w:val="14"/>
                <w:color w:val="auto"/>
              </w:rPr>
              <w:t>16.8</w:t>
            </w:r>
          </w:p>
        </w:tc>
        <w:tc>
          <w:tcPr>
            <w:tcW w:w="4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23.6</w:t>
            </w:r>
          </w:p>
        </w:tc>
      </w:tr>
      <w:tr>
        <w:trPr>
          <w:trHeight w:val="199"/>
        </w:trPr>
        <w:tc>
          <w:tcPr>
            <w:tcW w:w="4700" w:type="dxa"/>
            <w:vAlign w:val="bottom"/>
          </w:tcPr>
          <w:p>
            <w:pPr>
              <w:ind w:left="20"/>
              <w:spacing w:after="0"/>
              <w:rPr>
                <w:sz w:val="20"/>
                <w:szCs w:val="20"/>
                <w:color w:val="auto"/>
              </w:rPr>
            </w:pPr>
            <w:r>
              <w:rPr>
                <w:rFonts w:ascii="Arial" w:cs="Arial" w:eastAsia="Arial" w:hAnsi="Arial"/>
                <w:sz w:val="14"/>
                <w:szCs w:val="14"/>
                <w:color w:val="auto"/>
              </w:rPr>
              <w:t>Freight</w:t>
            </w:r>
          </w:p>
        </w:tc>
        <w:tc>
          <w:tcPr>
            <w:tcW w:w="3360" w:type="dxa"/>
            <w:vAlign w:val="bottom"/>
          </w:tcPr>
          <w:p>
            <w:pPr>
              <w:spacing w:after="0"/>
              <w:rPr>
                <w:sz w:val="17"/>
                <w:szCs w:val="17"/>
                <w:color w:val="auto"/>
              </w:rPr>
            </w:pPr>
          </w:p>
        </w:tc>
        <w:tc>
          <w:tcPr>
            <w:tcW w:w="1380" w:type="dxa"/>
            <w:vAlign w:val="bottom"/>
          </w:tcPr>
          <w:p>
            <w:pPr>
              <w:jc w:val="right"/>
              <w:ind w:right="131"/>
              <w:spacing w:after="0"/>
              <w:rPr>
                <w:sz w:val="20"/>
                <w:szCs w:val="20"/>
                <w:color w:val="auto"/>
              </w:rPr>
            </w:pPr>
            <w:r>
              <w:rPr>
                <w:rFonts w:ascii="Arial" w:cs="Arial" w:eastAsia="Arial" w:hAnsi="Arial"/>
                <w:sz w:val="14"/>
                <w:szCs w:val="14"/>
                <w:color w:val="auto"/>
              </w:rPr>
              <w:t>9.8</w:t>
            </w:r>
          </w:p>
        </w:tc>
        <w:tc>
          <w:tcPr>
            <w:tcW w:w="4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5.9</w:t>
            </w:r>
          </w:p>
        </w:tc>
      </w:tr>
      <w:tr>
        <w:trPr>
          <w:trHeight w:val="20"/>
        </w:trPr>
        <w:tc>
          <w:tcPr>
            <w:tcW w:w="47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9"/>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Outside fruit purchase</w:t>
            </w:r>
          </w:p>
        </w:tc>
        <w:tc>
          <w:tcPr>
            <w:tcW w:w="336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4"/>
                <w:szCs w:val="14"/>
                <w:color w:val="auto"/>
              </w:rPr>
              <w:t>2.8</w:t>
            </w:r>
          </w:p>
        </w:tc>
        <w:tc>
          <w:tcPr>
            <w:tcW w:w="4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w:t>
            </w:r>
          </w:p>
        </w:tc>
      </w:tr>
      <w:tr>
        <w:trPr>
          <w:trHeight w:val="199"/>
        </w:trPr>
        <w:tc>
          <w:tcPr>
            <w:tcW w:w="4700" w:type="dxa"/>
            <w:vAlign w:val="bottom"/>
          </w:tcPr>
          <w:p>
            <w:pPr>
              <w:ind w:left="20"/>
              <w:spacing w:after="0"/>
              <w:rPr>
                <w:sz w:val="20"/>
                <w:szCs w:val="20"/>
                <w:color w:val="auto"/>
              </w:rPr>
            </w:pPr>
            <w:r>
              <w:rPr>
                <w:rFonts w:ascii="Arial" w:cs="Arial" w:eastAsia="Arial" w:hAnsi="Arial"/>
                <w:sz w:val="14"/>
                <w:szCs w:val="14"/>
                <w:color w:val="auto"/>
              </w:rPr>
              <w:t>VAT and local taxes payable</w:t>
            </w:r>
          </w:p>
        </w:tc>
        <w:tc>
          <w:tcPr>
            <w:tcW w:w="3360" w:type="dxa"/>
            <w:vAlign w:val="bottom"/>
          </w:tcPr>
          <w:p>
            <w:pPr>
              <w:spacing w:after="0"/>
              <w:rPr>
                <w:sz w:val="17"/>
                <w:szCs w:val="17"/>
                <w:color w:val="auto"/>
              </w:rPr>
            </w:pPr>
          </w:p>
        </w:tc>
        <w:tc>
          <w:tcPr>
            <w:tcW w:w="1380" w:type="dxa"/>
            <w:vAlign w:val="bottom"/>
          </w:tcPr>
          <w:p>
            <w:pPr>
              <w:jc w:val="right"/>
              <w:ind w:right="131"/>
              <w:spacing w:after="0"/>
              <w:rPr>
                <w:sz w:val="20"/>
                <w:szCs w:val="20"/>
                <w:color w:val="auto"/>
              </w:rPr>
            </w:pPr>
            <w:r>
              <w:rPr>
                <w:rFonts w:ascii="Arial" w:cs="Arial" w:eastAsia="Arial" w:hAnsi="Arial"/>
                <w:sz w:val="14"/>
                <w:szCs w:val="14"/>
                <w:color w:val="auto"/>
              </w:rPr>
              <w:t>0.8</w:t>
            </w:r>
          </w:p>
        </w:tc>
        <w:tc>
          <w:tcPr>
            <w:tcW w:w="4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0"/>
        </w:trPr>
        <w:tc>
          <w:tcPr>
            <w:tcW w:w="47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9"/>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Transaction advisory costs</w:t>
            </w:r>
          </w:p>
        </w:tc>
        <w:tc>
          <w:tcPr>
            <w:tcW w:w="336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4"/>
                <w:szCs w:val="14"/>
                <w:color w:val="auto"/>
              </w:rPr>
              <w:t>8.0</w:t>
            </w:r>
          </w:p>
        </w:tc>
        <w:tc>
          <w:tcPr>
            <w:tcW w:w="4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0.8</w:t>
            </w:r>
          </w:p>
        </w:tc>
      </w:tr>
      <w:tr>
        <w:trPr>
          <w:trHeight w:val="199"/>
        </w:trPr>
        <w:tc>
          <w:tcPr>
            <w:tcW w:w="4700" w:type="dxa"/>
            <w:vAlign w:val="bottom"/>
          </w:tcPr>
          <w:p>
            <w:pPr>
              <w:ind w:left="20"/>
              <w:spacing w:after="0"/>
              <w:rPr>
                <w:sz w:val="20"/>
                <w:szCs w:val="20"/>
                <w:color w:val="auto"/>
              </w:rPr>
            </w:pPr>
            <w:r>
              <w:rPr>
                <w:rFonts w:ascii="Arial" w:cs="Arial" w:eastAsia="Arial" w:hAnsi="Arial"/>
                <w:sz w:val="14"/>
                <w:szCs w:val="14"/>
                <w:color w:val="auto"/>
              </w:rPr>
              <w:t>Other</w:t>
            </w:r>
          </w:p>
        </w:tc>
        <w:tc>
          <w:tcPr>
            <w:tcW w:w="3360" w:type="dxa"/>
            <w:vAlign w:val="bottom"/>
          </w:tcPr>
          <w:p>
            <w:pPr>
              <w:spacing w:after="0"/>
              <w:rPr>
                <w:sz w:val="17"/>
                <w:szCs w:val="17"/>
                <w:color w:val="auto"/>
              </w:rPr>
            </w:pPr>
          </w:p>
        </w:tc>
        <w:tc>
          <w:tcPr>
            <w:tcW w:w="1380" w:type="dxa"/>
            <w:vAlign w:val="bottom"/>
          </w:tcPr>
          <w:p>
            <w:pPr>
              <w:jc w:val="right"/>
              <w:ind w:right="131"/>
              <w:spacing w:after="0"/>
              <w:rPr>
                <w:sz w:val="20"/>
                <w:szCs w:val="20"/>
                <w:color w:val="auto"/>
              </w:rPr>
            </w:pPr>
            <w:r>
              <w:rPr>
                <w:rFonts w:ascii="Arial" w:cs="Arial" w:eastAsia="Arial" w:hAnsi="Arial"/>
                <w:sz w:val="14"/>
                <w:szCs w:val="14"/>
                <w:color w:val="auto"/>
              </w:rPr>
              <w:t>7.5</w:t>
            </w:r>
          </w:p>
        </w:tc>
        <w:tc>
          <w:tcPr>
            <w:tcW w:w="4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6.4</w:t>
            </w: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3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2"/>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expenses</w:t>
            </w:r>
          </w:p>
        </w:tc>
        <w:tc>
          <w:tcPr>
            <w:tcW w:w="336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4"/>
                <w:szCs w:val="14"/>
                <w:color w:val="auto"/>
              </w:rPr>
              <w:t>45.7</w:t>
            </w:r>
          </w:p>
        </w:tc>
        <w:tc>
          <w:tcPr>
            <w:tcW w:w="4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38.9</w:t>
            </w:r>
          </w:p>
        </w:tc>
      </w:tr>
      <w:tr>
        <w:trPr>
          <w:trHeight w:val="20"/>
        </w:trPr>
        <w:tc>
          <w:tcPr>
            <w:tcW w:w="4700" w:type="dxa"/>
            <w:vAlign w:val="bottom"/>
            <w:shd w:val="clear" w:color="auto" w:fill="000000"/>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long-term liabilities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7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April 30, 2026</w:t>
            </w:r>
          </w:p>
        </w:tc>
        <w:tc>
          <w:tcPr>
            <w:tcW w:w="4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October 31, 2025</w:t>
            </w:r>
          </w:p>
        </w:tc>
      </w:tr>
      <w:tr>
        <w:trPr>
          <w:trHeight w:val="196"/>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Uncertain tax positions</w:t>
            </w:r>
            <w:r>
              <w:rPr>
                <w:rFonts w:ascii="Arial" w:cs="Arial" w:eastAsia="Arial" w:hAnsi="Arial"/>
                <w:sz w:val="8"/>
                <w:szCs w:val="8"/>
                <w:color w:val="auto"/>
              </w:rPr>
              <w:t>(1)</w:t>
            </w:r>
          </w:p>
        </w:tc>
        <w:tc>
          <w:tcPr>
            <w:tcW w:w="274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4"/>
                <w:szCs w:val="14"/>
                <w:color w:val="auto"/>
              </w:rPr>
              <w:t>21.7</w:t>
            </w:r>
          </w:p>
        </w:tc>
        <w:tc>
          <w:tcPr>
            <w:tcW w:w="4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w:t>
            </w:r>
          </w:p>
        </w:tc>
      </w:tr>
      <w:tr>
        <w:trPr>
          <w:trHeight w:val="199"/>
        </w:trPr>
        <w:tc>
          <w:tcPr>
            <w:tcW w:w="5320" w:type="dxa"/>
            <w:vAlign w:val="bottom"/>
          </w:tcPr>
          <w:p>
            <w:pPr>
              <w:ind w:left="20"/>
              <w:spacing w:after="0"/>
              <w:rPr>
                <w:sz w:val="20"/>
                <w:szCs w:val="20"/>
                <w:color w:val="auto"/>
              </w:rPr>
            </w:pPr>
            <w:r>
              <w:rPr>
                <w:rFonts w:ascii="Arial" w:cs="Arial" w:eastAsia="Arial" w:hAnsi="Arial"/>
                <w:sz w:val="14"/>
                <w:szCs w:val="14"/>
                <w:color w:val="auto"/>
              </w:rPr>
              <w:t>Employee-related</w:t>
            </w:r>
          </w:p>
        </w:tc>
        <w:tc>
          <w:tcPr>
            <w:tcW w:w="2740" w:type="dxa"/>
            <w:vAlign w:val="bottom"/>
          </w:tcPr>
          <w:p>
            <w:pPr>
              <w:spacing w:after="0"/>
              <w:rPr>
                <w:sz w:val="17"/>
                <w:szCs w:val="17"/>
                <w:color w:val="auto"/>
              </w:rPr>
            </w:pPr>
          </w:p>
        </w:tc>
        <w:tc>
          <w:tcPr>
            <w:tcW w:w="1380" w:type="dxa"/>
            <w:vAlign w:val="bottom"/>
          </w:tcPr>
          <w:p>
            <w:pPr>
              <w:jc w:val="right"/>
              <w:ind w:right="131"/>
              <w:spacing w:after="0"/>
              <w:rPr>
                <w:sz w:val="20"/>
                <w:szCs w:val="20"/>
                <w:color w:val="auto"/>
              </w:rPr>
            </w:pPr>
            <w:r>
              <w:rPr>
                <w:rFonts w:ascii="Arial" w:cs="Arial" w:eastAsia="Arial" w:hAnsi="Arial"/>
                <w:sz w:val="14"/>
                <w:szCs w:val="14"/>
                <w:color w:val="auto"/>
              </w:rPr>
              <w:t>3.3</w:t>
            </w:r>
          </w:p>
        </w:tc>
        <w:tc>
          <w:tcPr>
            <w:tcW w:w="4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20"/>
        </w:trPr>
        <w:tc>
          <w:tcPr>
            <w:tcW w:w="53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9"/>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Trade payables to noncontrolling interest holders</w:t>
            </w:r>
          </w:p>
        </w:tc>
        <w:tc>
          <w:tcPr>
            <w:tcW w:w="27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199"/>
        </w:trPr>
        <w:tc>
          <w:tcPr>
            <w:tcW w:w="5320" w:type="dxa"/>
            <w:vAlign w:val="bottom"/>
          </w:tcPr>
          <w:p>
            <w:pPr>
              <w:ind w:left="20"/>
              <w:spacing w:after="0"/>
              <w:rPr>
                <w:sz w:val="20"/>
                <w:szCs w:val="20"/>
                <w:color w:val="auto"/>
              </w:rPr>
            </w:pPr>
            <w:r>
              <w:rPr>
                <w:rFonts w:ascii="Arial" w:cs="Arial" w:eastAsia="Arial" w:hAnsi="Arial"/>
                <w:sz w:val="14"/>
                <w:szCs w:val="14"/>
                <w:color w:val="auto"/>
              </w:rPr>
              <w:t>Other</w:t>
            </w:r>
          </w:p>
        </w:tc>
        <w:tc>
          <w:tcPr>
            <w:tcW w:w="2740" w:type="dxa"/>
            <w:vAlign w:val="bottom"/>
          </w:tcPr>
          <w:p>
            <w:pPr>
              <w:spacing w:after="0"/>
              <w:rPr>
                <w:sz w:val="17"/>
                <w:szCs w:val="17"/>
                <w:color w:val="auto"/>
              </w:rPr>
            </w:pPr>
          </w:p>
        </w:tc>
        <w:tc>
          <w:tcPr>
            <w:tcW w:w="1380" w:type="dxa"/>
            <w:vAlign w:val="bottom"/>
          </w:tcPr>
          <w:p>
            <w:pPr>
              <w:jc w:val="right"/>
              <w:ind w:right="131"/>
              <w:spacing w:after="0"/>
              <w:rPr>
                <w:sz w:val="20"/>
                <w:szCs w:val="20"/>
                <w:color w:val="auto"/>
              </w:rPr>
            </w:pPr>
            <w:r>
              <w:rPr>
                <w:rFonts w:ascii="Arial" w:cs="Arial" w:eastAsia="Arial" w:hAnsi="Arial"/>
                <w:sz w:val="14"/>
                <w:szCs w:val="14"/>
                <w:color w:val="auto"/>
              </w:rPr>
              <w:t>0.8</w:t>
            </w:r>
          </w:p>
        </w:tc>
        <w:tc>
          <w:tcPr>
            <w:tcW w:w="4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2"/>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long-term liabilities</w:t>
            </w:r>
          </w:p>
        </w:tc>
        <w:tc>
          <w:tcPr>
            <w:tcW w:w="274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4"/>
                <w:szCs w:val="14"/>
                <w:color w:val="auto"/>
              </w:rPr>
              <w:t>25.8</w:t>
            </w:r>
          </w:p>
        </w:tc>
        <w:tc>
          <w:tcPr>
            <w:tcW w:w="4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26.3</w:t>
            </w:r>
          </w:p>
        </w:tc>
      </w:tr>
      <w:tr>
        <w:trPr>
          <w:trHeight w:val="20"/>
        </w:trPr>
        <w:tc>
          <w:tcPr>
            <w:tcW w:w="5320" w:type="dxa"/>
            <w:vAlign w:val="bottom"/>
            <w:shd w:val="clear" w:color="auto" w:fill="000000"/>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bl>
    <w:p>
      <w:pPr>
        <w:spacing w:after="0" w:line="124" w:lineRule="exact"/>
        <w:rPr>
          <w:sz w:val="20"/>
          <w:szCs w:val="20"/>
          <w:color w:val="auto"/>
        </w:rPr>
      </w:pPr>
    </w:p>
    <w:p>
      <w:pPr>
        <w:spacing w:after="0"/>
        <w:rPr>
          <w:sz w:val="20"/>
          <w:szCs w:val="20"/>
          <w:color w:val="auto"/>
        </w:rPr>
      </w:pPr>
      <w:r>
        <w:rPr>
          <w:rFonts w:ascii="Arial" w:cs="Arial" w:eastAsia="Arial" w:hAnsi="Arial"/>
          <w:sz w:val="12"/>
          <w:szCs w:val="12"/>
          <w:color w:val="auto"/>
        </w:rPr>
        <w:t>(1) Includes uncertain tax positions related to both income taxes and other statutory tax reserves, plus related penalties and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1064895</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83"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9"/>
          <w:szCs w:val="19"/>
          <w:b w:val="1"/>
          <w:bCs w:val="1"/>
          <w:color w:val="auto"/>
        </w:rPr>
        <w:t>MISSION PRODUCE,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(expense) income, net</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60" w:type="dxa"/>
            <w:vAlign w:val="bottom"/>
            <w:gridSpan w:val="2"/>
          </w:tcPr>
          <w:p>
            <w:pPr>
              <w:jc w:val="right"/>
              <w:ind w:right="231"/>
              <w:spacing w:after="0"/>
              <w:rPr>
                <w:sz w:val="20"/>
                <w:szCs w:val="20"/>
                <w:color w:val="auto"/>
              </w:rPr>
            </w:pPr>
            <w:r>
              <w:rPr>
                <w:rFonts w:ascii="Arial" w:cs="Arial" w:eastAsia="Arial" w:hAnsi="Arial"/>
                <w:sz w:val="14"/>
                <w:szCs w:val="14"/>
                <w:b w:val="1"/>
                <w:bCs w:val="1"/>
                <w:color w:val="auto"/>
              </w:rPr>
              <w:t>Three Months Ended</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80" w:type="dxa"/>
            <w:vAlign w:val="bottom"/>
            <w:gridSpan w:val="2"/>
          </w:tcPr>
          <w:p>
            <w:pPr>
              <w:jc w:val="right"/>
              <w:ind w:right="291"/>
              <w:spacing w:after="0"/>
              <w:rPr>
                <w:sz w:val="20"/>
                <w:szCs w:val="20"/>
                <w:color w:val="auto"/>
              </w:rPr>
            </w:pPr>
            <w:r>
              <w:rPr>
                <w:rFonts w:ascii="Arial" w:cs="Arial" w:eastAsia="Arial" w:hAnsi="Arial"/>
                <w:sz w:val="14"/>
                <w:szCs w:val="14"/>
                <w:b w:val="1"/>
                <w:bCs w:val="1"/>
                <w:color w:val="auto"/>
              </w:rPr>
              <w:t>Six Months Ended</w:t>
            </w:r>
          </w:p>
        </w:tc>
        <w:tc>
          <w:tcPr>
            <w:tcW w:w="780" w:type="dxa"/>
            <w:vAlign w:val="bottom"/>
          </w:tcPr>
          <w:p>
            <w:pPr>
              <w:spacing w:after="0"/>
              <w:rPr>
                <w:sz w:val="14"/>
                <w:szCs w:val="14"/>
                <w:color w:val="auto"/>
              </w:rPr>
            </w:pPr>
          </w:p>
        </w:tc>
      </w:tr>
      <w:tr>
        <w:trPr>
          <w:trHeight w:val="196"/>
        </w:trPr>
        <w:tc>
          <w:tcPr>
            <w:tcW w:w="40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2"/>
          </w:tcPr>
          <w:p>
            <w:pPr>
              <w:jc w:val="right"/>
              <w:ind w:right="651"/>
              <w:spacing w:after="0"/>
              <w:rPr>
                <w:sz w:val="20"/>
                <w:szCs w:val="20"/>
                <w:color w:val="auto"/>
              </w:rPr>
            </w:pPr>
            <w:r>
              <w:rPr>
                <w:rFonts w:ascii="Arial" w:cs="Arial" w:eastAsia="Arial" w:hAnsi="Arial"/>
                <w:sz w:val="14"/>
                <w:szCs w:val="14"/>
                <w:b w:val="1"/>
                <w:bCs w:val="1"/>
                <w:color w:val="auto"/>
              </w:rPr>
              <w:t>April 30,</w:t>
            </w:r>
          </w:p>
        </w:tc>
        <w:tc>
          <w:tcPr>
            <w:tcW w:w="7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2"/>
          </w:tcPr>
          <w:p>
            <w:pPr>
              <w:jc w:val="right"/>
              <w:ind w:right="631"/>
              <w:spacing w:after="0"/>
              <w:rPr>
                <w:sz w:val="20"/>
                <w:szCs w:val="20"/>
                <w:color w:val="auto"/>
              </w:rPr>
            </w:pPr>
            <w:r>
              <w:rPr>
                <w:rFonts w:ascii="Arial" w:cs="Arial" w:eastAsia="Arial" w:hAnsi="Arial"/>
                <w:sz w:val="14"/>
                <w:szCs w:val="14"/>
                <w:b w:val="1"/>
                <w:bCs w:val="1"/>
                <w:color w:val="auto"/>
              </w:rPr>
              <w:t>April 30,</w:t>
            </w:r>
          </w:p>
        </w:tc>
        <w:tc>
          <w:tcPr>
            <w:tcW w:w="780" w:type="dxa"/>
            <w:vAlign w:val="bottom"/>
            <w:tcBorders>
              <w:bottom w:val="single" w:sz="8" w:color="auto"/>
            </w:tcBorders>
          </w:tcPr>
          <w:p>
            <w:pPr>
              <w:spacing w:after="0"/>
              <w:rPr>
                <w:sz w:val="17"/>
                <w:szCs w:val="17"/>
                <w:color w:val="auto"/>
              </w:rPr>
            </w:pPr>
          </w:p>
        </w:tc>
      </w:tr>
      <w:tr>
        <w:trPr>
          <w:trHeight w:val="215"/>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5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2026</w:t>
            </w:r>
          </w:p>
        </w:tc>
        <w:tc>
          <w:tcPr>
            <w:tcW w:w="10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2026</w:t>
            </w:r>
          </w:p>
        </w:tc>
        <w:tc>
          <w:tcPr>
            <w:tcW w:w="9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2025</w:t>
            </w:r>
          </w:p>
        </w:tc>
      </w:tr>
      <w:tr>
        <w:trPr>
          <w:trHeight w:val="196"/>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Losses on derivative financial instruments</w:t>
            </w:r>
          </w:p>
        </w:tc>
        <w:tc>
          <w:tcPr>
            <w:tcW w:w="560" w:type="dxa"/>
            <w:vAlign w:val="bottom"/>
            <w:tcBorders>
              <w:bottom w:val="single" w:sz="8" w:color="CCEEFF"/>
            </w:tcBorders>
            <w:shd w:val="clear" w:color="auto" w:fill="CCEEFF"/>
          </w:tcPr>
          <w:p>
            <w:pPr>
              <w:jc w:val="right"/>
              <w:ind w:right="411"/>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751"/>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2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471"/>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73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199"/>
        </w:trPr>
        <w:tc>
          <w:tcPr>
            <w:tcW w:w="4020" w:type="dxa"/>
            <w:vAlign w:val="bottom"/>
          </w:tcPr>
          <w:p>
            <w:pPr>
              <w:ind w:left="20"/>
              <w:spacing w:after="0"/>
              <w:rPr>
                <w:sz w:val="20"/>
                <w:szCs w:val="20"/>
                <w:color w:val="auto"/>
              </w:rPr>
            </w:pPr>
            <w:r>
              <w:rPr>
                <w:rFonts w:ascii="Arial" w:cs="Arial" w:eastAsia="Arial" w:hAnsi="Arial"/>
                <w:sz w:val="14"/>
                <w:szCs w:val="14"/>
                <w:color w:val="auto"/>
              </w:rPr>
              <w:t>Foreign currency transaction (loss) gain</w:t>
            </w:r>
          </w:p>
        </w:tc>
        <w:tc>
          <w:tcPr>
            <w:tcW w:w="560" w:type="dxa"/>
            <w:vAlign w:val="bottom"/>
          </w:tcPr>
          <w:p>
            <w:pPr>
              <w:spacing w:after="0"/>
              <w:rPr>
                <w:sz w:val="17"/>
                <w:szCs w:val="17"/>
                <w:color w:val="auto"/>
              </w:rPr>
            </w:pPr>
          </w:p>
        </w:tc>
        <w:tc>
          <w:tcPr>
            <w:tcW w:w="1160" w:type="dxa"/>
            <w:vAlign w:val="bottom"/>
          </w:tcPr>
          <w:p>
            <w:pPr>
              <w:jc w:val="right"/>
              <w:ind w:right="31"/>
              <w:spacing w:after="0"/>
              <w:rPr>
                <w:sz w:val="20"/>
                <w:szCs w:val="20"/>
                <w:color w:val="auto"/>
              </w:rPr>
            </w:pPr>
            <w:r>
              <w:rPr>
                <w:rFonts w:ascii="Arial" w:cs="Arial" w:eastAsia="Arial" w:hAnsi="Arial"/>
                <w:sz w:val="14"/>
                <w:szCs w:val="14"/>
                <w:color w:val="auto"/>
              </w:rPr>
              <w:t>(1.1)</w:t>
            </w:r>
          </w:p>
        </w:tc>
        <w:tc>
          <w:tcPr>
            <w:tcW w:w="10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w:t>
            </w: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jc w:val="right"/>
              <w:ind w:right="31"/>
              <w:spacing w:after="0"/>
              <w:rPr>
                <w:sz w:val="20"/>
                <w:szCs w:val="20"/>
                <w:color w:val="auto"/>
              </w:rPr>
            </w:pPr>
            <w:r>
              <w:rPr>
                <w:rFonts w:ascii="Arial" w:cs="Arial" w:eastAsia="Arial" w:hAnsi="Arial"/>
                <w:sz w:val="14"/>
                <w:szCs w:val="14"/>
                <w:color w:val="auto"/>
              </w:rPr>
              <w:t>(2.7)</w:t>
            </w:r>
          </w:p>
        </w:tc>
        <w:tc>
          <w:tcPr>
            <w:tcW w:w="9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0"/>
        </w:trPr>
        <w:tc>
          <w:tcPr>
            <w:tcW w:w="4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9"/>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5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0.7</w:t>
            </w:r>
          </w:p>
        </w:tc>
        <w:tc>
          <w:tcPr>
            <w:tcW w:w="10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0.9</w:t>
            </w:r>
          </w:p>
        </w:tc>
        <w:tc>
          <w:tcPr>
            <w:tcW w:w="2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1.0</w:t>
            </w:r>
          </w:p>
        </w:tc>
        <w:tc>
          <w:tcPr>
            <w:tcW w:w="9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199"/>
        </w:trPr>
        <w:tc>
          <w:tcPr>
            <w:tcW w:w="4020" w:type="dxa"/>
            <w:vAlign w:val="bottom"/>
          </w:tcPr>
          <w:p>
            <w:pPr>
              <w:ind w:left="20"/>
              <w:spacing w:after="0"/>
              <w:rPr>
                <w:sz w:val="20"/>
                <w:szCs w:val="20"/>
                <w:color w:val="auto"/>
              </w:rPr>
            </w:pPr>
            <w:r>
              <w:rPr>
                <w:rFonts w:ascii="Arial" w:cs="Arial" w:eastAsia="Arial" w:hAnsi="Arial"/>
                <w:sz w:val="14"/>
                <w:szCs w:val="14"/>
                <w:color w:val="auto"/>
              </w:rPr>
              <w:t>Debt restructuring fees</w:t>
            </w:r>
          </w:p>
        </w:tc>
        <w:tc>
          <w:tcPr>
            <w:tcW w:w="560" w:type="dxa"/>
            <w:vAlign w:val="bottom"/>
          </w:tcPr>
          <w:p>
            <w:pPr>
              <w:spacing w:after="0"/>
              <w:rPr>
                <w:sz w:val="17"/>
                <w:szCs w:val="17"/>
                <w:color w:val="auto"/>
              </w:rPr>
            </w:pPr>
          </w:p>
        </w:tc>
        <w:tc>
          <w:tcPr>
            <w:tcW w:w="1160" w:type="dxa"/>
            <w:vAlign w:val="bottom"/>
          </w:tcPr>
          <w:p>
            <w:pPr>
              <w:jc w:val="right"/>
              <w:ind w:right="31"/>
              <w:spacing w:after="0"/>
              <w:rPr>
                <w:sz w:val="20"/>
                <w:szCs w:val="20"/>
                <w:color w:val="auto"/>
              </w:rPr>
            </w:pPr>
            <w:r>
              <w:rPr>
                <w:rFonts w:ascii="Arial" w:cs="Arial" w:eastAsia="Arial" w:hAnsi="Arial"/>
                <w:sz w:val="14"/>
                <w:szCs w:val="14"/>
                <w:color w:val="auto"/>
              </w:rPr>
              <w:t>(0.7)</w:t>
            </w:r>
          </w:p>
        </w:tc>
        <w:tc>
          <w:tcPr>
            <w:tcW w:w="1000" w:type="dxa"/>
            <w:vAlign w:val="bottom"/>
          </w:tcPr>
          <w:p>
            <w:pPr>
              <w:spacing w:after="0"/>
              <w:rPr>
                <w:sz w:val="17"/>
                <w:szCs w:val="17"/>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7"/>
                <w:szCs w:val="17"/>
                <w:color w:val="auto"/>
              </w:rPr>
            </w:pPr>
          </w:p>
        </w:tc>
        <w:tc>
          <w:tcPr>
            <w:tcW w:w="1100" w:type="dxa"/>
            <w:vAlign w:val="bottom"/>
          </w:tcPr>
          <w:p>
            <w:pPr>
              <w:jc w:val="right"/>
              <w:ind w:right="31"/>
              <w:spacing w:after="0"/>
              <w:rPr>
                <w:sz w:val="20"/>
                <w:szCs w:val="20"/>
                <w:color w:val="auto"/>
              </w:rPr>
            </w:pPr>
            <w:r>
              <w:rPr>
                <w:rFonts w:ascii="Arial" w:cs="Arial" w:eastAsia="Arial" w:hAnsi="Arial"/>
                <w:sz w:val="14"/>
                <w:szCs w:val="14"/>
                <w:color w:val="auto"/>
              </w:rPr>
              <w:t>(0.7)</w:t>
            </w:r>
          </w:p>
        </w:tc>
        <w:tc>
          <w:tcPr>
            <w:tcW w:w="9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4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92"/>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(expense) income, net</w:t>
            </w:r>
          </w:p>
        </w:tc>
        <w:tc>
          <w:tcPr>
            <w:tcW w:w="560" w:type="dxa"/>
            <w:vAlign w:val="bottom"/>
            <w:tcBorders>
              <w:bottom w:val="single" w:sz="8" w:color="CCEEFF"/>
            </w:tcBorders>
            <w:shd w:val="clear" w:color="auto" w:fill="CCEEFF"/>
          </w:tcPr>
          <w:p>
            <w:pPr>
              <w:jc w:val="right"/>
              <w:ind w:right="411"/>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(1.1)</w:t>
            </w:r>
          </w:p>
        </w:tc>
        <w:tc>
          <w:tcPr>
            <w:tcW w:w="1000" w:type="dxa"/>
            <w:vAlign w:val="bottom"/>
            <w:tcBorders>
              <w:bottom w:val="single" w:sz="8" w:color="CCEEFF"/>
            </w:tcBorders>
            <w:shd w:val="clear" w:color="auto" w:fill="CCEEFF"/>
          </w:tcPr>
          <w:p>
            <w:pPr>
              <w:jc w:val="right"/>
              <w:ind w:right="751"/>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2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471"/>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(2.4)</w:t>
            </w:r>
          </w:p>
        </w:tc>
        <w:tc>
          <w:tcPr>
            <w:tcW w:w="980" w:type="dxa"/>
            <w:vAlign w:val="bottom"/>
            <w:tcBorders>
              <w:bottom w:val="single" w:sz="8" w:color="CCEEFF"/>
            </w:tcBorders>
            <w:shd w:val="clear" w:color="auto" w:fill="CCEEFF"/>
          </w:tcPr>
          <w:p>
            <w:pPr>
              <w:jc w:val="right"/>
              <w:ind w:right="73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0.9</w:t>
            </w:r>
          </w:p>
        </w:tc>
      </w:tr>
      <w:tr>
        <w:trPr>
          <w:trHeight w:val="20"/>
        </w:trPr>
        <w:tc>
          <w:tcPr>
            <w:tcW w:w="4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amounts attributable to noncontrolling interest holders</w:t>
      </w:r>
    </w:p>
    <w:p>
      <w:pPr>
        <w:spacing w:after="0" w:line="234" w:lineRule="exact"/>
        <w:rPr>
          <w:sz w:val="20"/>
          <w:szCs w:val="20"/>
          <w:color w:val="auto"/>
        </w:rPr>
      </w:pPr>
    </w:p>
    <w:p>
      <w:pPr>
        <w:ind w:left="620"/>
        <w:spacing w:after="0"/>
        <w:rPr>
          <w:sz w:val="20"/>
          <w:szCs w:val="20"/>
          <w:color w:val="auto"/>
        </w:rPr>
      </w:pPr>
      <w:r>
        <w:rPr>
          <w:rFonts w:ascii="Arial" w:cs="Arial" w:eastAsia="Arial" w:hAnsi="Arial"/>
          <w:sz w:val="14"/>
          <w:szCs w:val="14"/>
          <w:color w:val="auto"/>
        </w:rPr>
        <w:t>Amounts included in trade accounts receivable due from noncontrolling interest holders were zero and $5.1 million as of April 30, 2026 and October 31, 2025, respectively.</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Amounts included in trade accounts payable due to noncontrolling interest holders were $7.3 million and $5.3 million as of April 30, 2026 and October 31, 2025, respectively.</w:t>
      </w:r>
    </w:p>
    <w:p>
      <w:pPr>
        <w:spacing w:after="0" w:line="228" w:lineRule="exact"/>
        <w:rPr>
          <w:sz w:val="20"/>
          <w:szCs w:val="20"/>
          <w:color w:val="auto"/>
        </w:rPr>
      </w:pPr>
    </w:p>
    <w:p>
      <w:pPr>
        <w:ind w:left="440" w:hanging="437"/>
        <w:spacing w:after="0"/>
        <w:tabs>
          <w:tab w:leader="none" w:pos="44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Variable Interest Entity</w:t>
      </w:r>
    </w:p>
    <w:p>
      <w:pPr>
        <w:spacing w:after="0" w:line="228" w:lineRule="exact"/>
        <w:rPr>
          <w:sz w:val="20"/>
          <w:szCs w:val="20"/>
          <w:color w:val="auto"/>
        </w:rPr>
      </w:pPr>
    </w:p>
    <w:p>
      <w:pPr>
        <w:ind w:left="620"/>
        <w:spacing w:after="0"/>
        <w:rPr>
          <w:sz w:val="20"/>
          <w:szCs w:val="20"/>
          <w:color w:val="auto"/>
        </w:rPr>
      </w:pPr>
      <w:r>
        <w:rPr>
          <w:rFonts w:ascii="Arial" w:cs="Arial" w:eastAsia="Arial" w:hAnsi="Arial"/>
          <w:sz w:val="13"/>
          <w:szCs w:val="13"/>
          <w:color w:val="auto"/>
        </w:rPr>
        <w:t>Assets of our variable interest in our blueberry joint-venture may only be used to settle its own liabilities and creditors of the entity only have recourse for the entity’s liabilities.</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A summary of these balances, which are included in our condensed consolidated balance sheets, is as follows: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5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April 30, 2026</w:t>
            </w:r>
          </w:p>
        </w:tc>
        <w:tc>
          <w:tcPr>
            <w:tcW w:w="5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October 31, 2025</w:t>
            </w:r>
          </w:p>
        </w:tc>
      </w:tr>
      <w:tr>
        <w:trPr>
          <w:trHeight w:val="199"/>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assets</w:t>
            </w:r>
          </w:p>
        </w:tc>
        <w:tc>
          <w:tcPr>
            <w:tcW w:w="358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4"/>
                <w:szCs w:val="14"/>
                <w:color w:val="auto"/>
              </w:rPr>
              <w:t>32.1</w:t>
            </w:r>
          </w:p>
        </w:tc>
        <w:tc>
          <w:tcPr>
            <w:tcW w:w="50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45.8</w:t>
            </w:r>
          </w:p>
        </w:tc>
      </w:tr>
      <w:tr>
        <w:trPr>
          <w:trHeight w:val="199"/>
        </w:trPr>
        <w:tc>
          <w:tcPr>
            <w:tcW w:w="4360" w:type="dxa"/>
            <w:vAlign w:val="bottom"/>
          </w:tcPr>
          <w:p>
            <w:pPr>
              <w:ind w:left="20"/>
              <w:spacing w:after="0"/>
              <w:rPr>
                <w:sz w:val="20"/>
                <w:szCs w:val="20"/>
                <w:color w:val="auto"/>
              </w:rPr>
            </w:pPr>
            <w:r>
              <w:rPr>
                <w:rFonts w:ascii="Arial" w:cs="Arial" w:eastAsia="Arial" w:hAnsi="Arial"/>
                <w:sz w:val="14"/>
                <w:szCs w:val="14"/>
                <w:color w:val="auto"/>
              </w:rPr>
              <w:t>Long-term assets</w:t>
            </w:r>
          </w:p>
        </w:tc>
        <w:tc>
          <w:tcPr>
            <w:tcW w:w="3580" w:type="dxa"/>
            <w:vAlign w:val="bottom"/>
          </w:tcPr>
          <w:p>
            <w:pPr>
              <w:spacing w:after="0"/>
              <w:rPr>
                <w:sz w:val="17"/>
                <w:szCs w:val="17"/>
                <w:color w:val="auto"/>
              </w:rPr>
            </w:pPr>
          </w:p>
        </w:tc>
        <w:tc>
          <w:tcPr>
            <w:tcW w:w="1420" w:type="dxa"/>
            <w:vAlign w:val="bottom"/>
          </w:tcPr>
          <w:p>
            <w:pPr>
              <w:jc w:val="right"/>
              <w:ind w:right="151"/>
              <w:spacing w:after="0"/>
              <w:rPr>
                <w:sz w:val="20"/>
                <w:szCs w:val="20"/>
                <w:color w:val="auto"/>
              </w:rPr>
            </w:pPr>
            <w:r>
              <w:rPr>
                <w:rFonts w:ascii="Arial" w:cs="Arial" w:eastAsia="Arial" w:hAnsi="Arial"/>
                <w:sz w:val="14"/>
                <w:szCs w:val="14"/>
                <w:color w:val="auto"/>
              </w:rPr>
              <w:t>82.5</w:t>
            </w:r>
          </w:p>
        </w:tc>
        <w:tc>
          <w:tcPr>
            <w:tcW w:w="5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82.7</w:t>
            </w:r>
          </w:p>
        </w:tc>
      </w:tr>
      <w:tr>
        <w:trPr>
          <w:trHeight w:val="20"/>
        </w:trPr>
        <w:tc>
          <w:tcPr>
            <w:tcW w:w="43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9"/>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358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4"/>
                <w:szCs w:val="14"/>
                <w:color w:val="auto"/>
              </w:rPr>
              <w:t>17.4</w:t>
            </w:r>
          </w:p>
        </w:tc>
        <w:tc>
          <w:tcPr>
            <w:tcW w:w="5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28.6</w:t>
            </w:r>
          </w:p>
        </w:tc>
      </w:tr>
      <w:tr>
        <w:trPr>
          <w:trHeight w:val="199"/>
        </w:trPr>
        <w:tc>
          <w:tcPr>
            <w:tcW w:w="4360" w:type="dxa"/>
            <w:vAlign w:val="bottom"/>
          </w:tcPr>
          <w:p>
            <w:pPr>
              <w:ind w:left="20"/>
              <w:spacing w:after="0"/>
              <w:rPr>
                <w:sz w:val="20"/>
                <w:szCs w:val="20"/>
                <w:color w:val="auto"/>
              </w:rPr>
            </w:pPr>
            <w:r>
              <w:rPr>
                <w:rFonts w:ascii="Arial" w:cs="Arial" w:eastAsia="Arial" w:hAnsi="Arial"/>
                <w:sz w:val="14"/>
                <w:szCs w:val="14"/>
                <w:color w:val="auto"/>
              </w:rPr>
              <w:t>Long-term liabilities</w:t>
            </w:r>
          </w:p>
        </w:tc>
        <w:tc>
          <w:tcPr>
            <w:tcW w:w="3580" w:type="dxa"/>
            <w:vAlign w:val="bottom"/>
          </w:tcPr>
          <w:p>
            <w:pPr>
              <w:spacing w:after="0"/>
              <w:rPr>
                <w:sz w:val="17"/>
                <w:szCs w:val="17"/>
                <w:color w:val="auto"/>
              </w:rPr>
            </w:pPr>
          </w:p>
        </w:tc>
        <w:tc>
          <w:tcPr>
            <w:tcW w:w="1420" w:type="dxa"/>
            <w:vAlign w:val="bottom"/>
          </w:tcPr>
          <w:p>
            <w:pPr>
              <w:jc w:val="right"/>
              <w:ind w:right="151"/>
              <w:spacing w:after="0"/>
              <w:rPr>
                <w:sz w:val="20"/>
                <w:szCs w:val="20"/>
                <w:color w:val="auto"/>
              </w:rPr>
            </w:pPr>
            <w:r>
              <w:rPr>
                <w:rFonts w:ascii="Arial" w:cs="Arial" w:eastAsia="Arial" w:hAnsi="Arial"/>
                <w:sz w:val="14"/>
                <w:szCs w:val="14"/>
                <w:color w:val="auto"/>
              </w:rPr>
              <w:t>22.3</w:t>
            </w:r>
          </w:p>
        </w:tc>
        <w:tc>
          <w:tcPr>
            <w:tcW w:w="5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25.5</w:t>
            </w:r>
          </w:p>
        </w:tc>
      </w:tr>
      <w:tr>
        <w:trPr>
          <w:trHeight w:val="20"/>
        </w:trPr>
        <w:tc>
          <w:tcPr>
            <w:tcW w:w="4360" w:type="dxa"/>
            <w:vAlign w:val="bottom"/>
            <w:tcBorders>
              <w:bottom w:val="single" w:sz="8" w:color="auto"/>
            </w:tcBorders>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ind w:left="380" w:hanging="377"/>
        <w:spacing w:after="0"/>
        <w:tabs>
          <w:tab w:leader="none" w:pos="38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Debt</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Credit facility</w:t>
      </w:r>
    </w:p>
    <w:p>
      <w:pPr>
        <w:spacing w:after="0" w:line="221" w:lineRule="exact"/>
        <w:rPr>
          <w:sz w:val="20"/>
          <w:szCs w:val="20"/>
          <w:color w:val="auto"/>
        </w:rPr>
      </w:pPr>
    </w:p>
    <w:p>
      <w:pPr>
        <w:jc w:val="both"/>
        <w:ind w:right="20" w:firstLine="619"/>
        <w:spacing w:after="0" w:line="264" w:lineRule="auto"/>
        <w:rPr>
          <w:sz w:val="20"/>
          <w:szCs w:val="20"/>
          <w:color w:val="auto"/>
        </w:rPr>
      </w:pPr>
      <w:r>
        <w:rPr>
          <w:rFonts w:ascii="Arial" w:cs="Arial" w:eastAsia="Arial" w:hAnsi="Arial"/>
          <w:sz w:val="14"/>
          <w:szCs w:val="14"/>
          <w:color w:val="auto"/>
        </w:rPr>
        <w:t>On April 1, 2026, we entered into an Amended and Restated Credit Agreement (the “Credit Agreement”) with Bank of America and other syndicate lenders, which amends and restates that certain Credit Agreement, dated as of October 11, 2018 (as amended and restated). The Credit Agreement provides senior secured credit facilities in an aggregate principal amount of $550 million, consisting of:</w:t>
      </w:r>
    </w:p>
    <w:p>
      <w:pPr>
        <w:spacing w:after="0" w:line="139" w:lineRule="exact"/>
        <w:rPr>
          <w:sz w:val="20"/>
          <w:szCs w:val="20"/>
          <w:color w:val="auto"/>
        </w:rPr>
      </w:pPr>
    </w:p>
    <w:p>
      <w:pPr>
        <w:ind w:left="620" w:hanging="307"/>
        <w:spacing w:after="0"/>
        <w:tabs>
          <w:tab w:leader="none" w:pos="620" w:val="left"/>
        </w:tabs>
        <w:numPr>
          <w:ilvl w:val="0"/>
          <w:numId w:val="7"/>
        </w:numPr>
        <w:rPr>
          <w:rFonts w:ascii="Arial" w:cs="Arial" w:eastAsia="Arial" w:hAnsi="Arial"/>
          <w:sz w:val="14"/>
          <w:szCs w:val="14"/>
          <w:color w:val="auto"/>
        </w:rPr>
      </w:pPr>
      <w:r>
        <w:rPr>
          <w:rFonts w:ascii="Arial" w:cs="Arial" w:eastAsia="Arial" w:hAnsi="Arial"/>
          <w:sz w:val="14"/>
          <w:szCs w:val="14"/>
          <w:color w:val="auto"/>
        </w:rPr>
        <w:t>a $200 million revolving facility (the “Revolving Facility”)</w:t>
      </w:r>
    </w:p>
    <w:p>
      <w:pPr>
        <w:spacing w:after="0" w:line="174" w:lineRule="exact"/>
        <w:rPr>
          <w:rFonts w:ascii="Arial" w:cs="Arial" w:eastAsia="Arial" w:hAnsi="Arial"/>
          <w:sz w:val="14"/>
          <w:szCs w:val="14"/>
          <w:color w:val="auto"/>
        </w:rPr>
      </w:pPr>
    </w:p>
    <w:p>
      <w:pPr>
        <w:ind w:left="620" w:hanging="307"/>
        <w:spacing w:after="0" w:line="278" w:lineRule="auto"/>
        <w:tabs>
          <w:tab w:leader="none" w:pos="616" w:val="left"/>
        </w:tabs>
        <w:numPr>
          <w:ilvl w:val="0"/>
          <w:numId w:val="7"/>
        </w:numPr>
        <w:rPr>
          <w:rFonts w:ascii="Arial" w:cs="Arial" w:eastAsia="Arial" w:hAnsi="Arial"/>
          <w:sz w:val="14"/>
          <w:szCs w:val="14"/>
          <w:color w:val="auto"/>
        </w:rPr>
      </w:pPr>
      <w:r>
        <w:rPr>
          <w:rFonts w:ascii="Arial" w:cs="Arial" w:eastAsia="Arial" w:hAnsi="Arial"/>
          <w:sz w:val="14"/>
          <w:szCs w:val="14"/>
          <w:color w:val="auto"/>
        </w:rPr>
        <w:t>a $200 million term loan facility, $150 million of which was drawn on the Calavo acquisition funding date of May 28, 2026, subsequent to the quarter ended April 30, 2026 (refer to Note 13 for more information on the Calavo acquisition subsequent event) (the “Term A-1 Facility”); and</w:t>
      </w:r>
    </w:p>
    <w:p>
      <w:pPr>
        <w:spacing w:after="0" w:line="129" w:lineRule="exact"/>
        <w:rPr>
          <w:rFonts w:ascii="Arial" w:cs="Arial" w:eastAsia="Arial" w:hAnsi="Arial"/>
          <w:sz w:val="14"/>
          <w:szCs w:val="14"/>
          <w:color w:val="auto"/>
        </w:rPr>
      </w:pPr>
    </w:p>
    <w:p>
      <w:pPr>
        <w:ind w:left="620" w:right="240" w:hanging="307"/>
        <w:spacing w:after="0" w:line="278" w:lineRule="auto"/>
        <w:tabs>
          <w:tab w:leader="none" w:pos="616" w:val="left"/>
        </w:tabs>
        <w:numPr>
          <w:ilvl w:val="0"/>
          <w:numId w:val="7"/>
        </w:numPr>
        <w:rPr>
          <w:rFonts w:ascii="Arial" w:cs="Arial" w:eastAsia="Arial" w:hAnsi="Arial"/>
          <w:sz w:val="14"/>
          <w:szCs w:val="14"/>
          <w:color w:val="auto"/>
        </w:rPr>
      </w:pPr>
      <w:r>
        <w:rPr>
          <w:rFonts w:ascii="Arial" w:cs="Arial" w:eastAsia="Arial" w:hAnsi="Arial"/>
          <w:sz w:val="14"/>
          <w:szCs w:val="14"/>
          <w:color w:val="auto"/>
        </w:rPr>
        <w:t>a $150 million term loan facility, $100 million of which was drawn on the Calavo acquisition funding date (the “Term A-2 Facility” and, together with the Term A-1 Facility, the “Term Loan Facilities”; the Term Loan Facilities together with the Revolving Facility, the “Senior Credit Facility”).</w:t>
      </w:r>
    </w:p>
    <w:p>
      <w:pPr>
        <w:spacing w:after="0" w:line="156" w:lineRule="exact"/>
        <w:rPr>
          <w:sz w:val="20"/>
          <w:szCs w:val="20"/>
          <w:color w:val="auto"/>
        </w:rPr>
      </w:pPr>
    </w:p>
    <w:p>
      <w:pPr>
        <w:ind w:right="200" w:firstLine="619"/>
        <w:spacing w:after="0" w:line="278" w:lineRule="auto"/>
        <w:rPr>
          <w:sz w:val="20"/>
          <w:szCs w:val="20"/>
          <w:color w:val="auto"/>
        </w:rPr>
      </w:pPr>
      <w:r>
        <w:rPr>
          <w:rFonts w:ascii="Arial" w:cs="Arial" w:eastAsia="Arial" w:hAnsi="Arial"/>
          <w:sz w:val="14"/>
          <w:szCs w:val="14"/>
          <w:color w:val="auto"/>
        </w:rPr>
        <w:t>The portion of the term loan facilities that was drawn on the Calavo acquisition funding date was used, among other things, to finance a portion of the purchase price for the acquisition by the Company of 100% of the equity interests of Calavo, and to refinance certain indebtedness of Calavo and its subsidiaries.</w:t>
      </w:r>
    </w:p>
    <w:p>
      <w:pPr>
        <w:spacing w:after="0" w:line="168" w:lineRule="exact"/>
        <w:rPr>
          <w:sz w:val="20"/>
          <w:szCs w:val="20"/>
          <w:color w:val="auto"/>
        </w:rPr>
      </w:pPr>
    </w:p>
    <w:p>
      <w:pPr>
        <w:ind w:right="600" w:firstLine="619"/>
        <w:spacing w:after="0" w:line="278" w:lineRule="auto"/>
        <w:rPr>
          <w:sz w:val="20"/>
          <w:szCs w:val="20"/>
          <w:color w:val="auto"/>
        </w:rPr>
      </w:pPr>
      <w:r>
        <w:rPr>
          <w:rFonts w:ascii="Arial" w:cs="Arial" w:eastAsia="Arial" w:hAnsi="Arial"/>
          <w:sz w:val="14"/>
          <w:szCs w:val="14"/>
          <w:color w:val="auto"/>
        </w:rPr>
        <w:t>The Senior Credit Facility also includes an accordion feature which allows the Company, subject to certain conditions, to increase the borrowings thereunder by up to $150 million, with applicable lender approval.</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4"/>
          <w:szCs w:val="14"/>
          <w:color w:val="auto"/>
        </w:rPr>
        <w:t>Borrowings under the Senior Credit Facility bear interest at a spread over SOFR ranging from 1.50% to 2.5% depending on the Company’s consolidated total net leverage</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840105</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83"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9"/>
          <w:szCs w:val="19"/>
          <w:b w:val="1"/>
          <w:bCs w:val="1"/>
          <w:color w:val="auto"/>
        </w:rPr>
        <w:t>MISSION PRODUCE,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20"/>
        <w:spacing w:after="0"/>
        <w:rPr>
          <w:sz w:val="20"/>
          <w:szCs w:val="20"/>
          <w:color w:val="auto"/>
        </w:rPr>
      </w:pPr>
      <w:r>
        <w:rPr>
          <w:rFonts w:ascii="Arial" w:cs="Arial" w:eastAsia="Arial" w:hAnsi="Arial"/>
          <w:sz w:val="14"/>
          <w:szCs w:val="14"/>
          <w:color w:val="auto"/>
        </w:rPr>
        <w:t>Long-term debt under our Senior Credit Facility with Bank of America (“BoA”) Merrill Lynch consisted of the following:</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5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April 30, 2026</w:t>
            </w: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October 31, 2025</w:t>
            </w:r>
          </w:p>
        </w:tc>
      </w:tr>
      <w:tr>
        <w:trPr>
          <w:trHeight w:val="183"/>
        </w:trPr>
        <w:tc>
          <w:tcPr>
            <w:tcW w:w="76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9"/>
              </w:rPr>
              <w:t>Revolving line of credit. The interest rate is variable, based on SOFR plus a spread that varies with the Company’s leverage</w:t>
            </w:r>
          </w:p>
        </w:tc>
        <w:tc>
          <w:tcPr>
            <w:tcW w:w="560" w:type="dxa"/>
            <w:vAlign w:val="bottom"/>
            <w:shd w:val="clear" w:color="auto" w:fill="CCEEFF"/>
          </w:tcPr>
          <w:p>
            <w:pPr>
              <w:jc w:val="right"/>
              <w:ind w:right="271"/>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20.0</w:t>
            </w:r>
          </w:p>
        </w:tc>
        <w:tc>
          <w:tcPr>
            <w:tcW w:w="38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r>
      <w:tr>
        <w:trPr>
          <w:trHeight w:val="168"/>
        </w:trPr>
        <w:tc>
          <w:tcPr>
            <w:tcW w:w="7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ratio. As of April 30, 2026 and October 31, 2025, the interest rate was 5.25% and 5.63%, respectively. Interest is payable</w:t>
            </w:r>
          </w:p>
        </w:tc>
        <w:tc>
          <w:tcPr>
            <w:tcW w:w="5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188"/>
        </w:trPr>
        <w:tc>
          <w:tcPr>
            <w:tcW w:w="7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monthly and principal is due in full on April 1, 2031.</w:t>
            </w:r>
          </w:p>
        </w:tc>
        <w:tc>
          <w:tcPr>
            <w:tcW w:w="5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186"/>
        </w:trPr>
        <w:tc>
          <w:tcPr>
            <w:tcW w:w="7680" w:type="dxa"/>
            <w:vAlign w:val="bottom"/>
          </w:tcPr>
          <w:p>
            <w:pPr>
              <w:ind w:left="20"/>
              <w:spacing w:after="0"/>
              <w:rPr>
                <w:sz w:val="20"/>
                <w:szCs w:val="20"/>
                <w:color w:val="auto"/>
              </w:rPr>
            </w:pPr>
            <w:r>
              <w:rPr>
                <w:rFonts w:ascii="Arial" w:cs="Arial" w:eastAsia="Arial" w:hAnsi="Arial"/>
                <w:sz w:val="14"/>
                <w:szCs w:val="14"/>
                <w:color w:val="auto"/>
              </w:rPr>
              <w:t>Senior term loan (A-1). The interest rate is variable, based on SOFR plus a spread that varies with the Company’s leverage</w:t>
            </w:r>
          </w:p>
        </w:tc>
        <w:tc>
          <w:tcPr>
            <w:tcW w:w="560" w:type="dxa"/>
            <w:vAlign w:val="bottom"/>
          </w:tcPr>
          <w:p>
            <w:pPr>
              <w:spacing w:after="0"/>
              <w:rPr>
                <w:sz w:val="16"/>
                <w:szCs w:val="16"/>
                <w:color w:val="auto"/>
              </w:rPr>
            </w:pPr>
          </w:p>
        </w:tc>
        <w:tc>
          <w:tcPr>
            <w:tcW w:w="1280" w:type="dxa"/>
            <w:vAlign w:val="bottom"/>
          </w:tcPr>
          <w:p>
            <w:pPr>
              <w:jc w:val="right"/>
              <w:ind w:right="31"/>
              <w:spacing w:after="0"/>
              <w:rPr>
                <w:sz w:val="20"/>
                <w:szCs w:val="20"/>
                <w:color w:val="auto"/>
              </w:rPr>
            </w:pPr>
            <w:r>
              <w:rPr>
                <w:rFonts w:ascii="Arial" w:cs="Arial" w:eastAsia="Arial" w:hAnsi="Arial"/>
                <w:sz w:val="14"/>
                <w:szCs w:val="14"/>
                <w:color w:val="auto"/>
              </w:rPr>
              <w:t>50.0</w:t>
            </w:r>
          </w:p>
        </w:tc>
        <w:tc>
          <w:tcPr>
            <w:tcW w:w="3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42.5</w:t>
            </w:r>
          </w:p>
        </w:tc>
      </w:tr>
      <w:tr>
        <w:trPr>
          <w:trHeight w:val="168"/>
        </w:trPr>
        <w:tc>
          <w:tcPr>
            <w:tcW w:w="7680" w:type="dxa"/>
            <w:vAlign w:val="bottom"/>
          </w:tcPr>
          <w:p>
            <w:pPr>
              <w:ind w:left="20"/>
              <w:spacing w:after="0"/>
              <w:rPr>
                <w:sz w:val="20"/>
                <w:szCs w:val="20"/>
                <w:color w:val="auto"/>
              </w:rPr>
            </w:pPr>
            <w:r>
              <w:rPr>
                <w:rFonts w:ascii="Arial" w:cs="Arial" w:eastAsia="Arial" w:hAnsi="Arial"/>
                <w:sz w:val="14"/>
                <w:szCs w:val="14"/>
                <w:color w:val="auto"/>
              </w:rPr>
              <w:t>ratio. As of April 30, 2026 and October 31, 2025, the interest rate was 5.15% and 5.56%, respectively. Interest is payable</w:t>
            </w:r>
          </w:p>
        </w:tc>
        <w:tc>
          <w:tcPr>
            <w:tcW w:w="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84"/>
        </w:trPr>
        <w:tc>
          <w:tcPr>
            <w:tcW w:w="7680" w:type="dxa"/>
            <w:vAlign w:val="bottom"/>
          </w:tcPr>
          <w:p>
            <w:pPr>
              <w:ind w:left="20"/>
              <w:spacing w:after="0"/>
              <w:rPr>
                <w:sz w:val="20"/>
                <w:szCs w:val="20"/>
                <w:color w:val="auto"/>
              </w:rPr>
            </w:pPr>
            <w:r>
              <w:rPr>
                <w:rFonts w:ascii="Arial" w:cs="Arial" w:eastAsia="Arial" w:hAnsi="Arial"/>
                <w:sz w:val="14"/>
                <w:szCs w:val="14"/>
                <w:color w:val="auto"/>
              </w:rPr>
              <w:t>monthly, principal is payable quarterly and due in full on April 1, 2031.</w:t>
            </w:r>
          </w:p>
        </w:tc>
        <w:tc>
          <w:tcPr>
            <w:tcW w:w="5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0"/>
        </w:trPr>
        <w:tc>
          <w:tcPr>
            <w:tcW w:w="7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term loan (A-2). The interest rate is variable, based on SOFR plus a spread that varies with the Company’s leverage</w:t>
            </w:r>
          </w:p>
        </w:tc>
        <w:tc>
          <w:tcPr>
            <w:tcW w:w="56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50.0</w:t>
            </w:r>
          </w:p>
        </w:tc>
        <w:tc>
          <w:tcPr>
            <w:tcW w:w="3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w:t>
            </w:r>
          </w:p>
        </w:tc>
      </w:tr>
      <w:tr>
        <w:trPr>
          <w:trHeight w:val="168"/>
        </w:trPr>
        <w:tc>
          <w:tcPr>
            <w:tcW w:w="7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ratio. As of April 30, 2026 and October 31, 2025, the interest rate was 5.25% and 5.81% respectively. Interest is payable</w:t>
            </w:r>
          </w:p>
        </w:tc>
        <w:tc>
          <w:tcPr>
            <w:tcW w:w="5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184"/>
        </w:trPr>
        <w:tc>
          <w:tcPr>
            <w:tcW w:w="7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monthly, principal is payable quarterly and due in full on April 1, 2033.</w:t>
            </w:r>
          </w:p>
        </w:tc>
        <w:tc>
          <w:tcPr>
            <w:tcW w:w="5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spacing w:after="0"/>
              <w:rPr>
                <w:sz w:val="16"/>
                <w:szCs w:val="16"/>
                <w:color w:val="auto"/>
              </w:rPr>
            </w:pPr>
          </w:p>
        </w:tc>
      </w:tr>
      <w:tr>
        <w:trPr>
          <w:trHeight w:val="195"/>
        </w:trPr>
        <w:tc>
          <w:tcPr>
            <w:tcW w:w="7680" w:type="dxa"/>
            <w:vAlign w:val="bottom"/>
          </w:tcPr>
          <w:p>
            <w:pPr>
              <w:ind w:left="20"/>
              <w:spacing w:after="0"/>
              <w:rPr>
                <w:sz w:val="20"/>
                <w:szCs w:val="20"/>
                <w:color w:val="auto"/>
              </w:rPr>
            </w:pPr>
            <w:r>
              <w:rPr>
                <w:rFonts w:ascii="Arial" w:cs="Arial" w:eastAsia="Arial" w:hAnsi="Arial"/>
                <w:sz w:val="14"/>
                <w:szCs w:val="14"/>
                <w:color w:val="auto"/>
              </w:rPr>
              <w:t>Total long-term debt</w:t>
            </w:r>
          </w:p>
        </w:tc>
        <w:tc>
          <w:tcPr>
            <w:tcW w:w="560" w:type="dxa"/>
            <w:vAlign w:val="bottom"/>
          </w:tcPr>
          <w:p>
            <w:pPr>
              <w:spacing w:after="0"/>
              <w:rPr>
                <w:sz w:val="16"/>
                <w:szCs w:val="16"/>
                <w:color w:val="auto"/>
              </w:rPr>
            </w:pPr>
          </w:p>
        </w:tc>
        <w:tc>
          <w:tcPr>
            <w:tcW w:w="1280" w:type="dxa"/>
            <w:vAlign w:val="bottom"/>
          </w:tcPr>
          <w:p>
            <w:pPr>
              <w:jc w:val="right"/>
              <w:ind w:right="31"/>
              <w:spacing w:after="0"/>
              <w:rPr>
                <w:sz w:val="20"/>
                <w:szCs w:val="20"/>
                <w:color w:val="auto"/>
              </w:rPr>
            </w:pPr>
            <w:r>
              <w:rPr>
                <w:rFonts w:ascii="Arial" w:cs="Arial" w:eastAsia="Arial" w:hAnsi="Arial"/>
                <w:sz w:val="14"/>
                <w:szCs w:val="14"/>
                <w:color w:val="auto"/>
              </w:rPr>
              <w:t>120.0</w:t>
            </w:r>
          </w:p>
        </w:tc>
        <w:tc>
          <w:tcPr>
            <w:tcW w:w="3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96.0</w:t>
            </w:r>
          </w:p>
        </w:tc>
      </w:tr>
      <w:tr>
        <w:trPr>
          <w:trHeight w:val="20"/>
        </w:trPr>
        <w:tc>
          <w:tcPr>
            <w:tcW w:w="7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24"/>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Less debt issuance costs</w:t>
            </w:r>
          </w:p>
        </w:tc>
        <w:tc>
          <w:tcPr>
            <w:tcW w:w="5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3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192"/>
        </w:trPr>
        <w:tc>
          <w:tcPr>
            <w:tcW w:w="76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Long-term debt, net of debt issuance costs</w:t>
            </w:r>
          </w:p>
        </w:tc>
        <w:tc>
          <w:tcPr>
            <w:tcW w:w="5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118.8</w:t>
            </w:r>
          </w:p>
        </w:tc>
        <w:tc>
          <w:tcPr>
            <w:tcW w:w="3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95.8</w:t>
            </w:r>
          </w:p>
        </w:tc>
      </w:tr>
      <w:tr>
        <w:trPr>
          <w:trHeight w:val="20"/>
        </w:trPr>
        <w:tc>
          <w:tcPr>
            <w:tcW w:w="7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24"/>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Less current portion of long-term debt</w:t>
            </w:r>
          </w:p>
        </w:tc>
        <w:tc>
          <w:tcPr>
            <w:tcW w:w="5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3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w:t>
            </w:r>
          </w:p>
        </w:tc>
      </w:tr>
      <w:tr>
        <w:trPr>
          <w:trHeight w:val="192"/>
        </w:trPr>
        <w:tc>
          <w:tcPr>
            <w:tcW w:w="76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Long-term debt, net of current portion</w:t>
            </w:r>
          </w:p>
        </w:tc>
        <w:tc>
          <w:tcPr>
            <w:tcW w:w="560" w:type="dxa"/>
            <w:vAlign w:val="bottom"/>
            <w:tcBorders>
              <w:top w:val="single" w:sz="8" w:color="auto"/>
            </w:tcBorders>
          </w:tcPr>
          <w:p>
            <w:pPr>
              <w:jc w:val="right"/>
              <w:ind w:right="271"/>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115.8</w:t>
            </w:r>
          </w:p>
        </w:tc>
        <w:tc>
          <w:tcPr>
            <w:tcW w:w="380" w:type="dxa"/>
            <w:vAlign w:val="bottom"/>
            <w:tcBorders>
              <w:top w:val="single" w:sz="8" w:color="auto"/>
            </w:tcBorders>
          </w:tcPr>
          <w:p>
            <w:pPr>
              <w:jc w:val="right"/>
              <w:ind w:right="171"/>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92.8</w:t>
            </w:r>
          </w:p>
        </w:tc>
      </w:tr>
      <w:tr>
        <w:trPr>
          <w:trHeight w:val="20"/>
        </w:trPr>
        <w:tc>
          <w:tcPr>
            <w:tcW w:w="76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right="120" w:firstLine="619"/>
        <w:spacing w:after="0" w:line="254" w:lineRule="auto"/>
        <w:rPr>
          <w:sz w:val="20"/>
          <w:szCs w:val="20"/>
          <w:color w:val="auto"/>
        </w:rPr>
      </w:pPr>
      <w:r>
        <w:rPr>
          <w:rFonts w:ascii="Arial" w:cs="Arial" w:eastAsia="Arial" w:hAnsi="Arial"/>
          <w:sz w:val="14"/>
          <w:szCs w:val="14"/>
          <w:color w:val="auto"/>
        </w:rPr>
        <w:t>The credit facility requires the Company to comply with financial and other covenants, including limitations on investments, capital expenditures, dividend payments, amounts and types of liens and indebtedness, and material asset sales. The Company is also required to maintain certain leverage and fixed charge coverage ratios. As of April 30, 2026, the Company was in compliance with all financial covenants of the credit facility.</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w:t>
      </w:r>
    </w:p>
    <w:p>
      <w:pPr>
        <w:spacing w:after="0" w:line="234" w:lineRule="exact"/>
        <w:rPr>
          <w:sz w:val="20"/>
          <w:szCs w:val="20"/>
          <w:color w:val="auto"/>
        </w:rPr>
      </w:pPr>
    </w:p>
    <w:p>
      <w:pPr>
        <w:ind w:left="620"/>
        <w:spacing w:after="0"/>
        <w:rPr>
          <w:sz w:val="20"/>
          <w:szCs w:val="20"/>
          <w:color w:val="auto"/>
        </w:rPr>
      </w:pPr>
      <w:r>
        <w:rPr>
          <w:rFonts w:ascii="Arial" w:cs="Arial" w:eastAsia="Arial" w:hAnsi="Arial"/>
          <w:sz w:val="14"/>
          <w:szCs w:val="14"/>
          <w:color w:val="auto"/>
        </w:rPr>
        <w:t>The Company may issue standby letters of credit through banking institutions. As of April 30, 2026, total letters of credit outstanding were $2.0 million.</w:t>
      </w:r>
    </w:p>
    <w:p>
      <w:pPr>
        <w:spacing w:after="0" w:line="200" w:lineRule="exact"/>
        <w:rPr>
          <w:sz w:val="20"/>
          <w:szCs w:val="20"/>
          <w:color w:val="auto"/>
        </w:rPr>
      </w:pPr>
    </w:p>
    <w:p>
      <w:pPr>
        <w:ind w:right="40" w:firstLine="619"/>
        <w:spacing w:after="0" w:line="259" w:lineRule="auto"/>
        <w:rPr>
          <w:sz w:val="20"/>
          <w:szCs w:val="20"/>
          <w:color w:val="auto"/>
        </w:rPr>
      </w:pPr>
      <w:r>
        <w:rPr>
          <w:rFonts w:ascii="Arial" w:cs="Arial" w:eastAsia="Arial" w:hAnsi="Arial"/>
          <w:sz w:val="14"/>
          <w:szCs w:val="14"/>
          <w:color w:val="auto"/>
        </w:rPr>
        <w:t>Certain of our consolidated subsidiaries may also enter into short-term bank borrowings or supplier financing programs from time to time. Short-term bank borrowings outstanding were zero as of April 30, 2026 and $4.5 million as of October 31, 2025, with weighted average interest rates of 8.7% as of both dates. Our Blueberries business also obtains loans from shareholders from time to time. Loans outstanding due to shareholders as of April 30, 2026 accrue interest at rates ranging from 5.0% to 6.5% and are expected to be repaid by the end of fiscal 2026.</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Interest rate swaps</w:t>
      </w:r>
    </w:p>
    <w:p>
      <w:pPr>
        <w:spacing w:after="0" w:line="221" w:lineRule="exact"/>
        <w:rPr>
          <w:sz w:val="20"/>
          <w:szCs w:val="20"/>
          <w:color w:val="auto"/>
        </w:rPr>
      </w:pPr>
    </w:p>
    <w:p>
      <w:pPr>
        <w:ind w:firstLine="619"/>
        <w:spacing w:after="0" w:line="251" w:lineRule="auto"/>
        <w:rPr>
          <w:sz w:val="20"/>
          <w:szCs w:val="20"/>
          <w:color w:val="auto"/>
        </w:rPr>
      </w:pPr>
      <w:r>
        <w:rPr>
          <w:rFonts w:ascii="Arial" w:cs="Arial" w:eastAsia="Arial" w:hAnsi="Arial"/>
          <w:sz w:val="14"/>
          <w:szCs w:val="14"/>
          <w:color w:val="auto"/>
        </w:rPr>
        <w:t>From time to time, the Company may enter into interest rate swap contracts to hedge changes in variable interest rates on the principal value of the Company’s term loans. We account for interest rate swaps in accordance with ASC 815, Derivatives and Hedging, as amended, which requires the recognition of all derivative instruments as either assets or liabilities in the condensed consolidated balance sheets and measurement of those instruments at fair value. The Company did not designate the interest rate swaps as cash flow hedges, and as a result under the accounting guidance, changes in the fair value of the interest rate swaps were recorded in other (expense) income, net in the condensed consolidated statements of (loss) income and changes in the assets are presented in net cash used in operating activities in the condensed consolidated statements of cash flow. As of April 30, 2026 and October 31, 2025, a notional amount of $10 million was outstanding, carrying a fixed SOFR rate of 4.47%. Refer to Note 9 for more details.</w:t>
      </w:r>
    </w:p>
    <w:p>
      <w:pPr>
        <w:spacing w:after="0" w:line="229" w:lineRule="exact"/>
        <w:rPr>
          <w:sz w:val="20"/>
          <w:szCs w:val="20"/>
          <w:color w:val="auto"/>
        </w:rPr>
      </w:pPr>
    </w:p>
    <w:p>
      <w:pPr>
        <w:ind w:left="440" w:hanging="437"/>
        <w:spacing w:after="0"/>
        <w:tabs>
          <w:tab w:leader="none" w:pos="44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Litigation</w:t>
      </w:r>
    </w:p>
    <w:p>
      <w:pPr>
        <w:spacing w:after="0" w:line="221" w:lineRule="exact"/>
        <w:rPr>
          <w:sz w:val="20"/>
          <w:szCs w:val="20"/>
          <w:color w:val="auto"/>
        </w:rPr>
      </w:pPr>
    </w:p>
    <w:p>
      <w:pPr>
        <w:ind w:right="680" w:firstLine="619"/>
        <w:spacing w:after="0" w:line="278" w:lineRule="auto"/>
        <w:rPr>
          <w:sz w:val="20"/>
          <w:szCs w:val="20"/>
          <w:color w:val="auto"/>
        </w:rPr>
      </w:pPr>
      <w:r>
        <w:rPr>
          <w:rFonts w:ascii="Arial" w:cs="Arial" w:eastAsia="Arial" w:hAnsi="Arial"/>
          <w:sz w:val="14"/>
          <w:szCs w:val="14"/>
          <w:color w:val="auto"/>
        </w:rPr>
        <w:t>We are from time to time involved in legal proceedings and investigations arising in the ordinary course of business, including those relating to employment matters, relationships with clients and contractors, intellectual property disputes, the Calavo acquisition (refer to Note 13 for more information) and other business matters.</w:t>
      </w:r>
    </w:p>
    <w:p>
      <w:pPr>
        <w:spacing w:after="0" w:line="168" w:lineRule="exact"/>
        <w:rPr>
          <w:sz w:val="20"/>
          <w:szCs w:val="20"/>
          <w:color w:val="auto"/>
        </w:rPr>
      </w:pPr>
    </w:p>
    <w:p>
      <w:pPr>
        <w:ind w:firstLine="619"/>
        <w:spacing w:after="0" w:line="254" w:lineRule="auto"/>
        <w:rPr>
          <w:sz w:val="20"/>
          <w:szCs w:val="20"/>
          <w:color w:val="auto"/>
        </w:rPr>
      </w:pPr>
      <w:r>
        <w:rPr>
          <w:rFonts w:ascii="Arial" w:cs="Arial" w:eastAsia="Arial" w:hAnsi="Arial"/>
          <w:sz w:val="14"/>
          <w:szCs w:val="14"/>
          <w:color w:val="auto"/>
        </w:rPr>
        <w:t>On October 21, 2024, a former temporary worker placed at the Company’s California packinghouse by a labor contractor utilized by the Company, filed a class action lawsuit in the Superior Court of the State of California for the County of Ventura County against us alleging violations of certain wage and hour laws. Plaintiff seeks class certification, payment of wages earned and owed,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829945</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83" w:right="3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9"/>
          <w:szCs w:val="19"/>
          <w:b w:val="1"/>
          <w:bCs w:val="1"/>
          <w:color w:val="auto"/>
        </w:rPr>
        <w:t>MISSION PRODUCE,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liquidated damages, penalties and fees, other damages as set forth in Plaintiff’s lawsuit, and injunctive relief. A related lawsuit under the Private Attorneys General Act (“PAGA”) was also filed on December 16, 2024. On July 30, 2025, the Court granted the parties’ stipulation to dismiss the class action lawsuit and to submit the PAGA matter to mediation. The parties attended mediation on February 25, 2026. No resolution was reached at mediation. The Company intends to file a motion to compel arbitration on the individual PAGA matter. At this time, it is too soon to determine the outcome of the litigation. As a result, the Company has not accrued for any loss contingencies related to these claims because the amount and range of loss, if any, cannot currently be reasonably estimated.</w:t>
      </w:r>
    </w:p>
    <w:p>
      <w:pPr>
        <w:spacing w:after="0" w:line="169" w:lineRule="exact"/>
        <w:rPr>
          <w:sz w:val="20"/>
          <w:szCs w:val="20"/>
          <w:color w:val="auto"/>
        </w:rPr>
      </w:pPr>
    </w:p>
    <w:p>
      <w:pPr>
        <w:ind w:right="20" w:firstLine="619"/>
        <w:spacing w:after="0" w:line="247" w:lineRule="auto"/>
        <w:rPr>
          <w:sz w:val="20"/>
          <w:szCs w:val="20"/>
          <w:color w:val="auto"/>
        </w:rPr>
      </w:pPr>
      <w:r>
        <w:rPr>
          <w:rFonts w:ascii="Arial" w:cs="Arial" w:eastAsia="Arial" w:hAnsi="Arial"/>
          <w:sz w:val="14"/>
          <w:szCs w:val="14"/>
          <w:color w:val="auto"/>
        </w:rPr>
        <w:t>On November 6, 2024, the Organics Consumers Association filed a lawsuit in the Superior Court of the District of Columbia alleging the Company engaged in false and deceptive advertising in violation of the D.C. Consumer Protection and Procedures Act by making representations about sustainable sourcing practice in connection with its sale of avocados (“OCA matter”). Plaintiff seeks only declaratory and injunctive relief. On February 21, 2025, the same lawyers that represent the Organic Consumers Association filed a putative class action lawsuit on behalf of Kachuk Enterprises, Bantle Avocado Farm, Maskell Family Trust, and Northern Capital, Inc., owners and operators of avocado orchards located in California, against the Company and certain other avocado distributors (“Kachuk matter”). The lawsuit alleges violations of California’s False Advertising Law, California’s Unfair Competition Law, and unjust enrichment related to defendants’ alleged representations to consumers that their avocados are sustainably and responsibly sourced. Plaintiffs primarily seek injunctive relief, monetary and statutory damages, disgorgement of profits, and restitution. On the OCA matter, the Company filed a motion to dismiss on February 25, 2025. The Court denied our motion to dismiss and allowed limited discovery on the issue of personal jurisdiction, which has been completed. The Company renewed its motion to dismiss on September 22, 2025, and Plaintiffs’ opposition was filed on March 11, 2026. On the Kachuk matter, defendants jointly filed a motion to dismiss on May 2, 2025. The Court granted defendants’ joint motion to dismiss, but allowed Plaintiffs leave to amend their complaint, which they did on October 24, 2025. Defendants thereafter jointly filed a motion to dismiss the first amended complaint on November 21, 2025. Plaintiffs filed their opposition to the first amended complaint on December 19, 2025. On January 22, 2026, the Court granted Defendants’ motion to dismiss on all grounds except for one and granted Plaintiffs narrow leave to amend to address. On January 28, 2026, Plaintiffs filed their second amended complaint. Defendants filed a renewed motion to dismiss the second amended complaint on February 25, 2026. The Defendants’ renewed motion to dismiss is pending before the Court, and a status conference is set for June 26, 2026. The Company is vigorously defending against the claims asserted in both these lawsuits. At this time, it is too soon to determine the outcome of these lawsuits. As a result, the Company has not accrued for any loss contingencies related to these matters because the amount and range of loss, if any, cannot be reasonably estimated.</w:t>
      </w:r>
    </w:p>
    <w:p>
      <w:pPr>
        <w:spacing w:after="0" w:line="198" w:lineRule="exact"/>
        <w:rPr>
          <w:sz w:val="20"/>
          <w:szCs w:val="20"/>
          <w:color w:val="auto"/>
        </w:rPr>
      </w:pPr>
    </w:p>
    <w:p>
      <w:pPr>
        <w:ind w:right="120" w:firstLine="619"/>
        <w:spacing w:after="0" w:line="252" w:lineRule="auto"/>
        <w:rPr>
          <w:sz w:val="20"/>
          <w:szCs w:val="20"/>
          <w:color w:val="auto"/>
        </w:rPr>
      </w:pPr>
      <w:r>
        <w:rPr>
          <w:rFonts w:ascii="Arial" w:cs="Arial" w:eastAsia="Arial" w:hAnsi="Arial"/>
          <w:sz w:val="14"/>
          <w:szCs w:val="14"/>
          <w:color w:val="auto"/>
        </w:rPr>
        <w:t>On March 27, 2025, a fatality accident occurred at our Laredo, Texas distribution center. A complaint was filed by the decedent’s estate in court alleging various causes of action relating to alleged negligence. Plaintiff seeks survival damages, wrongful death damages, punitive damages, and other fees and costs. The Company has tendered the matter to insurance and was represented by counsel appointed by the insurance company. The Plaintiff submitted a Stowers demand to the insurance companies for a payment equal to the maximum coverage across all tiers, which was accepted by the insurance companies and the Company. All insurance carriers tendered to the demand, and the matter has settled, with zero out of pocket for the Company. The case has been officially dismissed.</w:t>
      </w:r>
    </w:p>
    <w:p>
      <w:pPr>
        <w:spacing w:after="0" w:line="186" w:lineRule="exact"/>
        <w:rPr>
          <w:sz w:val="20"/>
          <w:szCs w:val="20"/>
          <w:color w:val="auto"/>
        </w:rPr>
      </w:pPr>
    </w:p>
    <w:p>
      <w:pPr>
        <w:ind w:right="60" w:firstLine="619"/>
        <w:spacing w:after="0" w:line="252" w:lineRule="auto"/>
        <w:rPr>
          <w:sz w:val="20"/>
          <w:szCs w:val="20"/>
          <w:color w:val="auto"/>
        </w:rPr>
      </w:pPr>
      <w:r>
        <w:rPr>
          <w:rFonts w:ascii="Arial" w:cs="Arial" w:eastAsia="Arial" w:hAnsi="Arial"/>
          <w:sz w:val="14"/>
          <w:szCs w:val="14"/>
          <w:color w:val="auto"/>
        </w:rPr>
        <w:t>On March 4, 2026, a former temporary worker placed at the Company’s California packinghouse by a labor contractor utilized by the Company, filed a class action lawsuit in the Superior Court of California for the County of Ventura County against us alleging violations of certain wage and hour laws. Plaintiff seeks class certification, payment of wages earned and owed, liquidated damages, penalties and fees, other damages as set forth in Plaintiff’s lawsuit, and injunctive relief. The Company is vigorously defending against the claims asserted. At this time, it is too soon to determine the outcome of these lawsuits. As a result, the Company has not accrued for any loss contingencies related to these matters because the amount and range of loss, if any, cannot be reasonably estimated.</w:t>
      </w:r>
    </w:p>
    <w:p>
      <w:pPr>
        <w:spacing w:after="0" w:line="186" w:lineRule="exact"/>
        <w:rPr>
          <w:sz w:val="20"/>
          <w:szCs w:val="20"/>
          <w:color w:val="auto"/>
        </w:rPr>
      </w:pPr>
    </w:p>
    <w:p>
      <w:pPr>
        <w:ind w:right="320" w:firstLine="619"/>
        <w:spacing w:after="0" w:line="264" w:lineRule="auto"/>
        <w:rPr>
          <w:sz w:val="20"/>
          <w:szCs w:val="20"/>
          <w:color w:val="auto"/>
        </w:rPr>
      </w:pPr>
      <w:r>
        <w:rPr>
          <w:rFonts w:ascii="Arial" w:cs="Arial" w:eastAsia="Arial" w:hAnsi="Arial"/>
          <w:sz w:val="14"/>
          <w:szCs w:val="14"/>
          <w:color w:val="auto"/>
        </w:rPr>
        <w:t>The outcomes of our legal proceedings and other contingencies are inherently unpredictable, subject to significant uncertainties, and if one or more legal matters were resolved against the Company in a reporting period for amounts above management’s expectations, the Company’s financial condition and operating results for that period could be materially adversely affected.</w:t>
      </w:r>
    </w:p>
    <w:p>
      <w:pPr>
        <w:spacing w:after="0" w:line="205" w:lineRule="exact"/>
        <w:rPr>
          <w:sz w:val="20"/>
          <w:szCs w:val="20"/>
          <w:color w:val="auto"/>
        </w:rPr>
      </w:pPr>
    </w:p>
    <w:p>
      <w:pPr>
        <w:ind w:left="380" w:hanging="377"/>
        <w:spacing w:after="0"/>
        <w:tabs>
          <w:tab w:leader="none" w:pos="38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228" w:lineRule="exact"/>
        <w:rPr>
          <w:sz w:val="20"/>
          <w:szCs w:val="20"/>
          <w:color w:val="auto"/>
        </w:rPr>
      </w:pPr>
    </w:p>
    <w:p>
      <w:pPr>
        <w:ind w:right="60" w:firstLine="619"/>
        <w:spacing w:after="0" w:line="264" w:lineRule="auto"/>
        <w:rPr>
          <w:sz w:val="20"/>
          <w:szCs w:val="20"/>
          <w:color w:val="auto"/>
        </w:rPr>
      </w:pPr>
      <w:r>
        <w:rPr>
          <w:rFonts w:ascii="Arial" w:cs="Arial" w:eastAsia="Arial" w:hAnsi="Arial"/>
          <w:sz w:val="14"/>
          <w:szCs w:val="14"/>
          <w:color w:val="auto"/>
        </w:rPr>
        <w:t>The provision for income tax recorded for the three and six months ended April 30, 2026 and 2025 differs from the income taxes expected at the U.S. federal statutory tax rate of 21.0%, primarily due to income attributable to foreign jurisdictions which is taxed at different rates, changes in foreign exchange rates taxable in foreign jurisdictions, state taxes, nondeductible tax items and changes in uncertain tax positions (“UTP”).</w:t>
      </w:r>
    </w:p>
    <w:p>
      <w:pPr>
        <w:spacing w:after="0" w:line="178" w:lineRule="exact"/>
        <w:rPr>
          <w:sz w:val="20"/>
          <w:szCs w:val="20"/>
          <w:color w:val="auto"/>
        </w:rPr>
      </w:pPr>
    </w:p>
    <w:p>
      <w:pPr>
        <w:ind w:right="200" w:firstLine="619"/>
        <w:spacing w:after="0" w:line="254" w:lineRule="auto"/>
        <w:rPr>
          <w:sz w:val="20"/>
          <w:szCs w:val="20"/>
          <w:color w:val="auto"/>
        </w:rPr>
      </w:pPr>
      <w:r>
        <w:rPr>
          <w:rFonts w:ascii="Arial" w:cs="Arial" w:eastAsia="Arial" w:hAnsi="Arial"/>
          <w:sz w:val="14"/>
          <w:szCs w:val="14"/>
          <w:color w:val="auto"/>
        </w:rPr>
        <w:t>As of April 30, 2026, the Company had $19.0 million accrued in UTP on income taxes, of which $10.5 million relates to interest and penalties, inclusive of inflationary adjustments. The period for assessing interest and penalties has expired. However, the Company continues to record certain statutory adjustments related to inflation. Changes in the UTP related to changes in foreign exchange rates during the period are included in other (expense) income, net in the condensed consolidated statements of (loss)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829945</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83"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9"/>
          <w:szCs w:val="19"/>
          <w:b w:val="1"/>
          <w:bCs w:val="1"/>
          <w:color w:val="auto"/>
        </w:rPr>
        <w:t>MISSION PRODUCE,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80" w:hanging="377"/>
        <w:spacing w:after="0"/>
        <w:tabs>
          <w:tab w:leader="none" w:pos="38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Measurements</w:t>
      </w:r>
    </w:p>
    <w:p>
      <w:pPr>
        <w:spacing w:after="0" w:line="228" w:lineRule="exact"/>
        <w:rPr>
          <w:sz w:val="20"/>
          <w:szCs w:val="20"/>
          <w:color w:val="auto"/>
        </w:rPr>
      </w:pPr>
    </w:p>
    <w:p>
      <w:pPr>
        <w:ind w:left="620"/>
        <w:spacing w:after="0"/>
        <w:rPr>
          <w:sz w:val="20"/>
          <w:szCs w:val="20"/>
          <w:color w:val="auto"/>
        </w:rPr>
      </w:pPr>
      <w:r>
        <w:rPr>
          <w:rFonts w:ascii="Arial" w:cs="Arial" w:eastAsia="Arial" w:hAnsi="Arial"/>
          <w:sz w:val="14"/>
          <w:szCs w:val="14"/>
          <w:color w:val="auto"/>
        </w:rPr>
        <w:t>Financial assets or liabilities measured and recorded at fair value on a recurring basis included in the condensed consolidated balance sheets were as follows: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7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3"/>
          </w:tcPr>
          <w:p>
            <w:pPr>
              <w:jc w:val="right"/>
              <w:ind w:right="897"/>
              <w:spacing w:after="0"/>
              <w:rPr>
                <w:sz w:val="20"/>
                <w:szCs w:val="20"/>
                <w:color w:val="auto"/>
              </w:rPr>
            </w:pPr>
            <w:r>
              <w:rPr>
                <w:rFonts w:ascii="Arial" w:cs="Arial" w:eastAsia="Arial" w:hAnsi="Arial"/>
                <w:sz w:val="14"/>
                <w:szCs w:val="14"/>
                <w:b w:val="1"/>
                <w:bCs w:val="1"/>
                <w:color w:val="auto"/>
              </w:rPr>
              <w:t>April 30, 2026</w:t>
            </w:r>
          </w:p>
        </w:tc>
        <w:tc>
          <w:tcPr>
            <w:tcW w:w="9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3"/>
          </w:tcPr>
          <w:p>
            <w:pPr>
              <w:jc w:val="right"/>
              <w:ind w:right="797"/>
              <w:spacing w:after="0"/>
              <w:rPr>
                <w:sz w:val="20"/>
                <w:szCs w:val="20"/>
                <w:color w:val="auto"/>
              </w:rPr>
            </w:pPr>
            <w:r>
              <w:rPr>
                <w:rFonts w:ascii="Arial" w:cs="Arial" w:eastAsia="Arial" w:hAnsi="Arial"/>
                <w:sz w:val="14"/>
                <w:szCs w:val="14"/>
                <w:b w:val="1"/>
                <w:bCs w:val="1"/>
                <w:color w:val="auto"/>
              </w:rPr>
              <w:t>October 31, 2025</w:t>
            </w:r>
          </w:p>
        </w:tc>
        <w:tc>
          <w:tcPr>
            <w:tcW w:w="920" w:type="dxa"/>
            <w:vAlign w:val="bottom"/>
            <w:tcBorders>
              <w:bottom w:val="single" w:sz="8" w:color="auto"/>
            </w:tcBorders>
          </w:tcPr>
          <w:p>
            <w:pPr>
              <w:spacing w:after="0"/>
              <w:rPr>
                <w:sz w:val="17"/>
                <w:szCs w:val="17"/>
                <w:color w:val="auto"/>
              </w:rPr>
            </w:pPr>
          </w:p>
        </w:tc>
      </w:tr>
      <w:tr>
        <w:trPr>
          <w:trHeight w:val="150"/>
        </w:trPr>
        <w:tc>
          <w:tcPr>
            <w:tcW w:w="1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jc w:val="right"/>
              <w:ind w:right="297"/>
              <w:spacing w:after="0"/>
              <w:rPr>
                <w:sz w:val="20"/>
                <w:szCs w:val="20"/>
                <w:color w:val="auto"/>
              </w:rPr>
            </w:pPr>
            <w:r>
              <w:rPr>
                <w:rFonts w:ascii="Arial" w:cs="Arial" w:eastAsia="Arial" w:hAnsi="Arial"/>
                <w:sz w:val="12"/>
                <w:szCs w:val="12"/>
                <w:color w:val="auto"/>
              </w:rPr>
              <w:t>Significant</w:t>
            </w: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jc w:val="right"/>
              <w:ind w:right="297"/>
              <w:spacing w:after="0"/>
              <w:rPr>
                <w:sz w:val="20"/>
                <w:szCs w:val="20"/>
                <w:color w:val="auto"/>
              </w:rPr>
            </w:pPr>
            <w:r>
              <w:rPr>
                <w:rFonts w:ascii="Arial" w:cs="Arial" w:eastAsia="Arial" w:hAnsi="Arial"/>
                <w:sz w:val="12"/>
                <w:szCs w:val="12"/>
                <w:color w:val="auto"/>
              </w:rPr>
              <w:t>Significant</w:t>
            </w:r>
          </w:p>
        </w:tc>
        <w:tc>
          <w:tcPr>
            <w:tcW w:w="920" w:type="dxa"/>
            <w:vAlign w:val="bottom"/>
          </w:tcPr>
          <w:p>
            <w:pPr>
              <w:spacing w:after="0"/>
              <w:rPr>
                <w:sz w:val="13"/>
                <w:szCs w:val="13"/>
                <w:color w:val="auto"/>
              </w:rPr>
            </w:pPr>
          </w:p>
        </w:tc>
      </w:tr>
      <w:tr>
        <w:trPr>
          <w:trHeight w:val="142"/>
        </w:trPr>
        <w:tc>
          <w:tcPr>
            <w:tcW w:w="1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Quoted Prices</w:t>
            </w:r>
          </w:p>
        </w:tc>
        <w:tc>
          <w:tcPr>
            <w:tcW w:w="320" w:type="dxa"/>
            <w:vAlign w:val="bottom"/>
          </w:tcPr>
          <w:p>
            <w:pPr>
              <w:spacing w:after="0"/>
              <w:rPr>
                <w:sz w:val="12"/>
                <w:szCs w:val="12"/>
                <w:color w:val="auto"/>
              </w:rPr>
            </w:pPr>
          </w:p>
        </w:tc>
        <w:tc>
          <w:tcPr>
            <w:tcW w:w="1160" w:type="dxa"/>
            <w:vAlign w:val="bottom"/>
          </w:tcPr>
          <w:p>
            <w:pPr>
              <w:jc w:val="right"/>
              <w:ind w:right="297"/>
              <w:spacing w:after="0"/>
              <w:rPr>
                <w:sz w:val="20"/>
                <w:szCs w:val="20"/>
                <w:color w:val="auto"/>
              </w:rPr>
            </w:pPr>
            <w:r>
              <w:rPr>
                <w:rFonts w:ascii="Arial" w:cs="Arial" w:eastAsia="Arial" w:hAnsi="Arial"/>
                <w:sz w:val="12"/>
                <w:szCs w:val="12"/>
                <w:color w:val="auto"/>
              </w:rPr>
              <w:t>Other</w:t>
            </w: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Significant</w:t>
            </w: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Quoted Prices</w:t>
            </w:r>
          </w:p>
        </w:tc>
        <w:tc>
          <w:tcPr>
            <w:tcW w:w="320" w:type="dxa"/>
            <w:vAlign w:val="bottom"/>
          </w:tcPr>
          <w:p>
            <w:pPr>
              <w:spacing w:after="0"/>
              <w:rPr>
                <w:sz w:val="12"/>
                <w:szCs w:val="12"/>
                <w:color w:val="auto"/>
              </w:rPr>
            </w:pPr>
          </w:p>
        </w:tc>
        <w:tc>
          <w:tcPr>
            <w:tcW w:w="1160" w:type="dxa"/>
            <w:vAlign w:val="bottom"/>
          </w:tcPr>
          <w:p>
            <w:pPr>
              <w:jc w:val="right"/>
              <w:ind w:right="297"/>
              <w:spacing w:after="0"/>
              <w:rPr>
                <w:sz w:val="20"/>
                <w:szCs w:val="20"/>
                <w:color w:val="auto"/>
              </w:rPr>
            </w:pPr>
            <w:r>
              <w:rPr>
                <w:rFonts w:ascii="Arial" w:cs="Arial" w:eastAsia="Arial" w:hAnsi="Arial"/>
                <w:sz w:val="12"/>
                <w:szCs w:val="12"/>
                <w:color w:val="auto"/>
              </w:rPr>
              <w:t>Other</w:t>
            </w:r>
          </w:p>
        </w:tc>
        <w:tc>
          <w:tcPr>
            <w:tcW w:w="920" w:type="dxa"/>
            <w:vAlign w:val="bottom"/>
          </w:tcPr>
          <w:p>
            <w:pPr>
              <w:jc w:val="right"/>
              <w:spacing w:after="0"/>
              <w:rPr>
                <w:sz w:val="20"/>
                <w:szCs w:val="20"/>
                <w:color w:val="auto"/>
              </w:rPr>
            </w:pPr>
            <w:r>
              <w:rPr>
                <w:rFonts w:ascii="Arial" w:cs="Arial" w:eastAsia="Arial" w:hAnsi="Arial"/>
                <w:sz w:val="12"/>
                <w:szCs w:val="12"/>
                <w:color w:val="auto"/>
              </w:rPr>
              <w:t>Significant</w:t>
            </w:r>
          </w:p>
        </w:tc>
      </w:tr>
      <w:tr>
        <w:trPr>
          <w:trHeight w:val="155"/>
        </w:trPr>
        <w:tc>
          <w:tcPr>
            <w:tcW w:w="1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in Active</w:t>
            </w:r>
          </w:p>
        </w:tc>
        <w:tc>
          <w:tcPr>
            <w:tcW w:w="320" w:type="dxa"/>
            <w:vAlign w:val="bottom"/>
          </w:tcPr>
          <w:p>
            <w:pPr>
              <w:spacing w:after="0"/>
              <w:rPr>
                <w:sz w:val="13"/>
                <w:szCs w:val="13"/>
                <w:color w:val="auto"/>
              </w:rPr>
            </w:pPr>
          </w:p>
        </w:tc>
        <w:tc>
          <w:tcPr>
            <w:tcW w:w="1160" w:type="dxa"/>
            <w:vAlign w:val="bottom"/>
          </w:tcPr>
          <w:p>
            <w:pPr>
              <w:jc w:val="right"/>
              <w:ind w:right="297"/>
              <w:spacing w:after="0"/>
              <w:rPr>
                <w:sz w:val="20"/>
                <w:szCs w:val="20"/>
                <w:color w:val="auto"/>
              </w:rPr>
            </w:pPr>
            <w:r>
              <w:rPr>
                <w:rFonts w:ascii="Arial" w:cs="Arial" w:eastAsia="Arial" w:hAnsi="Arial"/>
                <w:sz w:val="12"/>
                <w:szCs w:val="12"/>
                <w:color w:val="auto"/>
              </w:rPr>
              <w:t>Observable</w:t>
            </w: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Unobservable</w:t>
            </w: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in Active</w:t>
            </w:r>
          </w:p>
        </w:tc>
        <w:tc>
          <w:tcPr>
            <w:tcW w:w="320" w:type="dxa"/>
            <w:vAlign w:val="bottom"/>
          </w:tcPr>
          <w:p>
            <w:pPr>
              <w:spacing w:after="0"/>
              <w:rPr>
                <w:sz w:val="13"/>
                <w:szCs w:val="13"/>
                <w:color w:val="auto"/>
              </w:rPr>
            </w:pPr>
          </w:p>
        </w:tc>
        <w:tc>
          <w:tcPr>
            <w:tcW w:w="1160" w:type="dxa"/>
            <w:vAlign w:val="bottom"/>
          </w:tcPr>
          <w:p>
            <w:pPr>
              <w:jc w:val="right"/>
              <w:ind w:right="297"/>
              <w:spacing w:after="0"/>
              <w:rPr>
                <w:sz w:val="20"/>
                <w:szCs w:val="20"/>
                <w:color w:val="auto"/>
              </w:rPr>
            </w:pPr>
            <w:r>
              <w:rPr>
                <w:rFonts w:ascii="Arial" w:cs="Arial" w:eastAsia="Arial" w:hAnsi="Arial"/>
                <w:sz w:val="12"/>
                <w:szCs w:val="12"/>
                <w:color w:val="auto"/>
              </w:rPr>
              <w:t>Observable</w:t>
            </w:r>
          </w:p>
        </w:tc>
        <w:tc>
          <w:tcPr>
            <w:tcW w:w="920" w:type="dxa"/>
            <w:vAlign w:val="bottom"/>
          </w:tcPr>
          <w:p>
            <w:pPr>
              <w:jc w:val="right"/>
              <w:spacing w:after="0"/>
              <w:rPr>
                <w:sz w:val="20"/>
                <w:szCs w:val="20"/>
                <w:color w:val="auto"/>
              </w:rPr>
            </w:pPr>
            <w:r>
              <w:rPr>
                <w:rFonts w:ascii="Arial" w:cs="Arial" w:eastAsia="Arial" w:hAnsi="Arial"/>
                <w:sz w:val="12"/>
                <w:szCs w:val="12"/>
                <w:color w:val="auto"/>
              </w:rPr>
              <w:t>Unobservable</w:t>
            </w:r>
          </w:p>
        </w:tc>
      </w:tr>
      <w:tr>
        <w:trPr>
          <w:trHeight w:val="142"/>
        </w:trPr>
        <w:tc>
          <w:tcPr>
            <w:tcW w:w="1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Markets</w:t>
            </w:r>
          </w:p>
        </w:tc>
        <w:tc>
          <w:tcPr>
            <w:tcW w:w="320" w:type="dxa"/>
            <w:vAlign w:val="bottom"/>
          </w:tcPr>
          <w:p>
            <w:pPr>
              <w:spacing w:after="0"/>
              <w:rPr>
                <w:sz w:val="12"/>
                <w:szCs w:val="12"/>
                <w:color w:val="auto"/>
              </w:rPr>
            </w:pPr>
          </w:p>
        </w:tc>
        <w:tc>
          <w:tcPr>
            <w:tcW w:w="1160" w:type="dxa"/>
            <w:vAlign w:val="bottom"/>
          </w:tcPr>
          <w:p>
            <w:pPr>
              <w:jc w:val="right"/>
              <w:ind w:right="297"/>
              <w:spacing w:after="0"/>
              <w:rPr>
                <w:sz w:val="20"/>
                <w:szCs w:val="20"/>
                <w:color w:val="auto"/>
              </w:rPr>
            </w:pPr>
            <w:r>
              <w:rPr>
                <w:rFonts w:ascii="Arial" w:cs="Arial" w:eastAsia="Arial" w:hAnsi="Arial"/>
                <w:sz w:val="12"/>
                <w:szCs w:val="12"/>
                <w:color w:val="auto"/>
              </w:rPr>
              <w:t>Inputs</w:t>
            </w: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Inputs</w:t>
            </w: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ind w:right="36"/>
              <w:spacing w:after="0"/>
              <w:rPr>
                <w:sz w:val="20"/>
                <w:szCs w:val="20"/>
                <w:color w:val="auto"/>
              </w:rPr>
            </w:pPr>
            <w:r>
              <w:rPr>
                <w:rFonts w:ascii="Arial" w:cs="Arial" w:eastAsia="Arial" w:hAnsi="Arial"/>
                <w:sz w:val="12"/>
                <w:szCs w:val="12"/>
                <w:color w:val="auto"/>
              </w:rPr>
              <w:t>Markets</w:t>
            </w:r>
          </w:p>
        </w:tc>
        <w:tc>
          <w:tcPr>
            <w:tcW w:w="320" w:type="dxa"/>
            <w:vAlign w:val="bottom"/>
          </w:tcPr>
          <w:p>
            <w:pPr>
              <w:spacing w:after="0"/>
              <w:rPr>
                <w:sz w:val="12"/>
                <w:szCs w:val="12"/>
                <w:color w:val="auto"/>
              </w:rPr>
            </w:pPr>
          </w:p>
        </w:tc>
        <w:tc>
          <w:tcPr>
            <w:tcW w:w="1160" w:type="dxa"/>
            <w:vAlign w:val="bottom"/>
          </w:tcPr>
          <w:p>
            <w:pPr>
              <w:jc w:val="right"/>
              <w:ind w:right="297"/>
              <w:spacing w:after="0"/>
              <w:rPr>
                <w:sz w:val="20"/>
                <w:szCs w:val="20"/>
                <w:color w:val="auto"/>
              </w:rPr>
            </w:pPr>
            <w:r>
              <w:rPr>
                <w:rFonts w:ascii="Arial" w:cs="Arial" w:eastAsia="Arial" w:hAnsi="Arial"/>
                <w:sz w:val="12"/>
                <w:szCs w:val="12"/>
                <w:color w:val="auto"/>
              </w:rPr>
              <w:t>Inputs</w:t>
            </w:r>
          </w:p>
        </w:tc>
        <w:tc>
          <w:tcPr>
            <w:tcW w:w="920" w:type="dxa"/>
            <w:vAlign w:val="bottom"/>
          </w:tcPr>
          <w:p>
            <w:pPr>
              <w:jc w:val="right"/>
              <w:spacing w:after="0"/>
              <w:rPr>
                <w:sz w:val="20"/>
                <w:szCs w:val="20"/>
                <w:color w:val="auto"/>
              </w:rPr>
            </w:pPr>
            <w:r>
              <w:rPr>
                <w:rFonts w:ascii="Arial" w:cs="Arial" w:eastAsia="Arial" w:hAnsi="Arial"/>
                <w:sz w:val="12"/>
                <w:szCs w:val="12"/>
                <w:color w:val="auto"/>
              </w:rPr>
              <w:t>Inputs</w:t>
            </w:r>
          </w:p>
        </w:tc>
      </w:tr>
      <w:tr>
        <w:trPr>
          <w:trHeight w:val="179"/>
        </w:trPr>
        <w:tc>
          <w:tcPr>
            <w:tcW w:w="17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(In millions)</w:t>
            </w:r>
          </w:p>
        </w:tc>
        <w:tc>
          <w:tcPr>
            <w:tcW w:w="4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340"/>
              <w:spacing w:after="0"/>
              <w:rPr>
                <w:sz w:val="20"/>
                <w:szCs w:val="20"/>
                <w:color w:val="auto"/>
              </w:rPr>
            </w:pPr>
            <w:r>
              <w:rPr>
                <w:rFonts w:ascii="Arial" w:cs="Arial" w:eastAsia="Arial" w:hAnsi="Arial"/>
                <w:sz w:val="12"/>
                <w:szCs w:val="12"/>
                <w:color w:val="auto"/>
              </w:rPr>
              <w:t>Total</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(Level 1)</w:t>
            </w: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97"/>
              <w:spacing w:after="0"/>
              <w:rPr>
                <w:sz w:val="20"/>
                <w:szCs w:val="20"/>
                <w:color w:val="auto"/>
              </w:rPr>
            </w:pPr>
            <w:r>
              <w:rPr>
                <w:rFonts w:ascii="Arial" w:cs="Arial" w:eastAsia="Arial" w:hAnsi="Arial"/>
                <w:sz w:val="12"/>
                <w:szCs w:val="12"/>
                <w:color w:val="auto"/>
              </w:rPr>
              <w:t>(Level 2)</w:t>
            </w:r>
          </w:p>
        </w:tc>
        <w:tc>
          <w:tcPr>
            <w:tcW w:w="11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(Level 3)</w:t>
            </w:r>
          </w:p>
        </w:tc>
        <w:tc>
          <w:tcPr>
            <w:tcW w:w="4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ind w:left="340"/>
              <w:spacing w:after="0"/>
              <w:rPr>
                <w:sz w:val="20"/>
                <w:szCs w:val="20"/>
                <w:color w:val="auto"/>
              </w:rPr>
            </w:pPr>
            <w:r>
              <w:rPr>
                <w:rFonts w:ascii="Arial" w:cs="Arial" w:eastAsia="Arial" w:hAnsi="Arial"/>
                <w:sz w:val="12"/>
                <w:szCs w:val="12"/>
                <w:color w:val="auto"/>
              </w:rPr>
              <w:t>Total</w:t>
            </w: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(Level 1)</w:t>
            </w: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97"/>
              <w:spacing w:after="0"/>
              <w:rPr>
                <w:sz w:val="20"/>
                <w:szCs w:val="20"/>
                <w:color w:val="auto"/>
              </w:rPr>
            </w:pPr>
            <w:r>
              <w:rPr>
                <w:rFonts w:ascii="Arial" w:cs="Arial" w:eastAsia="Arial" w:hAnsi="Arial"/>
                <w:sz w:val="12"/>
                <w:szCs w:val="12"/>
                <w:color w:val="auto"/>
              </w:rPr>
              <w:t>(Level 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(Level 3)</w:t>
            </w:r>
          </w:p>
        </w:tc>
      </w:tr>
      <w:tr>
        <w:trPr>
          <w:trHeight w:val="219"/>
        </w:trPr>
        <w:tc>
          <w:tcPr>
            <w:tcW w:w="1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4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199"/>
        </w:trPr>
        <w:tc>
          <w:tcPr>
            <w:tcW w:w="1740" w:type="dxa"/>
            <w:vAlign w:val="bottom"/>
          </w:tcPr>
          <w:p>
            <w:pPr>
              <w:ind w:left="20"/>
              <w:spacing w:after="0"/>
              <w:rPr>
                <w:sz w:val="20"/>
                <w:szCs w:val="20"/>
                <w:color w:val="auto"/>
              </w:rPr>
            </w:pPr>
            <w:r>
              <w:rPr>
                <w:rFonts w:ascii="Arial" w:cs="Arial" w:eastAsia="Arial" w:hAnsi="Arial"/>
                <w:sz w:val="14"/>
                <w:szCs w:val="14"/>
                <w:color w:val="auto"/>
              </w:rPr>
              <w:t>Mutual funds</w:t>
            </w:r>
          </w:p>
        </w:tc>
        <w:tc>
          <w:tcPr>
            <w:tcW w:w="420" w:type="dxa"/>
            <w:vAlign w:val="bottom"/>
          </w:tcPr>
          <w:p>
            <w:pPr>
              <w:jc w:val="right"/>
              <w:ind w:right="271"/>
              <w:spacing w:after="0"/>
              <w:rPr>
                <w:sz w:val="20"/>
                <w:szCs w:val="20"/>
                <w:color w:val="auto"/>
              </w:rPr>
            </w:pPr>
            <w:r>
              <w:rPr>
                <w:rFonts w:ascii="Arial" w:cs="Arial" w:eastAsia="Arial" w:hAnsi="Arial"/>
                <w:sz w:val="14"/>
                <w:szCs w:val="14"/>
                <w:color w:val="auto"/>
                <w:w w:val="76"/>
              </w:rPr>
              <w:t>$</w:t>
            </w:r>
          </w:p>
        </w:tc>
        <w:tc>
          <w:tcPr>
            <w:tcW w:w="640" w:type="dxa"/>
            <w:vAlign w:val="bottom"/>
          </w:tcPr>
          <w:p>
            <w:pPr>
              <w:ind w:left="340"/>
              <w:spacing w:after="0"/>
              <w:rPr>
                <w:sz w:val="20"/>
                <w:szCs w:val="20"/>
                <w:color w:val="auto"/>
              </w:rPr>
            </w:pPr>
            <w:r>
              <w:rPr>
                <w:rFonts w:ascii="Arial" w:cs="Arial" w:eastAsia="Arial" w:hAnsi="Arial"/>
                <w:sz w:val="14"/>
                <w:szCs w:val="14"/>
                <w:color w:val="auto"/>
              </w:rPr>
              <w:t>3.3</w:t>
            </w:r>
          </w:p>
        </w:tc>
        <w:tc>
          <w:tcPr>
            <w:tcW w:w="26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6"/>
              <w:spacing w:after="0"/>
              <w:rPr>
                <w:sz w:val="20"/>
                <w:szCs w:val="20"/>
                <w:color w:val="auto"/>
              </w:rPr>
            </w:pPr>
            <w:r>
              <w:rPr>
                <w:rFonts w:ascii="Arial" w:cs="Arial" w:eastAsia="Arial" w:hAnsi="Arial"/>
                <w:sz w:val="14"/>
                <w:szCs w:val="14"/>
                <w:color w:val="auto"/>
              </w:rPr>
              <w:t>3.3</w:t>
            </w:r>
          </w:p>
        </w:tc>
        <w:tc>
          <w:tcPr>
            <w:tcW w:w="32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97"/>
              <w:spacing w:after="0"/>
              <w:rPr>
                <w:sz w:val="20"/>
                <w:szCs w:val="20"/>
                <w:color w:val="auto"/>
              </w:rPr>
            </w:pPr>
            <w:r>
              <w:rPr>
                <w:rFonts w:ascii="Arial" w:cs="Arial" w:eastAsia="Arial" w:hAnsi="Arial"/>
                <w:sz w:val="14"/>
                <w:szCs w:val="14"/>
                <w:color w:val="auto"/>
              </w:rPr>
              <w:t>—  $</w:t>
            </w:r>
          </w:p>
        </w:tc>
        <w:tc>
          <w:tcPr>
            <w:tcW w:w="11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271"/>
              <w:spacing w:after="0"/>
              <w:rPr>
                <w:sz w:val="20"/>
                <w:szCs w:val="20"/>
                <w:color w:val="auto"/>
              </w:rPr>
            </w:pPr>
            <w:r>
              <w:rPr>
                <w:rFonts w:ascii="Arial" w:cs="Arial" w:eastAsia="Arial" w:hAnsi="Arial"/>
                <w:sz w:val="14"/>
                <w:szCs w:val="14"/>
                <w:color w:val="auto"/>
              </w:rPr>
              <w:t>$</w:t>
            </w:r>
          </w:p>
        </w:tc>
        <w:tc>
          <w:tcPr>
            <w:tcW w:w="660" w:type="dxa"/>
            <w:vAlign w:val="bottom"/>
          </w:tcPr>
          <w:p>
            <w:pPr>
              <w:ind w:left="360"/>
              <w:spacing w:after="0"/>
              <w:rPr>
                <w:sz w:val="20"/>
                <w:szCs w:val="20"/>
                <w:color w:val="auto"/>
              </w:rPr>
            </w:pPr>
            <w:r>
              <w:rPr>
                <w:rFonts w:ascii="Arial" w:cs="Arial" w:eastAsia="Arial" w:hAnsi="Arial"/>
                <w:sz w:val="14"/>
                <w:szCs w:val="14"/>
                <w:color w:val="auto"/>
              </w:rPr>
              <w:t>2.9</w:t>
            </w:r>
          </w:p>
        </w:tc>
        <w:tc>
          <w:tcPr>
            <w:tcW w:w="24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6"/>
              <w:spacing w:after="0"/>
              <w:rPr>
                <w:sz w:val="20"/>
                <w:szCs w:val="20"/>
                <w:color w:val="auto"/>
              </w:rPr>
            </w:pPr>
            <w:r>
              <w:rPr>
                <w:rFonts w:ascii="Arial" w:cs="Arial" w:eastAsia="Arial" w:hAnsi="Arial"/>
                <w:sz w:val="14"/>
                <w:szCs w:val="14"/>
                <w:color w:val="auto"/>
              </w:rPr>
              <w:t>2.9</w:t>
            </w:r>
          </w:p>
        </w:tc>
        <w:tc>
          <w:tcPr>
            <w:tcW w:w="32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97"/>
              <w:spacing w:after="0"/>
              <w:rPr>
                <w:sz w:val="20"/>
                <w:szCs w:val="20"/>
                <w:color w:val="auto"/>
              </w:rPr>
            </w:pPr>
            <w:r>
              <w:rPr>
                <w:rFonts w:ascii="Arial" w:cs="Arial" w:eastAsia="Arial" w:hAnsi="Arial"/>
                <w:sz w:val="14"/>
                <w:szCs w:val="14"/>
                <w:color w:val="auto"/>
              </w:rPr>
              <w:t>—  $</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1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9"/>
        </w:trPr>
        <w:tc>
          <w:tcPr>
            <w:tcW w:w="1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4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199"/>
        </w:trPr>
        <w:tc>
          <w:tcPr>
            <w:tcW w:w="1740" w:type="dxa"/>
            <w:vAlign w:val="bottom"/>
          </w:tcPr>
          <w:p>
            <w:pPr>
              <w:ind w:left="20"/>
              <w:spacing w:after="0"/>
              <w:rPr>
                <w:sz w:val="20"/>
                <w:szCs w:val="20"/>
                <w:color w:val="auto"/>
              </w:rPr>
            </w:pPr>
            <w:r>
              <w:rPr>
                <w:rFonts w:ascii="Arial" w:cs="Arial" w:eastAsia="Arial" w:hAnsi="Arial"/>
                <w:sz w:val="14"/>
                <w:szCs w:val="14"/>
                <w:color w:val="auto"/>
              </w:rPr>
              <w:t>Interest rate swap</w:t>
            </w:r>
          </w:p>
        </w:tc>
        <w:tc>
          <w:tcPr>
            <w:tcW w:w="420" w:type="dxa"/>
            <w:vAlign w:val="bottom"/>
          </w:tcPr>
          <w:p>
            <w:pPr>
              <w:spacing w:after="0"/>
              <w:rPr>
                <w:sz w:val="17"/>
                <w:szCs w:val="17"/>
                <w:color w:val="auto"/>
              </w:rPr>
            </w:pPr>
          </w:p>
        </w:tc>
        <w:tc>
          <w:tcPr>
            <w:tcW w:w="640" w:type="dxa"/>
            <w:vAlign w:val="bottom"/>
          </w:tcPr>
          <w:p>
            <w:pPr>
              <w:ind w:left="340"/>
              <w:spacing w:after="0"/>
              <w:rPr>
                <w:sz w:val="20"/>
                <w:szCs w:val="20"/>
                <w:color w:val="auto"/>
              </w:rPr>
            </w:pPr>
            <w:r>
              <w:rPr>
                <w:rFonts w:ascii="Arial" w:cs="Arial" w:eastAsia="Arial" w:hAnsi="Arial"/>
                <w:sz w:val="14"/>
                <w:szCs w:val="14"/>
                <w:color w:val="auto"/>
              </w:rPr>
              <w:t>0.1</w:t>
            </w:r>
          </w:p>
        </w:tc>
        <w:tc>
          <w:tcPr>
            <w:tcW w:w="260" w:type="dxa"/>
            <w:vAlign w:val="bottom"/>
          </w:tcPr>
          <w:p>
            <w:pPr>
              <w:spacing w:after="0"/>
              <w:rPr>
                <w:sz w:val="17"/>
                <w:szCs w:val="17"/>
                <w:color w:val="auto"/>
              </w:rPr>
            </w:pPr>
          </w:p>
        </w:tc>
        <w:tc>
          <w:tcPr>
            <w:tcW w:w="920" w:type="dxa"/>
            <w:vAlign w:val="bottom"/>
          </w:tcPr>
          <w:p>
            <w:pPr>
              <w:jc w:val="right"/>
              <w:ind w:right="36"/>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160" w:type="dxa"/>
            <w:vAlign w:val="bottom"/>
          </w:tcPr>
          <w:p>
            <w:pPr>
              <w:jc w:val="right"/>
              <w:ind w:right="337"/>
              <w:spacing w:after="0"/>
              <w:rPr>
                <w:sz w:val="20"/>
                <w:szCs w:val="20"/>
                <w:color w:val="auto"/>
              </w:rPr>
            </w:pPr>
            <w:r>
              <w:rPr>
                <w:rFonts w:ascii="Arial" w:cs="Arial" w:eastAsia="Arial" w:hAnsi="Arial"/>
                <w:sz w:val="14"/>
                <w:szCs w:val="14"/>
                <w:color w:val="auto"/>
              </w:rPr>
              <w:t>0.1</w:t>
            </w:r>
          </w:p>
        </w:tc>
        <w:tc>
          <w:tcPr>
            <w:tcW w:w="11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660" w:type="dxa"/>
            <w:vAlign w:val="bottom"/>
          </w:tcPr>
          <w:p>
            <w:pPr>
              <w:ind w:left="360"/>
              <w:spacing w:after="0"/>
              <w:rPr>
                <w:sz w:val="20"/>
                <w:szCs w:val="20"/>
                <w:color w:val="auto"/>
              </w:rPr>
            </w:pPr>
            <w:r>
              <w:rPr>
                <w:rFonts w:ascii="Arial" w:cs="Arial" w:eastAsia="Arial" w:hAnsi="Arial"/>
                <w:sz w:val="14"/>
                <w:szCs w:val="14"/>
                <w:color w:val="auto"/>
              </w:rPr>
              <w:t>0.2</w:t>
            </w:r>
          </w:p>
        </w:tc>
        <w:tc>
          <w:tcPr>
            <w:tcW w:w="240" w:type="dxa"/>
            <w:vAlign w:val="bottom"/>
          </w:tcPr>
          <w:p>
            <w:pPr>
              <w:spacing w:after="0"/>
              <w:rPr>
                <w:sz w:val="17"/>
                <w:szCs w:val="17"/>
                <w:color w:val="auto"/>
              </w:rPr>
            </w:pPr>
          </w:p>
        </w:tc>
        <w:tc>
          <w:tcPr>
            <w:tcW w:w="940" w:type="dxa"/>
            <w:vAlign w:val="bottom"/>
          </w:tcPr>
          <w:p>
            <w:pPr>
              <w:jc w:val="right"/>
              <w:ind w:right="36"/>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160" w:type="dxa"/>
            <w:vAlign w:val="bottom"/>
          </w:tcPr>
          <w:p>
            <w:pPr>
              <w:jc w:val="right"/>
              <w:ind w:right="337"/>
              <w:spacing w:after="0"/>
              <w:rPr>
                <w:sz w:val="20"/>
                <w:szCs w:val="20"/>
                <w:color w:val="auto"/>
              </w:rPr>
            </w:pPr>
            <w:r>
              <w:rPr>
                <w:rFonts w:ascii="Arial" w:cs="Arial" w:eastAsia="Arial" w:hAnsi="Arial"/>
                <w:sz w:val="14"/>
                <w:szCs w:val="14"/>
                <w:color w:val="auto"/>
              </w:rPr>
              <w:t>0.2</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1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left="620"/>
        <w:spacing w:after="0"/>
        <w:rPr>
          <w:sz w:val="20"/>
          <w:szCs w:val="20"/>
          <w:color w:val="auto"/>
        </w:rPr>
      </w:pPr>
      <w:r>
        <w:rPr>
          <w:rFonts w:ascii="Arial" w:cs="Arial" w:eastAsia="Arial" w:hAnsi="Arial"/>
          <w:sz w:val="14"/>
          <w:szCs w:val="14"/>
          <w:color w:val="auto"/>
        </w:rPr>
        <w:t>Our mutual fund investments relate to our deferred compensation plan, which are held in a Rabbi trust which is included in other assets in our consolidated balance sheets.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The funds are measured at quoted prices in active markets, which is equivalent to their fair value.</w:t>
      </w:r>
    </w:p>
    <w:p>
      <w:pPr>
        <w:spacing w:after="0" w:line="188" w:lineRule="exact"/>
        <w:rPr>
          <w:sz w:val="20"/>
          <w:szCs w:val="20"/>
          <w:color w:val="auto"/>
        </w:rPr>
      </w:pPr>
    </w:p>
    <w:p>
      <w:pPr>
        <w:ind w:right="40" w:firstLine="619"/>
        <w:spacing w:after="0" w:line="251" w:lineRule="auto"/>
        <w:rPr>
          <w:sz w:val="20"/>
          <w:szCs w:val="20"/>
          <w:color w:val="auto"/>
        </w:rPr>
      </w:pPr>
      <w:r>
        <w:rPr>
          <w:rFonts w:ascii="Arial" w:cs="Arial" w:eastAsia="Arial" w:hAnsi="Arial"/>
          <w:sz w:val="14"/>
          <w:szCs w:val="14"/>
          <w:color w:val="auto"/>
        </w:rPr>
        <w:t>The fair value of interest rate swaps is determined using widely accepted valuation techniques, including the discounted cash flow method. The analysis reflects the contractual terms of the swaps, including the period to maturity, and uses observable market-based inputs, including interest rate curves (“significant other observable inputs”). The fair value calculation also includes an amount for risk of non-performance using “significant unobservable inputs” such as estimates of current credit spreads to evaluate the likelihood of default. The Company has concluded, as of April 30, 2026 and October 31, 2025, the fair value associated with the “significant unobservable inputs” relating to the Company’s risk of non-performance was insignificant to the overall fair value of the interest rate swap agreements and, as a result, the Company determined that the relevant inputs for purposes of calculating the fair value of the interest rate swap agreements, in their entirety, were based upon “significant other observable inputs”. The liabilities associated with the interest rate swaps have been included in accrued expenses and other long-term liabilities in the condensed consolidated balance sheets and gains and losses for the interest rate swaps have been included in other (expense) income, net in the condensed consolidated statements of (loss) income.</w:t>
      </w:r>
    </w:p>
    <w:p>
      <w:pPr>
        <w:spacing w:after="0" w:line="227"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10.</w:t>
        <w:tab/>
        <w:t>Earnings Per Share and Shareholder’s Equity</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r>
      <w:tr>
        <w:trPr>
          <w:trHeight w:val="196"/>
        </w:trPr>
        <w:tc>
          <w:tcPr>
            <w:tcW w:w="49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tcPr>
          <w:p>
            <w:pPr>
              <w:jc w:val="right"/>
              <w:ind w:right="371"/>
              <w:spacing w:after="0"/>
              <w:rPr>
                <w:sz w:val="20"/>
                <w:szCs w:val="20"/>
                <w:color w:val="auto"/>
              </w:rPr>
            </w:pPr>
            <w:r>
              <w:rPr>
                <w:rFonts w:ascii="Arial" w:cs="Arial" w:eastAsia="Arial" w:hAnsi="Arial"/>
                <w:sz w:val="14"/>
                <w:szCs w:val="14"/>
                <w:b w:val="1"/>
                <w:bCs w:val="1"/>
                <w:color w:val="auto"/>
              </w:rPr>
              <w:t>April 30,</w:t>
            </w:r>
          </w:p>
        </w:tc>
        <w:tc>
          <w:tcPr>
            <w:tcW w:w="80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2"/>
          </w:tcPr>
          <w:p>
            <w:pPr>
              <w:jc w:val="right"/>
              <w:ind w:right="331"/>
              <w:spacing w:after="0"/>
              <w:rPr>
                <w:sz w:val="20"/>
                <w:szCs w:val="20"/>
                <w:color w:val="auto"/>
              </w:rPr>
            </w:pPr>
            <w:r>
              <w:rPr>
                <w:rFonts w:ascii="Arial" w:cs="Arial" w:eastAsia="Arial" w:hAnsi="Arial"/>
                <w:sz w:val="14"/>
                <w:szCs w:val="14"/>
                <w:b w:val="1"/>
                <w:bCs w:val="1"/>
                <w:color w:val="auto"/>
              </w:rPr>
              <w:t>April 30,</w:t>
            </w:r>
          </w:p>
        </w:tc>
        <w:tc>
          <w:tcPr>
            <w:tcW w:w="840" w:type="dxa"/>
            <w:vAlign w:val="bottom"/>
            <w:tcBorders>
              <w:bottom w:val="single" w:sz="8" w:color="auto"/>
            </w:tcBorders>
          </w:tcPr>
          <w:p>
            <w:pPr>
              <w:spacing w:after="0"/>
              <w:rPr>
                <w:sz w:val="17"/>
                <w:szCs w:val="17"/>
                <w:color w:val="auto"/>
              </w:rPr>
            </w:pPr>
          </w:p>
        </w:tc>
      </w:tr>
      <w:tr>
        <w:trPr>
          <w:trHeight w:val="212"/>
        </w:trPr>
        <w:tc>
          <w:tcPr>
            <w:tcW w:w="49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2026</w:t>
            </w:r>
          </w:p>
        </w:tc>
        <w:tc>
          <w:tcPr>
            <w:tcW w:w="7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2026</w:t>
            </w:r>
          </w:p>
        </w:tc>
        <w:tc>
          <w:tcPr>
            <w:tcW w:w="6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2025</w:t>
            </w:r>
          </w:p>
        </w:tc>
      </w:tr>
      <w:tr>
        <w:trPr>
          <w:trHeight w:val="219"/>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Numerator:</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199"/>
        </w:trPr>
        <w:tc>
          <w:tcPr>
            <w:tcW w:w="4900" w:type="dxa"/>
            <w:vAlign w:val="bottom"/>
          </w:tcPr>
          <w:p>
            <w:pPr>
              <w:ind w:left="20"/>
              <w:spacing w:after="0"/>
              <w:rPr>
                <w:sz w:val="20"/>
                <w:szCs w:val="20"/>
                <w:color w:val="auto"/>
              </w:rPr>
            </w:pPr>
            <w:r>
              <w:rPr>
                <w:rFonts w:ascii="Arial" w:cs="Arial" w:eastAsia="Arial" w:hAnsi="Arial"/>
                <w:sz w:val="14"/>
                <w:szCs w:val="14"/>
                <w:color w:val="auto"/>
              </w:rPr>
              <w:t>Net (loss) income attributable to Mission Produce (in millions)</w:t>
            </w:r>
          </w:p>
        </w:tc>
        <w:tc>
          <w:tcPr>
            <w:tcW w:w="400" w:type="dxa"/>
            <w:vAlign w:val="bottom"/>
          </w:tcPr>
          <w:p>
            <w:pPr>
              <w:jc w:val="right"/>
              <w:ind w:right="231"/>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31"/>
              <w:spacing w:after="0"/>
              <w:rPr>
                <w:sz w:val="20"/>
                <w:szCs w:val="20"/>
                <w:color w:val="auto"/>
              </w:rPr>
            </w:pPr>
            <w:r>
              <w:rPr>
                <w:rFonts w:ascii="Arial" w:cs="Arial" w:eastAsia="Arial" w:hAnsi="Arial"/>
                <w:sz w:val="14"/>
                <w:szCs w:val="14"/>
                <w:color w:val="auto"/>
              </w:rPr>
              <w:t>(7.2)</w:t>
            </w:r>
          </w:p>
        </w:tc>
        <w:tc>
          <w:tcPr>
            <w:tcW w:w="720" w:type="dxa"/>
            <w:vAlign w:val="bottom"/>
          </w:tcPr>
          <w:p>
            <w:pPr>
              <w:jc w:val="right"/>
              <w:ind w:right="471"/>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3.1</w:t>
            </w:r>
          </w:p>
        </w:tc>
        <w:tc>
          <w:tcPr>
            <w:tcW w:w="260" w:type="dxa"/>
            <w:vAlign w:val="bottom"/>
          </w:tcPr>
          <w:p>
            <w:pPr>
              <w:spacing w:after="0"/>
              <w:rPr>
                <w:sz w:val="17"/>
                <w:szCs w:val="17"/>
                <w:color w:val="auto"/>
              </w:rPr>
            </w:pPr>
          </w:p>
        </w:tc>
        <w:tc>
          <w:tcPr>
            <w:tcW w:w="400" w:type="dxa"/>
            <w:vAlign w:val="bottom"/>
          </w:tcPr>
          <w:p>
            <w:pPr>
              <w:jc w:val="right"/>
              <w:ind w:right="231"/>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31"/>
              <w:spacing w:after="0"/>
              <w:rPr>
                <w:sz w:val="20"/>
                <w:szCs w:val="20"/>
                <w:color w:val="auto"/>
              </w:rPr>
            </w:pPr>
            <w:r>
              <w:rPr>
                <w:rFonts w:ascii="Arial" w:cs="Arial" w:eastAsia="Arial" w:hAnsi="Arial"/>
                <w:sz w:val="14"/>
                <w:szCs w:val="14"/>
                <w:color w:val="auto"/>
              </w:rPr>
              <w:t>(7.9)</w:t>
            </w:r>
          </w:p>
        </w:tc>
        <w:tc>
          <w:tcPr>
            <w:tcW w:w="680" w:type="dxa"/>
            <w:vAlign w:val="bottom"/>
          </w:tcPr>
          <w:p>
            <w:pPr>
              <w:jc w:val="right"/>
              <w:ind w:right="431"/>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7.0</w:t>
            </w:r>
          </w:p>
        </w:tc>
      </w:tr>
      <w:tr>
        <w:trPr>
          <w:trHeight w:val="20"/>
        </w:trPr>
        <w:tc>
          <w:tcPr>
            <w:tcW w:w="4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19"/>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Denominator:</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186"/>
        </w:trPr>
        <w:tc>
          <w:tcPr>
            <w:tcW w:w="4900" w:type="dxa"/>
            <w:vAlign w:val="bottom"/>
          </w:tcPr>
          <w:p>
            <w:pPr>
              <w:ind w:left="20"/>
              <w:spacing w:after="0"/>
              <w:rPr>
                <w:sz w:val="20"/>
                <w:szCs w:val="20"/>
                <w:color w:val="auto"/>
              </w:rPr>
            </w:pPr>
            <w:r>
              <w:rPr>
                <w:rFonts w:ascii="Arial" w:cs="Arial" w:eastAsia="Arial" w:hAnsi="Arial"/>
                <w:sz w:val="14"/>
                <w:szCs w:val="14"/>
                <w:color w:val="auto"/>
              </w:rPr>
              <w:t>Weighted average shares of common stock outstanding, used in computing</w:t>
            </w:r>
          </w:p>
        </w:tc>
        <w:tc>
          <w:tcPr>
            <w:tcW w:w="400" w:type="dxa"/>
            <w:vAlign w:val="bottom"/>
          </w:tcPr>
          <w:p>
            <w:pPr>
              <w:spacing w:after="0"/>
              <w:rPr>
                <w:sz w:val="16"/>
                <w:szCs w:val="16"/>
                <w:color w:val="auto"/>
              </w:rPr>
            </w:pPr>
          </w:p>
        </w:tc>
        <w:tc>
          <w:tcPr>
            <w:tcW w:w="1120" w:type="dxa"/>
            <w:vAlign w:val="bottom"/>
          </w:tcPr>
          <w:p>
            <w:pPr>
              <w:jc w:val="right"/>
              <w:ind w:right="71"/>
              <w:spacing w:after="0"/>
              <w:rPr>
                <w:sz w:val="20"/>
                <w:szCs w:val="20"/>
                <w:color w:val="auto"/>
              </w:rPr>
            </w:pPr>
            <w:r>
              <w:rPr>
                <w:rFonts w:ascii="Arial" w:cs="Arial" w:eastAsia="Arial" w:hAnsi="Arial"/>
                <w:sz w:val="14"/>
                <w:szCs w:val="14"/>
                <w:color w:val="auto"/>
              </w:rPr>
              <w:t>70,783,159</w:t>
            </w:r>
          </w:p>
        </w:tc>
        <w:tc>
          <w:tcPr>
            <w:tcW w:w="7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70,878,959</w:t>
            </w: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jc w:val="right"/>
              <w:ind w:right="71"/>
              <w:spacing w:after="0"/>
              <w:rPr>
                <w:sz w:val="20"/>
                <w:szCs w:val="20"/>
                <w:color w:val="auto"/>
              </w:rPr>
            </w:pPr>
            <w:r>
              <w:rPr>
                <w:rFonts w:ascii="Arial" w:cs="Arial" w:eastAsia="Arial" w:hAnsi="Arial"/>
                <w:sz w:val="14"/>
                <w:szCs w:val="14"/>
                <w:color w:val="auto"/>
              </w:rPr>
              <w:t>70,711,213</w:t>
            </w:r>
          </w:p>
        </w:tc>
        <w:tc>
          <w:tcPr>
            <w:tcW w:w="6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70,921,488</w:t>
            </w:r>
          </w:p>
        </w:tc>
      </w:tr>
      <w:tr>
        <w:trPr>
          <w:trHeight w:val="180"/>
        </w:trPr>
        <w:tc>
          <w:tcPr>
            <w:tcW w:w="4900" w:type="dxa"/>
            <w:vAlign w:val="bottom"/>
          </w:tcPr>
          <w:p>
            <w:pPr>
              <w:ind w:left="180"/>
              <w:spacing w:after="0"/>
              <w:rPr>
                <w:sz w:val="20"/>
                <w:szCs w:val="20"/>
                <w:color w:val="auto"/>
              </w:rPr>
            </w:pPr>
            <w:r>
              <w:rPr>
                <w:rFonts w:ascii="Arial" w:cs="Arial" w:eastAsia="Arial" w:hAnsi="Arial"/>
                <w:sz w:val="14"/>
                <w:szCs w:val="14"/>
                <w:color w:val="auto"/>
              </w:rPr>
              <w:t>basic earnings per share</w:t>
            </w: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0"/>
        </w:trPr>
        <w:tc>
          <w:tcPr>
            <w:tcW w:w="4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9"/>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Effect of dilutive stock options</w:t>
            </w:r>
          </w:p>
        </w:tc>
        <w:tc>
          <w:tcPr>
            <w:tcW w:w="4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4900" w:type="dxa"/>
            <w:vAlign w:val="bottom"/>
          </w:tcPr>
          <w:p>
            <w:pPr>
              <w:ind w:left="20"/>
              <w:spacing w:after="0"/>
              <w:rPr>
                <w:sz w:val="20"/>
                <w:szCs w:val="20"/>
                <w:color w:val="auto"/>
              </w:rPr>
            </w:pPr>
            <w:r>
              <w:rPr>
                <w:rFonts w:ascii="Arial" w:cs="Arial" w:eastAsia="Arial" w:hAnsi="Arial"/>
                <w:sz w:val="14"/>
                <w:szCs w:val="14"/>
                <w:color w:val="auto"/>
              </w:rPr>
              <w:t>Effect of dilutive RSUs</w:t>
            </w:r>
          </w:p>
        </w:tc>
        <w:tc>
          <w:tcPr>
            <w:tcW w:w="400" w:type="dxa"/>
            <w:vAlign w:val="bottom"/>
          </w:tcPr>
          <w:p>
            <w:pPr>
              <w:spacing w:after="0"/>
              <w:rPr>
                <w:sz w:val="17"/>
                <w:szCs w:val="17"/>
                <w:color w:val="auto"/>
              </w:rPr>
            </w:pPr>
          </w:p>
        </w:tc>
        <w:tc>
          <w:tcPr>
            <w:tcW w:w="11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142,563</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234,004</w:t>
            </w:r>
          </w:p>
        </w:tc>
      </w:tr>
      <w:tr>
        <w:trPr>
          <w:trHeight w:val="20"/>
        </w:trPr>
        <w:tc>
          <w:tcPr>
            <w:tcW w:w="4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24"/>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Effect of dilutive PSUs</w:t>
            </w:r>
          </w:p>
        </w:tc>
        <w:tc>
          <w:tcPr>
            <w:tcW w:w="4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83,941</w:t>
            </w:r>
          </w:p>
        </w:tc>
        <w:tc>
          <w:tcPr>
            <w:tcW w:w="2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81,575</w:t>
            </w:r>
          </w:p>
        </w:tc>
      </w:tr>
      <w:tr>
        <w:trPr>
          <w:trHeight w:val="179"/>
        </w:trPr>
        <w:tc>
          <w:tcPr>
            <w:tcW w:w="49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Weighted average shares of common stock outstanding, used in computing</w:t>
            </w:r>
          </w:p>
        </w:tc>
        <w:tc>
          <w:tcPr>
            <w:tcW w:w="4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color w:val="auto"/>
              </w:rPr>
              <w:t>70,783,159</w:t>
            </w:r>
          </w:p>
        </w:tc>
        <w:tc>
          <w:tcPr>
            <w:tcW w:w="7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71,105,463</w:t>
            </w:r>
          </w:p>
        </w:tc>
        <w:tc>
          <w:tcPr>
            <w:tcW w:w="2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color w:val="auto"/>
              </w:rPr>
              <w:t>70,711,213</w:t>
            </w:r>
          </w:p>
        </w:tc>
        <w:tc>
          <w:tcPr>
            <w:tcW w:w="6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71,237,067</w:t>
            </w:r>
          </w:p>
        </w:tc>
      </w:tr>
      <w:tr>
        <w:trPr>
          <w:trHeight w:val="180"/>
        </w:trPr>
        <w:tc>
          <w:tcPr>
            <w:tcW w:w="4900" w:type="dxa"/>
            <w:vAlign w:val="bottom"/>
          </w:tcPr>
          <w:p>
            <w:pPr>
              <w:ind w:left="180"/>
              <w:spacing w:after="0"/>
              <w:rPr>
                <w:sz w:val="20"/>
                <w:szCs w:val="20"/>
                <w:color w:val="auto"/>
              </w:rPr>
            </w:pPr>
            <w:r>
              <w:rPr>
                <w:rFonts w:ascii="Arial" w:cs="Arial" w:eastAsia="Arial" w:hAnsi="Arial"/>
                <w:sz w:val="14"/>
                <w:szCs w:val="14"/>
                <w:color w:val="auto"/>
              </w:rPr>
              <w:t>diluted earnings per share</w:t>
            </w: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92"/>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Earnings per share</w:t>
            </w:r>
          </w:p>
        </w:tc>
        <w:tc>
          <w:tcPr>
            <w:tcW w:w="4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r>
      <w:tr>
        <w:trPr>
          <w:trHeight w:val="199"/>
        </w:trPr>
        <w:tc>
          <w:tcPr>
            <w:tcW w:w="4900" w:type="dxa"/>
            <w:vAlign w:val="bottom"/>
          </w:tcPr>
          <w:p>
            <w:pPr>
              <w:ind w:left="180"/>
              <w:spacing w:after="0"/>
              <w:rPr>
                <w:sz w:val="20"/>
                <w:szCs w:val="20"/>
                <w:color w:val="auto"/>
              </w:rPr>
            </w:pPr>
            <w:r>
              <w:rPr>
                <w:rFonts w:ascii="Arial" w:cs="Arial" w:eastAsia="Arial" w:hAnsi="Arial"/>
                <w:sz w:val="14"/>
                <w:szCs w:val="14"/>
                <w:color w:val="auto"/>
              </w:rPr>
              <w:t>Basic</w:t>
            </w:r>
          </w:p>
        </w:tc>
        <w:tc>
          <w:tcPr>
            <w:tcW w:w="400" w:type="dxa"/>
            <w:vAlign w:val="bottom"/>
          </w:tcPr>
          <w:p>
            <w:pPr>
              <w:jc w:val="right"/>
              <w:ind w:right="231"/>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31"/>
              <w:spacing w:after="0"/>
              <w:rPr>
                <w:sz w:val="20"/>
                <w:szCs w:val="20"/>
                <w:color w:val="auto"/>
              </w:rPr>
            </w:pPr>
            <w:r>
              <w:rPr>
                <w:rFonts w:ascii="Arial" w:cs="Arial" w:eastAsia="Arial" w:hAnsi="Arial"/>
                <w:sz w:val="14"/>
                <w:szCs w:val="14"/>
                <w:color w:val="auto"/>
              </w:rPr>
              <w:t>(0.10)</w:t>
            </w:r>
          </w:p>
        </w:tc>
        <w:tc>
          <w:tcPr>
            <w:tcW w:w="720" w:type="dxa"/>
            <w:vAlign w:val="bottom"/>
          </w:tcPr>
          <w:p>
            <w:pPr>
              <w:jc w:val="right"/>
              <w:ind w:right="471"/>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0.04</w:t>
            </w:r>
          </w:p>
        </w:tc>
        <w:tc>
          <w:tcPr>
            <w:tcW w:w="260" w:type="dxa"/>
            <w:vAlign w:val="bottom"/>
          </w:tcPr>
          <w:p>
            <w:pPr>
              <w:spacing w:after="0"/>
              <w:rPr>
                <w:sz w:val="17"/>
                <w:szCs w:val="17"/>
                <w:color w:val="auto"/>
              </w:rPr>
            </w:pPr>
          </w:p>
        </w:tc>
        <w:tc>
          <w:tcPr>
            <w:tcW w:w="400" w:type="dxa"/>
            <w:vAlign w:val="bottom"/>
          </w:tcPr>
          <w:p>
            <w:pPr>
              <w:jc w:val="right"/>
              <w:ind w:right="231"/>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31"/>
              <w:spacing w:after="0"/>
              <w:rPr>
                <w:sz w:val="20"/>
                <w:szCs w:val="20"/>
                <w:color w:val="auto"/>
              </w:rPr>
            </w:pPr>
            <w:r>
              <w:rPr>
                <w:rFonts w:ascii="Arial" w:cs="Arial" w:eastAsia="Arial" w:hAnsi="Arial"/>
                <w:sz w:val="14"/>
                <w:szCs w:val="14"/>
                <w:color w:val="auto"/>
              </w:rPr>
              <w:t>(0.11)</w:t>
            </w:r>
          </w:p>
        </w:tc>
        <w:tc>
          <w:tcPr>
            <w:tcW w:w="680" w:type="dxa"/>
            <w:vAlign w:val="bottom"/>
          </w:tcPr>
          <w:p>
            <w:pPr>
              <w:jc w:val="right"/>
              <w:ind w:right="431"/>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0.10</w:t>
            </w:r>
          </w:p>
        </w:tc>
      </w:tr>
      <w:tr>
        <w:trPr>
          <w:trHeight w:val="20"/>
        </w:trPr>
        <w:tc>
          <w:tcPr>
            <w:tcW w:w="4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9"/>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Diluted</w:t>
            </w:r>
          </w:p>
        </w:tc>
        <w:tc>
          <w:tcPr>
            <w:tcW w:w="40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(0.10)</w:t>
            </w:r>
          </w:p>
        </w:tc>
        <w:tc>
          <w:tcPr>
            <w:tcW w:w="720" w:type="dxa"/>
            <w:vAlign w:val="bottom"/>
            <w:tcBorders>
              <w:bottom w:val="single" w:sz="8" w:color="CCEEFF"/>
            </w:tcBorders>
            <w:shd w:val="clear" w:color="auto" w:fill="CCEEFF"/>
          </w:tcPr>
          <w:p>
            <w:pPr>
              <w:jc w:val="right"/>
              <w:ind w:right="471"/>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2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(0.11)</w:t>
            </w:r>
          </w:p>
        </w:tc>
        <w:tc>
          <w:tcPr>
            <w:tcW w:w="680" w:type="dxa"/>
            <w:vAlign w:val="bottom"/>
            <w:tcBorders>
              <w:bottom w:val="single" w:sz="8" w:color="CCEEFF"/>
            </w:tcBorders>
            <w:shd w:val="clear" w:color="auto" w:fill="CCEEFF"/>
          </w:tcPr>
          <w:p>
            <w:pPr>
              <w:jc w:val="right"/>
              <w:ind w:right="431"/>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0.10</w:t>
            </w:r>
          </w:p>
        </w:tc>
      </w:tr>
      <w:tr>
        <w:trPr>
          <w:trHeight w:val="20"/>
        </w:trPr>
        <w:tc>
          <w:tcPr>
            <w:tcW w:w="49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bl>
    <w:p>
      <w:pPr>
        <w:spacing w:after="0" w:line="276" w:lineRule="exact"/>
        <w:rPr>
          <w:sz w:val="20"/>
          <w:szCs w:val="20"/>
          <w:color w:val="auto"/>
        </w:rPr>
      </w:pPr>
    </w:p>
    <w:p>
      <w:pPr>
        <w:ind w:right="240" w:firstLine="619"/>
        <w:spacing w:after="0" w:line="278" w:lineRule="auto"/>
        <w:rPr>
          <w:sz w:val="20"/>
          <w:szCs w:val="20"/>
          <w:color w:val="auto"/>
        </w:rPr>
      </w:pPr>
      <w:r>
        <w:rPr>
          <w:rFonts w:ascii="Arial" w:cs="Arial" w:eastAsia="Arial" w:hAnsi="Arial"/>
          <w:sz w:val="14"/>
          <w:szCs w:val="14"/>
          <w:color w:val="auto"/>
        </w:rPr>
        <w:t>Equity awards representing shares of common stock outstanding that were excluded in the computation of diluted earnings per share because their effect would have been anti-dilutive as a result of applying the treasury stock method,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966470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83"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9"/>
          <w:szCs w:val="19"/>
          <w:b w:val="1"/>
          <w:bCs w:val="1"/>
          <w:color w:val="auto"/>
        </w:rPr>
        <w:t>MISSION PRODUCE,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900" w:type="dxa"/>
            <w:vAlign w:val="bottom"/>
          </w:tcPr>
          <w:p>
            <w:pPr>
              <w:spacing w:after="0"/>
              <w:rPr>
                <w:sz w:val="14"/>
                <w:szCs w:val="14"/>
                <w:color w:val="auto"/>
              </w:rPr>
            </w:pPr>
          </w:p>
        </w:tc>
        <w:tc>
          <w:tcPr>
            <w:tcW w:w="2280" w:type="dxa"/>
            <w:vAlign w:val="bottom"/>
          </w:tcPr>
          <w:p>
            <w:pPr>
              <w:jc w:val="right"/>
              <w:ind w:right="11"/>
              <w:spacing w:after="0"/>
              <w:rPr>
                <w:sz w:val="20"/>
                <w:szCs w:val="20"/>
                <w:color w:val="auto"/>
              </w:rPr>
            </w:pPr>
            <w:r>
              <w:rPr>
                <w:rFonts w:ascii="Arial" w:cs="Arial" w:eastAsia="Arial" w:hAnsi="Arial"/>
                <w:sz w:val="14"/>
                <w:szCs w:val="14"/>
                <w:b w:val="1"/>
                <w:bCs w:val="1"/>
                <w:color w:val="auto"/>
              </w:rPr>
              <w:t>Three Months Ended</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tcPr>
          <w:p>
            <w:pPr>
              <w:jc w:val="right"/>
              <w:ind w:right="51"/>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r>
      <w:tr>
        <w:trPr>
          <w:trHeight w:val="196"/>
        </w:trPr>
        <w:tc>
          <w:tcPr>
            <w:tcW w:w="4900" w:type="dxa"/>
            <w:vAlign w:val="bottom"/>
          </w:tcPr>
          <w:p>
            <w:pPr>
              <w:spacing w:after="0"/>
              <w:rPr>
                <w:sz w:val="17"/>
                <w:szCs w:val="17"/>
                <w:color w:val="auto"/>
              </w:rPr>
            </w:pPr>
          </w:p>
        </w:tc>
        <w:tc>
          <w:tcPr>
            <w:tcW w:w="22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April 30,</w:t>
            </w:r>
          </w:p>
        </w:tc>
        <w:tc>
          <w:tcPr>
            <w:tcW w:w="7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April 30,</w:t>
            </w:r>
          </w:p>
        </w:tc>
        <w:tc>
          <w:tcPr>
            <w:tcW w:w="800" w:type="dxa"/>
            <w:vAlign w:val="bottom"/>
            <w:tcBorders>
              <w:bottom w:val="single" w:sz="8" w:color="auto"/>
            </w:tcBorders>
          </w:tcPr>
          <w:p>
            <w:pPr>
              <w:spacing w:after="0"/>
              <w:rPr>
                <w:sz w:val="17"/>
                <w:szCs w:val="17"/>
                <w:color w:val="auto"/>
              </w:rPr>
            </w:pPr>
          </w:p>
        </w:tc>
      </w:tr>
      <w:tr>
        <w:trPr>
          <w:trHeight w:val="212"/>
        </w:trPr>
        <w:tc>
          <w:tcPr>
            <w:tcW w:w="49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right"/>
              <w:ind w:right="891"/>
              <w:spacing w:after="0"/>
              <w:rPr>
                <w:sz w:val="20"/>
                <w:szCs w:val="20"/>
                <w:color w:val="auto"/>
              </w:rPr>
            </w:pPr>
            <w:r>
              <w:rPr>
                <w:rFonts w:ascii="Arial" w:cs="Arial" w:eastAsia="Arial" w:hAnsi="Arial"/>
                <w:sz w:val="14"/>
                <w:szCs w:val="14"/>
                <w:b w:val="1"/>
                <w:bCs w:val="1"/>
                <w:color w:val="auto"/>
              </w:rPr>
              <w:t>2026</w:t>
            </w:r>
          </w:p>
        </w:tc>
        <w:tc>
          <w:tcPr>
            <w:tcW w:w="7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ind w:right="851"/>
              <w:spacing w:after="0"/>
              <w:rPr>
                <w:sz w:val="20"/>
                <w:szCs w:val="20"/>
                <w:color w:val="auto"/>
              </w:rPr>
            </w:pPr>
            <w:r>
              <w:rPr>
                <w:rFonts w:ascii="Arial" w:cs="Arial" w:eastAsia="Arial" w:hAnsi="Arial"/>
                <w:sz w:val="14"/>
                <w:szCs w:val="14"/>
                <w:b w:val="1"/>
                <w:bCs w:val="1"/>
                <w:color w:val="auto"/>
              </w:rPr>
              <w:t>2026</w:t>
            </w: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2025</w:t>
            </w:r>
          </w:p>
        </w:tc>
      </w:tr>
      <w:tr>
        <w:trPr>
          <w:trHeight w:val="199"/>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Anti-dilutive stock options</w:t>
            </w:r>
          </w:p>
        </w:tc>
        <w:tc>
          <w:tcPr>
            <w:tcW w:w="2280" w:type="dxa"/>
            <w:vAlign w:val="bottom"/>
            <w:tcBorders>
              <w:bottom w:val="single" w:sz="8" w:color="CCEEFF"/>
            </w:tcBorders>
            <w:shd w:val="clear" w:color="auto" w:fill="CCEEFF"/>
          </w:tcPr>
          <w:p>
            <w:pPr>
              <w:jc w:val="right"/>
              <w:ind w:right="831"/>
              <w:spacing w:after="0"/>
              <w:rPr>
                <w:sz w:val="20"/>
                <w:szCs w:val="20"/>
                <w:color w:val="auto"/>
              </w:rPr>
            </w:pPr>
            <w:r>
              <w:rPr>
                <w:rFonts w:ascii="Arial" w:cs="Arial" w:eastAsia="Arial" w:hAnsi="Arial"/>
                <w:sz w:val="14"/>
                <w:szCs w:val="14"/>
                <w:color w:val="auto"/>
              </w:rPr>
              <w:t>2,025,852</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2,052,182</w:t>
            </w:r>
          </w:p>
        </w:tc>
        <w:tc>
          <w:tcPr>
            <w:tcW w:w="260" w:type="dxa"/>
            <w:vAlign w:val="bottom"/>
            <w:tcBorders>
              <w:bottom w:val="single" w:sz="8" w:color="CCEEFF"/>
            </w:tcBorders>
            <w:shd w:val="clear" w:color="auto" w:fill="CCEEFF"/>
          </w:tcPr>
          <w:p>
            <w:pPr>
              <w:spacing w:after="0"/>
              <w:rPr>
                <w:sz w:val="17"/>
                <w:szCs w:val="17"/>
                <w:color w:val="auto"/>
              </w:rPr>
            </w:pPr>
          </w:p>
        </w:tc>
        <w:tc>
          <w:tcPr>
            <w:tcW w:w="2240" w:type="dxa"/>
            <w:vAlign w:val="bottom"/>
            <w:tcBorders>
              <w:bottom w:val="single" w:sz="8" w:color="CCEEFF"/>
            </w:tcBorders>
            <w:shd w:val="clear" w:color="auto" w:fill="CCEEFF"/>
          </w:tcPr>
          <w:p>
            <w:pPr>
              <w:jc w:val="right"/>
              <w:ind w:right="791"/>
              <w:spacing w:after="0"/>
              <w:rPr>
                <w:sz w:val="20"/>
                <w:szCs w:val="20"/>
                <w:color w:val="auto"/>
              </w:rPr>
            </w:pPr>
            <w:r>
              <w:rPr>
                <w:rFonts w:ascii="Arial" w:cs="Arial" w:eastAsia="Arial" w:hAnsi="Arial"/>
                <w:sz w:val="14"/>
                <w:szCs w:val="14"/>
                <w:color w:val="auto"/>
              </w:rPr>
              <w:t>2,036,418</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2,059,100</w:t>
            </w:r>
          </w:p>
        </w:tc>
      </w:tr>
      <w:tr>
        <w:trPr>
          <w:trHeight w:val="199"/>
        </w:trPr>
        <w:tc>
          <w:tcPr>
            <w:tcW w:w="4900" w:type="dxa"/>
            <w:vAlign w:val="bottom"/>
          </w:tcPr>
          <w:p>
            <w:pPr>
              <w:ind w:left="20"/>
              <w:spacing w:after="0"/>
              <w:rPr>
                <w:sz w:val="20"/>
                <w:szCs w:val="20"/>
                <w:color w:val="auto"/>
              </w:rPr>
            </w:pPr>
            <w:r>
              <w:rPr>
                <w:rFonts w:ascii="Arial" w:cs="Arial" w:eastAsia="Arial" w:hAnsi="Arial"/>
                <w:sz w:val="14"/>
                <w:szCs w:val="14"/>
                <w:color w:val="auto"/>
              </w:rPr>
              <w:t>Anti-dilutive RSUs</w:t>
            </w:r>
          </w:p>
        </w:tc>
        <w:tc>
          <w:tcPr>
            <w:tcW w:w="2280" w:type="dxa"/>
            <w:vAlign w:val="bottom"/>
          </w:tcPr>
          <w:p>
            <w:pPr>
              <w:jc w:val="right"/>
              <w:ind w:right="831"/>
              <w:spacing w:after="0"/>
              <w:rPr>
                <w:sz w:val="20"/>
                <w:szCs w:val="20"/>
                <w:color w:val="auto"/>
              </w:rPr>
            </w:pPr>
            <w:r>
              <w:rPr>
                <w:rFonts w:ascii="Arial" w:cs="Arial" w:eastAsia="Arial" w:hAnsi="Arial"/>
                <w:sz w:val="14"/>
                <w:szCs w:val="14"/>
                <w:color w:val="auto"/>
              </w:rPr>
              <w:t>527,597</w:t>
            </w:r>
          </w:p>
        </w:tc>
        <w:tc>
          <w:tcPr>
            <w:tcW w:w="760" w:type="dxa"/>
            <w:vAlign w:val="bottom"/>
          </w:tcPr>
          <w:p>
            <w:pPr>
              <w:jc w:val="right"/>
              <w:spacing w:after="0"/>
              <w:rPr>
                <w:sz w:val="20"/>
                <w:szCs w:val="20"/>
                <w:color w:val="auto"/>
              </w:rPr>
            </w:pPr>
            <w:r>
              <w:rPr>
                <w:rFonts w:ascii="Arial" w:cs="Arial" w:eastAsia="Arial" w:hAnsi="Arial"/>
                <w:sz w:val="14"/>
                <w:szCs w:val="14"/>
                <w:color w:val="auto"/>
              </w:rPr>
              <w:t>182,195</w:t>
            </w:r>
          </w:p>
        </w:tc>
        <w:tc>
          <w:tcPr>
            <w:tcW w:w="260" w:type="dxa"/>
            <w:vAlign w:val="bottom"/>
          </w:tcPr>
          <w:p>
            <w:pPr>
              <w:spacing w:after="0"/>
              <w:rPr>
                <w:sz w:val="17"/>
                <w:szCs w:val="17"/>
                <w:color w:val="auto"/>
              </w:rPr>
            </w:pPr>
          </w:p>
        </w:tc>
        <w:tc>
          <w:tcPr>
            <w:tcW w:w="2240" w:type="dxa"/>
            <w:vAlign w:val="bottom"/>
          </w:tcPr>
          <w:p>
            <w:pPr>
              <w:jc w:val="right"/>
              <w:ind w:right="791"/>
              <w:spacing w:after="0"/>
              <w:rPr>
                <w:sz w:val="20"/>
                <w:szCs w:val="20"/>
                <w:color w:val="auto"/>
              </w:rPr>
            </w:pPr>
            <w:r>
              <w:rPr>
                <w:rFonts w:ascii="Arial" w:cs="Arial" w:eastAsia="Arial" w:hAnsi="Arial"/>
                <w:sz w:val="14"/>
                <w:szCs w:val="14"/>
                <w:color w:val="auto"/>
              </w:rPr>
              <w:t>556,880</w:t>
            </w:r>
          </w:p>
        </w:tc>
        <w:tc>
          <w:tcPr>
            <w:tcW w:w="800" w:type="dxa"/>
            <w:vAlign w:val="bottom"/>
          </w:tcPr>
          <w:p>
            <w:pPr>
              <w:jc w:val="right"/>
              <w:spacing w:after="0"/>
              <w:rPr>
                <w:sz w:val="20"/>
                <w:szCs w:val="20"/>
                <w:color w:val="auto"/>
              </w:rPr>
            </w:pPr>
            <w:r>
              <w:rPr>
                <w:rFonts w:ascii="Arial" w:cs="Arial" w:eastAsia="Arial" w:hAnsi="Arial"/>
                <w:sz w:val="14"/>
                <w:szCs w:val="14"/>
                <w:color w:val="auto"/>
              </w:rPr>
              <w:t>128,973</w:t>
            </w:r>
          </w:p>
        </w:tc>
      </w:tr>
      <w:tr>
        <w:trPr>
          <w:trHeight w:val="20"/>
        </w:trPr>
        <w:tc>
          <w:tcPr>
            <w:tcW w:w="49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9"/>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Anti-dilutive PSUs</w:t>
            </w:r>
          </w:p>
        </w:tc>
        <w:tc>
          <w:tcPr>
            <w:tcW w:w="2280" w:type="dxa"/>
            <w:vAlign w:val="bottom"/>
            <w:tcBorders>
              <w:bottom w:val="single" w:sz="8" w:color="CCEEFF"/>
            </w:tcBorders>
            <w:shd w:val="clear" w:color="auto" w:fill="CCEEFF"/>
          </w:tcPr>
          <w:p>
            <w:pPr>
              <w:jc w:val="right"/>
              <w:ind w:right="831"/>
              <w:spacing w:after="0"/>
              <w:rPr>
                <w:sz w:val="20"/>
                <w:szCs w:val="20"/>
                <w:color w:val="auto"/>
              </w:rPr>
            </w:pPr>
            <w:r>
              <w:rPr>
                <w:rFonts w:ascii="Arial" w:cs="Arial" w:eastAsia="Arial" w:hAnsi="Arial"/>
                <w:sz w:val="14"/>
                <w:szCs w:val="14"/>
                <w:color w:val="auto"/>
              </w:rPr>
              <w:t>307,757</w:t>
            </w:r>
          </w:p>
        </w:tc>
        <w:tc>
          <w:tcPr>
            <w:tcW w:w="10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2240" w:type="dxa"/>
            <w:vAlign w:val="bottom"/>
            <w:tcBorders>
              <w:bottom w:val="single" w:sz="8" w:color="CCEEFF"/>
            </w:tcBorders>
            <w:shd w:val="clear" w:color="auto" w:fill="CCEEFF"/>
          </w:tcPr>
          <w:p>
            <w:pPr>
              <w:jc w:val="right"/>
              <w:ind w:right="791"/>
              <w:spacing w:after="0"/>
              <w:rPr>
                <w:sz w:val="20"/>
                <w:szCs w:val="20"/>
                <w:color w:val="auto"/>
              </w:rPr>
            </w:pPr>
            <w:r>
              <w:rPr>
                <w:rFonts w:ascii="Arial" w:cs="Arial" w:eastAsia="Arial" w:hAnsi="Arial"/>
                <w:sz w:val="14"/>
                <w:szCs w:val="14"/>
                <w:color w:val="auto"/>
              </w:rPr>
              <w:t>401,392</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4900" w:type="dxa"/>
            <w:vAlign w:val="bottom"/>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Rights Plan</w:t>
      </w:r>
    </w:p>
    <w:p>
      <w:pPr>
        <w:spacing w:after="0" w:line="213" w:lineRule="exact"/>
        <w:rPr>
          <w:sz w:val="20"/>
          <w:szCs w:val="20"/>
          <w:color w:val="auto"/>
        </w:rPr>
      </w:pPr>
    </w:p>
    <w:p>
      <w:pPr>
        <w:ind w:right="40" w:firstLine="619"/>
        <w:spacing w:after="0" w:line="269" w:lineRule="auto"/>
        <w:rPr>
          <w:sz w:val="20"/>
          <w:szCs w:val="20"/>
          <w:color w:val="auto"/>
        </w:rPr>
      </w:pPr>
      <w:r>
        <w:rPr>
          <w:rFonts w:ascii="Arial" w:cs="Arial" w:eastAsia="Arial" w:hAnsi="Arial"/>
          <w:sz w:val="13"/>
          <w:szCs w:val="13"/>
          <w:color w:val="auto"/>
        </w:rPr>
        <w:t>On January 22, 2026 our Board of Directors approved the adoption of a limited duration stockholder rights plan (the “Rights Plan”). Under the plan, one preferred stock purchase right will be distributed for each share of common stock held by stockholders of record on February 4, 2026. Under certain circumstances, each right will entitle stockholders to buy one one-hundredth of a share of newly-created Series A Junior Participating Preferred Stock of the Company at an exercise price of $63.00. The Company’s Board of Directors may redeem the rights at $0.01 per right at any time before a person or group has acquired 15% or more of the outstanding common stock. Additionally, at any time after a person or group becomes an acquiring person and before such person or group acquires 50% or more of the outstanding common stock, the Board of Directors may exchange the outstanding rights (other than those held by the acquiring person, which will be void) for shares of common stock at an exchange rate of one share of common stock per right, subject to adjustment. Subject to limited exceptions, if a person or group acquires 15% or more of the Company’s common stock (including shares that are synthetically owned pursuant to derivative transactions or ownership of derivative securities) or announces a tender offer and the consummation of that offer would result in such ownership (we refer to such a person or group as an “acquiring person”), each right will entitle its holder to purchase, at the right’s then-current exercise price, a number of shares of common stock having a market value at that time of two times the right’s exercise price. Rights held by the acquiring person will become void and will not be exercisable. If the Company is acquired in a merger or other business combination transaction that has not been approved by the Board of Directors after the rights become exercisable, each right will entitle its holder to purchase, at the right’s then-current exercise price, a number of shares of the acquiring company’s common stock having a market value at that time of two times the right’s exercise price.</w:t>
      </w:r>
    </w:p>
    <w:p>
      <w:pPr>
        <w:spacing w:after="0" w:line="168" w:lineRule="exact"/>
        <w:rPr>
          <w:sz w:val="20"/>
          <w:szCs w:val="20"/>
          <w:color w:val="auto"/>
        </w:rPr>
      </w:pPr>
    </w:p>
    <w:p>
      <w:pPr>
        <w:ind w:right="200" w:firstLine="619"/>
        <w:spacing w:after="0" w:line="278" w:lineRule="auto"/>
        <w:rPr>
          <w:sz w:val="20"/>
          <w:szCs w:val="20"/>
          <w:color w:val="auto"/>
        </w:rPr>
      </w:pPr>
      <w:r>
        <w:rPr>
          <w:rFonts w:ascii="Arial" w:cs="Arial" w:eastAsia="Arial" w:hAnsi="Arial"/>
          <w:sz w:val="14"/>
          <w:szCs w:val="14"/>
          <w:color w:val="auto"/>
        </w:rPr>
        <w:t>The Rights Plan is effective January 21, 2026 and has a one-year duration, expiring on January 21, 2027, subject to the Company’s right to extend such date, unless earlier redeemed or exchanged by the Company or terminated.</w:t>
      </w:r>
    </w:p>
    <w:p>
      <w:pPr>
        <w:spacing w:after="0" w:line="209" w:lineRule="exact"/>
        <w:rPr>
          <w:sz w:val="20"/>
          <w:szCs w:val="20"/>
          <w:color w:val="auto"/>
        </w:rPr>
      </w:pPr>
    </w:p>
    <w:p>
      <w:pPr>
        <w:ind w:left="480" w:hanging="477"/>
        <w:spacing w:after="0"/>
        <w:tabs>
          <w:tab w:leader="none" w:pos="48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Related Party Transactions</w:t>
      </w:r>
    </w:p>
    <w:p>
      <w:pPr>
        <w:spacing w:after="0" w:line="228" w:lineRule="exact"/>
        <w:rPr>
          <w:sz w:val="20"/>
          <w:szCs w:val="20"/>
          <w:color w:val="auto"/>
        </w:rPr>
      </w:pPr>
    </w:p>
    <w:p>
      <w:pPr>
        <w:ind w:left="620"/>
        <w:spacing w:after="0"/>
        <w:rPr>
          <w:sz w:val="20"/>
          <w:szCs w:val="20"/>
          <w:color w:val="auto"/>
        </w:rPr>
      </w:pPr>
      <w:r>
        <w:rPr>
          <w:rFonts w:ascii="Arial" w:cs="Arial" w:eastAsia="Arial" w:hAnsi="Arial"/>
          <w:sz w:val="14"/>
          <w:szCs w:val="14"/>
          <w:color w:val="auto"/>
        </w:rPr>
        <w:t>Transactions with related parties included in the condensed consolidated financial statements were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520" w:type="dxa"/>
            <w:vAlign w:val="bottom"/>
            <w:gridSpan w:val="5"/>
          </w:tcPr>
          <w:p>
            <w:pPr>
              <w:jc w:val="right"/>
              <w:spacing w:after="0"/>
              <w:rPr>
                <w:sz w:val="20"/>
                <w:szCs w:val="20"/>
                <w:color w:val="auto"/>
              </w:rPr>
            </w:pPr>
            <w:r>
              <w:rPr>
                <w:rFonts w:ascii="Arial" w:cs="Arial" w:eastAsia="Arial" w:hAnsi="Arial"/>
                <w:sz w:val="12"/>
                <w:szCs w:val="12"/>
                <w:b w:val="1"/>
                <w:bCs w:val="1"/>
                <w:color w:val="auto"/>
              </w:rPr>
              <w:t>Condensed Consolidated Balance Sheets</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0"/>
        </w:trPr>
        <w:tc>
          <w:tcPr>
            <w:tcW w:w="1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66"/>
        </w:trPr>
        <w:tc>
          <w:tcPr>
            <w:tcW w:w="1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April 30, 2026</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spacing w:after="0"/>
              <w:rPr>
                <w:sz w:val="20"/>
                <w:szCs w:val="20"/>
                <w:color w:val="auto"/>
              </w:rPr>
            </w:pPr>
            <w:r>
              <w:rPr>
                <w:rFonts w:ascii="Arial" w:cs="Arial" w:eastAsia="Arial" w:hAnsi="Arial"/>
                <w:sz w:val="12"/>
                <w:szCs w:val="12"/>
                <w:b w:val="1"/>
                <w:bCs w:val="1"/>
                <w:color w:val="auto"/>
              </w:rPr>
              <w:t>October 31, 2025</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0"/>
        </w:trPr>
        <w:tc>
          <w:tcPr>
            <w:tcW w:w="1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43"/>
        </w:trPr>
        <w:tc>
          <w:tcPr>
            <w:tcW w:w="1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ind w:right="40"/>
              <w:spacing w:after="0"/>
              <w:rPr>
                <w:sz w:val="20"/>
                <w:szCs w:val="20"/>
                <w:color w:val="auto"/>
              </w:rPr>
            </w:pPr>
            <w:r>
              <w:rPr>
                <w:rFonts w:ascii="Arial" w:cs="Arial" w:eastAsia="Arial" w:hAnsi="Arial"/>
                <w:sz w:val="12"/>
                <w:szCs w:val="12"/>
                <w:color w:val="auto"/>
              </w:rPr>
              <w:t>Property, plant</w:t>
            </w:r>
          </w:p>
        </w:tc>
        <w:tc>
          <w:tcPr>
            <w:tcW w:w="1140" w:type="dxa"/>
            <w:vAlign w:val="bottom"/>
            <w:gridSpan w:val="2"/>
          </w:tcPr>
          <w:p>
            <w:pPr>
              <w:jc w:val="right"/>
              <w:ind w:right="20"/>
              <w:spacing w:after="0"/>
              <w:rPr>
                <w:sz w:val="20"/>
                <w:szCs w:val="20"/>
                <w:color w:val="auto"/>
              </w:rPr>
            </w:pPr>
            <w:r>
              <w:rPr>
                <w:rFonts w:ascii="Arial" w:cs="Arial" w:eastAsia="Arial" w:hAnsi="Arial"/>
                <w:sz w:val="12"/>
                <w:szCs w:val="12"/>
                <w:color w:val="auto"/>
              </w:rPr>
              <w:t>Accounts payable</w:t>
            </w: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ind w:right="40"/>
              <w:spacing w:after="0"/>
              <w:rPr>
                <w:sz w:val="20"/>
                <w:szCs w:val="20"/>
                <w:color w:val="auto"/>
              </w:rPr>
            </w:pPr>
            <w:r>
              <w:rPr>
                <w:rFonts w:ascii="Arial" w:cs="Arial" w:eastAsia="Arial" w:hAnsi="Arial"/>
                <w:sz w:val="12"/>
                <w:szCs w:val="12"/>
                <w:color w:val="auto"/>
              </w:rPr>
              <w:t>Property, plant</w:t>
            </w:r>
          </w:p>
        </w:tc>
        <w:tc>
          <w:tcPr>
            <w:tcW w:w="1160" w:type="dxa"/>
            <w:vAlign w:val="bottom"/>
            <w:gridSpan w:val="2"/>
          </w:tcPr>
          <w:p>
            <w:pPr>
              <w:jc w:val="right"/>
              <w:ind w:right="20"/>
              <w:spacing w:after="0"/>
              <w:rPr>
                <w:sz w:val="20"/>
                <w:szCs w:val="20"/>
                <w:color w:val="auto"/>
              </w:rPr>
            </w:pPr>
            <w:r>
              <w:rPr>
                <w:rFonts w:ascii="Arial" w:cs="Arial" w:eastAsia="Arial" w:hAnsi="Arial"/>
                <w:sz w:val="12"/>
                <w:szCs w:val="12"/>
                <w:color w:val="auto"/>
              </w:rPr>
              <w:t>Accounts payable</w:t>
            </w: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2"/>
        </w:trPr>
        <w:tc>
          <w:tcPr>
            <w:tcW w:w="1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ind w:right="20"/>
              <w:spacing w:after="0"/>
              <w:rPr>
                <w:sz w:val="20"/>
                <w:szCs w:val="20"/>
                <w:color w:val="auto"/>
              </w:rPr>
            </w:pPr>
            <w:r>
              <w:rPr>
                <w:rFonts w:ascii="Arial" w:cs="Arial" w:eastAsia="Arial" w:hAnsi="Arial"/>
                <w:sz w:val="12"/>
                <w:szCs w:val="12"/>
                <w:color w:val="auto"/>
              </w:rPr>
              <w:t>Accounts</w:t>
            </w:r>
          </w:p>
        </w:tc>
        <w:tc>
          <w:tcPr>
            <w:tcW w:w="220" w:type="dxa"/>
            <w:vAlign w:val="bottom"/>
          </w:tcPr>
          <w:p>
            <w:pPr>
              <w:spacing w:after="0"/>
              <w:rPr>
                <w:sz w:val="12"/>
                <w:szCs w:val="12"/>
                <w:color w:val="auto"/>
              </w:rPr>
            </w:pPr>
          </w:p>
        </w:tc>
        <w:tc>
          <w:tcPr>
            <w:tcW w:w="960" w:type="dxa"/>
            <w:vAlign w:val="bottom"/>
          </w:tcPr>
          <w:p>
            <w:pPr>
              <w:jc w:val="right"/>
              <w:ind w:right="40"/>
              <w:spacing w:after="0"/>
              <w:rPr>
                <w:sz w:val="20"/>
                <w:szCs w:val="20"/>
                <w:color w:val="auto"/>
              </w:rPr>
            </w:pPr>
            <w:r>
              <w:rPr>
                <w:rFonts w:ascii="Arial" w:cs="Arial" w:eastAsia="Arial" w:hAnsi="Arial"/>
                <w:sz w:val="12"/>
                <w:szCs w:val="12"/>
                <w:color w:val="auto"/>
              </w:rPr>
              <w:t>and equipment,</w:t>
            </w:r>
          </w:p>
        </w:tc>
        <w:tc>
          <w:tcPr>
            <w:tcW w:w="460" w:type="dxa"/>
            <w:vAlign w:val="bottom"/>
          </w:tcPr>
          <w:p>
            <w:pPr>
              <w:spacing w:after="0"/>
              <w:rPr>
                <w:sz w:val="12"/>
                <w:szCs w:val="12"/>
                <w:color w:val="auto"/>
              </w:rPr>
            </w:pPr>
          </w:p>
        </w:tc>
        <w:tc>
          <w:tcPr>
            <w:tcW w:w="680" w:type="dxa"/>
            <w:vAlign w:val="bottom"/>
          </w:tcPr>
          <w:p>
            <w:pPr>
              <w:jc w:val="right"/>
              <w:ind w:right="20"/>
              <w:spacing w:after="0"/>
              <w:rPr>
                <w:sz w:val="20"/>
                <w:szCs w:val="20"/>
                <w:color w:val="auto"/>
              </w:rPr>
            </w:pPr>
            <w:r>
              <w:rPr>
                <w:rFonts w:ascii="Arial" w:cs="Arial" w:eastAsia="Arial" w:hAnsi="Arial"/>
                <w:sz w:val="12"/>
                <w:szCs w:val="12"/>
                <w:color w:val="auto"/>
              </w:rPr>
              <w:t>&amp; accrued</w:t>
            </w:r>
          </w:p>
        </w:tc>
        <w:tc>
          <w:tcPr>
            <w:tcW w:w="260" w:type="dxa"/>
            <w:vAlign w:val="bottom"/>
          </w:tcPr>
          <w:p>
            <w:pPr>
              <w:spacing w:after="0"/>
              <w:rPr>
                <w:sz w:val="12"/>
                <w:szCs w:val="12"/>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2"/>
                <w:szCs w:val="12"/>
                <w:color w:val="auto"/>
              </w:rPr>
              <w:t>Finance lease</w:t>
            </w:r>
          </w:p>
        </w:tc>
        <w:tc>
          <w:tcPr>
            <w:tcW w:w="280" w:type="dxa"/>
            <w:vAlign w:val="bottom"/>
          </w:tcPr>
          <w:p>
            <w:pPr>
              <w:spacing w:after="0"/>
              <w:rPr>
                <w:sz w:val="12"/>
                <w:szCs w:val="12"/>
                <w:color w:val="auto"/>
              </w:rPr>
            </w:pPr>
          </w:p>
        </w:tc>
        <w:tc>
          <w:tcPr>
            <w:tcW w:w="860" w:type="dxa"/>
            <w:vAlign w:val="bottom"/>
          </w:tcPr>
          <w:p>
            <w:pPr>
              <w:jc w:val="right"/>
              <w:ind w:right="80"/>
              <w:spacing w:after="0"/>
              <w:rPr>
                <w:sz w:val="20"/>
                <w:szCs w:val="20"/>
                <w:color w:val="auto"/>
              </w:rPr>
            </w:pPr>
            <w:r>
              <w:rPr>
                <w:rFonts w:ascii="Arial" w:cs="Arial" w:eastAsia="Arial" w:hAnsi="Arial"/>
                <w:sz w:val="12"/>
                <w:szCs w:val="12"/>
                <w:color w:val="auto"/>
              </w:rPr>
              <w:t>Accounts</w:t>
            </w:r>
          </w:p>
        </w:tc>
        <w:tc>
          <w:tcPr>
            <w:tcW w:w="160" w:type="dxa"/>
            <w:vAlign w:val="bottom"/>
          </w:tcPr>
          <w:p>
            <w:pPr>
              <w:spacing w:after="0"/>
              <w:rPr>
                <w:sz w:val="12"/>
                <w:szCs w:val="12"/>
                <w:color w:val="auto"/>
              </w:rPr>
            </w:pPr>
          </w:p>
        </w:tc>
        <w:tc>
          <w:tcPr>
            <w:tcW w:w="980" w:type="dxa"/>
            <w:vAlign w:val="bottom"/>
          </w:tcPr>
          <w:p>
            <w:pPr>
              <w:jc w:val="right"/>
              <w:ind w:right="40"/>
              <w:spacing w:after="0"/>
              <w:rPr>
                <w:sz w:val="20"/>
                <w:szCs w:val="20"/>
                <w:color w:val="auto"/>
              </w:rPr>
            </w:pPr>
            <w:r>
              <w:rPr>
                <w:rFonts w:ascii="Arial" w:cs="Arial" w:eastAsia="Arial" w:hAnsi="Arial"/>
                <w:sz w:val="12"/>
                <w:szCs w:val="12"/>
                <w:color w:val="auto"/>
              </w:rPr>
              <w:t>and equipment,</w:t>
            </w:r>
          </w:p>
        </w:tc>
        <w:tc>
          <w:tcPr>
            <w:tcW w:w="500" w:type="dxa"/>
            <w:vAlign w:val="bottom"/>
          </w:tcPr>
          <w:p>
            <w:pPr>
              <w:spacing w:after="0"/>
              <w:rPr>
                <w:sz w:val="12"/>
                <w:szCs w:val="12"/>
                <w:color w:val="auto"/>
              </w:rPr>
            </w:pPr>
          </w:p>
        </w:tc>
        <w:tc>
          <w:tcPr>
            <w:tcW w:w="660" w:type="dxa"/>
            <w:vAlign w:val="bottom"/>
          </w:tcPr>
          <w:p>
            <w:pPr>
              <w:jc w:val="right"/>
              <w:ind w:right="20"/>
              <w:spacing w:after="0"/>
              <w:rPr>
                <w:sz w:val="20"/>
                <w:szCs w:val="20"/>
                <w:color w:val="auto"/>
              </w:rPr>
            </w:pPr>
            <w:r>
              <w:rPr>
                <w:rFonts w:ascii="Arial" w:cs="Arial" w:eastAsia="Arial" w:hAnsi="Arial"/>
                <w:sz w:val="12"/>
                <w:szCs w:val="12"/>
                <w:color w:val="auto"/>
              </w:rPr>
              <w:t>&amp; accrued</w:t>
            </w: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Finance lease</w:t>
            </w:r>
          </w:p>
        </w:tc>
      </w:tr>
      <w:tr>
        <w:trPr>
          <w:trHeight w:val="172"/>
        </w:trPr>
        <w:tc>
          <w:tcPr>
            <w:tcW w:w="1920" w:type="dxa"/>
            <w:vAlign w:val="bottom"/>
          </w:tcPr>
          <w:p>
            <w:pPr>
              <w:ind w:left="20"/>
              <w:spacing w:after="0"/>
              <w:rPr>
                <w:sz w:val="20"/>
                <w:szCs w:val="20"/>
                <w:color w:val="auto"/>
              </w:rPr>
            </w:pPr>
            <w:r>
              <w:rPr>
                <w:rFonts w:ascii="Arial" w:cs="Arial" w:eastAsia="Arial" w:hAnsi="Arial"/>
                <w:sz w:val="12"/>
                <w:szCs w:val="12"/>
                <w:color w:val="auto"/>
              </w:rPr>
              <w:t>(In millions)</w:t>
            </w:r>
          </w:p>
        </w:tc>
        <w:tc>
          <w:tcPr>
            <w:tcW w:w="260" w:type="dxa"/>
            <w:vAlign w:val="bottom"/>
          </w:tcPr>
          <w:p>
            <w:pPr>
              <w:spacing w:after="0"/>
              <w:rPr>
                <w:sz w:val="14"/>
                <w:szCs w:val="14"/>
                <w:color w:val="auto"/>
              </w:rPr>
            </w:pPr>
          </w:p>
        </w:tc>
        <w:tc>
          <w:tcPr>
            <w:tcW w:w="820" w:type="dxa"/>
            <w:vAlign w:val="bottom"/>
          </w:tcPr>
          <w:p>
            <w:pPr>
              <w:jc w:val="right"/>
              <w:ind w:right="20"/>
              <w:spacing w:after="0"/>
              <w:rPr>
                <w:sz w:val="20"/>
                <w:szCs w:val="20"/>
                <w:color w:val="auto"/>
              </w:rPr>
            </w:pPr>
            <w:r>
              <w:rPr>
                <w:rFonts w:ascii="Arial" w:cs="Arial" w:eastAsia="Arial" w:hAnsi="Arial"/>
                <w:sz w:val="12"/>
                <w:szCs w:val="12"/>
                <w:color w:val="auto"/>
              </w:rPr>
              <w:t>receivable</w:t>
            </w:r>
          </w:p>
        </w:tc>
        <w:tc>
          <w:tcPr>
            <w:tcW w:w="220" w:type="dxa"/>
            <w:vAlign w:val="bottom"/>
          </w:tcPr>
          <w:p>
            <w:pPr>
              <w:spacing w:after="0"/>
              <w:rPr>
                <w:sz w:val="14"/>
                <w:szCs w:val="14"/>
                <w:color w:val="auto"/>
              </w:rPr>
            </w:pPr>
          </w:p>
        </w:tc>
        <w:tc>
          <w:tcPr>
            <w:tcW w:w="960" w:type="dxa"/>
            <w:vAlign w:val="bottom"/>
          </w:tcPr>
          <w:p>
            <w:pPr>
              <w:jc w:val="right"/>
              <w:ind w:right="40"/>
              <w:spacing w:after="0"/>
              <w:rPr>
                <w:sz w:val="20"/>
                <w:szCs w:val="20"/>
                <w:color w:val="auto"/>
              </w:rPr>
            </w:pPr>
            <w:r>
              <w:rPr>
                <w:rFonts w:ascii="Arial" w:cs="Arial" w:eastAsia="Arial" w:hAnsi="Arial"/>
                <w:sz w:val="12"/>
                <w:szCs w:val="12"/>
                <w:color w:val="auto"/>
              </w:rPr>
              <w:t>net</w:t>
            </w:r>
          </w:p>
        </w:tc>
        <w:tc>
          <w:tcPr>
            <w:tcW w:w="460" w:type="dxa"/>
            <w:vAlign w:val="bottom"/>
          </w:tcPr>
          <w:p>
            <w:pPr>
              <w:spacing w:after="0"/>
              <w:rPr>
                <w:sz w:val="14"/>
                <w:szCs w:val="14"/>
                <w:color w:val="auto"/>
              </w:rPr>
            </w:pPr>
          </w:p>
        </w:tc>
        <w:tc>
          <w:tcPr>
            <w:tcW w:w="680" w:type="dxa"/>
            <w:vAlign w:val="bottom"/>
          </w:tcPr>
          <w:p>
            <w:pPr>
              <w:jc w:val="right"/>
              <w:ind w:right="20"/>
              <w:spacing w:after="0"/>
              <w:rPr>
                <w:sz w:val="20"/>
                <w:szCs w:val="20"/>
                <w:color w:val="auto"/>
              </w:rPr>
            </w:pPr>
            <w:r>
              <w:rPr>
                <w:rFonts w:ascii="Arial" w:cs="Arial" w:eastAsia="Arial" w:hAnsi="Arial"/>
                <w:sz w:val="12"/>
                <w:szCs w:val="12"/>
                <w:color w:val="auto"/>
              </w:rPr>
              <w:t>expenses</w:t>
            </w:r>
          </w:p>
        </w:tc>
        <w:tc>
          <w:tcPr>
            <w:tcW w:w="260" w:type="dxa"/>
            <w:vAlign w:val="bottom"/>
          </w:tcPr>
          <w:p>
            <w:pPr>
              <w:spacing w:after="0"/>
              <w:rPr>
                <w:sz w:val="14"/>
                <w:szCs w:val="1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2"/>
                <w:szCs w:val="12"/>
                <w:color w:val="auto"/>
              </w:rPr>
              <w:t>liabilities</w:t>
            </w:r>
          </w:p>
        </w:tc>
        <w:tc>
          <w:tcPr>
            <w:tcW w:w="280" w:type="dxa"/>
            <w:vAlign w:val="bottom"/>
          </w:tcPr>
          <w:p>
            <w:pPr>
              <w:spacing w:after="0"/>
              <w:rPr>
                <w:sz w:val="14"/>
                <w:szCs w:val="14"/>
                <w:color w:val="auto"/>
              </w:rPr>
            </w:pPr>
          </w:p>
        </w:tc>
        <w:tc>
          <w:tcPr>
            <w:tcW w:w="860" w:type="dxa"/>
            <w:vAlign w:val="bottom"/>
          </w:tcPr>
          <w:p>
            <w:pPr>
              <w:jc w:val="right"/>
              <w:ind w:right="80"/>
              <w:spacing w:after="0"/>
              <w:rPr>
                <w:sz w:val="20"/>
                <w:szCs w:val="20"/>
                <w:color w:val="auto"/>
              </w:rPr>
            </w:pPr>
            <w:r>
              <w:rPr>
                <w:rFonts w:ascii="Arial" w:cs="Arial" w:eastAsia="Arial" w:hAnsi="Arial"/>
                <w:sz w:val="12"/>
                <w:szCs w:val="12"/>
                <w:color w:val="auto"/>
              </w:rPr>
              <w:t>receivable</w:t>
            </w:r>
          </w:p>
        </w:tc>
        <w:tc>
          <w:tcPr>
            <w:tcW w:w="160" w:type="dxa"/>
            <w:vAlign w:val="bottom"/>
          </w:tcPr>
          <w:p>
            <w:pPr>
              <w:spacing w:after="0"/>
              <w:rPr>
                <w:sz w:val="14"/>
                <w:szCs w:val="14"/>
                <w:color w:val="auto"/>
              </w:rPr>
            </w:pPr>
          </w:p>
        </w:tc>
        <w:tc>
          <w:tcPr>
            <w:tcW w:w="980" w:type="dxa"/>
            <w:vAlign w:val="bottom"/>
          </w:tcPr>
          <w:p>
            <w:pPr>
              <w:jc w:val="right"/>
              <w:ind w:right="40"/>
              <w:spacing w:after="0"/>
              <w:rPr>
                <w:sz w:val="20"/>
                <w:szCs w:val="20"/>
                <w:color w:val="auto"/>
              </w:rPr>
            </w:pPr>
            <w:r>
              <w:rPr>
                <w:rFonts w:ascii="Arial" w:cs="Arial" w:eastAsia="Arial" w:hAnsi="Arial"/>
                <w:sz w:val="12"/>
                <w:szCs w:val="12"/>
                <w:color w:val="auto"/>
              </w:rPr>
              <w:t>net</w:t>
            </w:r>
          </w:p>
        </w:tc>
        <w:tc>
          <w:tcPr>
            <w:tcW w:w="500" w:type="dxa"/>
            <w:vAlign w:val="bottom"/>
          </w:tcPr>
          <w:p>
            <w:pPr>
              <w:spacing w:after="0"/>
              <w:rPr>
                <w:sz w:val="14"/>
                <w:szCs w:val="14"/>
                <w:color w:val="auto"/>
              </w:rPr>
            </w:pPr>
          </w:p>
        </w:tc>
        <w:tc>
          <w:tcPr>
            <w:tcW w:w="660" w:type="dxa"/>
            <w:vAlign w:val="bottom"/>
          </w:tcPr>
          <w:p>
            <w:pPr>
              <w:jc w:val="right"/>
              <w:ind w:right="20"/>
              <w:spacing w:after="0"/>
              <w:rPr>
                <w:sz w:val="20"/>
                <w:szCs w:val="20"/>
                <w:color w:val="auto"/>
              </w:rPr>
            </w:pPr>
            <w:r>
              <w:rPr>
                <w:rFonts w:ascii="Arial" w:cs="Arial" w:eastAsia="Arial" w:hAnsi="Arial"/>
                <w:sz w:val="12"/>
                <w:szCs w:val="12"/>
                <w:color w:val="auto"/>
              </w:rPr>
              <w:t>expenses</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liabilities</w:t>
            </w:r>
          </w:p>
        </w:tc>
      </w:tr>
      <w:tr>
        <w:trPr>
          <w:trHeight w:val="26"/>
        </w:trPr>
        <w:tc>
          <w:tcPr>
            <w:tcW w:w="1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66"/>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Equity method investees:</w:t>
            </w:r>
          </w:p>
        </w:tc>
        <w:tc>
          <w:tcPr>
            <w:tcW w:w="2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r>
      <w:tr>
        <w:trPr>
          <w:trHeight w:val="167"/>
        </w:trPr>
        <w:tc>
          <w:tcPr>
            <w:tcW w:w="1920" w:type="dxa"/>
            <w:vAlign w:val="bottom"/>
          </w:tcPr>
          <w:p>
            <w:pPr>
              <w:ind w:left="120"/>
              <w:spacing w:after="0"/>
              <w:rPr>
                <w:sz w:val="20"/>
                <w:szCs w:val="20"/>
                <w:color w:val="auto"/>
              </w:rPr>
            </w:pPr>
            <w:r>
              <w:rPr>
                <w:rFonts w:ascii="Arial" w:cs="Arial" w:eastAsia="Arial" w:hAnsi="Arial"/>
                <w:sz w:val="12"/>
                <w:szCs w:val="12"/>
                <w:color w:val="auto"/>
              </w:rPr>
              <w:t>Henry Avocado</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46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28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500" w:type="dxa"/>
            <w:vAlign w:val="bottom"/>
          </w:tcPr>
          <w:p>
            <w:pPr>
              <w:jc w:val="right"/>
              <w:ind w:right="280"/>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60"/>
              <w:spacing w:after="0"/>
              <w:rPr>
                <w:sz w:val="20"/>
                <w:szCs w:val="20"/>
                <w:color w:val="auto"/>
              </w:rPr>
            </w:pPr>
            <w:r>
              <w:rPr>
                <w:rFonts w:ascii="Arial" w:cs="Arial" w:eastAsia="Arial" w:hAnsi="Arial"/>
                <w:sz w:val="12"/>
                <w:szCs w:val="12"/>
                <w:color w:val="auto"/>
              </w:rPr>
              <w:t>0.1</w:t>
            </w:r>
          </w:p>
        </w:tc>
        <w:tc>
          <w:tcPr>
            <w:tcW w:w="2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6"/>
        </w:trPr>
        <w:tc>
          <w:tcPr>
            <w:tcW w:w="1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73"/>
        </w:trPr>
        <w:tc>
          <w:tcPr>
            <w:tcW w:w="1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Mr. Avocado</w:t>
            </w:r>
          </w:p>
        </w:tc>
        <w:tc>
          <w:tcPr>
            <w:tcW w:w="2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2"/>
                <w:szCs w:val="12"/>
                <w:color w:val="auto"/>
              </w:rPr>
              <w:t>0.4</w:t>
            </w:r>
          </w:p>
        </w:tc>
        <w:tc>
          <w:tcPr>
            <w:tcW w:w="1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73"/>
        </w:trPr>
        <w:tc>
          <w:tcPr>
            <w:tcW w:w="1920" w:type="dxa"/>
            <w:vAlign w:val="bottom"/>
          </w:tcPr>
          <w:p>
            <w:pPr>
              <w:ind w:left="20"/>
              <w:spacing w:after="0"/>
              <w:rPr>
                <w:sz w:val="20"/>
                <w:szCs w:val="20"/>
                <w:color w:val="auto"/>
              </w:rPr>
            </w:pPr>
            <w:r>
              <w:rPr>
                <w:rFonts w:ascii="Arial" w:cs="Arial" w:eastAsia="Arial" w:hAnsi="Arial"/>
                <w:sz w:val="12"/>
                <w:szCs w:val="12"/>
                <w:b w:val="1"/>
                <w:bCs w:val="1"/>
                <w:color w:val="auto"/>
              </w:rPr>
              <w:t>Other:</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0"/>
        </w:trPr>
        <w:tc>
          <w:tcPr>
            <w:tcW w:w="1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3"/>
        </w:trPr>
        <w:tc>
          <w:tcPr>
            <w:tcW w:w="1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Directors/Officers</w:t>
            </w:r>
            <w:r>
              <w:rPr>
                <w:rFonts w:ascii="Arial" w:cs="Arial" w:eastAsia="Arial" w:hAnsi="Arial"/>
                <w:sz w:val="15"/>
                <w:szCs w:val="15"/>
                <w:color w:val="auto"/>
                <w:vertAlign w:val="superscript"/>
              </w:rPr>
              <w:t>(1)</w:t>
            </w: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0.3</w:t>
            </w: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18.7</w:t>
            </w:r>
          </w:p>
        </w:tc>
        <w:tc>
          <w:tcPr>
            <w:tcW w:w="4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0.4</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20.8</w:t>
            </w: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0.1</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19.2</w:t>
            </w:r>
          </w:p>
        </w:tc>
        <w:tc>
          <w:tcPr>
            <w:tcW w:w="5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21.8</w:t>
            </w:r>
          </w:p>
        </w:tc>
      </w:tr>
      <w:tr>
        <w:trPr>
          <w:trHeight w:val="193"/>
        </w:trPr>
        <w:tc>
          <w:tcPr>
            <w:tcW w:w="192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Employees</w:t>
            </w:r>
            <w:r>
              <w:rPr>
                <w:rFonts w:ascii="Arial" w:cs="Arial" w:eastAsia="Arial" w:hAnsi="Arial"/>
                <w:sz w:val="15"/>
                <w:szCs w:val="15"/>
                <w:color w:val="auto"/>
                <w:vertAlign w:val="superscript"/>
              </w:rPr>
              <w:t>(2)</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0.8</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1.0</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507"/>
        </w:trPr>
        <w:tc>
          <w:tcPr>
            <w:tcW w:w="1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83"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9"/>
          <w:szCs w:val="19"/>
          <w:b w:val="1"/>
          <w:bCs w:val="1"/>
          <w:color w:val="auto"/>
        </w:rPr>
        <w:t>MISSION PRODUCE,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160" w:type="dxa"/>
            <w:vAlign w:val="bottom"/>
            <w:gridSpan w:val="6"/>
          </w:tcPr>
          <w:p>
            <w:pPr>
              <w:jc w:val="right"/>
              <w:spacing w:after="0"/>
              <w:rPr>
                <w:sz w:val="20"/>
                <w:szCs w:val="20"/>
                <w:color w:val="auto"/>
              </w:rPr>
            </w:pPr>
            <w:r>
              <w:rPr>
                <w:rFonts w:ascii="Arial" w:cs="Arial" w:eastAsia="Arial" w:hAnsi="Arial"/>
                <w:sz w:val="12"/>
                <w:szCs w:val="12"/>
                <w:b w:val="1"/>
                <w:bCs w:val="1"/>
                <w:color w:val="auto"/>
                <w:w w:val="99"/>
              </w:rPr>
              <w:t>Condensed Consolidated Statements of (Loss) Income</w:t>
            </w: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0"/>
        </w:trPr>
        <w:tc>
          <w:tcPr>
            <w:tcW w:w="29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66"/>
        </w:trPr>
        <w:tc>
          <w:tcPr>
            <w:tcW w:w="2920" w:type="dxa"/>
            <w:vAlign w:val="bottom"/>
          </w:tcPr>
          <w:p>
            <w:pPr>
              <w:ind w:left="20"/>
              <w:spacing w:after="0"/>
              <w:rPr>
                <w:sz w:val="20"/>
                <w:szCs w:val="20"/>
                <w:color w:val="auto"/>
              </w:rPr>
            </w:pPr>
            <w:r>
              <w:rPr>
                <w:rFonts w:ascii="Arial" w:cs="Arial" w:eastAsia="Arial" w:hAnsi="Arial"/>
                <w:sz w:val="12"/>
                <w:szCs w:val="12"/>
                <w:color w:val="auto"/>
              </w:rPr>
              <w:t>(In millions)</w:t>
            </w:r>
          </w:p>
        </w:tc>
        <w:tc>
          <w:tcPr>
            <w:tcW w:w="4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Net sales</w:t>
            </w:r>
          </w:p>
        </w:tc>
        <w:tc>
          <w:tcPr>
            <w:tcW w:w="240" w:type="dxa"/>
            <w:vAlign w:val="bottom"/>
          </w:tcPr>
          <w:p>
            <w:pPr>
              <w:spacing w:after="0"/>
              <w:rPr>
                <w:sz w:val="14"/>
                <w:szCs w:val="1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Cost of sales</w:t>
            </w:r>
          </w:p>
        </w:tc>
        <w:tc>
          <w:tcPr>
            <w:tcW w:w="1340" w:type="dxa"/>
            <w:vAlign w:val="bottom"/>
            <w:gridSpan w:val="2"/>
          </w:tcPr>
          <w:p>
            <w:pPr>
              <w:ind w:left="80"/>
              <w:spacing w:after="0"/>
              <w:rPr>
                <w:sz w:val="20"/>
                <w:szCs w:val="20"/>
                <w:color w:val="auto"/>
              </w:rPr>
            </w:pPr>
            <w:r>
              <w:rPr>
                <w:rFonts w:ascii="Arial" w:cs="Arial" w:eastAsia="Arial" w:hAnsi="Arial"/>
                <w:sz w:val="12"/>
                <w:szCs w:val="12"/>
                <w:b w:val="1"/>
                <w:bCs w:val="1"/>
                <w:color w:val="auto"/>
              </w:rPr>
              <w:t>Interest expense</w:t>
            </w:r>
          </w:p>
        </w:tc>
        <w:tc>
          <w:tcPr>
            <w:tcW w:w="400" w:type="dxa"/>
            <w:vAlign w:val="bottom"/>
          </w:tcPr>
          <w:p>
            <w:pPr>
              <w:spacing w:after="0"/>
              <w:rPr>
                <w:sz w:val="14"/>
                <w:szCs w:val="14"/>
                <w:color w:val="auto"/>
              </w:rPr>
            </w:pPr>
          </w:p>
        </w:tc>
        <w:tc>
          <w:tcPr>
            <w:tcW w:w="940" w:type="dxa"/>
            <w:vAlign w:val="bottom"/>
          </w:tcPr>
          <w:p>
            <w:pPr>
              <w:jc w:val="right"/>
              <w:ind w:right="40"/>
              <w:spacing w:after="0"/>
              <w:rPr>
                <w:sz w:val="20"/>
                <w:szCs w:val="20"/>
                <w:color w:val="auto"/>
              </w:rPr>
            </w:pPr>
            <w:r>
              <w:rPr>
                <w:rFonts w:ascii="Arial" w:cs="Arial" w:eastAsia="Arial" w:hAnsi="Arial"/>
                <w:sz w:val="12"/>
                <w:szCs w:val="12"/>
                <w:b w:val="1"/>
                <w:bCs w:val="1"/>
                <w:color w:val="auto"/>
              </w:rPr>
              <w:t>Net sales</w:t>
            </w:r>
          </w:p>
        </w:tc>
        <w:tc>
          <w:tcPr>
            <w:tcW w:w="160" w:type="dxa"/>
            <w:vAlign w:val="bottom"/>
          </w:tcPr>
          <w:p>
            <w:pPr>
              <w:spacing w:after="0"/>
              <w:rPr>
                <w:sz w:val="14"/>
                <w:szCs w:val="14"/>
                <w:color w:val="auto"/>
              </w:rPr>
            </w:pPr>
          </w:p>
        </w:tc>
        <w:tc>
          <w:tcPr>
            <w:tcW w:w="1240" w:type="dxa"/>
            <w:vAlign w:val="bottom"/>
          </w:tcPr>
          <w:p>
            <w:pPr>
              <w:jc w:val="right"/>
              <w:ind w:right="40"/>
              <w:spacing w:after="0"/>
              <w:rPr>
                <w:sz w:val="20"/>
                <w:szCs w:val="20"/>
                <w:color w:val="auto"/>
              </w:rPr>
            </w:pPr>
            <w:r>
              <w:rPr>
                <w:rFonts w:ascii="Arial" w:cs="Arial" w:eastAsia="Arial" w:hAnsi="Arial"/>
                <w:sz w:val="12"/>
                <w:szCs w:val="12"/>
                <w:b w:val="1"/>
                <w:bCs w:val="1"/>
                <w:color w:val="auto"/>
              </w:rPr>
              <w:t>Cost of sales</w:t>
            </w: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b w:val="1"/>
                <w:bCs w:val="1"/>
                <w:color w:val="auto"/>
              </w:rPr>
              <w:t>Interest expense</w:t>
            </w:r>
          </w:p>
        </w:tc>
      </w:tr>
      <w:tr>
        <w:trPr>
          <w:trHeight w:val="20"/>
        </w:trPr>
        <w:tc>
          <w:tcPr>
            <w:tcW w:w="2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56"/>
        </w:trPr>
        <w:tc>
          <w:tcPr>
            <w:tcW w:w="2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Three Months Ended</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0" w:type="dxa"/>
            <w:vAlign w:val="bottom"/>
            <w:gridSpan w:val="2"/>
          </w:tcPr>
          <w:p>
            <w:pPr>
              <w:jc w:val="center"/>
              <w:spacing w:after="0"/>
              <w:rPr>
                <w:sz w:val="20"/>
                <w:szCs w:val="20"/>
                <w:color w:val="auto"/>
              </w:rPr>
            </w:pPr>
            <w:r>
              <w:rPr>
                <w:rFonts w:ascii="Arial" w:cs="Arial" w:eastAsia="Arial" w:hAnsi="Arial"/>
                <w:sz w:val="12"/>
                <w:szCs w:val="12"/>
                <w:b w:val="1"/>
                <w:bCs w:val="1"/>
                <w:color w:val="auto"/>
              </w:rPr>
              <w:t>Three Months Ended</w:t>
            </w: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69"/>
        </w:trPr>
        <w:tc>
          <w:tcPr>
            <w:tcW w:w="292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00"/>
              <w:spacing w:after="0"/>
              <w:rPr>
                <w:sz w:val="20"/>
                <w:szCs w:val="20"/>
                <w:color w:val="auto"/>
              </w:rPr>
            </w:pPr>
            <w:r>
              <w:rPr>
                <w:rFonts w:ascii="Arial" w:cs="Arial" w:eastAsia="Arial" w:hAnsi="Arial"/>
                <w:sz w:val="12"/>
                <w:szCs w:val="12"/>
                <w:b w:val="1"/>
                <w:bCs w:val="1"/>
                <w:color w:val="auto"/>
              </w:rPr>
              <w:t>April 30, 2026</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120"/>
              <w:spacing w:after="0"/>
              <w:rPr>
                <w:sz w:val="20"/>
                <w:szCs w:val="20"/>
                <w:color w:val="auto"/>
              </w:rPr>
            </w:pPr>
            <w:r>
              <w:rPr>
                <w:rFonts w:ascii="Arial" w:cs="Arial" w:eastAsia="Arial" w:hAnsi="Arial"/>
                <w:sz w:val="12"/>
                <w:szCs w:val="12"/>
                <w:b w:val="1"/>
                <w:bCs w:val="1"/>
                <w:color w:val="auto"/>
              </w:rPr>
              <w:t>April 30, 2025</w:t>
            </w: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r>
      <w:tr>
        <w:trPr>
          <w:trHeight w:val="157"/>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Equity method investees:</w:t>
            </w:r>
          </w:p>
        </w:tc>
        <w:tc>
          <w:tcPr>
            <w:tcW w:w="4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r>
      <w:tr>
        <w:trPr>
          <w:trHeight w:val="167"/>
        </w:trPr>
        <w:tc>
          <w:tcPr>
            <w:tcW w:w="2920" w:type="dxa"/>
            <w:vAlign w:val="bottom"/>
          </w:tcPr>
          <w:p>
            <w:pPr>
              <w:ind w:left="120"/>
              <w:spacing w:after="0"/>
              <w:rPr>
                <w:sz w:val="20"/>
                <w:szCs w:val="20"/>
                <w:color w:val="auto"/>
              </w:rPr>
            </w:pPr>
            <w:r>
              <w:rPr>
                <w:rFonts w:ascii="Arial" w:cs="Arial" w:eastAsia="Arial" w:hAnsi="Arial"/>
                <w:sz w:val="12"/>
                <w:szCs w:val="12"/>
                <w:color w:val="auto"/>
              </w:rPr>
              <w:t>Henry Avocado</w:t>
            </w:r>
          </w:p>
        </w:tc>
        <w:tc>
          <w:tcPr>
            <w:tcW w:w="40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0.1</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134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80"/>
              <w:spacing w:after="0"/>
              <w:rPr>
                <w:sz w:val="20"/>
                <w:szCs w:val="20"/>
                <w:color w:val="auto"/>
              </w:rPr>
            </w:pPr>
            <w:r>
              <w:rPr>
                <w:rFonts w:ascii="Arial" w:cs="Arial" w:eastAsia="Arial" w:hAnsi="Arial"/>
                <w:sz w:val="12"/>
                <w:szCs w:val="12"/>
                <w:color w:val="auto"/>
              </w:rPr>
              <w:t>0.1</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6"/>
        </w:trPr>
        <w:tc>
          <w:tcPr>
            <w:tcW w:w="2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73"/>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Other:</w:t>
            </w: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r>
      <w:tr>
        <w:trPr>
          <w:trHeight w:val="193"/>
        </w:trPr>
        <w:tc>
          <w:tcPr>
            <w:tcW w:w="2920" w:type="dxa"/>
            <w:vAlign w:val="bottom"/>
          </w:tcPr>
          <w:p>
            <w:pPr>
              <w:ind w:left="120"/>
              <w:spacing w:after="0"/>
              <w:rPr>
                <w:sz w:val="20"/>
                <w:szCs w:val="20"/>
                <w:color w:val="auto"/>
              </w:rPr>
            </w:pPr>
            <w:r>
              <w:rPr>
                <w:rFonts w:ascii="Arial" w:cs="Arial" w:eastAsia="Arial" w:hAnsi="Arial"/>
                <w:sz w:val="12"/>
                <w:szCs w:val="12"/>
                <w:color w:val="auto"/>
              </w:rPr>
              <w:t>Directors/Officers</w:t>
            </w:r>
            <w:r>
              <w:rPr>
                <w:rFonts w:ascii="Arial" w:cs="Arial" w:eastAsia="Arial" w:hAnsi="Arial"/>
                <w:sz w:val="15"/>
                <w:szCs w:val="15"/>
                <w:color w:val="auto"/>
                <w:vertAlign w:val="superscript"/>
              </w:rPr>
              <w:t>(1)</w:t>
            </w:r>
          </w:p>
        </w:tc>
        <w:tc>
          <w:tcPr>
            <w:tcW w:w="40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Arial" w:cs="Arial" w:eastAsia="Arial" w:hAnsi="Arial"/>
                <w:sz w:val="12"/>
                <w:szCs w:val="12"/>
                <w:color w:val="auto"/>
              </w:rPr>
              <w:t>1.2</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0.8</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0.5</w:t>
            </w: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jc w:val="right"/>
              <w:ind w:right="80"/>
              <w:spacing w:after="0"/>
              <w:rPr>
                <w:sz w:val="20"/>
                <w:szCs w:val="20"/>
                <w:color w:val="auto"/>
              </w:rPr>
            </w:pPr>
            <w:r>
              <w:rPr>
                <w:rFonts w:ascii="Arial" w:cs="Arial" w:eastAsia="Arial" w:hAnsi="Arial"/>
                <w:sz w:val="12"/>
                <w:szCs w:val="12"/>
                <w:color w:val="auto"/>
              </w:rPr>
              <w:t>0.8</w:t>
            </w:r>
          </w:p>
        </w:tc>
        <w:tc>
          <w:tcPr>
            <w:tcW w:w="160" w:type="dxa"/>
            <w:vAlign w:val="bottom"/>
          </w:tcPr>
          <w:p>
            <w:pPr>
              <w:spacing w:after="0"/>
              <w:rPr>
                <w:sz w:val="16"/>
                <w:szCs w:val="16"/>
                <w:color w:val="auto"/>
              </w:rPr>
            </w:pPr>
          </w:p>
        </w:tc>
        <w:tc>
          <w:tcPr>
            <w:tcW w:w="1240" w:type="dxa"/>
            <w:vAlign w:val="bottom"/>
          </w:tcPr>
          <w:p>
            <w:pPr>
              <w:jc w:val="right"/>
              <w:ind w:right="80"/>
              <w:spacing w:after="0"/>
              <w:rPr>
                <w:sz w:val="20"/>
                <w:szCs w:val="20"/>
                <w:color w:val="auto"/>
              </w:rPr>
            </w:pPr>
            <w:r>
              <w:rPr>
                <w:rFonts w:ascii="Arial" w:cs="Arial" w:eastAsia="Arial" w:hAnsi="Arial"/>
                <w:sz w:val="12"/>
                <w:szCs w:val="12"/>
                <w:color w:val="auto"/>
              </w:rPr>
              <w:t>1.5</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0.5</w:t>
            </w:r>
          </w:p>
        </w:tc>
      </w:tr>
      <w:tr>
        <w:trPr>
          <w:trHeight w:val="193"/>
        </w:trPr>
        <w:tc>
          <w:tcPr>
            <w:tcW w:w="29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2"/>
                <w:szCs w:val="12"/>
                <w:color w:val="auto"/>
              </w:rPr>
              <w:t>Employees</w:t>
            </w:r>
            <w:r>
              <w:rPr>
                <w:rFonts w:ascii="Arial" w:cs="Arial" w:eastAsia="Arial" w:hAnsi="Arial"/>
                <w:sz w:val="15"/>
                <w:szCs w:val="15"/>
                <w:color w:val="auto"/>
                <w:vertAlign w:val="superscript"/>
              </w:rPr>
              <w:t>(2)</w:t>
            </w:r>
          </w:p>
        </w:tc>
        <w:tc>
          <w:tcPr>
            <w:tcW w:w="4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3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4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3.2</w:t>
            </w:r>
          </w:p>
        </w:tc>
        <w:tc>
          <w:tcPr>
            <w:tcW w:w="2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94"/>
        </w:trPr>
        <w:tc>
          <w:tcPr>
            <w:tcW w:w="2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Six Months Ended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center"/>
              <w:ind w:right="100"/>
              <w:spacing w:after="0"/>
              <w:rPr>
                <w:sz w:val="20"/>
                <w:szCs w:val="20"/>
                <w:color w:val="auto"/>
              </w:rPr>
            </w:pPr>
            <w:r>
              <w:rPr>
                <w:rFonts w:ascii="Arial" w:cs="Arial" w:eastAsia="Arial" w:hAnsi="Arial"/>
                <w:sz w:val="12"/>
                <w:szCs w:val="12"/>
                <w:b w:val="1"/>
                <w:bCs w:val="1"/>
                <w:color w:val="auto"/>
                <w:w w:val="99"/>
              </w:rPr>
              <w:t>Six Months Ended</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69"/>
        </w:trPr>
        <w:tc>
          <w:tcPr>
            <w:tcW w:w="292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00"/>
              <w:spacing w:after="0"/>
              <w:rPr>
                <w:sz w:val="20"/>
                <w:szCs w:val="20"/>
                <w:color w:val="auto"/>
              </w:rPr>
            </w:pPr>
            <w:r>
              <w:rPr>
                <w:rFonts w:ascii="Arial" w:cs="Arial" w:eastAsia="Arial" w:hAnsi="Arial"/>
                <w:sz w:val="12"/>
                <w:szCs w:val="12"/>
                <w:b w:val="1"/>
                <w:bCs w:val="1"/>
                <w:color w:val="auto"/>
              </w:rPr>
              <w:t>April 30, 2026</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120"/>
              <w:spacing w:after="0"/>
              <w:rPr>
                <w:sz w:val="20"/>
                <w:szCs w:val="20"/>
                <w:color w:val="auto"/>
              </w:rPr>
            </w:pPr>
            <w:r>
              <w:rPr>
                <w:rFonts w:ascii="Arial" w:cs="Arial" w:eastAsia="Arial" w:hAnsi="Arial"/>
                <w:sz w:val="12"/>
                <w:szCs w:val="12"/>
                <w:b w:val="1"/>
                <w:bCs w:val="1"/>
                <w:color w:val="auto"/>
              </w:rPr>
              <w:t>April 30, 2025</w:t>
            </w: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r>
      <w:tr>
        <w:trPr>
          <w:trHeight w:val="170"/>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Equity method investees:</w:t>
            </w:r>
          </w:p>
        </w:tc>
        <w:tc>
          <w:tcPr>
            <w:tcW w:w="4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r>
      <w:tr>
        <w:trPr>
          <w:trHeight w:val="167"/>
        </w:trPr>
        <w:tc>
          <w:tcPr>
            <w:tcW w:w="2920" w:type="dxa"/>
            <w:vAlign w:val="bottom"/>
          </w:tcPr>
          <w:p>
            <w:pPr>
              <w:ind w:left="120"/>
              <w:spacing w:after="0"/>
              <w:rPr>
                <w:sz w:val="20"/>
                <w:szCs w:val="20"/>
                <w:color w:val="auto"/>
              </w:rPr>
            </w:pPr>
            <w:r>
              <w:rPr>
                <w:rFonts w:ascii="Arial" w:cs="Arial" w:eastAsia="Arial" w:hAnsi="Arial"/>
                <w:sz w:val="12"/>
                <w:szCs w:val="12"/>
                <w:color w:val="auto"/>
              </w:rPr>
              <w:t>Henry Avocado</w:t>
            </w:r>
          </w:p>
        </w:tc>
        <w:tc>
          <w:tcPr>
            <w:tcW w:w="40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0.3</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134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80"/>
              <w:spacing w:after="0"/>
              <w:rPr>
                <w:sz w:val="20"/>
                <w:szCs w:val="20"/>
                <w:color w:val="auto"/>
              </w:rPr>
            </w:pPr>
            <w:r>
              <w:rPr>
                <w:rFonts w:ascii="Arial" w:cs="Arial" w:eastAsia="Arial" w:hAnsi="Arial"/>
                <w:sz w:val="12"/>
                <w:szCs w:val="12"/>
                <w:color w:val="auto"/>
              </w:rPr>
              <w:t>0.1</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6"/>
        </w:trPr>
        <w:tc>
          <w:tcPr>
            <w:tcW w:w="2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73"/>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Other:</w:t>
            </w: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r>
      <w:tr>
        <w:trPr>
          <w:trHeight w:val="193"/>
        </w:trPr>
        <w:tc>
          <w:tcPr>
            <w:tcW w:w="2920" w:type="dxa"/>
            <w:vAlign w:val="bottom"/>
          </w:tcPr>
          <w:p>
            <w:pPr>
              <w:ind w:left="120"/>
              <w:spacing w:after="0"/>
              <w:rPr>
                <w:sz w:val="20"/>
                <w:szCs w:val="20"/>
                <w:color w:val="auto"/>
              </w:rPr>
            </w:pPr>
            <w:r>
              <w:rPr>
                <w:rFonts w:ascii="Arial" w:cs="Arial" w:eastAsia="Arial" w:hAnsi="Arial"/>
                <w:sz w:val="12"/>
                <w:szCs w:val="12"/>
                <w:color w:val="auto"/>
              </w:rPr>
              <w:t>Directors/Officers</w:t>
            </w:r>
            <w:r>
              <w:rPr>
                <w:rFonts w:ascii="Arial" w:cs="Arial" w:eastAsia="Arial" w:hAnsi="Arial"/>
                <w:sz w:val="15"/>
                <w:szCs w:val="15"/>
                <w:color w:val="auto"/>
                <w:vertAlign w:val="superscript"/>
              </w:rPr>
              <w:t>(1)</w:t>
            </w:r>
          </w:p>
        </w:tc>
        <w:tc>
          <w:tcPr>
            <w:tcW w:w="40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Arial" w:cs="Arial" w:eastAsia="Arial" w:hAnsi="Arial"/>
                <w:sz w:val="12"/>
                <w:szCs w:val="12"/>
                <w:color w:val="auto"/>
              </w:rPr>
              <w:t>1.7</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1.0</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1.0</w:t>
            </w: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jc w:val="right"/>
              <w:ind w:right="80"/>
              <w:spacing w:after="0"/>
              <w:rPr>
                <w:sz w:val="20"/>
                <w:szCs w:val="20"/>
                <w:color w:val="auto"/>
              </w:rPr>
            </w:pPr>
            <w:r>
              <w:rPr>
                <w:rFonts w:ascii="Arial" w:cs="Arial" w:eastAsia="Arial" w:hAnsi="Arial"/>
                <w:sz w:val="12"/>
                <w:szCs w:val="12"/>
                <w:color w:val="auto"/>
              </w:rPr>
              <w:t>1.4</w:t>
            </w:r>
          </w:p>
        </w:tc>
        <w:tc>
          <w:tcPr>
            <w:tcW w:w="160" w:type="dxa"/>
            <w:vAlign w:val="bottom"/>
          </w:tcPr>
          <w:p>
            <w:pPr>
              <w:spacing w:after="0"/>
              <w:rPr>
                <w:sz w:val="16"/>
                <w:szCs w:val="16"/>
                <w:color w:val="auto"/>
              </w:rPr>
            </w:pPr>
          </w:p>
        </w:tc>
        <w:tc>
          <w:tcPr>
            <w:tcW w:w="1240" w:type="dxa"/>
            <w:vAlign w:val="bottom"/>
          </w:tcPr>
          <w:p>
            <w:pPr>
              <w:jc w:val="right"/>
              <w:ind w:right="80"/>
              <w:spacing w:after="0"/>
              <w:rPr>
                <w:sz w:val="20"/>
                <w:szCs w:val="20"/>
                <w:color w:val="auto"/>
              </w:rPr>
            </w:pPr>
            <w:r>
              <w:rPr>
                <w:rFonts w:ascii="Arial" w:cs="Arial" w:eastAsia="Arial" w:hAnsi="Arial"/>
                <w:sz w:val="12"/>
                <w:szCs w:val="12"/>
                <w:color w:val="auto"/>
              </w:rPr>
              <w:t>1.8</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1.0</w:t>
            </w:r>
          </w:p>
        </w:tc>
      </w:tr>
      <w:tr>
        <w:trPr>
          <w:trHeight w:val="193"/>
        </w:trPr>
        <w:tc>
          <w:tcPr>
            <w:tcW w:w="29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2"/>
                <w:szCs w:val="12"/>
                <w:color w:val="auto"/>
              </w:rPr>
              <w:t>Employees</w:t>
            </w:r>
            <w:r>
              <w:rPr>
                <w:rFonts w:ascii="Arial" w:cs="Arial" w:eastAsia="Arial" w:hAnsi="Arial"/>
                <w:sz w:val="15"/>
                <w:szCs w:val="15"/>
                <w:color w:val="auto"/>
                <w:vertAlign w:val="superscript"/>
              </w:rPr>
              <w:t>(2)</w:t>
            </w:r>
          </w:p>
        </w:tc>
        <w:tc>
          <w:tcPr>
            <w:tcW w:w="4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w:t>
            </w:r>
          </w:p>
        </w:tc>
        <w:tc>
          <w:tcPr>
            <w:tcW w:w="3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4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4.4</w:t>
            </w:r>
          </w:p>
        </w:tc>
        <w:tc>
          <w:tcPr>
            <w:tcW w:w="2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bl>
    <w:p>
      <w:pPr>
        <w:spacing w:after="0" w:line="124" w:lineRule="exact"/>
        <w:rPr>
          <w:sz w:val="20"/>
          <w:szCs w:val="20"/>
          <w:color w:val="auto"/>
        </w:rPr>
      </w:pPr>
    </w:p>
    <w:p>
      <w:pPr>
        <w:ind w:left="240" w:hanging="237"/>
        <w:spacing w:after="0" w:line="258" w:lineRule="auto"/>
        <w:tabs>
          <w:tab w:leader="none" w:pos="232"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Company purchases from and sells fruit to, and provides logistics services to, a small number of entities having full or partial ownership by some of our directors/officers. These transactions are made under substantially similar terms as with other growers and customers. Our blueberries business leases land under a long-term lease with a company owned by one of our directors. The rental rate in the lease was comparable to market rates and reflective of an arms-length transaction. The lease was accounted for as a finance lease right-of-use asset and is included in property, plant and equipment, net in the consolidated balance sheets, with amortization and interest expense recognized in cost of sales and interest expense, respectively, in the condensed consolidated statements of (loss) income. The portion of lease costs attributable to noncontrolling interest, net of income taxes, was $0.3 million for both the three months ended April 30, 2026 and 2025 and $0.5 million for both the six months ended April 30, 2026 and 2025; amounts were included as part of net income attributable to noncontrolling interest in the condensed consolidated statements of (loss) income.</w:t>
      </w:r>
    </w:p>
    <w:p>
      <w:pPr>
        <w:spacing w:after="0" w:line="25" w:lineRule="exact"/>
        <w:rPr>
          <w:rFonts w:ascii="Arial" w:cs="Arial" w:eastAsia="Arial" w:hAnsi="Arial"/>
          <w:sz w:val="12"/>
          <w:szCs w:val="12"/>
          <w:color w:val="auto"/>
        </w:rPr>
      </w:pPr>
    </w:p>
    <w:p>
      <w:pPr>
        <w:ind w:left="240" w:right="100" w:hanging="237"/>
        <w:spacing w:after="0" w:line="282" w:lineRule="auto"/>
        <w:tabs>
          <w:tab w:leader="none" w:pos="232"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Company utilizes a small number of transportation vendors in Mexico having full or partial ownership by some of our employees. The Company also purchases avocados from a small number of entities having full or partial ownership by some employees. These transactions are made under substantially similar terms as with other transportation carriers and growers.</w:t>
      </w:r>
    </w:p>
    <w:p>
      <w:pPr>
        <w:spacing w:after="0" w:line="216" w:lineRule="exact"/>
        <w:rPr>
          <w:sz w:val="20"/>
          <w:szCs w:val="20"/>
          <w:color w:val="auto"/>
        </w:rPr>
      </w:pPr>
    </w:p>
    <w:p>
      <w:pPr>
        <w:ind w:left="480" w:hanging="477"/>
        <w:spacing w:after="0"/>
        <w:tabs>
          <w:tab w:leader="none" w:pos="48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Segment and Revenue Information</w:t>
      </w:r>
    </w:p>
    <w:p>
      <w:pPr>
        <w:spacing w:after="0" w:line="228" w:lineRule="exact"/>
        <w:rPr>
          <w:sz w:val="20"/>
          <w:szCs w:val="20"/>
          <w:color w:val="auto"/>
        </w:rPr>
      </w:pPr>
    </w:p>
    <w:p>
      <w:pPr>
        <w:ind w:right="260" w:firstLine="619"/>
        <w:spacing w:after="0" w:line="278" w:lineRule="auto"/>
        <w:rPr>
          <w:sz w:val="20"/>
          <w:szCs w:val="20"/>
          <w:color w:val="auto"/>
        </w:rPr>
      </w:pPr>
      <w:r>
        <w:rPr>
          <w:rFonts w:ascii="Arial" w:cs="Arial" w:eastAsia="Arial" w:hAnsi="Arial"/>
          <w:sz w:val="14"/>
          <w:szCs w:val="14"/>
          <w:color w:val="auto"/>
        </w:rPr>
        <w:t>We have three operating segments which are also reportable segments. Our reportable segments are presented based on how information is used by our CEO, who is the chief operating decision maker, to measure performance and allocate resources.</w:t>
      </w:r>
    </w:p>
    <w:p>
      <w:pPr>
        <w:spacing w:after="0" w:line="130" w:lineRule="exact"/>
        <w:rPr>
          <w:sz w:val="20"/>
          <w:szCs w:val="20"/>
          <w:color w:val="auto"/>
        </w:rPr>
      </w:pPr>
    </w:p>
    <w:p>
      <w:pPr>
        <w:ind w:left="620" w:hanging="307"/>
        <w:spacing w:after="0"/>
        <w:tabs>
          <w:tab w:leader="none" w:pos="620" w:val="left"/>
        </w:tabs>
        <w:numPr>
          <w:ilvl w:val="0"/>
          <w:numId w:val="14"/>
        </w:numPr>
        <w:rPr>
          <w:rFonts w:ascii="Arial" w:cs="Arial" w:eastAsia="Arial" w:hAnsi="Arial"/>
          <w:sz w:val="14"/>
          <w:szCs w:val="14"/>
          <w:color w:val="auto"/>
        </w:rPr>
      </w:pPr>
      <w:r>
        <w:rPr>
          <w:rFonts w:ascii="Arial" w:cs="Arial" w:eastAsia="Arial" w:hAnsi="Arial"/>
          <w:sz w:val="14"/>
          <w:szCs w:val="14"/>
          <w:i w:val="1"/>
          <w:iCs w:val="1"/>
          <w:color w:val="auto"/>
        </w:rPr>
        <w:t xml:space="preserve">Marketing &amp; Distribution. </w:t>
      </w:r>
      <w:r>
        <w:rPr>
          <w:rFonts w:ascii="Arial" w:cs="Arial" w:eastAsia="Arial" w:hAnsi="Arial"/>
          <w:sz w:val="14"/>
          <w:szCs w:val="14"/>
          <w:color w:val="auto"/>
        </w:rPr>
        <w:t>Our Marketing &amp; Distribution reportable segment sources fruit from growers and then distributes the fruit through our global distribution network.</w:t>
      </w:r>
    </w:p>
    <w:p>
      <w:pPr>
        <w:spacing w:after="0" w:line="187" w:lineRule="exact"/>
        <w:rPr>
          <w:rFonts w:ascii="Arial" w:cs="Arial" w:eastAsia="Arial" w:hAnsi="Arial"/>
          <w:sz w:val="14"/>
          <w:szCs w:val="14"/>
          <w:color w:val="auto"/>
        </w:rPr>
      </w:pPr>
    </w:p>
    <w:p>
      <w:pPr>
        <w:ind w:left="620" w:right="220" w:hanging="307"/>
        <w:spacing w:after="0" w:line="254" w:lineRule="auto"/>
        <w:tabs>
          <w:tab w:leader="none" w:pos="616" w:val="left"/>
        </w:tabs>
        <w:numPr>
          <w:ilvl w:val="0"/>
          <w:numId w:val="14"/>
        </w:numPr>
        <w:rPr>
          <w:rFonts w:ascii="Arial" w:cs="Arial" w:eastAsia="Arial" w:hAnsi="Arial"/>
          <w:sz w:val="14"/>
          <w:szCs w:val="14"/>
          <w:color w:val="auto"/>
        </w:rPr>
      </w:pPr>
      <w:r>
        <w:rPr>
          <w:rFonts w:ascii="Arial" w:cs="Arial" w:eastAsia="Arial" w:hAnsi="Arial"/>
          <w:sz w:val="14"/>
          <w:szCs w:val="14"/>
          <w:i w:val="1"/>
          <w:iCs w:val="1"/>
          <w:color w:val="auto"/>
        </w:rPr>
        <w:t xml:space="preserve">International Farming. </w:t>
      </w:r>
      <w:r>
        <w:rPr>
          <w:rFonts w:ascii="Arial" w:cs="Arial" w:eastAsia="Arial" w:hAnsi="Arial"/>
          <w:sz w:val="14"/>
          <w:szCs w:val="14"/>
          <w:color w:val="auto"/>
        </w:rPr>
        <w:t>International Farming owns and operates orchards from which the vast majority of fruit produced is sold to our Marketing &amp; Distribution segment. The</w:t>
      </w:r>
      <w:r>
        <w:rPr>
          <w:rFonts w:ascii="Arial" w:cs="Arial" w:eastAsia="Arial" w:hAnsi="Arial"/>
          <w:sz w:val="14"/>
          <w:szCs w:val="14"/>
          <w:i w:val="1"/>
          <w:iCs w:val="1"/>
          <w:color w:val="auto"/>
        </w:rPr>
        <w:t xml:space="preserve"> </w:t>
      </w:r>
      <w:r>
        <w:rPr>
          <w:rFonts w:ascii="Arial" w:cs="Arial" w:eastAsia="Arial" w:hAnsi="Arial"/>
          <w:sz w:val="14"/>
          <w:szCs w:val="14"/>
          <w:color w:val="auto"/>
        </w:rPr>
        <w:t>segment’s farming activities range from cultivating early-stage plantings to harvesting from mature trees. It also earns service revenues for packing and processing fruit for both our Blueberries segment, as well as for third-party producers of other crops. Operations are principally located in Peru and Guatemala.</w:t>
      </w:r>
    </w:p>
    <w:p>
      <w:pPr>
        <w:spacing w:after="0" w:line="146" w:lineRule="exact"/>
        <w:rPr>
          <w:rFonts w:ascii="Arial" w:cs="Arial" w:eastAsia="Arial" w:hAnsi="Arial"/>
          <w:sz w:val="14"/>
          <w:szCs w:val="14"/>
          <w:color w:val="auto"/>
        </w:rPr>
      </w:pPr>
    </w:p>
    <w:p>
      <w:pPr>
        <w:ind w:left="620" w:right="340" w:hanging="307"/>
        <w:spacing w:after="0" w:line="278" w:lineRule="auto"/>
        <w:tabs>
          <w:tab w:leader="none" w:pos="616" w:val="left"/>
        </w:tabs>
        <w:numPr>
          <w:ilvl w:val="0"/>
          <w:numId w:val="14"/>
        </w:numPr>
        <w:rPr>
          <w:rFonts w:ascii="Arial" w:cs="Arial" w:eastAsia="Arial" w:hAnsi="Arial"/>
          <w:sz w:val="14"/>
          <w:szCs w:val="14"/>
          <w:color w:val="auto"/>
        </w:rPr>
      </w:pPr>
      <w:r>
        <w:rPr>
          <w:rFonts w:ascii="Arial" w:cs="Arial" w:eastAsia="Arial" w:hAnsi="Arial"/>
          <w:sz w:val="14"/>
          <w:szCs w:val="14"/>
          <w:i w:val="1"/>
          <w:iCs w:val="1"/>
          <w:color w:val="auto"/>
        </w:rPr>
        <w:t xml:space="preserve">Blueberries. </w:t>
      </w:r>
      <w:r>
        <w:rPr>
          <w:rFonts w:ascii="Arial" w:cs="Arial" w:eastAsia="Arial" w:hAnsi="Arial"/>
          <w:sz w:val="14"/>
          <w:szCs w:val="14"/>
          <w:color w:val="auto"/>
        </w:rPr>
        <w:t>The Blueberries segment consists of farming activities that include cultivating early-stage blueberry plantings and harvesting mature bushes. Substantially all</w:t>
      </w:r>
      <w:r>
        <w:rPr>
          <w:rFonts w:ascii="Arial" w:cs="Arial" w:eastAsia="Arial" w:hAnsi="Arial"/>
          <w:sz w:val="14"/>
          <w:szCs w:val="14"/>
          <w:i w:val="1"/>
          <w:iCs w:val="1"/>
          <w:color w:val="auto"/>
        </w:rPr>
        <w:t xml:space="preserve"> </w:t>
      </w:r>
      <w:r>
        <w:rPr>
          <w:rFonts w:ascii="Arial" w:cs="Arial" w:eastAsia="Arial" w:hAnsi="Arial"/>
          <w:sz w:val="14"/>
          <w:szCs w:val="14"/>
          <w:color w:val="auto"/>
        </w:rPr>
        <w:t>blueberries produced are sold to a single distributor under an exclusive marketing agreement.</w:t>
      </w:r>
    </w:p>
    <w:p>
      <w:pPr>
        <w:spacing w:after="0" w:line="168" w:lineRule="exact"/>
        <w:rPr>
          <w:rFonts w:ascii="Arial" w:cs="Arial" w:eastAsia="Arial" w:hAnsi="Arial"/>
          <w:sz w:val="14"/>
          <w:szCs w:val="14"/>
          <w:color w:val="auto"/>
        </w:rPr>
      </w:pPr>
    </w:p>
    <w:p>
      <w:pPr>
        <w:ind w:left="620"/>
        <w:spacing w:after="0"/>
        <w:rPr>
          <w:rFonts w:ascii="Arial" w:cs="Arial" w:eastAsia="Arial" w:hAnsi="Arial"/>
          <w:sz w:val="14"/>
          <w:szCs w:val="14"/>
          <w:color w:val="auto"/>
        </w:rPr>
      </w:pPr>
      <w:r>
        <w:rPr>
          <w:rFonts w:ascii="Arial" w:cs="Arial" w:eastAsia="Arial" w:hAnsi="Arial"/>
          <w:sz w:val="14"/>
          <w:szCs w:val="14"/>
          <w:color w:val="auto"/>
        </w:rPr>
        <w:t>The following table provides information for each of our reportable segments and reconciliations to consolidated income before taxes.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31"/>
              <w:spacing w:after="0"/>
              <w:rPr>
                <w:sz w:val="20"/>
                <w:szCs w:val="20"/>
                <w:color w:val="auto"/>
              </w:rPr>
            </w:pPr>
            <w:r>
              <w:rPr>
                <w:rFonts w:ascii="Arial" w:cs="Arial" w:eastAsia="Arial" w:hAnsi="Arial"/>
                <w:sz w:val="14"/>
                <w:szCs w:val="14"/>
                <w:b w:val="1"/>
                <w:bCs w:val="1"/>
                <w:color w:val="auto"/>
              </w:rPr>
              <w:t>Marketing &amp;</w:t>
            </w:r>
          </w:p>
        </w:tc>
        <w:tc>
          <w:tcPr>
            <w:tcW w:w="340" w:type="dxa"/>
            <w:vAlign w:val="bottom"/>
          </w:tcPr>
          <w:p>
            <w:pPr>
              <w:spacing w:after="0"/>
              <w:rPr>
                <w:sz w:val="14"/>
                <w:szCs w:val="14"/>
                <w:color w:val="auto"/>
              </w:rPr>
            </w:pPr>
          </w:p>
        </w:tc>
        <w:tc>
          <w:tcPr>
            <w:tcW w:w="1100" w:type="dxa"/>
            <w:vAlign w:val="bottom"/>
          </w:tcPr>
          <w:p>
            <w:pPr>
              <w:jc w:val="right"/>
              <w:ind w:right="31"/>
              <w:spacing w:after="0"/>
              <w:rPr>
                <w:sz w:val="20"/>
                <w:szCs w:val="20"/>
                <w:color w:val="auto"/>
              </w:rPr>
            </w:pPr>
            <w:r>
              <w:rPr>
                <w:rFonts w:ascii="Arial" w:cs="Arial" w:eastAsia="Arial" w:hAnsi="Arial"/>
                <w:sz w:val="14"/>
                <w:szCs w:val="14"/>
                <w:b w:val="1"/>
                <w:bCs w:val="1"/>
                <w:color w:val="auto"/>
              </w:rPr>
              <w:t>International</w:t>
            </w: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09"/>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Distribution</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Farming</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Blueberries</w:t>
            </w:r>
          </w:p>
        </w:tc>
        <w:tc>
          <w:tcPr>
            <w:tcW w:w="4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r>
      <w:tr>
        <w:trPr>
          <w:trHeight w:val="219"/>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Three months ended April 30, 2026:</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199"/>
        </w:trPr>
        <w:tc>
          <w:tcPr>
            <w:tcW w:w="5640" w:type="dxa"/>
            <w:vAlign w:val="bottom"/>
          </w:tcPr>
          <w:p>
            <w:pPr>
              <w:ind w:left="20"/>
              <w:spacing w:after="0"/>
              <w:rPr>
                <w:sz w:val="20"/>
                <w:szCs w:val="20"/>
                <w:color w:val="auto"/>
              </w:rPr>
            </w:pPr>
            <w:r>
              <w:rPr>
                <w:rFonts w:ascii="Arial" w:cs="Arial" w:eastAsia="Arial" w:hAnsi="Arial"/>
                <w:sz w:val="14"/>
                <w:szCs w:val="14"/>
                <w:color w:val="auto"/>
              </w:rPr>
              <w:t>Third-party sales</w:t>
            </w: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91"/>
              <w:spacing w:after="0"/>
              <w:rPr>
                <w:sz w:val="20"/>
                <w:szCs w:val="20"/>
                <w:color w:val="auto"/>
              </w:rPr>
            </w:pPr>
            <w:r>
              <w:rPr>
                <w:rFonts w:ascii="Arial" w:cs="Arial" w:eastAsia="Arial" w:hAnsi="Arial"/>
                <w:sz w:val="14"/>
                <w:szCs w:val="14"/>
                <w:color w:val="auto"/>
              </w:rPr>
              <w:t>277.2</w:t>
            </w:r>
          </w:p>
        </w:tc>
        <w:tc>
          <w:tcPr>
            <w:tcW w:w="34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71"/>
              <w:spacing w:after="0"/>
              <w:rPr>
                <w:sz w:val="20"/>
                <w:szCs w:val="20"/>
                <w:color w:val="auto"/>
              </w:rPr>
            </w:pPr>
            <w:r>
              <w:rPr>
                <w:rFonts w:ascii="Arial" w:cs="Arial" w:eastAsia="Arial" w:hAnsi="Arial"/>
                <w:sz w:val="14"/>
                <w:szCs w:val="14"/>
                <w:color w:val="auto"/>
              </w:rPr>
              <w:t>2.7</w:t>
            </w:r>
          </w:p>
        </w:tc>
        <w:tc>
          <w:tcPr>
            <w:tcW w:w="3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51"/>
              <w:spacing w:after="0"/>
              <w:rPr>
                <w:sz w:val="20"/>
                <w:szCs w:val="20"/>
                <w:color w:val="auto"/>
              </w:rPr>
            </w:pPr>
            <w:r>
              <w:rPr>
                <w:rFonts w:ascii="Arial" w:cs="Arial" w:eastAsia="Arial" w:hAnsi="Arial"/>
                <w:sz w:val="14"/>
                <w:szCs w:val="14"/>
                <w:color w:val="auto"/>
              </w:rPr>
              <w:t>11.0</w:t>
            </w:r>
          </w:p>
        </w:tc>
        <w:tc>
          <w:tcPr>
            <w:tcW w:w="480" w:type="dxa"/>
            <w:vAlign w:val="bottom"/>
          </w:tcPr>
          <w:p>
            <w:pPr>
              <w:jc w:val="right"/>
              <w:ind w:right="311"/>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290.9</w:t>
            </w:r>
          </w:p>
        </w:tc>
      </w:tr>
      <w:tr>
        <w:trPr>
          <w:trHeight w:val="20"/>
        </w:trPr>
        <w:tc>
          <w:tcPr>
            <w:tcW w:w="5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9"/>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Affiliated sales</w:t>
            </w:r>
          </w:p>
        </w:tc>
        <w:tc>
          <w:tcPr>
            <w:tcW w:w="2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5.0</w:t>
            </w:r>
          </w:p>
        </w:tc>
        <w:tc>
          <w:tcPr>
            <w:tcW w:w="3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w:t>
            </w:r>
          </w:p>
        </w:tc>
      </w:tr>
      <w:tr>
        <w:trPr>
          <w:trHeight w:val="192"/>
        </w:trPr>
        <w:tc>
          <w:tcPr>
            <w:tcW w:w="56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91"/>
              <w:spacing w:after="0"/>
              <w:rPr>
                <w:sz w:val="20"/>
                <w:szCs w:val="20"/>
                <w:color w:val="auto"/>
              </w:rPr>
            </w:pPr>
            <w:r>
              <w:rPr>
                <w:rFonts w:ascii="Arial" w:cs="Arial" w:eastAsia="Arial" w:hAnsi="Arial"/>
                <w:sz w:val="14"/>
                <w:szCs w:val="14"/>
                <w:color w:val="auto"/>
              </w:rPr>
              <w:t>277.2</w:t>
            </w: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color w:val="auto"/>
              </w:rPr>
              <w:t>7.7</w:t>
            </w:r>
          </w:p>
        </w:tc>
        <w:tc>
          <w:tcPr>
            <w:tcW w:w="3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51"/>
              <w:spacing w:after="0"/>
              <w:rPr>
                <w:sz w:val="20"/>
                <w:szCs w:val="20"/>
                <w:color w:val="auto"/>
              </w:rPr>
            </w:pPr>
            <w:r>
              <w:rPr>
                <w:rFonts w:ascii="Arial" w:cs="Arial" w:eastAsia="Arial" w:hAnsi="Arial"/>
                <w:sz w:val="14"/>
                <w:szCs w:val="14"/>
                <w:color w:val="auto"/>
              </w:rPr>
              <w:t>11.0</w:t>
            </w:r>
          </w:p>
        </w:tc>
        <w:tc>
          <w:tcPr>
            <w:tcW w:w="4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295.9</w:t>
            </w:r>
          </w:p>
        </w:tc>
      </w:tr>
      <w:tr>
        <w:trPr>
          <w:trHeight w:val="20"/>
        </w:trPr>
        <w:tc>
          <w:tcPr>
            <w:tcW w:w="5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9"/>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Reconciliation of revenue</w:t>
            </w:r>
          </w:p>
        </w:tc>
        <w:tc>
          <w:tcPr>
            <w:tcW w:w="2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r>
      <w:tr>
        <w:trPr>
          <w:trHeight w:val="199"/>
        </w:trPr>
        <w:tc>
          <w:tcPr>
            <w:tcW w:w="5640" w:type="dxa"/>
            <w:vAlign w:val="bottom"/>
          </w:tcPr>
          <w:p>
            <w:pPr>
              <w:ind w:left="20"/>
              <w:spacing w:after="0"/>
              <w:rPr>
                <w:sz w:val="20"/>
                <w:szCs w:val="20"/>
                <w:color w:val="auto"/>
              </w:rPr>
            </w:pPr>
            <w:r>
              <w:rPr>
                <w:rFonts w:ascii="Arial" w:cs="Arial" w:eastAsia="Arial" w:hAnsi="Arial"/>
                <w:sz w:val="14"/>
                <w:szCs w:val="14"/>
                <w:color w:val="auto"/>
              </w:rPr>
              <w:t>Elimination of affiliated sales</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92"/>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consolidated sales</w:t>
            </w:r>
          </w:p>
        </w:tc>
        <w:tc>
          <w:tcPr>
            <w:tcW w:w="2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290.9</w:t>
            </w:r>
          </w:p>
        </w:tc>
      </w:tr>
      <w:tr>
        <w:trPr>
          <w:trHeight w:val="199"/>
        </w:trPr>
        <w:tc>
          <w:tcPr>
            <w:tcW w:w="5640" w:type="dxa"/>
            <w:vAlign w:val="bottom"/>
          </w:tcPr>
          <w:p>
            <w:pPr>
              <w:ind w:left="20"/>
              <w:spacing w:after="0"/>
              <w:rPr>
                <w:sz w:val="20"/>
                <w:szCs w:val="20"/>
                <w:color w:val="auto"/>
              </w:rPr>
            </w:pPr>
            <w:r>
              <w:rPr>
                <w:rFonts w:ascii="Arial" w:cs="Arial" w:eastAsia="Arial" w:hAnsi="Arial"/>
                <w:sz w:val="14"/>
                <w:szCs w:val="14"/>
                <w:color w:val="auto"/>
              </w:rPr>
              <w:t>Less:</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5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9"/>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Segment cost of sales</w:t>
            </w:r>
            <w:r>
              <w:rPr>
                <w:rFonts w:ascii="Arial" w:cs="Arial" w:eastAsia="Arial" w:hAnsi="Arial"/>
                <w:sz w:val="17"/>
                <w:szCs w:val="17"/>
                <w:color w:val="auto"/>
                <w:vertAlign w:val="superscript"/>
              </w:rPr>
              <w:t>(1)</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256.3</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9.1</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9.9</w:t>
            </w: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1475"/>
        </w:trPr>
        <w:tc>
          <w:tcPr>
            <w:tcW w:w="56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83"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9"/>
          <w:szCs w:val="19"/>
          <w:b w:val="1"/>
          <w:bCs w:val="1"/>
          <w:color w:val="auto"/>
        </w:rPr>
        <w:t>MISSION PRODUCE,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31"/>
              <w:spacing w:after="0"/>
              <w:rPr>
                <w:sz w:val="20"/>
                <w:szCs w:val="20"/>
                <w:color w:val="auto"/>
              </w:rPr>
            </w:pPr>
            <w:r>
              <w:rPr>
                <w:rFonts w:ascii="Arial" w:cs="Arial" w:eastAsia="Arial" w:hAnsi="Arial"/>
                <w:sz w:val="14"/>
                <w:szCs w:val="14"/>
                <w:b w:val="1"/>
                <w:bCs w:val="1"/>
                <w:color w:val="auto"/>
              </w:rPr>
              <w:t>Marketing &amp;</w:t>
            </w:r>
          </w:p>
        </w:tc>
        <w:tc>
          <w:tcPr>
            <w:tcW w:w="340" w:type="dxa"/>
            <w:vAlign w:val="bottom"/>
          </w:tcPr>
          <w:p>
            <w:pPr>
              <w:spacing w:after="0"/>
              <w:rPr>
                <w:sz w:val="14"/>
                <w:szCs w:val="14"/>
                <w:color w:val="auto"/>
              </w:rPr>
            </w:pPr>
          </w:p>
        </w:tc>
        <w:tc>
          <w:tcPr>
            <w:tcW w:w="1100" w:type="dxa"/>
            <w:vAlign w:val="bottom"/>
          </w:tcPr>
          <w:p>
            <w:pPr>
              <w:jc w:val="right"/>
              <w:ind w:right="31"/>
              <w:spacing w:after="0"/>
              <w:rPr>
                <w:sz w:val="20"/>
                <w:szCs w:val="20"/>
                <w:color w:val="auto"/>
              </w:rPr>
            </w:pPr>
            <w:r>
              <w:rPr>
                <w:rFonts w:ascii="Arial" w:cs="Arial" w:eastAsia="Arial" w:hAnsi="Arial"/>
                <w:sz w:val="14"/>
                <w:szCs w:val="14"/>
                <w:b w:val="1"/>
                <w:bCs w:val="1"/>
                <w:color w:val="auto"/>
              </w:rPr>
              <w:t>International</w:t>
            </w: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96"/>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Distribution</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Farming</w:t>
            </w: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Blueberries</w:t>
            </w:r>
          </w:p>
        </w:tc>
        <w:tc>
          <w:tcPr>
            <w:tcW w:w="4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r>
      <w:tr>
        <w:trPr>
          <w:trHeight w:val="199"/>
        </w:trPr>
        <w:tc>
          <w:tcPr>
            <w:tcW w:w="5640" w:type="dxa"/>
            <w:vAlign w:val="bottom"/>
          </w:tcPr>
          <w:p>
            <w:pPr>
              <w:ind w:left="20"/>
              <w:spacing w:after="0"/>
              <w:rPr>
                <w:sz w:val="20"/>
                <w:szCs w:val="20"/>
                <w:color w:val="auto"/>
              </w:rPr>
            </w:pPr>
            <w:r>
              <w:rPr>
                <w:rFonts w:ascii="Arial" w:cs="Arial" w:eastAsia="Arial" w:hAnsi="Arial"/>
                <w:sz w:val="14"/>
                <w:szCs w:val="14"/>
                <w:color w:val="auto"/>
              </w:rPr>
              <w:t>Segment selling, general and administrative expenses</w:t>
            </w:r>
            <w:r>
              <w:rPr>
                <w:rFonts w:ascii="Arial" w:cs="Arial" w:eastAsia="Arial" w:hAnsi="Arial"/>
                <w:sz w:val="8"/>
                <w:szCs w:val="8"/>
                <w:color w:val="auto"/>
              </w:rPr>
              <w:t>(2)</w:t>
            </w:r>
          </w:p>
        </w:tc>
        <w:tc>
          <w:tcPr>
            <w:tcW w:w="280" w:type="dxa"/>
            <w:vAlign w:val="bottom"/>
          </w:tcPr>
          <w:p>
            <w:pPr>
              <w:spacing w:after="0"/>
              <w:rPr>
                <w:sz w:val="17"/>
                <w:szCs w:val="17"/>
                <w:color w:val="auto"/>
              </w:rPr>
            </w:pPr>
          </w:p>
        </w:tc>
        <w:tc>
          <w:tcPr>
            <w:tcW w:w="1080" w:type="dxa"/>
            <w:vAlign w:val="bottom"/>
          </w:tcPr>
          <w:p>
            <w:pPr>
              <w:jc w:val="right"/>
              <w:ind w:right="91"/>
              <w:spacing w:after="0"/>
              <w:rPr>
                <w:sz w:val="20"/>
                <w:szCs w:val="20"/>
                <w:color w:val="auto"/>
              </w:rPr>
            </w:pPr>
            <w:r>
              <w:rPr>
                <w:rFonts w:ascii="Arial" w:cs="Arial" w:eastAsia="Arial" w:hAnsi="Arial"/>
                <w:sz w:val="14"/>
                <w:szCs w:val="14"/>
                <w:color w:val="auto"/>
              </w:rPr>
              <w:t>24.7</w:t>
            </w:r>
          </w:p>
        </w:tc>
        <w:tc>
          <w:tcPr>
            <w:tcW w:w="340" w:type="dxa"/>
            <w:vAlign w:val="bottom"/>
          </w:tcPr>
          <w:p>
            <w:pPr>
              <w:spacing w:after="0"/>
              <w:rPr>
                <w:sz w:val="17"/>
                <w:szCs w:val="17"/>
                <w:color w:val="auto"/>
              </w:rPr>
            </w:pPr>
          </w:p>
        </w:tc>
        <w:tc>
          <w:tcPr>
            <w:tcW w:w="1100" w:type="dxa"/>
            <w:vAlign w:val="bottom"/>
          </w:tcPr>
          <w:p>
            <w:pPr>
              <w:jc w:val="right"/>
              <w:ind w:right="71"/>
              <w:spacing w:after="0"/>
              <w:rPr>
                <w:sz w:val="20"/>
                <w:szCs w:val="20"/>
                <w:color w:val="auto"/>
              </w:rPr>
            </w:pPr>
            <w:r>
              <w:rPr>
                <w:rFonts w:ascii="Arial" w:cs="Arial" w:eastAsia="Arial" w:hAnsi="Arial"/>
                <w:sz w:val="14"/>
                <w:szCs w:val="14"/>
                <w:color w:val="auto"/>
              </w:rPr>
              <w:t>2.5</w:t>
            </w:r>
          </w:p>
        </w:tc>
        <w:tc>
          <w:tcPr>
            <w:tcW w:w="380" w:type="dxa"/>
            <w:vAlign w:val="bottom"/>
          </w:tcPr>
          <w:p>
            <w:pPr>
              <w:spacing w:after="0"/>
              <w:rPr>
                <w:sz w:val="17"/>
                <w:szCs w:val="17"/>
                <w:color w:val="auto"/>
              </w:rPr>
            </w:pPr>
          </w:p>
        </w:tc>
        <w:tc>
          <w:tcPr>
            <w:tcW w:w="1140" w:type="dxa"/>
            <w:vAlign w:val="bottom"/>
          </w:tcPr>
          <w:p>
            <w:pPr>
              <w:jc w:val="right"/>
              <w:ind w:right="151"/>
              <w:spacing w:after="0"/>
              <w:rPr>
                <w:sz w:val="20"/>
                <w:szCs w:val="20"/>
                <w:color w:val="auto"/>
              </w:rPr>
            </w:pPr>
            <w:r>
              <w:rPr>
                <w:rFonts w:ascii="Arial" w:cs="Arial" w:eastAsia="Arial" w:hAnsi="Arial"/>
                <w:sz w:val="14"/>
                <w:szCs w:val="14"/>
                <w:color w:val="auto"/>
              </w:rPr>
              <w:t>0.4</w:t>
            </w: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5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92"/>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Segment operating (loss) income</w:t>
            </w:r>
          </w:p>
        </w:tc>
        <w:tc>
          <w:tcPr>
            <w:tcW w:w="2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(3.8)</w:t>
            </w: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(3.9)</w:t>
            </w:r>
          </w:p>
        </w:tc>
        <w:tc>
          <w:tcPr>
            <w:tcW w:w="3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4"/>
                <w:szCs w:val="14"/>
                <w:color w:val="auto"/>
              </w:rPr>
              <w:t>0.7</w:t>
            </w:r>
          </w:p>
        </w:tc>
        <w:tc>
          <w:tcPr>
            <w:tcW w:w="4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w:t>
            </w:r>
          </w:p>
        </w:tc>
      </w:tr>
      <w:tr>
        <w:trPr>
          <w:trHeight w:val="199"/>
        </w:trPr>
        <w:tc>
          <w:tcPr>
            <w:tcW w:w="564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20"/>
        </w:trPr>
        <w:tc>
          <w:tcPr>
            <w:tcW w:w="5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9"/>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 method income</w:t>
            </w:r>
          </w:p>
        </w:tc>
        <w:tc>
          <w:tcPr>
            <w:tcW w:w="2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199"/>
        </w:trPr>
        <w:tc>
          <w:tcPr>
            <w:tcW w:w="5640" w:type="dxa"/>
            <w:vAlign w:val="bottom"/>
          </w:tcPr>
          <w:p>
            <w:pPr>
              <w:ind w:left="20"/>
              <w:spacing w:after="0"/>
              <w:rPr>
                <w:sz w:val="20"/>
                <w:szCs w:val="20"/>
                <w:color w:val="auto"/>
              </w:rPr>
            </w:pPr>
            <w:r>
              <w:rPr>
                <w:rFonts w:ascii="Arial" w:cs="Arial" w:eastAsia="Arial" w:hAnsi="Arial"/>
                <w:sz w:val="14"/>
                <w:szCs w:val="14"/>
                <w:color w:val="auto"/>
              </w:rPr>
              <w:t>Other expense, net</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92"/>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 before income taxes</w:t>
            </w:r>
          </w:p>
        </w:tc>
        <w:tc>
          <w:tcPr>
            <w:tcW w:w="2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w:t>
            </w:r>
          </w:p>
        </w:tc>
      </w:tr>
      <w:tr>
        <w:trPr>
          <w:trHeight w:val="206"/>
        </w:trPr>
        <w:tc>
          <w:tcPr>
            <w:tcW w:w="5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9"/>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Three months ended April 30, 2025:</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199"/>
        </w:trPr>
        <w:tc>
          <w:tcPr>
            <w:tcW w:w="5640" w:type="dxa"/>
            <w:vAlign w:val="bottom"/>
          </w:tcPr>
          <w:p>
            <w:pPr>
              <w:ind w:left="20"/>
              <w:spacing w:after="0"/>
              <w:rPr>
                <w:sz w:val="20"/>
                <w:szCs w:val="20"/>
                <w:color w:val="auto"/>
              </w:rPr>
            </w:pPr>
            <w:r>
              <w:rPr>
                <w:rFonts w:ascii="Arial" w:cs="Arial" w:eastAsia="Arial" w:hAnsi="Arial"/>
                <w:sz w:val="14"/>
                <w:szCs w:val="14"/>
                <w:color w:val="auto"/>
              </w:rPr>
              <w:t>Third-party sales</w:t>
            </w: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91"/>
              <w:spacing w:after="0"/>
              <w:rPr>
                <w:sz w:val="20"/>
                <w:szCs w:val="20"/>
                <w:color w:val="auto"/>
              </w:rPr>
            </w:pPr>
            <w:r>
              <w:rPr>
                <w:rFonts w:ascii="Arial" w:cs="Arial" w:eastAsia="Arial" w:hAnsi="Arial"/>
                <w:sz w:val="14"/>
                <w:szCs w:val="14"/>
                <w:color w:val="auto"/>
              </w:rPr>
              <w:t>362.5</w:t>
            </w:r>
          </w:p>
        </w:tc>
        <w:tc>
          <w:tcPr>
            <w:tcW w:w="34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71"/>
              <w:spacing w:after="0"/>
              <w:rPr>
                <w:sz w:val="20"/>
                <w:szCs w:val="20"/>
                <w:color w:val="auto"/>
              </w:rPr>
            </w:pPr>
            <w:r>
              <w:rPr>
                <w:rFonts w:ascii="Arial" w:cs="Arial" w:eastAsia="Arial" w:hAnsi="Arial"/>
                <w:sz w:val="14"/>
                <w:szCs w:val="14"/>
                <w:color w:val="auto"/>
              </w:rPr>
              <w:t>2.1</w:t>
            </w:r>
          </w:p>
        </w:tc>
        <w:tc>
          <w:tcPr>
            <w:tcW w:w="3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51"/>
              <w:spacing w:after="0"/>
              <w:rPr>
                <w:sz w:val="20"/>
                <w:szCs w:val="20"/>
                <w:color w:val="auto"/>
              </w:rPr>
            </w:pPr>
            <w:r>
              <w:rPr>
                <w:rFonts w:ascii="Arial" w:cs="Arial" w:eastAsia="Arial" w:hAnsi="Arial"/>
                <w:sz w:val="14"/>
                <w:szCs w:val="14"/>
                <w:color w:val="auto"/>
              </w:rPr>
              <w:t>15.7</w:t>
            </w:r>
          </w:p>
        </w:tc>
        <w:tc>
          <w:tcPr>
            <w:tcW w:w="480" w:type="dxa"/>
            <w:vAlign w:val="bottom"/>
          </w:tcPr>
          <w:p>
            <w:pPr>
              <w:jc w:val="right"/>
              <w:ind w:right="311"/>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380.3</w:t>
            </w:r>
          </w:p>
        </w:tc>
      </w:tr>
      <w:tr>
        <w:trPr>
          <w:trHeight w:val="20"/>
        </w:trPr>
        <w:tc>
          <w:tcPr>
            <w:tcW w:w="5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9"/>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Affiliated sales</w:t>
            </w:r>
          </w:p>
        </w:tc>
        <w:tc>
          <w:tcPr>
            <w:tcW w:w="2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6.0</w:t>
            </w:r>
          </w:p>
        </w:tc>
        <w:tc>
          <w:tcPr>
            <w:tcW w:w="3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w:t>
            </w:r>
          </w:p>
        </w:tc>
      </w:tr>
      <w:tr>
        <w:trPr>
          <w:trHeight w:val="192"/>
        </w:trPr>
        <w:tc>
          <w:tcPr>
            <w:tcW w:w="56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91"/>
              <w:spacing w:after="0"/>
              <w:rPr>
                <w:sz w:val="20"/>
                <w:szCs w:val="20"/>
                <w:color w:val="auto"/>
              </w:rPr>
            </w:pPr>
            <w:r>
              <w:rPr>
                <w:rFonts w:ascii="Arial" w:cs="Arial" w:eastAsia="Arial" w:hAnsi="Arial"/>
                <w:sz w:val="14"/>
                <w:szCs w:val="14"/>
                <w:color w:val="auto"/>
              </w:rPr>
              <w:t>362.5</w:t>
            </w: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color w:val="auto"/>
              </w:rPr>
              <w:t>8.1</w:t>
            </w:r>
          </w:p>
        </w:tc>
        <w:tc>
          <w:tcPr>
            <w:tcW w:w="3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51"/>
              <w:spacing w:after="0"/>
              <w:rPr>
                <w:sz w:val="20"/>
                <w:szCs w:val="20"/>
                <w:color w:val="auto"/>
              </w:rPr>
            </w:pPr>
            <w:r>
              <w:rPr>
                <w:rFonts w:ascii="Arial" w:cs="Arial" w:eastAsia="Arial" w:hAnsi="Arial"/>
                <w:sz w:val="14"/>
                <w:szCs w:val="14"/>
                <w:color w:val="auto"/>
              </w:rPr>
              <w:t>15.7</w:t>
            </w:r>
          </w:p>
        </w:tc>
        <w:tc>
          <w:tcPr>
            <w:tcW w:w="4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386.3</w:t>
            </w:r>
          </w:p>
        </w:tc>
      </w:tr>
      <w:tr>
        <w:trPr>
          <w:trHeight w:val="20"/>
        </w:trPr>
        <w:tc>
          <w:tcPr>
            <w:tcW w:w="5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9"/>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Reconciliation of revenue</w:t>
            </w:r>
          </w:p>
        </w:tc>
        <w:tc>
          <w:tcPr>
            <w:tcW w:w="2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r>
      <w:tr>
        <w:trPr>
          <w:trHeight w:val="199"/>
        </w:trPr>
        <w:tc>
          <w:tcPr>
            <w:tcW w:w="5640" w:type="dxa"/>
            <w:vAlign w:val="bottom"/>
          </w:tcPr>
          <w:p>
            <w:pPr>
              <w:ind w:left="20"/>
              <w:spacing w:after="0"/>
              <w:rPr>
                <w:sz w:val="20"/>
                <w:szCs w:val="20"/>
                <w:color w:val="auto"/>
              </w:rPr>
            </w:pPr>
            <w:r>
              <w:rPr>
                <w:rFonts w:ascii="Arial" w:cs="Arial" w:eastAsia="Arial" w:hAnsi="Arial"/>
                <w:sz w:val="14"/>
                <w:szCs w:val="14"/>
                <w:color w:val="auto"/>
              </w:rPr>
              <w:t>Elimination of affiliated sales</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92"/>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consolidated sales</w:t>
            </w:r>
          </w:p>
        </w:tc>
        <w:tc>
          <w:tcPr>
            <w:tcW w:w="2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380.3</w:t>
            </w:r>
          </w:p>
        </w:tc>
      </w:tr>
      <w:tr>
        <w:trPr>
          <w:trHeight w:val="199"/>
        </w:trPr>
        <w:tc>
          <w:tcPr>
            <w:tcW w:w="5640" w:type="dxa"/>
            <w:vAlign w:val="bottom"/>
          </w:tcPr>
          <w:p>
            <w:pPr>
              <w:ind w:left="20"/>
              <w:spacing w:after="0"/>
              <w:rPr>
                <w:sz w:val="20"/>
                <w:szCs w:val="20"/>
                <w:color w:val="auto"/>
              </w:rPr>
            </w:pPr>
            <w:r>
              <w:rPr>
                <w:rFonts w:ascii="Arial" w:cs="Arial" w:eastAsia="Arial" w:hAnsi="Arial"/>
                <w:sz w:val="14"/>
                <w:szCs w:val="14"/>
                <w:color w:val="auto"/>
              </w:rPr>
              <w:t>Less:</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5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9"/>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Segment cost of sales</w:t>
            </w:r>
            <w:r>
              <w:rPr>
                <w:rFonts w:ascii="Arial" w:cs="Arial" w:eastAsia="Arial" w:hAnsi="Arial"/>
                <w:sz w:val="8"/>
                <w:szCs w:val="8"/>
                <w:color w:val="auto"/>
              </w:rPr>
              <w:t>(1)</w:t>
            </w:r>
          </w:p>
        </w:tc>
        <w:tc>
          <w:tcPr>
            <w:tcW w:w="2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rPr>
              <w:t>336.4</w:t>
            </w: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7.6</w:t>
            </w:r>
          </w:p>
        </w:tc>
        <w:tc>
          <w:tcPr>
            <w:tcW w:w="3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4"/>
                <w:szCs w:val="14"/>
                <w:color w:val="auto"/>
              </w:rPr>
              <w:t>14.2</w:t>
            </w:r>
          </w:p>
        </w:tc>
        <w:tc>
          <w:tcPr>
            <w:tcW w:w="4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r>
      <w:tr>
        <w:trPr>
          <w:trHeight w:val="199"/>
        </w:trPr>
        <w:tc>
          <w:tcPr>
            <w:tcW w:w="5640" w:type="dxa"/>
            <w:vAlign w:val="bottom"/>
          </w:tcPr>
          <w:p>
            <w:pPr>
              <w:ind w:left="20"/>
              <w:spacing w:after="0"/>
              <w:rPr>
                <w:sz w:val="20"/>
                <w:szCs w:val="20"/>
                <w:color w:val="auto"/>
              </w:rPr>
            </w:pPr>
            <w:r>
              <w:rPr>
                <w:rFonts w:ascii="Arial" w:cs="Arial" w:eastAsia="Arial" w:hAnsi="Arial"/>
                <w:sz w:val="14"/>
                <w:szCs w:val="14"/>
                <w:color w:val="auto"/>
              </w:rPr>
              <w:t>Segment selling, general and administrative expenses</w:t>
            </w:r>
            <w:r>
              <w:rPr>
                <w:rFonts w:ascii="Arial" w:cs="Arial" w:eastAsia="Arial" w:hAnsi="Arial"/>
                <w:sz w:val="8"/>
                <w:szCs w:val="8"/>
                <w:color w:val="auto"/>
              </w:rPr>
              <w:t>(2)</w:t>
            </w:r>
          </w:p>
        </w:tc>
        <w:tc>
          <w:tcPr>
            <w:tcW w:w="280" w:type="dxa"/>
            <w:vAlign w:val="bottom"/>
          </w:tcPr>
          <w:p>
            <w:pPr>
              <w:spacing w:after="0"/>
              <w:rPr>
                <w:sz w:val="17"/>
                <w:szCs w:val="17"/>
                <w:color w:val="auto"/>
              </w:rPr>
            </w:pPr>
          </w:p>
        </w:tc>
        <w:tc>
          <w:tcPr>
            <w:tcW w:w="1080" w:type="dxa"/>
            <w:vAlign w:val="bottom"/>
          </w:tcPr>
          <w:p>
            <w:pPr>
              <w:jc w:val="right"/>
              <w:ind w:right="91"/>
              <w:spacing w:after="0"/>
              <w:rPr>
                <w:sz w:val="20"/>
                <w:szCs w:val="20"/>
                <w:color w:val="auto"/>
              </w:rPr>
            </w:pPr>
            <w:r>
              <w:rPr>
                <w:rFonts w:ascii="Arial" w:cs="Arial" w:eastAsia="Arial" w:hAnsi="Arial"/>
                <w:sz w:val="14"/>
                <w:szCs w:val="14"/>
                <w:color w:val="auto"/>
              </w:rPr>
              <w:t>18.5</w:t>
            </w:r>
          </w:p>
        </w:tc>
        <w:tc>
          <w:tcPr>
            <w:tcW w:w="340" w:type="dxa"/>
            <w:vAlign w:val="bottom"/>
          </w:tcPr>
          <w:p>
            <w:pPr>
              <w:spacing w:after="0"/>
              <w:rPr>
                <w:sz w:val="17"/>
                <w:szCs w:val="17"/>
                <w:color w:val="auto"/>
              </w:rPr>
            </w:pPr>
          </w:p>
        </w:tc>
        <w:tc>
          <w:tcPr>
            <w:tcW w:w="1100" w:type="dxa"/>
            <w:vAlign w:val="bottom"/>
          </w:tcPr>
          <w:p>
            <w:pPr>
              <w:jc w:val="right"/>
              <w:ind w:right="71"/>
              <w:spacing w:after="0"/>
              <w:rPr>
                <w:sz w:val="20"/>
                <w:szCs w:val="20"/>
                <w:color w:val="auto"/>
              </w:rPr>
            </w:pPr>
            <w:r>
              <w:rPr>
                <w:rFonts w:ascii="Arial" w:cs="Arial" w:eastAsia="Arial" w:hAnsi="Arial"/>
                <w:sz w:val="14"/>
                <w:szCs w:val="14"/>
                <w:color w:val="auto"/>
              </w:rPr>
              <w:t>1.8</w:t>
            </w:r>
          </w:p>
        </w:tc>
        <w:tc>
          <w:tcPr>
            <w:tcW w:w="380" w:type="dxa"/>
            <w:vAlign w:val="bottom"/>
          </w:tcPr>
          <w:p>
            <w:pPr>
              <w:spacing w:after="0"/>
              <w:rPr>
                <w:sz w:val="17"/>
                <w:szCs w:val="17"/>
                <w:color w:val="auto"/>
              </w:rPr>
            </w:pPr>
          </w:p>
        </w:tc>
        <w:tc>
          <w:tcPr>
            <w:tcW w:w="1140" w:type="dxa"/>
            <w:vAlign w:val="bottom"/>
          </w:tcPr>
          <w:p>
            <w:pPr>
              <w:jc w:val="right"/>
              <w:ind w:right="151"/>
              <w:spacing w:after="0"/>
              <w:rPr>
                <w:sz w:val="20"/>
                <w:szCs w:val="20"/>
                <w:color w:val="auto"/>
              </w:rPr>
            </w:pPr>
            <w:r>
              <w:rPr>
                <w:rFonts w:ascii="Arial" w:cs="Arial" w:eastAsia="Arial" w:hAnsi="Arial"/>
                <w:sz w:val="14"/>
                <w:szCs w:val="14"/>
                <w:color w:val="auto"/>
              </w:rPr>
              <w:t>0.9</w:t>
            </w: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5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92"/>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Segment operating income (loss)</w:t>
            </w:r>
          </w:p>
        </w:tc>
        <w:tc>
          <w:tcPr>
            <w:tcW w:w="2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rPr>
              <w:t>7.6</w:t>
            </w: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(1.3)</w:t>
            </w:r>
          </w:p>
        </w:tc>
        <w:tc>
          <w:tcPr>
            <w:tcW w:w="3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4"/>
                <w:szCs w:val="14"/>
                <w:color w:val="auto"/>
              </w:rPr>
              <w:t>0.6</w:t>
            </w:r>
          </w:p>
        </w:tc>
        <w:tc>
          <w:tcPr>
            <w:tcW w:w="4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w:t>
            </w:r>
          </w:p>
        </w:tc>
      </w:tr>
      <w:tr>
        <w:trPr>
          <w:trHeight w:val="199"/>
        </w:trPr>
        <w:tc>
          <w:tcPr>
            <w:tcW w:w="564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20"/>
        </w:trPr>
        <w:tc>
          <w:tcPr>
            <w:tcW w:w="5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9"/>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 method income</w:t>
            </w:r>
          </w:p>
        </w:tc>
        <w:tc>
          <w:tcPr>
            <w:tcW w:w="2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0.9</w:t>
            </w:r>
          </w:p>
        </w:tc>
      </w:tr>
      <w:tr>
        <w:trPr>
          <w:trHeight w:val="199"/>
        </w:trPr>
        <w:tc>
          <w:tcPr>
            <w:tcW w:w="5640" w:type="dxa"/>
            <w:vAlign w:val="bottom"/>
          </w:tcPr>
          <w:p>
            <w:pPr>
              <w:ind w:left="20"/>
              <w:spacing w:after="0"/>
              <w:rPr>
                <w:sz w:val="20"/>
                <w:szCs w:val="20"/>
                <w:color w:val="auto"/>
              </w:rPr>
            </w:pPr>
            <w:r>
              <w:rPr>
                <w:rFonts w:ascii="Arial" w:cs="Arial" w:eastAsia="Arial" w:hAnsi="Arial"/>
                <w:sz w:val="14"/>
                <w:szCs w:val="14"/>
                <w:color w:val="auto"/>
              </w:rPr>
              <w:t>Other expense, net</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(0.6)</w:t>
            </w: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92"/>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2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w:t>
            </w:r>
          </w:p>
        </w:tc>
      </w:tr>
      <w:tr>
        <w:trPr>
          <w:trHeight w:val="193"/>
        </w:trPr>
        <w:tc>
          <w:tcPr>
            <w:tcW w:w="5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19"/>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Six months ended April 30, 2026:</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199"/>
        </w:trPr>
        <w:tc>
          <w:tcPr>
            <w:tcW w:w="5640" w:type="dxa"/>
            <w:vAlign w:val="bottom"/>
          </w:tcPr>
          <w:p>
            <w:pPr>
              <w:ind w:left="20"/>
              <w:spacing w:after="0"/>
              <w:rPr>
                <w:sz w:val="20"/>
                <w:szCs w:val="20"/>
                <w:color w:val="auto"/>
              </w:rPr>
            </w:pPr>
            <w:r>
              <w:rPr>
                <w:rFonts w:ascii="Arial" w:cs="Arial" w:eastAsia="Arial" w:hAnsi="Arial"/>
                <w:sz w:val="14"/>
                <w:szCs w:val="14"/>
                <w:color w:val="auto"/>
              </w:rPr>
              <w:t>Third-party sales</w:t>
            </w: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91"/>
              <w:spacing w:after="0"/>
              <w:rPr>
                <w:sz w:val="20"/>
                <w:szCs w:val="20"/>
                <w:color w:val="auto"/>
              </w:rPr>
            </w:pPr>
            <w:r>
              <w:rPr>
                <w:rFonts w:ascii="Arial" w:cs="Arial" w:eastAsia="Arial" w:hAnsi="Arial"/>
                <w:sz w:val="14"/>
                <w:szCs w:val="14"/>
                <w:color w:val="auto"/>
              </w:rPr>
              <w:t>512.0</w:t>
            </w:r>
          </w:p>
        </w:tc>
        <w:tc>
          <w:tcPr>
            <w:tcW w:w="34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71"/>
              <w:spacing w:after="0"/>
              <w:rPr>
                <w:sz w:val="20"/>
                <w:szCs w:val="20"/>
                <w:color w:val="auto"/>
              </w:rPr>
            </w:pPr>
            <w:r>
              <w:rPr>
                <w:rFonts w:ascii="Arial" w:cs="Arial" w:eastAsia="Arial" w:hAnsi="Arial"/>
                <w:sz w:val="14"/>
                <w:szCs w:val="14"/>
                <w:color w:val="auto"/>
              </w:rPr>
              <w:t>5.7</w:t>
            </w:r>
          </w:p>
        </w:tc>
        <w:tc>
          <w:tcPr>
            <w:tcW w:w="3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51"/>
              <w:spacing w:after="0"/>
              <w:rPr>
                <w:sz w:val="20"/>
                <w:szCs w:val="20"/>
                <w:color w:val="auto"/>
              </w:rPr>
            </w:pPr>
            <w:r>
              <w:rPr>
                <w:rFonts w:ascii="Arial" w:cs="Arial" w:eastAsia="Arial" w:hAnsi="Arial"/>
                <w:sz w:val="14"/>
                <w:szCs w:val="14"/>
                <w:color w:val="auto"/>
              </w:rPr>
              <w:t>51.8</w:t>
            </w:r>
          </w:p>
        </w:tc>
        <w:tc>
          <w:tcPr>
            <w:tcW w:w="480" w:type="dxa"/>
            <w:vAlign w:val="bottom"/>
          </w:tcPr>
          <w:p>
            <w:pPr>
              <w:jc w:val="right"/>
              <w:ind w:right="311"/>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569.5</w:t>
            </w:r>
          </w:p>
        </w:tc>
      </w:tr>
      <w:tr>
        <w:trPr>
          <w:trHeight w:val="20"/>
        </w:trPr>
        <w:tc>
          <w:tcPr>
            <w:tcW w:w="5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9"/>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Affiliated sales</w:t>
            </w:r>
          </w:p>
        </w:tc>
        <w:tc>
          <w:tcPr>
            <w:tcW w:w="2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12.6</w:t>
            </w:r>
          </w:p>
        </w:tc>
        <w:tc>
          <w:tcPr>
            <w:tcW w:w="3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w:t>
            </w:r>
          </w:p>
        </w:tc>
      </w:tr>
      <w:tr>
        <w:trPr>
          <w:trHeight w:val="192"/>
        </w:trPr>
        <w:tc>
          <w:tcPr>
            <w:tcW w:w="56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91"/>
              <w:spacing w:after="0"/>
              <w:rPr>
                <w:sz w:val="20"/>
                <w:szCs w:val="20"/>
                <w:color w:val="auto"/>
              </w:rPr>
            </w:pPr>
            <w:r>
              <w:rPr>
                <w:rFonts w:ascii="Arial" w:cs="Arial" w:eastAsia="Arial" w:hAnsi="Arial"/>
                <w:sz w:val="14"/>
                <w:szCs w:val="14"/>
                <w:color w:val="auto"/>
              </w:rPr>
              <w:t>512.0</w:t>
            </w: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color w:val="auto"/>
              </w:rPr>
              <w:t>18.3</w:t>
            </w:r>
          </w:p>
        </w:tc>
        <w:tc>
          <w:tcPr>
            <w:tcW w:w="3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51"/>
              <w:spacing w:after="0"/>
              <w:rPr>
                <w:sz w:val="20"/>
                <w:szCs w:val="20"/>
                <w:color w:val="auto"/>
              </w:rPr>
            </w:pPr>
            <w:r>
              <w:rPr>
                <w:rFonts w:ascii="Arial" w:cs="Arial" w:eastAsia="Arial" w:hAnsi="Arial"/>
                <w:sz w:val="14"/>
                <w:szCs w:val="14"/>
                <w:color w:val="auto"/>
              </w:rPr>
              <w:t>51.8</w:t>
            </w:r>
          </w:p>
        </w:tc>
        <w:tc>
          <w:tcPr>
            <w:tcW w:w="4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582.1</w:t>
            </w:r>
          </w:p>
        </w:tc>
      </w:tr>
      <w:tr>
        <w:trPr>
          <w:trHeight w:val="20"/>
        </w:trPr>
        <w:tc>
          <w:tcPr>
            <w:tcW w:w="5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9"/>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Reconciliation of revenue</w:t>
            </w:r>
          </w:p>
        </w:tc>
        <w:tc>
          <w:tcPr>
            <w:tcW w:w="2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r>
      <w:tr>
        <w:trPr>
          <w:trHeight w:val="199"/>
        </w:trPr>
        <w:tc>
          <w:tcPr>
            <w:tcW w:w="5640" w:type="dxa"/>
            <w:vAlign w:val="bottom"/>
          </w:tcPr>
          <w:p>
            <w:pPr>
              <w:ind w:left="20"/>
              <w:spacing w:after="0"/>
              <w:rPr>
                <w:sz w:val="20"/>
                <w:szCs w:val="20"/>
                <w:color w:val="auto"/>
              </w:rPr>
            </w:pPr>
            <w:r>
              <w:rPr>
                <w:rFonts w:ascii="Arial" w:cs="Arial" w:eastAsia="Arial" w:hAnsi="Arial"/>
                <w:sz w:val="14"/>
                <w:szCs w:val="14"/>
                <w:color w:val="auto"/>
              </w:rPr>
              <w:t>Elimination of affiliated sales</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(12.6)</w:t>
            </w: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92"/>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consolidated sales</w:t>
            </w:r>
          </w:p>
        </w:tc>
        <w:tc>
          <w:tcPr>
            <w:tcW w:w="2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569.5</w:t>
            </w:r>
          </w:p>
        </w:tc>
      </w:tr>
      <w:tr>
        <w:trPr>
          <w:trHeight w:val="199"/>
        </w:trPr>
        <w:tc>
          <w:tcPr>
            <w:tcW w:w="5640" w:type="dxa"/>
            <w:vAlign w:val="bottom"/>
          </w:tcPr>
          <w:p>
            <w:pPr>
              <w:ind w:left="20"/>
              <w:spacing w:after="0"/>
              <w:rPr>
                <w:sz w:val="20"/>
                <w:szCs w:val="20"/>
                <w:color w:val="auto"/>
              </w:rPr>
            </w:pPr>
            <w:r>
              <w:rPr>
                <w:rFonts w:ascii="Arial" w:cs="Arial" w:eastAsia="Arial" w:hAnsi="Arial"/>
                <w:sz w:val="14"/>
                <w:szCs w:val="14"/>
                <w:color w:val="auto"/>
              </w:rPr>
              <w:t>Less:</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5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9"/>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Segment cost of sales</w:t>
            </w:r>
            <w:r>
              <w:rPr>
                <w:rFonts w:ascii="Arial" w:cs="Arial" w:eastAsia="Arial" w:hAnsi="Arial"/>
                <w:sz w:val="8"/>
                <w:szCs w:val="8"/>
                <w:color w:val="auto"/>
              </w:rPr>
              <w:t>(1)</w:t>
            </w:r>
          </w:p>
        </w:tc>
        <w:tc>
          <w:tcPr>
            <w:tcW w:w="2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rPr>
              <w:t>464.3</w:t>
            </w: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16.6</w:t>
            </w:r>
          </w:p>
        </w:tc>
        <w:tc>
          <w:tcPr>
            <w:tcW w:w="3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4"/>
                <w:szCs w:val="14"/>
                <w:color w:val="auto"/>
              </w:rPr>
              <w:t>49.1</w:t>
            </w:r>
          </w:p>
        </w:tc>
        <w:tc>
          <w:tcPr>
            <w:tcW w:w="4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r>
      <w:tr>
        <w:trPr>
          <w:trHeight w:val="199"/>
        </w:trPr>
        <w:tc>
          <w:tcPr>
            <w:tcW w:w="5640" w:type="dxa"/>
            <w:vAlign w:val="bottom"/>
          </w:tcPr>
          <w:p>
            <w:pPr>
              <w:ind w:left="20"/>
              <w:spacing w:after="0"/>
              <w:rPr>
                <w:sz w:val="20"/>
                <w:szCs w:val="20"/>
                <w:color w:val="auto"/>
              </w:rPr>
            </w:pPr>
            <w:r>
              <w:rPr>
                <w:rFonts w:ascii="Arial" w:cs="Arial" w:eastAsia="Arial" w:hAnsi="Arial"/>
                <w:sz w:val="14"/>
                <w:szCs w:val="14"/>
                <w:color w:val="auto"/>
              </w:rPr>
              <w:t>Segment selling, general and administrative expenses</w:t>
            </w:r>
            <w:r>
              <w:rPr>
                <w:rFonts w:ascii="Arial" w:cs="Arial" w:eastAsia="Arial" w:hAnsi="Arial"/>
                <w:sz w:val="8"/>
                <w:szCs w:val="8"/>
                <w:color w:val="auto"/>
              </w:rPr>
              <w:t>(2)</w:t>
            </w:r>
          </w:p>
        </w:tc>
        <w:tc>
          <w:tcPr>
            <w:tcW w:w="280" w:type="dxa"/>
            <w:vAlign w:val="bottom"/>
          </w:tcPr>
          <w:p>
            <w:pPr>
              <w:spacing w:after="0"/>
              <w:rPr>
                <w:sz w:val="17"/>
                <w:szCs w:val="17"/>
                <w:color w:val="auto"/>
              </w:rPr>
            </w:pPr>
          </w:p>
        </w:tc>
        <w:tc>
          <w:tcPr>
            <w:tcW w:w="1080" w:type="dxa"/>
            <w:vAlign w:val="bottom"/>
          </w:tcPr>
          <w:p>
            <w:pPr>
              <w:jc w:val="right"/>
              <w:ind w:right="91"/>
              <w:spacing w:after="0"/>
              <w:rPr>
                <w:sz w:val="20"/>
                <w:szCs w:val="20"/>
                <w:color w:val="auto"/>
              </w:rPr>
            </w:pPr>
            <w:r>
              <w:rPr>
                <w:rFonts w:ascii="Arial" w:cs="Arial" w:eastAsia="Arial" w:hAnsi="Arial"/>
                <w:sz w:val="14"/>
                <w:szCs w:val="14"/>
                <w:color w:val="auto"/>
              </w:rPr>
              <w:t>50.4</w:t>
            </w:r>
          </w:p>
        </w:tc>
        <w:tc>
          <w:tcPr>
            <w:tcW w:w="340" w:type="dxa"/>
            <w:vAlign w:val="bottom"/>
          </w:tcPr>
          <w:p>
            <w:pPr>
              <w:spacing w:after="0"/>
              <w:rPr>
                <w:sz w:val="17"/>
                <w:szCs w:val="17"/>
                <w:color w:val="auto"/>
              </w:rPr>
            </w:pPr>
          </w:p>
        </w:tc>
        <w:tc>
          <w:tcPr>
            <w:tcW w:w="1100" w:type="dxa"/>
            <w:vAlign w:val="bottom"/>
          </w:tcPr>
          <w:p>
            <w:pPr>
              <w:jc w:val="right"/>
              <w:ind w:right="71"/>
              <w:spacing w:after="0"/>
              <w:rPr>
                <w:sz w:val="20"/>
                <w:szCs w:val="20"/>
                <w:color w:val="auto"/>
              </w:rPr>
            </w:pPr>
            <w:r>
              <w:rPr>
                <w:rFonts w:ascii="Arial" w:cs="Arial" w:eastAsia="Arial" w:hAnsi="Arial"/>
                <w:sz w:val="14"/>
                <w:szCs w:val="14"/>
                <w:color w:val="auto"/>
              </w:rPr>
              <w:t>5.3</w:t>
            </w:r>
          </w:p>
        </w:tc>
        <w:tc>
          <w:tcPr>
            <w:tcW w:w="380" w:type="dxa"/>
            <w:vAlign w:val="bottom"/>
          </w:tcPr>
          <w:p>
            <w:pPr>
              <w:spacing w:after="0"/>
              <w:rPr>
                <w:sz w:val="17"/>
                <w:szCs w:val="17"/>
                <w:color w:val="auto"/>
              </w:rPr>
            </w:pPr>
          </w:p>
        </w:tc>
        <w:tc>
          <w:tcPr>
            <w:tcW w:w="1140" w:type="dxa"/>
            <w:vAlign w:val="bottom"/>
          </w:tcPr>
          <w:p>
            <w:pPr>
              <w:jc w:val="right"/>
              <w:ind w:right="151"/>
              <w:spacing w:after="0"/>
              <w:rPr>
                <w:sz w:val="20"/>
                <w:szCs w:val="20"/>
                <w:color w:val="auto"/>
              </w:rPr>
            </w:pPr>
            <w:r>
              <w:rPr>
                <w:rFonts w:ascii="Arial" w:cs="Arial" w:eastAsia="Arial" w:hAnsi="Arial"/>
                <w:sz w:val="14"/>
                <w:szCs w:val="14"/>
                <w:color w:val="auto"/>
              </w:rPr>
              <w:t>0.9</w:t>
            </w: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5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92"/>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Segment operating (loss) income</w:t>
            </w:r>
          </w:p>
        </w:tc>
        <w:tc>
          <w:tcPr>
            <w:tcW w:w="2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(2.7)</w:t>
            </w: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(3.6)</w:t>
            </w:r>
          </w:p>
        </w:tc>
        <w:tc>
          <w:tcPr>
            <w:tcW w:w="3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4"/>
                <w:szCs w:val="14"/>
                <w:color w:val="auto"/>
              </w:rPr>
              <w:t>1.8</w:t>
            </w:r>
          </w:p>
        </w:tc>
        <w:tc>
          <w:tcPr>
            <w:tcW w:w="4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w:t>
            </w:r>
          </w:p>
        </w:tc>
      </w:tr>
      <w:tr>
        <w:trPr>
          <w:trHeight w:val="199"/>
        </w:trPr>
        <w:tc>
          <w:tcPr>
            <w:tcW w:w="564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0"/>
        </w:trPr>
        <w:tc>
          <w:tcPr>
            <w:tcW w:w="5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9"/>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 method income</w:t>
            </w:r>
          </w:p>
        </w:tc>
        <w:tc>
          <w:tcPr>
            <w:tcW w:w="2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w:t>
            </w:r>
          </w:p>
        </w:tc>
      </w:tr>
      <w:tr>
        <w:trPr>
          <w:trHeight w:val="199"/>
        </w:trPr>
        <w:tc>
          <w:tcPr>
            <w:tcW w:w="5640" w:type="dxa"/>
            <w:vAlign w:val="bottom"/>
          </w:tcPr>
          <w:p>
            <w:pPr>
              <w:ind w:left="20"/>
              <w:spacing w:after="0"/>
              <w:rPr>
                <w:sz w:val="20"/>
                <w:szCs w:val="20"/>
                <w:color w:val="auto"/>
              </w:rPr>
            </w:pPr>
            <w:r>
              <w:rPr>
                <w:rFonts w:ascii="Arial" w:cs="Arial" w:eastAsia="Arial" w:hAnsi="Arial"/>
                <w:sz w:val="14"/>
                <w:szCs w:val="14"/>
                <w:color w:val="auto"/>
              </w:rPr>
              <w:t>Other income, net</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92"/>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 before income taxes</w:t>
            </w:r>
          </w:p>
        </w:tc>
        <w:tc>
          <w:tcPr>
            <w:tcW w:w="2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w:t>
            </w:r>
          </w:p>
        </w:tc>
      </w:tr>
      <w:tr>
        <w:trPr>
          <w:trHeight w:val="206"/>
        </w:trPr>
        <w:tc>
          <w:tcPr>
            <w:tcW w:w="5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9"/>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Six months ended April 30, 2025:</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199"/>
        </w:trPr>
        <w:tc>
          <w:tcPr>
            <w:tcW w:w="5640" w:type="dxa"/>
            <w:vAlign w:val="bottom"/>
          </w:tcPr>
          <w:p>
            <w:pPr>
              <w:ind w:left="20"/>
              <w:spacing w:after="0"/>
              <w:rPr>
                <w:sz w:val="20"/>
                <w:szCs w:val="20"/>
                <w:color w:val="auto"/>
              </w:rPr>
            </w:pPr>
            <w:r>
              <w:rPr>
                <w:rFonts w:ascii="Arial" w:cs="Arial" w:eastAsia="Arial" w:hAnsi="Arial"/>
                <w:sz w:val="14"/>
                <w:szCs w:val="14"/>
                <w:color w:val="auto"/>
              </w:rPr>
              <w:t>Third-party sales</w:t>
            </w: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91"/>
              <w:spacing w:after="0"/>
              <w:rPr>
                <w:sz w:val="20"/>
                <w:szCs w:val="20"/>
                <w:color w:val="auto"/>
              </w:rPr>
            </w:pPr>
            <w:r>
              <w:rPr>
                <w:rFonts w:ascii="Arial" w:cs="Arial" w:eastAsia="Arial" w:hAnsi="Arial"/>
                <w:sz w:val="14"/>
                <w:szCs w:val="14"/>
                <w:color w:val="auto"/>
              </w:rPr>
              <w:t>658.3</w:t>
            </w:r>
          </w:p>
        </w:tc>
        <w:tc>
          <w:tcPr>
            <w:tcW w:w="34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71"/>
              <w:spacing w:after="0"/>
              <w:rPr>
                <w:sz w:val="20"/>
                <w:szCs w:val="20"/>
                <w:color w:val="auto"/>
              </w:rPr>
            </w:pPr>
            <w:r>
              <w:rPr>
                <w:rFonts w:ascii="Arial" w:cs="Arial" w:eastAsia="Arial" w:hAnsi="Arial"/>
                <w:sz w:val="14"/>
                <w:szCs w:val="14"/>
                <w:color w:val="auto"/>
              </w:rPr>
              <w:t>4.1</w:t>
            </w:r>
          </w:p>
        </w:tc>
        <w:tc>
          <w:tcPr>
            <w:tcW w:w="3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51"/>
              <w:spacing w:after="0"/>
              <w:rPr>
                <w:sz w:val="20"/>
                <w:szCs w:val="20"/>
                <w:color w:val="auto"/>
              </w:rPr>
            </w:pPr>
            <w:r>
              <w:rPr>
                <w:rFonts w:ascii="Arial" w:cs="Arial" w:eastAsia="Arial" w:hAnsi="Arial"/>
                <w:sz w:val="14"/>
                <w:szCs w:val="14"/>
                <w:color w:val="auto"/>
              </w:rPr>
              <w:t>52.1</w:t>
            </w:r>
          </w:p>
        </w:tc>
        <w:tc>
          <w:tcPr>
            <w:tcW w:w="480" w:type="dxa"/>
            <w:vAlign w:val="bottom"/>
          </w:tcPr>
          <w:p>
            <w:pPr>
              <w:jc w:val="right"/>
              <w:ind w:right="311"/>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714.5</w:t>
            </w:r>
          </w:p>
        </w:tc>
      </w:tr>
      <w:tr>
        <w:trPr>
          <w:trHeight w:val="20"/>
        </w:trPr>
        <w:tc>
          <w:tcPr>
            <w:tcW w:w="5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9"/>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Affiliated sales</w:t>
            </w:r>
          </w:p>
        </w:tc>
        <w:tc>
          <w:tcPr>
            <w:tcW w:w="2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13.2</w:t>
            </w:r>
          </w:p>
        </w:tc>
        <w:tc>
          <w:tcPr>
            <w:tcW w:w="3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w:t>
            </w:r>
          </w:p>
        </w:tc>
      </w:tr>
      <w:tr>
        <w:trPr>
          <w:trHeight w:val="192"/>
        </w:trPr>
        <w:tc>
          <w:tcPr>
            <w:tcW w:w="56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91"/>
              <w:spacing w:after="0"/>
              <w:rPr>
                <w:sz w:val="20"/>
                <w:szCs w:val="20"/>
                <w:color w:val="auto"/>
              </w:rPr>
            </w:pPr>
            <w:r>
              <w:rPr>
                <w:rFonts w:ascii="Arial" w:cs="Arial" w:eastAsia="Arial" w:hAnsi="Arial"/>
                <w:sz w:val="14"/>
                <w:szCs w:val="14"/>
                <w:color w:val="auto"/>
              </w:rPr>
              <w:t>658.3</w:t>
            </w: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color w:val="auto"/>
              </w:rPr>
              <w:t>17.3</w:t>
            </w:r>
          </w:p>
        </w:tc>
        <w:tc>
          <w:tcPr>
            <w:tcW w:w="3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51"/>
              <w:spacing w:after="0"/>
              <w:rPr>
                <w:sz w:val="20"/>
                <w:szCs w:val="20"/>
                <w:color w:val="auto"/>
              </w:rPr>
            </w:pPr>
            <w:r>
              <w:rPr>
                <w:rFonts w:ascii="Arial" w:cs="Arial" w:eastAsia="Arial" w:hAnsi="Arial"/>
                <w:sz w:val="14"/>
                <w:szCs w:val="14"/>
                <w:color w:val="auto"/>
              </w:rPr>
              <w:t>52.1</w:t>
            </w:r>
          </w:p>
        </w:tc>
        <w:tc>
          <w:tcPr>
            <w:tcW w:w="4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727.7</w:t>
            </w:r>
          </w:p>
        </w:tc>
      </w:tr>
      <w:tr>
        <w:trPr>
          <w:trHeight w:val="20"/>
        </w:trPr>
        <w:tc>
          <w:tcPr>
            <w:tcW w:w="5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9"/>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Reconciliation of revenue</w:t>
            </w:r>
          </w:p>
        </w:tc>
        <w:tc>
          <w:tcPr>
            <w:tcW w:w="2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r>
      <w:tr>
        <w:trPr>
          <w:trHeight w:val="199"/>
        </w:trPr>
        <w:tc>
          <w:tcPr>
            <w:tcW w:w="5640" w:type="dxa"/>
            <w:vAlign w:val="bottom"/>
          </w:tcPr>
          <w:p>
            <w:pPr>
              <w:ind w:left="20"/>
              <w:spacing w:after="0"/>
              <w:rPr>
                <w:sz w:val="20"/>
                <w:szCs w:val="20"/>
                <w:color w:val="auto"/>
              </w:rPr>
            </w:pPr>
            <w:r>
              <w:rPr>
                <w:rFonts w:ascii="Arial" w:cs="Arial" w:eastAsia="Arial" w:hAnsi="Arial"/>
                <w:sz w:val="14"/>
                <w:szCs w:val="14"/>
                <w:color w:val="auto"/>
              </w:rPr>
              <w:t>Elimination of affiliated sales</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(13.2)</w:t>
            </w: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92"/>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consolidated sales</w:t>
            </w:r>
          </w:p>
        </w:tc>
        <w:tc>
          <w:tcPr>
            <w:tcW w:w="2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714.5</w:t>
            </w:r>
          </w:p>
        </w:tc>
      </w:tr>
      <w:tr>
        <w:trPr>
          <w:trHeight w:val="199"/>
        </w:trPr>
        <w:tc>
          <w:tcPr>
            <w:tcW w:w="5640" w:type="dxa"/>
            <w:vAlign w:val="bottom"/>
          </w:tcPr>
          <w:p>
            <w:pPr>
              <w:ind w:left="20"/>
              <w:spacing w:after="0"/>
              <w:rPr>
                <w:sz w:val="20"/>
                <w:szCs w:val="20"/>
                <w:color w:val="auto"/>
              </w:rPr>
            </w:pPr>
            <w:r>
              <w:rPr>
                <w:rFonts w:ascii="Arial" w:cs="Arial" w:eastAsia="Arial" w:hAnsi="Arial"/>
                <w:sz w:val="14"/>
                <w:szCs w:val="14"/>
                <w:color w:val="auto"/>
              </w:rPr>
              <w:t>Less:</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5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9"/>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Segment cost of sales</w:t>
            </w:r>
            <w:r>
              <w:rPr>
                <w:rFonts w:ascii="Arial" w:cs="Arial" w:eastAsia="Arial" w:hAnsi="Arial"/>
                <w:sz w:val="8"/>
                <w:szCs w:val="8"/>
                <w:color w:val="auto"/>
              </w:rPr>
              <w:t>(1)</w:t>
            </w:r>
          </w:p>
        </w:tc>
        <w:tc>
          <w:tcPr>
            <w:tcW w:w="2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rPr>
              <w:t>612.4</w:t>
            </w: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14.0</w:t>
            </w:r>
          </w:p>
        </w:tc>
        <w:tc>
          <w:tcPr>
            <w:tcW w:w="3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4"/>
                <w:szCs w:val="14"/>
                <w:color w:val="auto"/>
              </w:rPr>
              <w:t>41.4</w:t>
            </w:r>
          </w:p>
        </w:tc>
        <w:tc>
          <w:tcPr>
            <w:tcW w:w="4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r>
      <w:tr>
        <w:trPr>
          <w:trHeight w:val="199"/>
        </w:trPr>
        <w:tc>
          <w:tcPr>
            <w:tcW w:w="5640" w:type="dxa"/>
            <w:vAlign w:val="bottom"/>
          </w:tcPr>
          <w:p>
            <w:pPr>
              <w:ind w:left="20"/>
              <w:spacing w:after="0"/>
              <w:rPr>
                <w:sz w:val="20"/>
                <w:szCs w:val="20"/>
                <w:color w:val="auto"/>
              </w:rPr>
            </w:pPr>
            <w:r>
              <w:rPr>
                <w:rFonts w:ascii="Arial" w:cs="Arial" w:eastAsia="Arial" w:hAnsi="Arial"/>
                <w:sz w:val="14"/>
                <w:szCs w:val="14"/>
                <w:color w:val="auto"/>
              </w:rPr>
              <w:t>Segment selling, general and administrative expenses</w:t>
            </w:r>
            <w:r>
              <w:rPr>
                <w:rFonts w:ascii="Arial" w:cs="Arial" w:eastAsia="Arial" w:hAnsi="Arial"/>
                <w:sz w:val="8"/>
                <w:szCs w:val="8"/>
                <w:color w:val="auto"/>
              </w:rPr>
              <w:t>(2)</w:t>
            </w:r>
          </w:p>
        </w:tc>
        <w:tc>
          <w:tcPr>
            <w:tcW w:w="280" w:type="dxa"/>
            <w:vAlign w:val="bottom"/>
          </w:tcPr>
          <w:p>
            <w:pPr>
              <w:spacing w:after="0"/>
              <w:rPr>
                <w:sz w:val="17"/>
                <w:szCs w:val="17"/>
                <w:color w:val="auto"/>
              </w:rPr>
            </w:pPr>
          </w:p>
        </w:tc>
        <w:tc>
          <w:tcPr>
            <w:tcW w:w="1080" w:type="dxa"/>
            <w:vAlign w:val="bottom"/>
          </w:tcPr>
          <w:p>
            <w:pPr>
              <w:jc w:val="right"/>
              <w:ind w:right="91"/>
              <w:spacing w:after="0"/>
              <w:rPr>
                <w:sz w:val="20"/>
                <w:szCs w:val="20"/>
                <w:color w:val="auto"/>
              </w:rPr>
            </w:pPr>
            <w:r>
              <w:rPr>
                <w:rFonts w:ascii="Arial" w:cs="Arial" w:eastAsia="Arial" w:hAnsi="Arial"/>
                <w:sz w:val="14"/>
                <w:szCs w:val="14"/>
                <w:color w:val="auto"/>
              </w:rPr>
              <w:t>36.5</w:t>
            </w:r>
          </w:p>
        </w:tc>
        <w:tc>
          <w:tcPr>
            <w:tcW w:w="340" w:type="dxa"/>
            <w:vAlign w:val="bottom"/>
          </w:tcPr>
          <w:p>
            <w:pPr>
              <w:spacing w:after="0"/>
              <w:rPr>
                <w:sz w:val="17"/>
                <w:szCs w:val="17"/>
                <w:color w:val="auto"/>
              </w:rPr>
            </w:pPr>
          </w:p>
        </w:tc>
        <w:tc>
          <w:tcPr>
            <w:tcW w:w="1100" w:type="dxa"/>
            <w:vAlign w:val="bottom"/>
          </w:tcPr>
          <w:p>
            <w:pPr>
              <w:jc w:val="right"/>
              <w:ind w:right="71"/>
              <w:spacing w:after="0"/>
              <w:rPr>
                <w:sz w:val="20"/>
                <w:szCs w:val="20"/>
                <w:color w:val="auto"/>
              </w:rPr>
            </w:pPr>
            <w:r>
              <w:rPr>
                <w:rFonts w:ascii="Arial" w:cs="Arial" w:eastAsia="Arial" w:hAnsi="Arial"/>
                <w:sz w:val="14"/>
                <w:szCs w:val="14"/>
                <w:color w:val="auto"/>
              </w:rPr>
              <w:t>4.7</w:t>
            </w:r>
          </w:p>
        </w:tc>
        <w:tc>
          <w:tcPr>
            <w:tcW w:w="380" w:type="dxa"/>
            <w:vAlign w:val="bottom"/>
          </w:tcPr>
          <w:p>
            <w:pPr>
              <w:spacing w:after="0"/>
              <w:rPr>
                <w:sz w:val="17"/>
                <w:szCs w:val="17"/>
                <w:color w:val="auto"/>
              </w:rPr>
            </w:pPr>
          </w:p>
        </w:tc>
        <w:tc>
          <w:tcPr>
            <w:tcW w:w="1140" w:type="dxa"/>
            <w:vAlign w:val="bottom"/>
          </w:tcPr>
          <w:p>
            <w:pPr>
              <w:jc w:val="right"/>
              <w:ind w:right="151"/>
              <w:spacing w:after="0"/>
              <w:rPr>
                <w:sz w:val="20"/>
                <w:szCs w:val="20"/>
                <w:color w:val="auto"/>
              </w:rPr>
            </w:pPr>
            <w:r>
              <w:rPr>
                <w:rFonts w:ascii="Arial" w:cs="Arial" w:eastAsia="Arial" w:hAnsi="Arial"/>
                <w:sz w:val="14"/>
                <w:szCs w:val="14"/>
                <w:color w:val="auto"/>
              </w:rPr>
              <w:t>2.5</w:t>
            </w: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5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92"/>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Segment operating income (loss)</w:t>
            </w:r>
          </w:p>
        </w:tc>
        <w:tc>
          <w:tcPr>
            <w:tcW w:w="2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rPr>
              <w:t>9.4</w:t>
            </w: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(1.4)</w:t>
            </w:r>
          </w:p>
        </w:tc>
        <w:tc>
          <w:tcPr>
            <w:tcW w:w="3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4"/>
                <w:szCs w:val="14"/>
                <w:color w:val="auto"/>
              </w:rPr>
              <w:t>8.2</w:t>
            </w:r>
          </w:p>
        </w:tc>
        <w:tc>
          <w:tcPr>
            <w:tcW w:w="4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w:t>
            </w:r>
          </w:p>
        </w:tc>
      </w:tr>
      <w:tr>
        <w:trPr>
          <w:trHeight w:val="199"/>
        </w:trPr>
        <w:tc>
          <w:tcPr>
            <w:tcW w:w="564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20"/>
        </w:trPr>
        <w:tc>
          <w:tcPr>
            <w:tcW w:w="5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9"/>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 method income</w:t>
            </w:r>
          </w:p>
        </w:tc>
        <w:tc>
          <w:tcPr>
            <w:tcW w:w="2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1488"/>
        </w:trPr>
        <w:tc>
          <w:tcPr>
            <w:tcW w:w="56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83"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9"/>
          <w:szCs w:val="19"/>
          <w:b w:val="1"/>
          <w:bCs w:val="1"/>
          <w:color w:val="auto"/>
        </w:rPr>
        <w:t>MISSION PRODUCE,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920" w:type="dxa"/>
            <w:vAlign w:val="bottom"/>
          </w:tcPr>
          <w:p>
            <w:pPr>
              <w:spacing w:after="0"/>
              <w:rPr>
                <w:sz w:val="14"/>
                <w:szCs w:val="14"/>
                <w:color w:val="auto"/>
              </w:rPr>
            </w:pPr>
          </w:p>
        </w:tc>
        <w:tc>
          <w:tcPr>
            <w:tcW w:w="3280" w:type="dxa"/>
            <w:vAlign w:val="bottom"/>
          </w:tcPr>
          <w:p>
            <w:pPr>
              <w:jc w:val="right"/>
              <w:ind w:right="231"/>
              <w:spacing w:after="0"/>
              <w:rPr>
                <w:sz w:val="20"/>
                <w:szCs w:val="20"/>
                <w:color w:val="auto"/>
              </w:rPr>
            </w:pPr>
            <w:r>
              <w:rPr>
                <w:rFonts w:ascii="Arial" w:cs="Arial" w:eastAsia="Arial" w:hAnsi="Arial"/>
                <w:sz w:val="14"/>
                <w:szCs w:val="14"/>
                <w:b w:val="1"/>
                <w:bCs w:val="1"/>
                <w:color w:val="auto"/>
              </w:rPr>
              <w:t>Marketing &amp;</w:t>
            </w:r>
          </w:p>
        </w:tc>
        <w:tc>
          <w:tcPr>
            <w:tcW w:w="1480" w:type="dxa"/>
            <w:vAlign w:val="bottom"/>
          </w:tcPr>
          <w:p>
            <w:pPr>
              <w:jc w:val="right"/>
              <w:ind w:right="271"/>
              <w:spacing w:after="0"/>
              <w:rPr>
                <w:sz w:val="20"/>
                <w:szCs w:val="20"/>
                <w:color w:val="auto"/>
              </w:rPr>
            </w:pPr>
            <w:r>
              <w:rPr>
                <w:rFonts w:ascii="Arial" w:cs="Arial" w:eastAsia="Arial" w:hAnsi="Arial"/>
                <w:sz w:val="14"/>
                <w:szCs w:val="14"/>
                <w:b w:val="1"/>
                <w:bCs w:val="1"/>
                <w:color w:val="auto"/>
              </w:rPr>
              <w:t>International</w:t>
            </w:r>
          </w:p>
        </w:tc>
        <w:tc>
          <w:tcPr>
            <w:tcW w:w="1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96"/>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2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Distribution</w:t>
            </w:r>
          </w:p>
        </w:tc>
        <w:tc>
          <w:tcPr>
            <w:tcW w:w="14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Farming</w:t>
            </w:r>
          </w:p>
        </w:tc>
        <w:tc>
          <w:tcPr>
            <w:tcW w:w="180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14"/>
                <w:szCs w:val="14"/>
                <w:b w:val="1"/>
                <w:bCs w:val="1"/>
                <w:color w:val="auto"/>
              </w:rPr>
              <w:t>Blueberries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r>
      <w:tr>
        <w:trPr>
          <w:trHeight w:val="199"/>
        </w:trPr>
        <w:tc>
          <w:tcPr>
            <w:tcW w:w="3920" w:type="dxa"/>
            <w:vAlign w:val="bottom"/>
          </w:tcPr>
          <w:p>
            <w:pPr>
              <w:ind w:left="20"/>
              <w:spacing w:after="0"/>
              <w:rPr>
                <w:sz w:val="20"/>
                <w:szCs w:val="20"/>
                <w:color w:val="auto"/>
              </w:rPr>
            </w:pPr>
            <w:r>
              <w:rPr>
                <w:rFonts w:ascii="Arial" w:cs="Arial" w:eastAsia="Arial" w:hAnsi="Arial"/>
                <w:sz w:val="14"/>
                <w:szCs w:val="14"/>
                <w:color w:val="auto"/>
              </w:rPr>
              <w:t>Other income, net</w:t>
            </w:r>
          </w:p>
        </w:tc>
        <w:tc>
          <w:tcPr>
            <w:tcW w:w="3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0.9</w:t>
            </w: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92"/>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32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18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w:t>
            </w:r>
          </w:p>
        </w:tc>
      </w:tr>
      <w:tr>
        <w:trPr>
          <w:trHeight w:val="20"/>
        </w:trPr>
        <w:tc>
          <w:tcPr>
            <w:tcW w:w="3920" w:type="dxa"/>
            <w:vAlign w:val="bottom"/>
            <w:shd w:val="clear" w:color="auto" w:fill="000000"/>
          </w:tcPr>
          <w:p>
            <w:pPr>
              <w:spacing w:after="0" w:line="20" w:lineRule="exact"/>
              <w:rPr>
                <w:sz w:val="1"/>
                <w:szCs w:val="1"/>
                <w:color w:val="auto"/>
              </w:rPr>
            </w:pPr>
          </w:p>
        </w:tc>
        <w:tc>
          <w:tcPr>
            <w:tcW w:w="32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spacing w:after="0" w:line="124" w:lineRule="exact"/>
        <w:rPr>
          <w:sz w:val="20"/>
          <w:szCs w:val="20"/>
          <w:color w:val="auto"/>
        </w:rPr>
      </w:pPr>
    </w:p>
    <w:p>
      <w:pPr>
        <w:ind w:left="300" w:hanging="297"/>
        <w:spacing w:after="0"/>
        <w:tabs>
          <w:tab w:leader="none" w:pos="300" w:val="left"/>
        </w:tabs>
        <w:numPr>
          <w:ilvl w:val="0"/>
          <w:numId w:val="15"/>
        </w:numPr>
        <w:rPr>
          <w:rFonts w:ascii="Arial" w:cs="Arial" w:eastAsia="Arial" w:hAnsi="Arial"/>
          <w:sz w:val="12"/>
          <w:szCs w:val="12"/>
          <w:color w:val="auto"/>
        </w:rPr>
      </w:pPr>
      <w:r>
        <w:rPr>
          <w:rFonts w:ascii="Arial" w:cs="Arial" w:eastAsia="Arial" w:hAnsi="Arial"/>
          <w:sz w:val="12"/>
          <w:szCs w:val="12"/>
          <w:color w:val="auto"/>
        </w:rPr>
        <w:t>Segment cost of sales for each reportable segment included:</w:t>
      </w:r>
    </w:p>
    <w:p>
      <w:pPr>
        <w:spacing w:after="0" w:line="55" w:lineRule="exact"/>
        <w:rPr>
          <w:rFonts w:ascii="Arial" w:cs="Arial" w:eastAsia="Arial" w:hAnsi="Arial"/>
          <w:sz w:val="12"/>
          <w:szCs w:val="12"/>
          <w:color w:val="auto"/>
        </w:rPr>
      </w:pPr>
    </w:p>
    <w:p>
      <w:pPr>
        <w:ind w:left="540" w:hanging="227"/>
        <w:spacing w:after="0"/>
        <w:tabs>
          <w:tab w:leader="none" w:pos="540" w:val="left"/>
        </w:tabs>
        <w:numPr>
          <w:ilvl w:val="1"/>
          <w:numId w:val="15"/>
        </w:numPr>
        <w:rPr>
          <w:rFonts w:ascii="Arial" w:cs="Arial" w:eastAsia="Arial" w:hAnsi="Arial"/>
          <w:sz w:val="12"/>
          <w:szCs w:val="12"/>
          <w:color w:val="auto"/>
        </w:rPr>
      </w:pPr>
      <w:r>
        <w:rPr>
          <w:rFonts w:ascii="Arial" w:cs="Arial" w:eastAsia="Arial" w:hAnsi="Arial"/>
          <w:sz w:val="12"/>
          <w:szCs w:val="12"/>
          <w:color w:val="auto"/>
        </w:rPr>
        <w:t>Marketing &amp; Distribution—fruit costs, employee-related expenses, freight, packaging costs, depreciation, and other costs.</w:t>
      </w:r>
    </w:p>
    <w:p>
      <w:pPr>
        <w:spacing w:after="0" w:line="55" w:lineRule="exact"/>
        <w:rPr>
          <w:rFonts w:ascii="Arial" w:cs="Arial" w:eastAsia="Arial" w:hAnsi="Arial"/>
          <w:sz w:val="12"/>
          <w:szCs w:val="12"/>
          <w:color w:val="auto"/>
        </w:rPr>
      </w:pPr>
    </w:p>
    <w:p>
      <w:pPr>
        <w:ind w:left="540" w:hanging="227"/>
        <w:spacing w:after="0"/>
        <w:tabs>
          <w:tab w:leader="none" w:pos="540" w:val="left"/>
        </w:tabs>
        <w:numPr>
          <w:ilvl w:val="1"/>
          <w:numId w:val="15"/>
        </w:numPr>
        <w:rPr>
          <w:rFonts w:ascii="Arial" w:cs="Arial" w:eastAsia="Arial" w:hAnsi="Arial"/>
          <w:sz w:val="12"/>
          <w:szCs w:val="12"/>
          <w:color w:val="auto"/>
        </w:rPr>
      </w:pPr>
      <w:r>
        <w:rPr>
          <w:rFonts w:ascii="Arial" w:cs="Arial" w:eastAsia="Arial" w:hAnsi="Arial"/>
          <w:sz w:val="12"/>
          <w:szCs w:val="12"/>
          <w:color w:val="auto"/>
        </w:rPr>
        <w:t>International Farming and Blueberries—employee-related expenses, farming costs, packaging costs, depreciation and other costs.</w:t>
      </w:r>
    </w:p>
    <w:p>
      <w:pPr>
        <w:spacing w:after="0" w:line="68" w:lineRule="exact"/>
        <w:rPr>
          <w:rFonts w:ascii="Arial" w:cs="Arial" w:eastAsia="Arial" w:hAnsi="Arial"/>
          <w:sz w:val="12"/>
          <w:szCs w:val="12"/>
          <w:color w:val="auto"/>
        </w:rPr>
      </w:pPr>
    </w:p>
    <w:p>
      <w:pPr>
        <w:ind w:left="320" w:right="280" w:hanging="317"/>
        <w:spacing w:after="0" w:line="282" w:lineRule="auto"/>
        <w:tabs>
          <w:tab w:leader="none" w:pos="312" w:val="left"/>
        </w:tabs>
        <w:numPr>
          <w:ilvl w:val="0"/>
          <w:numId w:val="15"/>
        </w:numPr>
        <w:rPr>
          <w:rFonts w:ascii="Arial" w:cs="Arial" w:eastAsia="Arial" w:hAnsi="Arial"/>
          <w:sz w:val="12"/>
          <w:szCs w:val="12"/>
          <w:color w:val="auto"/>
        </w:rPr>
      </w:pPr>
      <w:r>
        <w:rPr>
          <w:rFonts w:ascii="Arial" w:cs="Arial" w:eastAsia="Arial" w:hAnsi="Arial"/>
          <w:sz w:val="12"/>
          <w:szCs w:val="12"/>
          <w:color w:val="auto"/>
        </w:rPr>
        <w:t>Segment selling, general and administrative expenses for each reportable segment included employee-related expenses including performance-based stock compensation expense and statutory profit-sharing expense, professional fees, and other general corporate expenses.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020" w:type="dxa"/>
            <w:vAlign w:val="bottom"/>
          </w:tcPr>
          <w:p>
            <w:pPr>
              <w:ind w:left="620"/>
              <w:spacing w:after="0"/>
              <w:rPr>
                <w:sz w:val="20"/>
                <w:szCs w:val="20"/>
                <w:color w:val="auto"/>
              </w:rPr>
            </w:pPr>
            <w:r>
              <w:rPr>
                <w:rFonts w:ascii="Arial" w:cs="Arial" w:eastAsia="Arial" w:hAnsi="Arial"/>
                <w:sz w:val="14"/>
                <w:szCs w:val="14"/>
                <w:color w:val="auto"/>
              </w:rPr>
              <w:t>Supplemental information by segment is as follows.</w:t>
            </w:r>
          </w:p>
        </w:tc>
        <w:tc>
          <w:tcPr>
            <w:tcW w:w="5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411"/>
        </w:trPr>
        <w:tc>
          <w:tcPr>
            <w:tcW w:w="4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60" w:type="dxa"/>
            <w:vAlign w:val="bottom"/>
            <w:gridSpan w:val="2"/>
          </w:tcPr>
          <w:p>
            <w:pPr>
              <w:jc w:val="center"/>
              <w:ind w:left="131"/>
              <w:spacing w:after="0"/>
              <w:rPr>
                <w:sz w:val="20"/>
                <w:szCs w:val="20"/>
                <w:color w:val="auto"/>
              </w:rPr>
            </w:pPr>
            <w:r>
              <w:rPr>
                <w:rFonts w:ascii="Arial" w:cs="Arial" w:eastAsia="Arial" w:hAnsi="Arial"/>
                <w:sz w:val="14"/>
                <w:szCs w:val="14"/>
                <w:b w:val="1"/>
                <w:bCs w:val="1"/>
                <w:color w:val="auto"/>
                <w:w w:val="98"/>
              </w:rPr>
              <w:t>Three Months Ended</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80" w:type="dxa"/>
            <w:vAlign w:val="bottom"/>
            <w:gridSpan w:val="2"/>
          </w:tcPr>
          <w:p>
            <w:pPr>
              <w:jc w:val="center"/>
              <w:ind w:left="91"/>
              <w:spacing w:after="0"/>
              <w:rPr>
                <w:sz w:val="20"/>
                <w:szCs w:val="20"/>
                <w:color w:val="auto"/>
              </w:rPr>
            </w:pPr>
            <w:r>
              <w:rPr>
                <w:rFonts w:ascii="Arial" w:cs="Arial" w:eastAsia="Arial" w:hAnsi="Arial"/>
                <w:sz w:val="14"/>
                <w:szCs w:val="14"/>
                <w:b w:val="1"/>
                <w:bCs w:val="1"/>
                <w:color w:val="auto"/>
                <w:w w:val="98"/>
              </w:rPr>
              <w:t>Six Months Ended</w:t>
            </w:r>
          </w:p>
        </w:tc>
        <w:tc>
          <w:tcPr>
            <w:tcW w:w="780" w:type="dxa"/>
            <w:vAlign w:val="bottom"/>
          </w:tcPr>
          <w:p>
            <w:pPr>
              <w:spacing w:after="0"/>
              <w:rPr>
                <w:sz w:val="24"/>
                <w:szCs w:val="24"/>
                <w:color w:val="auto"/>
              </w:rPr>
            </w:pPr>
          </w:p>
        </w:tc>
      </w:tr>
      <w:tr>
        <w:trPr>
          <w:trHeight w:val="196"/>
        </w:trPr>
        <w:tc>
          <w:tcPr>
            <w:tcW w:w="40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2"/>
          </w:tcPr>
          <w:p>
            <w:pPr>
              <w:jc w:val="center"/>
              <w:ind w:left="111"/>
              <w:spacing w:after="0"/>
              <w:rPr>
                <w:sz w:val="20"/>
                <w:szCs w:val="20"/>
                <w:color w:val="auto"/>
              </w:rPr>
            </w:pPr>
            <w:r>
              <w:rPr>
                <w:rFonts w:ascii="Arial" w:cs="Arial" w:eastAsia="Arial" w:hAnsi="Arial"/>
                <w:sz w:val="14"/>
                <w:szCs w:val="14"/>
                <w:b w:val="1"/>
                <w:bCs w:val="1"/>
                <w:color w:val="auto"/>
                <w:w w:val="97"/>
              </w:rPr>
              <w:t>April 30,</w:t>
            </w:r>
          </w:p>
        </w:tc>
        <w:tc>
          <w:tcPr>
            <w:tcW w:w="7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2"/>
          </w:tcPr>
          <w:p>
            <w:pPr>
              <w:jc w:val="center"/>
              <w:ind w:left="71"/>
              <w:spacing w:after="0"/>
              <w:rPr>
                <w:sz w:val="20"/>
                <w:szCs w:val="20"/>
                <w:color w:val="auto"/>
              </w:rPr>
            </w:pPr>
            <w:r>
              <w:rPr>
                <w:rFonts w:ascii="Arial" w:cs="Arial" w:eastAsia="Arial" w:hAnsi="Arial"/>
                <w:sz w:val="14"/>
                <w:szCs w:val="14"/>
                <w:b w:val="1"/>
                <w:bCs w:val="1"/>
                <w:color w:val="auto"/>
                <w:w w:val="97"/>
              </w:rPr>
              <w:t>April 30,</w:t>
            </w:r>
          </w:p>
        </w:tc>
        <w:tc>
          <w:tcPr>
            <w:tcW w:w="780" w:type="dxa"/>
            <w:vAlign w:val="bottom"/>
            <w:tcBorders>
              <w:bottom w:val="single" w:sz="8" w:color="auto"/>
            </w:tcBorders>
          </w:tcPr>
          <w:p>
            <w:pPr>
              <w:spacing w:after="0"/>
              <w:rPr>
                <w:sz w:val="17"/>
                <w:szCs w:val="17"/>
                <w:color w:val="auto"/>
              </w:rPr>
            </w:pPr>
          </w:p>
        </w:tc>
      </w:tr>
      <w:tr>
        <w:trPr>
          <w:trHeight w:val="215"/>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5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2026</w:t>
            </w:r>
          </w:p>
        </w:tc>
        <w:tc>
          <w:tcPr>
            <w:tcW w:w="10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2026</w:t>
            </w:r>
          </w:p>
        </w:tc>
        <w:tc>
          <w:tcPr>
            <w:tcW w:w="10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2025</w:t>
            </w:r>
          </w:p>
        </w:tc>
      </w:tr>
      <w:tr>
        <w:trPr>
          <w:trHeight w:val="196"/>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Depreciation and amortization expense by segment:</w:t>
            </w:r>
          </w:p>
        </w:tc>
        <w:tc>
          <w:tcPr>
            <w:tcW w:w="5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r>
      <w:tr>
        <w:trPr>
          <w:trHeight w:val="199"/>
        </w:trPr>
        <w:tc>
          <w:tcPr>
            <w:tcW w:w="4020" w:type="dxa"/>
            <w:vAlign w:val="bottom"/>
          </w:tcPr>
          <w:p>
            <w:pPr>
              <w:ind w:left="220"/>
              <w:spacing w:after="0"/>
              <w:rPr>
                <w:sz w:val="20"/>
                <w:szCs w:val="20"/>
                <w:color w:val="auto"/>
              </w:rPr>
            </w:pPr>
            <w:r>
              <w:rPr>
                <w:rFonts w:ascii="Arial" w:cs="Arial" w:eastAsia="Arial" w:hAnsi="Arial"/>
                <w:sz w:val="14"/>
                <w:szCs w:val="14"/>
                <w:color w:val="auto"/>
              </w:rPr>
              <w:t>Marketing &amp; Distribution</w:t>
            </w:r>
          </w:p>
        </w:tc>
        <w:tc>
          <w:tcPr>
            <w:tcW w:w="560" w:type="dxa"/>
            <w:vAlign w:val="bottom"/>
          </w:tcPr>
          <w:p>
            <w:pPr>
              <w:jc w:val="right"/>
              <w:ind w:right="411"/>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31"/>
              <w:spacing w:after="0"/>
              <w:rPr>
                <w:sz w:val="20"/>
                <w:szCs w:val="20"/>
                <w:color w:val="auto"/>
              </w:rPr>
            </w:pPr>
            <w:r>
              <w:rPr>
                <w:rFonts w:ascii="Arial" w:cs="Arial" w:eastAsia="Arial" w:hAnsi="Arial"/>
                <w:sz w:val="14"/>
                <w:szCs w:val="14"/>
                <w:color w:val="auto"/>
              </w:rPr>
              <w:t>3.3</w:t>
            </w:r>
          </w:p>
        </w:tc>
        <w:tc>
          <w:tcPr>
            <w:tcW w:w="1020" w:type="dxa"/>
            <w:vAlign w:val="bottom"/>
          </w:tcPr>
          <w:p>
            <w:pPr>
              <w:jc w:val="right"/>
              <w:ind w:right="751"/>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4.0</w:t>
            </w:r>
          </w:p>
        </w:tc>
        <w:tc>
          <w:tcPr>
            <w:tcW w:w="260" w:type="dxa"/>
            <w:vAlign w:val="bottom"/>
          </w:tcPr>
          <w:p>
            <w:pPr>
              <w:spacing w:after="0"/>
              <w:rPr>
                <w:sz w:val="17"/>
                <w:szCs w:val="17"/>
                <w:color w:val="auto"/>
              </w:rPr>
            </w:pPr>
          </w:p>
        </w:tc>
        <w:tc>
          <w:tcPr>
            <w:tcW w:w="620" w:type="dxa"/>
            <w:vAlign w:val="bottom"/>
          </w:tcPr>
          <w:p>
            <w:pPr>
              <w:jc w:val="right"/>
              <w:ind w:right="471"/>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6.5</w:t>
            </w:r>
          </w:p>
        </w:tc>
        <w:tc>
          <w:tcPr>
            <w:tcW w:w="1000" w:type="dxa"/>
            <w:vAlign w:val="bottom"/>
          </w:tcPr>
          <w:p>
            <w:pPr>
              <w:jc w:val="right"/>
              <w:ind w:right="731"/>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8.7</w:t>
            </w:r>
          </w:p>
        </w:tc>
      </w:tr>
      <w:tr>
        <w:trPr>
          <w:trHeight w:val="20"/>
        </w:trPr>
        <w:tc>
          <w:tcPr>
            <w:tcW w:w="4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9"/>
        </w:trPr>
        <w:tc>
          <w:tcPr>
            <w:tcW w:w="4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International Farming</w:t>
            </w:r>
          </w:p>
        </w:tc>
        <w:tc>
          <w:tcPr>
            <w:tcW w:w="5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2.1</w:t>
            </w:r>
          </w:p>
        </w:tc>
        <w:tc>
          <w:tcPr>
            <w:tcW w:w="10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2.2</w:t>
            </w:r>
          </w:p>
        </w:tc>
        <w:tc>
          <w:tcPr>
            <w:tcW w:w="2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3.7</w:t>
            </w:r>
          </w:p>
        </w:tc>
        <w:tc>
          <w:tcPr>
            <w:tcW w:w="10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w:t>
            </w:r>
          </w:p>
        </w:tc>
      </w:tr>
      <w:tr>
        <w:trPr>
          <w:trHeight w:val="199"/>
        </w:trPr>
        <w:tc>
          <w:tcPr>
            <w:tcW w:w="4020" w:type="dxa"/>
            <w:vAlign w:val="bottom"/>
          </w:tcPr>
          <w:p>
            <w:pPr>
              <w:ind w:left="220"/>
              <w:spacing w:after="0"/>
              <w:rPr>
                <w:sz w:val="20"/>
                <w:szCs w:val="20"/>
                <w:color w:val="auto"/>
              </w:rPr>
            </w:pPr>
            <w:r>
              <w:rPr>
                <w:rFonts w:ascii="Arial" w:cs="Arial" w:eastAsia="Arial" w:hAnsi="Arial"/>
                <w:sz w:val="14"/>
                <w:szCs w:val="14"/>
                <w:color w:val="auto"/>
              </w:rPr>
              <w:t>Blueberries</w:t>
            </w:r>
          </w:p>
        </w:tc>
        <w:tc>
          <w:tcPr>
            <w:tcW w:w="560" w:type="dxa"/>
            <w:vAlign w:val="bottom"/>
          </w:tcPr>
          <w:p>
            <w:pPr>
              <w:spacing w:after="0"/>
              <w:rPr>
                <w:sz w:val="17"/>
                <w:szCs w:val="17"/>
                <w:color w:val="auto"/>
              </w:rPr>
            </w:pPr>
          </w:p>
        </w:tc>
        <w:tc>
          <w:tcPr>
            <w:tcW w:w="1140" w:type="dxa"/>
            <w:vAlign w:val="bottom"/>
          </w:tcPr>
          <w:p>
            <w:pPr>
              <w:jc w:val="right"/>
              <w:ind w:right="31"/>
              <w:spacing w:after="0"/>
              <w:rPr>
                <w:sz w:val="20"/>
                <w:szCs w:val="20"/>
                <w:color w:val="auto"/>
              </w:rPr>
            </w:pPr>
            <w:r>
              <w:rPr>
                <w:rFonts w:ascii="Arial" w:cs="Arial" w:eastAsia="Arial" w:hAnsi="Arial"/>
                <w:sz w:val="14"/>
                <w:szCs w:val="14"/>
                <w:color w:val="auto"/>
              </w:rPr>
              <w:t>1.3</w:t>
            </w:r>
          </w:p>
        </w:tc>
        <w:tc>
          <w:tcPr>
            <w:tcW w:w="1020" w:type="dxa"/>
            <w:vAlign w:val="bottom"/>
          </w:tcPr>
          <w:p>
            <w:pPr>
              <w:spacing w:after="0"/>
              <w:rPr>
                <w:sz w:val="17"/>
                <w:szCs w:val="17"/>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0.8</w:t>
            </w: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5.7</w:t>
            </w:r>
          </w:p>
        </w:tc>
        <w:tc>
          <w:tcPr>
            <w:tcW w:w="10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0"/>
        </w:trPr>
        <w:tc>
          <w:tcPr>
            <w:tcW w:w="4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92"/>
        </w:trPr>
        <w:tc>
          <w:tcPr>
            <w:tcW w:w="4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560" w:type="dxa"/>
            <w:vAlign w:val="bottom"/>
            <w:tcBorders>
              <w:bottom w:val="single" w:sz="8" w:color="CCEEFF"/>
            </w:tcBorders>
            <w:shd w:val="clear" w:color="auto" w:fill="CCEEFF"/>
          </w:tcPr>
          <w:p>
            <w:pPr>
              <w:jc w:val="right"/>
              <w:ind w:right="411"/>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6.7</w:t>
            </w:r>
          </w:p>
        </w:tc>
        <w:tc>
          <w:tcPr>
            <w:tcW w:w="1020" w:type="dxa"/>
            <w:vAlign w:val="bottom"/>
            <w:tcBorders>
              <w:bottom w:val="single" w:sz="8" w:color="CCEEFF"/>
            </w:tcBorders>
            <w:shd w:val="clear" w:color="auto" w:fill="CCEEFF"/>
          </w:tcPr>
          <w:p>
            <w:pPr>
              <w:jc w:val="right"/>
              <w:ind w:right="751"/>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7.0</w:t>
            </w:r>
          </w:p>
        </w:tc>
        <w:tc>
          <w:tcPr>
            <w:tcW w:w="2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471"/>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15.9</w:t>
            </w:r>
          </w:p>
        </w:tc>
        <w:tc>
          <w:tcPr>
            <w:tcW w:w="1000" w:type="dxa"/>
            <w:vAlign w:val="bottom"/>
            <w:tcBorders>
              <w:bottom w:val="single" w:sz="8" w:color="CCEEFF"/>
            </w:tcBorders>
            <w:shd w:val="clear" w:color="auto" w:fill="CCEEFF"/>
          </w:tcPr>
          <w:p>
            <w:pPr>
              <w:jc w:val="right"/>
              <w:ind w:right="73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15.7</w:t>
            </w:r>
          </w:p>
        </w:tc>
      </w:tr>
      <w:tr>
        <w:trPr>
          <w:trHeight w:val="199"/>
        </w:trPr>
        <w:tc>
          <w:tcPr>
            <w:tcW w:w="4020" w:type="dxa"/>
            <w:vAlign w:val="bottom"/>
          </w:tcPr>
          <w:p>
            <w:pPr>
              <w:ind w:left="20"/>
              <w:spacing w:after="0"/>
              <w:rPr>
                <w:sz w:val="20"/>
                <w:szCs w:val="20"/>
                <w:color w:val="auto"/>
              </w:rPr>
            </w:pPr>
            <w:r>
              <w:rPr>
                <w:rFonts w:ascii="Arial" w:cs="Arial" w:eastAsia="Arial" w:hAnsi="Arial"/>
                <w:sz w:val="14"/>
                <w:szCs w:val="14"/>
                <w:color w:val="auto"/>
              </w:rPr>
              <w:t>Purchases of property, plant and equipment by segment:</w:t>
            </w:r>
          </w:p>
        </w:tc>
        <w:tc>
          <w:tcPr>
            <w:tcW w:w="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
        </w:trPr>
        <w:tc>
          <w:tcPr>
            <w:tcW w:w="4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9"/>
        </w:trPr>
        <w:tc>
          <w:tcPr>
            <w:tcW w:w="4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Marketing &amp; Distribution</w:t>
            </w:r>
          </w:p>
        </w:tc>
        <w:tc>
          <w:tcPr>
            <w:tcW w:w="560" w:type="dxa"/>
            <w:vAlign w:val="bottom"/>
            <w:tcBorders>
              <w:bottom w:val="single" w:sz="8" w:color="CCEEFF"/>
            </w:tcBorders>
            <w:shd w:val="clear" w:color="auto" w:fill="CCEEFF"/>
          </w:tcPr>
          <w:p>
            <w:pPr>
              <w:jc w:val="right"/>
              <w:ind w:right="411"/>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2.4</w:t>
            </w:r>
          </w:p>
        </w:tc>
        <w:tc>
          <w:tcPr>
            <w:tcW w:w="1020" w:type="dxa"/>
            <w:vAlign w:val="bottom"/>
            <w:tcBorders>
              <w:bottom w:val="single" w:sz="8" w:color="CCEEFF"/>
            </w:tcBorders>
            <w:shd w:val="clear" w:color="auto" w:fill="CCEEFF"/>
          </w:tcPr>
          <w:p>
            <w:pPr>
              <w:jc w:val="right"/>
              <w:ind w:right="751"/>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1.3</w:t>
            </w:r>
          </w:p>
        </w:tc>
        <w:tc>
          <w:tcPr>
            <w:tcW w:w="2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471"/>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4.3</w:t>
            </w:r>
          </w:p>
        </w:tc>
        <w:tc>
          <w:tcPr>
            <w:tcW w:w="1000" w:type="dxa"/>
            <w:vAlign w:val="bottom"/>
            <w:tcBorders>
              <w:bottom w:val="single" w:sz="8" w:color="CCEEFF"/>
            </w:tcBorders>
            <w:shd w:val="clear" w:color="auto" w:fill="CCEEFF"/>
          </w:tcPr>
          <w:p>
            <w:pPr>
              <w:jc w:val="right"/>
              <w:ind w:right="73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w:t>
            </w:r>
          </w:p>
        </w:tc>
      </w:tr>
      <w:tr>
        <w:trPr>
          <w:trHeight w:val="199"/>
        </w:trPr>
        <w:tc>
          <w:tcPr>
            <w:tcW w:w="4020" w:type="dxa"/>
            <w:vAlign w:val="bottom"/>
          </w:tcPr>
          <w:p>
            <w:pPr>
              <w:ind w:left="220"/>
              <w:spacing w:after="0"/>
              <w:rPr>
                <w:sz w:val="20"/>
                <w:szCs w:val="20"/>
                <w:color w:val="auto"/>
              </w:rPr>
            </w:pPr>
            <w:r>
              <w:rPr>
                <w:rFonts w:ascii="Arial" w:cs="Arial" w:eastAsia="Arial" w:hAnsi="Arial"/>
                <w:sz w:val="14"/>
                <w:szCs w:val="14"/>
                <w:color w:val="auto"/>
              </w:rPr>
              <w:t>International Farming</w:t>
            </w:r>
          </w:p>
        </w:tc>
        <w:tc>
          <w:tcPr>
            <w:tcW w:w="560" w:type="dxa"/>
            <w:vAlign w:val="bottom"/>
          </w:tcPr>
          <w:p>
            <w:pPr>
              <w:spacing w:after="0"/>
              <w:rPr>
                <w:sz w:val="17"/>
                <w:szCs w:val="17"/>
                <w:color w:val="auto"/>
              </w:rPr>
            </w:pPr>
          </w:p>
        </w:tc>
        <w:tc>
          <w:tcPr>
            <w:tcW w:w="1140" w:type="dxa"/>
            <w:vAlign w:val="bottom"/>
          </w:tcPr>
          <w:p>
            <w:pPr>
              <w:jc w:val="right"/>
              <w:ind w:right="31"/>
              <w:spacing w:after="0"/>
              <w:rPr>
                <w:sz w:val="20"/>
                <w:szCs w:val="20"/>
                <w:color w:val="auto"/>
              </w:rPr>
            </w:pPr>
            <w:r>
              <w:rPr>
                <w:rFonts w:ascii="Arial" w:cs="Arial" w:eastAsia="Arial" w:hAnsi="Arial"/>
                <w:sz w:val="14"/>
                <w:szCs w:val="14"/>
                <w:color w:val="auto"/>
              </w:rPr>
              <w:t>6.2</w:t>
            </w:r>
          </w:p>
        </w:tc>
        <w:tc>
          <w:tcPr>
            <w:tcW w:w="1020" w:type="dxa"/>
            <w:vAlign w:val="bottom"/>
          </w:tcPr>
          <w:p>
            <w:pPr>
              <w:spacing w:after="0"/>
              <w:rPr>
                <w:sz w:val="17"/>
                <w:szCs w:val="17"/>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9.7</w:t>
            </w: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11.9</w:t>
            </w:r>
          </w:p>
        </w:tc>
        <w:tc>
          <w:tcPr>
            <w:tcW w:w="10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17.6</w:t>
            </w:r>
          </w:p>
        </w:tc>
      </w:tr>
      <w:tr>
        <w:trPr>
          <w:trHeight w:val="20"/>
        </w:trPr>
        <w:tc>
          <w:tcPr>
            <w:tcW w:w="4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4"/>
        </w:trPr>
        <w:tc>
          <w:tcPr>
            <w:tcW w:w="4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Blueberries</w:t>
            </w:r>
          </w:p>
        </w:tc>
        <w:tc>
          <w:tcPr>
            <w:tcW w:w="5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2.4</w:t>
            </w:r>
          </w:p>
        </w:tc>
        <w:tc>
          <w:tcPr>
            <w:tcW w:w="10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2.2</w:t>
            </w:r>
          </w:p>
        </w:tc>
        <w:tc>
          <w:tcPr>
            <w:tcW w:w="2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6.7</w:t>
            </w:r>
          </w:p>
        </w:tc>
        <w:tc>
          <w:tcPr>
            <w:tcW w:w="10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w:t>
            </w:r>
          </w:p>
        </w:tc>
      </w:tr>
      <w:tr>
        <w:trPr>
          <w:trHeight w:val="192"/>
        </w:trPr>
        <w:tc>
          <w:tcPr>
            <w:tcW w:w="4020" w:type="dxa"/>
            <w:vAlign w:val="bottom"/>
            <w:tcBorders>
              <w:top w:val="single" w:sz="8" w:color="auto"/>
            </w:tcBorders>
          </w:tcPr>
          <w:p>
            <w:pPr>
              <w:ind w:left="120"/>
              <w:spacing w:after="0"/>
              <w:rPr>
                <w:sz w:val="20"/>
                <w:szCs w:val="20"/>
                <w:color w:val="auto"/>
              </w:rPr>
            </w:pPr>
            <w:r>
              <w:rPr>
                <w:rFonts w:ascii="Arial" w:cs="Arial" w:eastAsia="Arial" w:hAnsi="Arial"/>
                <w:sz w:val="14"/>
                <w:szCs w:val="14"/>
                <w:color w:val="auto"/>
              </w:rPr>
              <w:t>Total</w:t>
            </w:r>
          </w:p>
        </w:tc>
        <w:tc>
          <w:tcPr>
            <w:tcW w:w="560" w:type="dxa"/>
            <w:vAlign w:val="bottom"/>
            <w:tcBorders>
              <w:top w:val="single" w:sz="8" w:color="auto"/>
            </w:tcBorders>
          </w:tcPr>
          <w:p>
            <w:pPr>
              <w:jc w:val="right"/>
              <w:ind w:right="411"/>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11.0</w:t>
            </w:r>
          </w:p>
        </w:tc>
        <w:tc>
          <w:tcPr>
            <w:tcW w:w="1020" w:type="dxa"/>
            <w:vAlign w:val="bottom"/>
            <w:tcBorders>
              <w:top w:val="single" w:sz="8" w:color="auto"/>
            </w:tcBorders>
          </w:tcPr>
          <w:p>
            <w:pPr>
              <w:jc w:val="right"/>
              <w:ind w:right="751"/>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13.2</w:t>
            </w:r>
          </w:p>
        </w:tc>
        <w:tc>
          <w:tcPr>
            <w:tcW w:w="2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471"/>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22.9</w:t>
            </w:r>
          </w:p>
        </w:tc>
        <w:tc>
          <w:tcPr>
            <w:tcW w:w="1000" w:type="dxa"/>
            <w:vAlign w:val="bottom"/>
            <w:tcBorders>
              <w:top w:val="single" w:sz="8" w:color="auto"/>
            </w:tcBorders>
          </w:tcPr>
          <w:p>
            <w:pPr>
              <w:jc w:val="right"/>
              <w:ind w:right="73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28.0</w:t>
            </w:r>
          </w:p>
        </w:tc>
      </w:tr>
      <w:tr>
        <w:trPr>
          <w:trHeight w:val="20"/>
        </w:trPr>
        <w:tc>
          <w:tcPr>
            <w:tcW w:w="4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449"/>
        </w:trPr>
        <w:tc>
          <w:tcPr>
            <w:tcW w:w="4020" w:type="dxa"/>
            <w:vAlign w:val="bottom"/>
          </w:tcPr>
          <w:p>
            <w:pPr>
              <w:ind w:left="620"/>
              <w:spacing w:after="0"/>
              <w:rPr>
                <w:sz w:val="20"/>
                <w:szCs w:val="20"/>
                <w:color w:val="auto"/>
              </w:rPr>
            </w:pPr>
            <w:r>
              <w:rPr>
                <w:rFonts w:ascii="Arial" w:cs="Arial" w:eastAsia="Arial" w:hAnsi="Arial"/>
                <w:sz w:val="14"/>
                <w:szCs w:val="14"/>
                <w:color w:val="auto"/>
              </w:rPr>
              <w:t>Supplemental sales information is as follows.</w:t>
            </w: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11"/>
        </w:trPr>
        <w:tc>
          <w:tcPr>
            <w:tcW w:w="4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60" w:type="dxa"/>
            <w:vAlign w:val="bottom"/>
            <w:gridSpan w:val="2"/>
          </w:tcPr>
          <w:p>
            <w:pPr>
              <w:jc w:val="center"/>
              <w:ind w:left="131"/>
              <w:spacing w:after="0"/>
              <w:rPr>
                <w:sz w:val="20"/>
                <w:szCs w:val="20"/>
                <w:color w:val="auto"/>
              </w:rPr>
            </w:pPr>
            <w:r>
              <w:rPr>
                <w:rFonts w:ascii="Arial" w:cs="Arial" w:eastAsia="Arial" w:hAnsi="Arial"/>
                <w:sz w:val="14"/>
                <w:szCs w:val="14"/>
                <w:b w:val="1"/>
                <w:bCs w:val="1"/>
                <w:color w:val="auto"/>
                <w:w w:val="98"/>
              </w:rPr>
              <w:t>Three Months Ended</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80" w:type="dxa"/>
            <w:vAlign w:val="bottom"/>
            <w:gridSpan w:val="2"/>
          </w:tcPr>
          <w:p>
            <w:pPr>
              <w:jc w:val="center"/>
              <w:ind w:left="91"/>
              <w:spacing w:after="0"/>
              <w:rPr>
                <w:sz w:val="20"/>
                <w:szCs w:val="20"/>
                <w:color w:val="auto"/>
              </w:rPr>
            </w:pPr>
            <w:r>
              <w:rPr>
                <w:rFonts w:ascii="Arial" w:cs="Arial" w:eastAsia="Arial" w:hAnsi="Arial"/>
                <w:sz w:val="14"/>
                <w:szCs w:val="14"/>
                <w:b w:val="1"/>
                <w:bCs w:val="1"/>
                <w:color w:val="auto"/>
                <w:w w:val="98"/>
              </w:rPr>
              <w:t>Six Months Ended</w:t>
            </w:r>
          </w:p>
        </w:tc>
        <w:tc>
          <w:tcPr>
            <w:tcW w:w="780" w:type="dxa"/>
            <w:vAlign w:val="bottom"/>
          </w:tcPr>
          <w:p>
            <w:pPr>
              <w:spacing w:after="0"/>
              <w:rPr>
                <w:sz w:val="24"/>
                <w:szCs w:val="24"/>
                <w:color w:val="auto"/>
              </w:rPr>
            </w:pPr>
          </w:p>
        </w:tc>
      </w:tr>
      <w:tr>
        <w:trPr>
          <w:trHeight w:val="196"/>
        </w:trPr>
        <w:tc>
          <w:tcPr>
            <w:tcW w:w="40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2"/>
          </w:tcPr>
          <w:p>
            <w:pPr>
              <w:jc w:val="center"/>
              <w:ind w:left="111"/>
              <w:spacing w:after="0"/>
              <w:rPr>
                <w:sz w:val="20"/>
                <w:szCs w:val="20"/>
                <w:color w:val="auto"/>
              </w:rPr>
            </w:pPr>
            <w:r>
              <w:rPr>
                <w:rFonts w:ascii="Arial" w:cs="Arial" w:eastAsia="Arial" w:hAnsi="Arial"/>
                <w:sz w:val="14"/>
                <w:szCs w:val="14"/>
                <w:b w:val="1"/>
                <w:bCs w:val="1"/>
                <w:color w:val="auto"/>
                <w:w w:val="97"/>
              </w:rPr>
              <w:t>April 30,</w:t>
            </w:r>
          </w:p>
        </w:tc>
        <w:tc>
          <w:tcPr>
            <w:tcW w:w="7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2"/>
          </w:tcPr>
          <w:p>
            <w:pPr>
              <w:jc w:val="center"/>
              <w:ind w:left="71"/>
              <w:spacing w:after="0"/>
              <w:rPr>
                <w:sz w:val="20"/>
                <w:szCs w:val="20"/>
                <w:color w:val="auto"/>
              </w:rPr>
            </w:pPr>
            <w:r>
              <w:rPr>
                <w:rFonts w:ascii="Arial" w:cs="Arial" w:eastAsia="Arial" w:hAnsi="Arial"/>
                <w:sz w:val="14"/>
                <w:szCs w:val="14"/>
                <w:b w:val="1"/>
                <w:bCs w:val="1"/>
                <w:color w:val="auto"/>
                <w:w w:val="97"/>
              </w:rPr>
              <w:t>April 30,</w:t>
            </w:r>
          </w:p>
        </w:tc>
        <w:tc>
          <w:tcPr>
            <w:tcW w:w="780" w:type="dxa"/>
            <w:vAlign w:val="bottom"/>
            <w:tcBorders>
              <w:bottom w:val="single" w:sz="8" w:color="auto"/>
            </w:tcBorders>
          </w:tcPr>
          <w:p>
            <w:pPr>
              <w:spacing w:after="0"/>
              <w:rPr>
                <w:sz w:val="17"/>
                <w:szCs w:val="17"/>
                <w:color w:val="auto"/>
              </w:rPr>
            </w:pPr>
          </w:p>
        </w:tc>
      </w:tr>
      <w:tr>
        <w:trPr>
          <w:trHeight w:val="215"/>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5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2026</w:t>
            </w:r>
          </w:p>
        </w:tc>
        <w:tc>
          <w:tcPr>
            <w:tcW w:w="10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2026</w:t>
            </w:r>
          </w:p>
        </w:tc>
        <w:tc>
          <w:tcPr>
            <w:tcW w:w="10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2025</w:t>
            </w:r>
          </w:p>
        </w:tc>
      </w:tr>
      <w:tr>
        <w:trPr>
          <w:trHeight w:val="196"/>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By type</w:t>
            </w:r>
          </w:p>
        </w:tc>
        <w:tc>
          <w:tcPr>
            <w:tcW w:w="5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r>
      <w:tr>
        <w:trPr>
          <w:trHeight w:val="199"/>
        </w:trPr>
        <w:tc>
          <w:tcPr>
            <w:tcW w:w="4020" w:type="dxa"/>
            <w:vAlign w:val="bottom"/>
          </w:tcPr>
          <w:p>
            <w:pPr>
              <w:ind w:left="220"/>
              <w:spacing w:after="0"/>
              <w:rPr>
                <w:sz w:val="20"/>
                <w:szCs w:val="20"/>
                <w:color w:val="auto"/>
              </w:rPr>
            </w:pPr>
            <w:r>
              <w:rPr>
                <w:rFonts w:ascii="Arial" w:cs="Arial" w:eastAsia="Arial" w:hAnsi="Arial"/>
                <w:sz w:val="14"/>
                <w:szCs w:val="14"/>
                <w:color w:val="auto"/>
              </w:rPr>
              <w:t>Avocado</w:t>
            </w:r>
          </w:p>
        </w:tc>
        <w:tc>
          <w:tcPr>
            <w:tcW w:w="560" w:type="dxa"/>
            <w:vAlign w:val="bottom"/>
          </w:tcPr>
          <w:p>
            <w:pPr>
              <w:jc w:val="right"/>
              <w:ind w:right="411"/>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31"/>
              <w:spacing w:after="0"/>
              <w:rPr>
                <w:sz w:val="20"/>
                <w:szCs w:val="20"/>
                <w:color w:val="auto"/>
              </w:rPr>
            </w:pPr>
            <w:r>
              <w:rPr>
                <w:rFonts w:ascii="Arial" w:cs="Arial" w:eastAsia="Arial" w:hAnsi="Arial"/>
                <w:sz w:val="14"/>
                <w:szCs w:val="14"/>
                <w:color w:val="auto"/>
              </w:rPr>
              <w:t>246.7</w:t>
            </w:r>
          </w:p>
        </w:tc>
        <w:tc>
          <w:tcPr>
            <w:tcW w:w="1020" w:type="dxa"/>
            <w:vAlign w:val="bottom"/>
          </w:tcPr>
          <w:p>
            <w:pPr>
              <w:jc w:val="right"/>
              <w:ind w:right="751"/>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332.6</w:t>
            </w:r>
          </w:p>
        </w:tc>
        <w:tc>
          <w:tcPr>
            <w:tcW w:w="260" w:type="dxa"/>
            <w:vAlign w:val="bottom"/>
          </w:tcPr>
          <w:p>
            <w:pPr>
              <w:spacing w:after="0"/>
              <w:rPr>
                <w:sz w:val="17"/>
                <w:szCs w:val="17"/>
                <w:color w:val="auto"/>
              </w:rPr>
            </w:pPr>
          </w:p>
        </w:tc>
        <w:tc>
          <w:tcPr>
            <w:tcW w:w="620" w:type="dxa"/>
            <w:vAlign w:val="bottom"/>
          </w:tcPr>
          <w:p>
            <w:pPr>
              <w:jc w:val="right"/>
              <w:ind w:right="471"/>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467.6</w:t>
            </w:r>
          </w:p>
        </w:tc>
        <w:tc>
          <w:tcPr>
            <w:tcW w:w="1000" w:type="dxa"/>
            <w:vAlign w:val="bottom"/>
          </w:tcPr>
          <w:p>
            <w:pPr>
              <w:jc w:val="right"/>
              <w:ind w:right="731"/>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611.8</w:t>
            </w:r>
          </w:p>
        </w:tc>
      </w:tr>
      <w:tr>
        <w:trPr>
          <w:trHeight w:val="20"/>
        </w:trPr>
        <w:tc>
          <w:tcPr>
            <w:tcW w:w="4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9"/>
        </w:trPr>
        <w:tc>
          <w:tcPr>
            <w:tcW w:w="4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Blueberry</w:t>
            </w:r>
          </w:p>
        </w:tc>
        <w:tc>
          <w:tcPr>
            <w:tcW w:w="5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11.0</w:t>
            </w:r>
          </w:p>
        </w:tc>
        <w:tc>
          <w:tcPr>
            <w:tcW w:w="10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15.7</w:t>
            </w:r>
          </w:p>
        </w:tc>
        <w:tc>
          <w:tcPr>
            <w:tcW w:w="2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51.8</w:t>
            </w:r>
          </w:p>
        </w:tc>
        <w:tc>
          <w:tcPr>
            <w:tcW w:w="10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52.1</w:t>
            </w:r>
          </w:p>
        </w:tc>
      </w:tr>
      <w:tr>
        <w:trPr>
          <w:trHeight w:val="199"/>
        </w:trPr>
        <w:tc>
          <w:tcPr>
            <w:tcW w:w="4020" w:type="dxa"/>
            <w:vAlign w:val="bottom"/>
          </w:tcPr>
          <w:p>
            <w:pPr>
              <w:ind w:left="220"/>
              <w:spacing w:after="0"/>
              <w:rPr>
                <w:sz w:val="20"/>
                <w:szCs w:val="20"/>
                <w:color w:val="auto"/>
              </w:rPr>
            </w:pPr>
            <w:r>
              <w:rPr>
                <w:rFonts w:ascii="Arial" w:cs="Arial" w:eastAsia="Arial" w:hAnsi="Arial"/>
                <w:sz w:val="14"/>
                <w:szCs w:val="14"/>
                <w:color w:val="auto"/>
              </w:rPr>
              <w:t>Mango</w:t>
            </w:r>
          </w:p>
        </w:tc>
        <w:tc>
          <w:tcPr>
            <w:tcW w:w="560" w:type="dxa"/>
            <w:vAlign w:val="bottom"/>
          </w:tcPr>
          <w:p>
            <w:pPr>
              <w:spacing w:after="0"/>
              <w:rPr>
                <w:sz w:val="17"/>
                <w:szCs w:val="17"/>
                <w:color w:val="auto"/>
              </w:rPr>
            </w:pPr>
          </w:p>
        </w:tc>
        <w:tc>
          <w:tcPr>
            <w:tcW w:w="1140" w:type="dxa"/>
            <w:vAlign w:val="bottom"/>
          </w:tcPr>
          <w:p>
            <w:pPr>
              <w:jc w:val="right"/>
              <w:ind w:right="31"/>
              <w:spacing w:after="0"/>
              <w:rPr>
                <w:sz w:val="20"/>
                <w:szCs w:val="20"/>
                <w:color w:val="auto"/>
              </w:rPr>
            </w:pPr>
            <w:r>
              <w:rPr>
                <w:rFonts w:ascii="Arial" w:cs="Arial" w:eastAsia="Arial" w:hAnsi="Arial"/>
                <w:sz w:val="14"/>
                <w:szCs w:val="14"/>
                <w:color w:val="auto"/>
              </w:rPr>
              <w:t>30.9</w:t>
            </w:r>
          </w:p>
        </w:tc>
        <w:tc>
          <w:tcPr>
            <w:tcW w:w="1020" w:type="dxa"/>
            <w:vAlign w:val="bottom"/>
          </w:tcPr>
          <w:p>
            <w:pPr>
              <w:spacing w:after="0"/>
              <w:rPr>
                <w:sz w:val="17"/>
                <w:szCs w:val="17"/>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29.9</w:t>
            </w: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43.8</w:t>
            </w:r>
          </w:p>
        </w:tc>
        <w:tc>
          <w:tcPr>
            <w:tcW w:w="10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44.7</w:t>
            </w:r>
          </w:p>
        </w:tc>
      </w:tr>
      <w:tr>
        <w:trPr>
          <w:trHeight w:val="20"/>
        </w:trPr>
        <w:tc>
          <w:tcPr>
            <w:tcW w:w="4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4"/>
        </w:trPr>
        <w:tc>
          <w:tcPr>
            <w:tcW w:w="4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Other</w:t>
            </w:r>
          </w:p>
        </w:tc>
        <w:tc>
          <w:tcPr>
            <w:tcW w:w="5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2.3</w:t>
            </w:r>
          </w:p>
        </w:tc>
        <w:tc>
          <w:tcPr>
            <w:tcW w:w="10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2.1</w:t>
            </w:r>
          </w:p>
        </w:tc>
        <w:tc>
          <w:tcPr>
            <w:tcW w:w="2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6.3</w:t>
            </w:r>
          </w:p>
        </w:tc>
        <w:tc>
          <w:tcPr>
            <w:tcW w:w="10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w:t>
            </w:r>
          </w:p>
        </w:tc>
      </w:tr>
      <w:tr>
        <w:trPr>
          <w:trHeight w:val="192"/>
        </w:trPr>
        <w:tc>
          <w:tcPr>
            <w:tcW w:w="40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Total net sales</w:t>
            </w:r>
          </w:p>
        </w:tc>
        <w:tc>
          <w:tcPr>
            <w:tcW w:w="560" w:type="dxa"/>
            <w:vAlign w:val="bottom"/>
            <w:tcBorders>
              <w:top w:val="single" w:sz="8" w:color="auto"/>
            </w:tcBorders>
          </w:tcPr>
          <w:p>
            <w:pPr>
              <w:jc w:val="right"/>
              <w:ind w:right="411"/>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290.9</w:t>
            </w:r>
          </w:p>
        </w:tc>
        <w:tc>
          <w:tcPr>
            <w:tcW w:w="1020" w:type="dxa"/>
            <w:vAlign w:val="bottom"/>
            <w:tcBorders>
              <w:top w:val="single" w:sz="8" w:color="auto"/>
            </w:tcBorders>
          </w:tcPr>
          <w:p>
            <w:pPr>
              <w:jc w:val="right"/>
              <w:ind w:right="751"/>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380.3</w:t>
            </w:r>
          </w:p>
        </w:tc>
        <w:tc>
          <w:tcPr>
            <w:tcW w:w="2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471"/>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569.5</w:t>
            </w:r>
          </w:p>
        </w:tc>
        <w:tc>
          <w:tcPr>
            <w:tcW w:w="1000" w:type="dxa"/>
            <w:vAlign w:val="bottom"/>
            <w:tcBorders>
              <w:top w:val="single" w:sz="8" w:color="auto"/>
            </w:tcBorders>
          </w:tcPr>
          <w:p>
            <w:pPr>
              <w:jc w:val="right"/>
              <w:ind w:right="73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714.5</w:t>
            </w:r>
          </w:p>
        </w:tc>
      </w:tr>
      <w:tr>
        <w:trPr>
          <w:trHeight w:val="20"/>
        </w:trPr>
        <w:tc>
          <w:tcPr>
            <w:tcW w:w="4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9"/>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By customer location</w:t>
            </w:r>
          </w:p>
        </w:tc>
        <w:tc>
          <w:tcPr>
            <w:tcW w:w="5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r>
      <w:tr>
        <w:trPr>
          <w:trHeight w:val="199"/>
        </w:trPr>
        <w:tc>
          <w:tcPr>
            <w:tcW w:w="4020" w:type="dxa"/>
            <w:vAlign w:val="bottom"/>
          </w:tcPr>
          <w:p>
            <w:pPr>
              <w:ind w:left="220"/>
              <w:spacing w:after="0"/>
              <w:rPr>
                <w:sz w:val="20"/>
                <w:szCs w:val="20"/>
                <w:color w:val="auto"/>
              </w:rPr>
            </w:pPr>
            <w:r>
              <w:rPr>
                <w:rFonts w:ascii="Arial" w:cs="Arial" w:eastAsia="Arial" w:hAnsi="Arial"/>
                <w:sz w:val="14"/>
                <w:szCs w:val="14"/>
                <w:color w:val="auto"/>
              </w:rPr>
              <w:t>United States</w:t>
            </w:r>
          </w:p>
        </w:tc>
        <w:tc>
          <w:tcPr>
            <w:tcW w:w="560" w:type="dxa"/>
            <w:vAlign w:val="bottom"/>
          </w:tcPr>
          <w:p>
            <w:pPr>
              <w:jc w:val="right"/>
              <w:ind w:right="411"/>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31"/>
              <w:spacing w:after="0"/>
              <w:rPr>
                <w:sz w:val="20"/>
                <w:szCs w:val="20"/>
                <w:color w:val="auto"/>
              </w:rPr>
            </w:pPr>
            <w:r>
              <w:rPr>
                <w:rFonts w:ascii="Arial" w:cs="Arial" w:eastAsia="Arial" w:hAnsi="Arial"/>
                <w:sz w:val="14"/>
                <w:szCs w:val="14"/>
                <w:color w:val="auto"/>
              </w:rPr>
              <w:t>229.5</w:t>
            </w:r>
          </w:p>
        </w:tc>
        <w:tc>
          <w:tcPr>
            <w:tcW w:w="1020" w:type="dxa"/>
            <w:vAlign w:val="bottom"/>
          </w:tcPr>
          <w:p>
            <w:pPr>
              <w:jc w:val="right"/>
              <w:ind w:right="751"/>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317.9</w:t>
            </w:r>
          </w:p>
        </w:tc>
        <w:tc>
          <w:tcPr>
            <w:tcW w:w="260" w:type="dxa"/>
            <w:vAlign w:val="bottom"/>
          </w:tcPr>
          <w:p>
            <w:pPr>
              <w:spacing w:after="0"/>
              <w:rPr>
                <w:sz w:val="17"/>
                <w:szCs w:val="17"/>
                <w:color w:val="auto"/>
              </w:rPr>
            </w:pPr>
          </w:p>
        </w:tc>
        <w:tc>
          <w:tcPr>
            <w:tcW w:w="620" w:type="dxa"/>
            <w:vAlign w:val="bottom"/>
          </w:tcPr>
          <w:p>
            <w:pPr>
              <w:jc w:val="right"/>
              <w:ind w:right="471"/>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439.4</w:t>
            </w:r>
          </w:p>
        </w:tc>
        <w:tc>
          <w:tcPr>
            <w:tcW w:w="1000" w:type="dxa"/>
            <w:vAlign w:val="bottom"/>
          </w:tcPr>
          <w:p>
            <w:pPr>
              <w:jc w:val="right"/>
              <w:ind w:right="731"/>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582.7</w:t>
            </w:r>
          </w:p>
        </w:tc>
      </w:tr>
      <w:tr>
        <w:trPr>
          <w:trHeight w:val="20"/>
        </w:trPr>
        <w:tc>
          <w:tcPr>
            <w:tcW w:w="4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4"/>
        </w:trPr>
        <w:tc>
          <w:tcPr>
            <w:tcW w:w="4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Rest of world</w:t>
            </w:r>
          </w:p>
        </w:tc>
        <w:tc>
          <w:tcPr>
            <w:tcW w:w="5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61.4</w:t>
            </w:r>
          </w:p>
        </w:tc>
        <w:tc>
          <w:tcPr>
            <w:tcW w:w="10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62.4</w:t>
            </w:r>
          </w:p>
        </w:tc>
        <w:tc>
          <w:tcPr>
            <w:tcW w:w="2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130.1</w:t>
            </w:r>
          </w:p>
        </w:tc>
        <w:tc>
          <w:tcPr>
            <w:tcW w:w="10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131.8</w:t>
            </w:r>
          </w:p>
        </w:tc>
      </w:tr>
      <w:tr>
        <w:trPr>
          <w:trHeight w:val="192"/>
        </w:trPr>
        <w:tc>
          <w:tcPr>
            <w:tcW w:w="40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Total net sales</w:t>
            </w:r>
          </w:p>
        </w:tc>
        <w:tc>
          <w:tcPr>
            <w:tcW w:w="560" w:type="dxa"/>
            <w:vAlign w:val="bottom"/>
            <w:tcBorders>
              <w:top w:val="single" w:sz="8" w:color="auto"/>
            </w:tcBorders>
          </w:tcPr>
          <w:p>
            <w:pPr>
              <w:jc w:val="right"/>
              <w:ind w:right="411"/>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290.9</w:t>
            </w:r>
          </w:p>
        </w:tc>
        <w:tc>
          <w:tcPr>
            <w:tcW w:w="1020" w:type="dxa"/>
            <w:vAlign w:val="bottom"/>
            <w:tcBorders>
              <w:top w:val="single" w:sz="8" w:color="auto"/>
            </w:tcBorders>
          </w:tcPr>
          <w:p>
            <w:pPr>
              <w:jc w:val="right"/>
              <w:ind w:right="751"/>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380.3</w:t>
            </w:r>
          </w:p>
        </w:tc>
        <w:tc>
          <w:tcPr>
            <w:tcW w:w="2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471"/>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569.5</w:t>
            </w:r>
          </w:p>
        </w:tc>
        <w:tc>
          <w:tcPr>
            <w:tcW w:w="1000" w:type="dxa"/>
            <w:vAlign w:val="bottom"/>
            <w:tcBorders>
              <w:top w:val="single" w:sz="8" w:color="auto"/>
            </w:tcBorders>
          </w:tcPr>
          <w:p>
            <w:pPr>
              <w:jc w:val="right"/>
              <w:ind w:right="73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714.5</w:t>
            </w:r>
          </w:p>
        </w:tc>
      </w:tr>
      <w:tr>
        <w:trPr>
          <w:trHeight w:val="20"/>
        </w:trPr>
        <w:tc>
          <w:tcPr>
            <w:tcW w:w="4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ind w:left="440" w:hanging="437"/>
        <w:spacing w:after="0"/>
        <w:tabs>
          <w:tab w:leader="none" w:pos="440"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Events</w:t>
      </w:r>
    </w:p>
    <w:p>
      <w:pPr>
        <w:spacing w:after="0" w:line="228" w:lineRule="exact"/>
        <w:rPr>
          <w:sz w:val="20"/>
          <w:szCs w:val="20"/>
          <w:color w:val="auto"/>
        </w:rPr>
      </w:pPr>
    </w:p>
    <w:p>
      <w:pPr>
        <w:ind w:firstLine="619"/>
        <w:spacing w:after="0" w:line="251" w:lineRule="auto"/>
        <w:rPr>
          <w:sz w:val="20"/>
          <w:szCs w:val="20"/>
          <w:color w:val="auto"/>
        </w:rPr>
      </w:pPr>
      <w:r>
        <w:rPr>
          <w:rFonts w:ascii="Arial" w:cs="Arial" w:eastAsia="Arial" w:hAnsi="Arial"/>
          <w:sz w:val="14"/>
          <w:szCs w:val="14"/>
          <w:color w:val="auto"/>
        </w:rPr>
        <w:t>On May 28, 2026, we consummated our acquisition of 100% of the outstanding common stock of Calavo. Calavo is a leading provider of fresh avocados, tomatoes, papayas, and value-added prepared foods, including a variety of ready-to-eat products such as guacamole and salsas. Its products are sold under the Calavo brand name, proprietary sub-brands, as well as private labels and store brands. The preliminary value of consideration transferred totaled approximately $465 million, which was comprised of 17,530,823 shares of our common stock and approximately $266 million in cash. Due to the limited time between the closing date of the transaction and our filing of this Quarterly Report on Form 10-Q for the quarter ended April 30, 2026, initial accounting for the business combination is incomplete and we are not yet able to disclose the provisional amounts to be recognized as of the acquisition date for assets acquired and liabilities assumed. We expect to provide preliminary purchase price allocation information in the Quarterly Report on Form 10-Q for the quarter ending July 31, 2026. Upon closing, the company incurred $5.0 million in transaction fees paid to third-party advisors for the successful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823595</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83" w:right="339" w:bottom="1440" w:gutter="0" w:footer="0" w:header="0"/>
        </w:sectPr>
      </w:pPr>
    </w:p>
    <w:bookmarkStart w:id="20" w:name="page21"/>
    <w:bookmarkEnd w:id="20"/>
    <w:p>
      <w:pPr>
        <w:jc w:val="center"/>
        <w:ind w:right="-79"/>
        <w:spacing w:after="0"/>
        <w:rPr>
          <w:sz w:val="20"/>
          <w:szCs w:val="20"/>
          <w:color w:val="auto"/>
        </w:rPr>
      </w:pPr>
      <w:r>
        <w:rPr>
          <w:rFonts w:ascii="Arial" w:cs="Arial" w:eastAsia="Arial" w:hAnsi="Arial"/>
          <w:sz w:val="19"/>
          <w:szCs w:val="19"/>
          <w:b w:val="1"/>
          <w:bCs w:val="1"/>
          <w:color w:val="auto"/>
        </w:rPr>
        <w:t>MISSION PRODUCE, INC.</w:t>
      </w:r>
    </w:p>
    <w:p>
      <w:pPr>
        <w:spacing w:after="0" w:line="32"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firstLine="619"/>
        <w:spacing w:after="0" w:line="257" w:lineRule="auto"/>
        <w:rPr>
          <w:sz w:val="20"/>
          <w:szCs w:val="20"/>
          <w:color w:val="auto"/>
        </w:rPr>
      </w:pPr>
      <w:r>
        <w:rPr>
          <w:rFonts w:ascii="Arial" w:cs="Arial" w:eastAsia="Arial" w:hAnsi="Arial"/>
          <w:sz w:val="14"/>
          <w:szCs w:val="14"/>
          <w:color w:val="auto"/>
        </w:rPr>
        <w:t>On June 3, 2026, the Board of Directors approved a stock repurchase program, which permits the Company to repurchase up to $100 million of shares of the Company’s common stock over the next 36 months, effective June 3, 2026 (the “2026 Program”). The 2026 Program replaces the Company’s previous common stock repurchase program adopted in September 2023, which would have expired in September 2026 with approximately $11.2 million remaining. The shares may be repurchased from time to time in open market and/or pursuant to Rule 10b5-1 trading plans in such quantities and at such prices as may be authorized by certain designated officers of the Company. No shares were repurchased following approval through June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819785</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83" w:right="419" w:bottom="1440" w:gutter="0" w:footer="0" w:header="0"/>
        </w:sectPr>
      </w:pPr>
    </w:p>
    <w:bookmarkStart w:id="21" w:name="page22"/>
    <w:bookmarkEnd w:id="21"/>
    <w:p>
      <w:pPr>
        <w:spacing w:after="0" w:line="19" w:lineRule="exact"/>
        <w:rPr>
          <w:sz w:val="20"/>
          <w:szCs w:val="20"/>
          <w:color w:val="auto"/>
        </w:rPr>
      </w:pPr>
    </w:p>
    <w:p>
      <w:pPr>
        <w:spacing w:after="0"/>
        <w:tabs>
          <w:tab w:leader="none" w:pos="1000" w:val="left"/>
        </w:tabs>
        <w:rPr>
          <w:sz w:val="20"/>
          <w:szCs w:val="20"/>
          <w:color w:val="auto"/>
        </w:rPr>
      </w:pPr>
      <w:r>
        <w:rPr>
          <w:rFonts w:ascii="Arial" w:cs="Arial" w:eastAsia="Arial" w:hAnsi="Arial"/>
          <w:sz w:val="19"/>
          <w:szCs w:val="19"/>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34" w:lineRule="exact"/>
        <w:rPr>
          <w:sz w:val="20"/>
          <w:szCs w:val="20"/>
          <w:color w:val="auto"/>
        </w:rPr>
      </w:pPr>
    </w:p>
    <w:p>
      <w:pPr>
        <w:ind w:right="180" w:firstLine="619"/>
        <w:spacing w:after="0" w:line="253" w:lineRule="auto"/>
        <w:rPr>
          <w:sz w:val="20"/>
          <w:szCs w:val="20"/>
          <w:color w:val="auto"/>
        </w:rPr>
      </w:pPr>
      <w:r>
        <w:rPr>
          <w:rFonts w:ascii="Arial" w:cs="Arial" w:eastAsia="Arial" w:hAnsi="Arial"/>
          <w:sz w:val="14"/>
          <w:szCs w:val="14"/>
          <w:color w:val="auto"/>
        </w:rPr>
        <w:t>You should read the following discussion and analysis of our financial condition and results of operations together with our unaudited financial statements and related notes included elsewhere in this quarterly report. This discussion and analysis contains forward-looking statements based upon our current beliefs, plans and expectations that involve risks, uncertainties and assumptions. Our actual results may differ materially from those anticipated in these forward-looking statements as a result of various factors. Please refer to the section of this report under the heading “Forward-Looking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8" w:lineRule="exact"/>
        <w:rPr>
          <w:sz w:val="20"/>
          <w:szCs w:val="20"/>
          <w:color w:val="auto"/>
        </w:rPr>
      </w:pPr>
    </w:p>
    <w:p>
      <w:pPr>
        <w:ind w:right="80" w:firstLine="619"/>
        <w:spacing w:after="0" w:line="283" w:lineRule="auto"/>
        <w:rPr>
          <w:sz w:val="20"/>
          <w:szCs w:val="20"/>
          <w:color w:val="auto"/>
        </w:rPr>
      </w:pPr>
      <w:r>
        <w:rPr>
          <w:rFonts w:ascii="Arial" w:cs="Arial" w:eastAsia="Arial" w:hAnsi="Arial"/>
          <w:sz w:val="13"/>
          <w:szCs w:val="13"/>
          <w:color w:val="auto"/>
        </w:rPr>
        <w:t>We are a world leader in sourcing, producing, growing and distributing Hass avocados, serving retail, wholesale and foodservice customers. We source, produce, pack and distribute avocados along with other fruits, including mangos, to our customers and provide value-added services including ripening, bagging, custom packaging and logistical management. In addition, we provide our customers with merchandising and promotional support, insights on market trends and training designed to increase their retail avocado sales.</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4"/>
          <w:szCs w:val="14"/>
          <w:color w:val="auto"/>
        </w:rPr>
        <w:t>We have three operating segments which are also reportable segments:</w:t>
      </w:r>
    </w:p>
    <w:p>
      <w:pPr>
        <w:spacing w:after="0" w:line="174" w:lineRule="exact"/>
        <w:rPr>
          <w:sz w:val="20"/>
          <w:szCs w:val="20"/>
          <w:color w:val="auto"/>
        </w:rPr>
      </w:pPr>
    </w:p>
    <w:p>
      <w:pPr>
        <w:ind w:left="620" w:hanging="307"/>
        <w:spacing w:after="0"/>
        <w:tabs>
          <w:tab w:leader="none" w:pos="620" w:val="left"/>
        </w:tabs>
        <w:numPr>
          <w:ilvl w:val="0"/>
          <w:numId w:val="17"/>
        </w:numPr>
        <w:rPr>
          <w:rFonts w:ascii="Arial" w:cs="Arial" w:eastAsia="Arial" w:hAnsi="Arial"/>
          <w:sz w:val="14"/>
          <w:szCs w:val="14"/>
          <w:color w:val="auto"/>
        </w:rPr>
      </w:pPr>
      <w:r>
        <w:rPr>
          <w:rFonts w:ascii="Arial" w:cs="Arial" w:eastAsia="Arial" w:hAnsi="Arial"/>
          <w:sz w:val="14"/>
          <w:szCs w:val="14"/>
          <w:i w:val="1"/>
          <w:iCs w:val="1"/>
          <w:color w:val="auto"/>
        </w:rPr>
        <w:t xml:space="preserve">Marketing &amp; Distribution. </w:t>
      </w:r>
      <w:r>
        <w:rPr>
          <w:rFonts w:ascii="Arial" w:cs="Arial" w:eastAsia="Arial" w:hAnsi="Arial"/>
          <w:sz w:val="14"/>
          <w:szCs w:val="14"/>
          <w:color w:val="auto"/>
        </w:rPr>
        <w:t>Our Marketing &amp; Distribution reportable segment sources fruit from growers and then distributes the fruit through our global distribution network.</w:t>
      </w:r>
    </w:p>
    <w:p>
      <w:pPr>
        <w:spacing w:after="0" w:line="174" w:lineRule="exact"/>
        <w:rPr>
          <w:rFonts w:ascii="Arial" w:cs="Arial" w:eastAsia="Arial" w:hAnsi="Arial"/>
          <w:sz w:val="14"/>
          <w:szCs w:val="14"/>
          <w:color w:val="auto"/>
        </w:rPr>
      </w:pPr>
    </w:p>
    <w:p>
      <w:pPr>
        <w:ind w:left="620" w:right="220" w:hanging="307"/>
        <w:spacing w:after="0" w:line="264" w:lineRule="auto"/>
        <w:tabs>
          <w:tab w:leader="none" w:pos="616" w:val="left"/>
        </w:tabs>
        <w:numPr>
          <w:ilvl w:val="0"/>
          <w:numId w:val="17"/>
        </w:numPr>
        <w:rPr>
          <w:rFonts w:ascii="Arial" w:cs="Arial" w:eastAsia="Arial" w:hAnsi="Arial"/>
          <w:sz w:val="14"/>
          <w:szCs w:val="14"/>
          <w:color w:val="auto"/>
        </w:rPr>
      </w:pPr>
      <w:r>
        <w:rPr>
          <w:rFonts w:ascii="Arial" w:cs="Arial" w:eastAsia="Arial" w:hAnsi="Arial"/>
          <w:sz w:val="14"/>
          <w:szCs w:val="14"/>
          <w:i w:val="1"/>
          <w:iCs w:val="1"/>
          <w:color w:val="auto"/>
        </w:rPr>
        <w:t xml:space="preserve">International Farming. </w:t>
      </w:r>
      <w:r>
        <w:rPr>
          <w:rFonts w:ascii="Arial" w:cs="Arial" w:eastAsia="Arial" w:hAnsi="Arial"/>
          <w:sz w:val="14"/>
          <w:szCs w:val="14"/>
          <w:color w:val="auto"/>
        </w:rPr>
        <w:t>International Farming owns and operates orchards from which the vast majority of fruit produced is sold to our Marketing &amp; Distribution segment. The</w:t>
      </w:r>
      <w:r>
        <w:rPr>
          <w:rFonts w:ascii="Arial" w:cs="Arial" w:eastAsia="Arial" w:hAnsi="Arial"/>
          <w:sz w:val="14"/>
          <w:szCs w:val="14"/>
          <w:i w:val="1"/>
          <w:iCs w:val="1"/>
          <w:color w:val="auto"/>
        </w:rPr>
        <w:t xml:space="preserve"> </w:t>
      </w:r>
      <w:r>
        <w:rPr>
          <w:rFonts w:ascii="Arial" w:cs="Arial" w:eastAsia="Arial" w:hAnsi="Arial"/>
          <w:sz w:val="14"/>
          <w:szCs w:val="14"/>
          <w:color w:val="auto"/>
        </w:rPr>
        <w:t>segment’s farming activities range from cultivating early-stage plantings to harvesting from mature trees. It also earns service revenues for packing and processing fruit for both our Blueberries segment, as well as for third-party producers of other crops. Operations are principally located in Peru and Guatemala.</w:t>
      </w:r>
    </w:p>
    <w:p>
      <w:pPr>
        <w:spacing w:after="0" w:line="139" w:lineRule="exact"/>
        <w:rPr>
          <w:rFonts w:ascii="Arial" w:cs="Arial" w:eastAsia="Arial" w:hAnsi="Arial"/>
          <w:sz w:val="14"/>
          <w:szCs w:val="14"/>
          <w:color w:val="auto"/>
        </w:rPr>
      </w:pPr>
    </w:p>
    <w:p>
      <w:pPr>
        <w:ind w:left="620" w:right="340" w:hanging="307"/>
        <w:spacing w:after="0" w:line="278" w:lineRule="auto"/>
        <w:tabs>
          <w:tab w:leader="none" w:pos="616" w:val="left"/>
        </w:tabs>
        <w:numPr>
          <w:ilvl w:val="0"/>
          <w:numId w:val="17"/>
        </w:numPr>
        <w:rPr>
          <w:rFonts w:ascii="Arial" w:cs="Arial" w:eastAsia="Arial" w:hAnsi="Arial"/>
          <w:sz w:val="14"/>
          <w:szCs w:val="14"/>
          <w:color w:val="auto"/>
        </w:rPr>
      </w:pPr>
      <w:r>
        <w:rPr>
          <w:rFonts w:ascii="Arial" w:cs="Arial" w:eastAsia="Arial" w:hAnsi="Arial"/>
          <w:sz w:val="14"/>
          <w:szCs w:val="14"/>
          <w:i w:val="1"/>
          <w:iCs w:val="1"/>
          <w:color w:val="auto"/>
        </w:rPr>
        <w:t xml:space="preserve">Blueberries. </w:t>
      </w:r>
      <w:r>
        <w:rPr>
          <w:rFonts w:ascii="Arial" w:cs="Arial" w:eastAsia="Arial" w:hAnsi="Arial"/>
          <w:sz w:val="14"/>
          <w:szCs w:val="14"/>
          <w:color w:val="auto"/>
        </w:rPr>
        <w:t>The Blueberries segment consists of farming activities that include cultivating early-stage blueberry plantings and harvesting mature bushes. Substantially all</w:t>
      </w:r>
      <w:r>
        <w:rPr>
          <w:rFonts w:ascii="Arial" w:cs="Arial" w:eastAsia="Arial" w:hAnsi="Arial"/>
          <w:sz w:val="14"/>
          <w:szCs w:val="14"/>
          <w:i w:val="1"/>
          <w:iCs w:val="1"/>
          <w:color w:val="auto"/>
        </w:rPr>
        <w:t xml:space="preserve"> </w:t>
      </w:r>
      <w:r>
        <w:rPr>
          <w:rFonts w:ascii="Arial" w:cs="Arial" w:eastAsia="Arial" w:hAnsi="Arial"/>
          <w:sz w:val="14"/>
          <w:szCs w:val="14"/>
          <w:color w:val="auto"/>
        </w:rPr>
        <w:t>blueberries produced are sold to a single distributor under an exclusive marketing agreement.</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Acquisition of Calavo</w:t>
      </w:r>
    </w:p>
    <w:p>
      <w:pPr>
        <w:spacing w:after="0" w:line="221" w:lineRule="exact"/>
        <w:rPr>
          <w:sz w:val="20"/>
          <w:szCs w:val="20"/>
          <w:color w:val="auto"/>
        </w:rPr>
      </w:pPr>
    </w:p>
    <w:p>
      <w:pPr>
        <w:jc w:val="both"/>
        <w:ind w:right="60" w:firstLine="619"/>
        <w:spacing w:after="0" w:line="264" w:lineRule="auto"/>
        <w:rPr>
          <w:sz w:val="20"/>
          <w:szCs w:val="20"/>
          <w:color w:val="auto"/>
        </w:rPr>
      </w:pPr>
      <w:r>
        <w:rPr>
          <w:rFonts w:ascii="Arial" w:cs="Arial" w:eastAsia="Arial" w:hAnsi="Arial"/>
          <w:sz w:val="14"/>
          <w:szCs w:val="14"/>
          <w:color w:val="auto"/>
        </w:rPr>
        <w:t>On May 28, 2026, we consummated our acquisition of 100% of outstanding common stock of Calavo. Calavo is a leading provider of fresh avocados, tomatoes, papayas, and value-added prepared foods, including a variety of ready-to-eat products such as guacamole and salsas. Its products are sold under the Calavo brand name, proprietary sub-brands, as well as private labels and store brands.</w:t>
      </w:r>
    </w:p>
    <w:p>
      <w:pPr>
        <w:spacing w:after="0" w:line="178" w:lineRule="exact"/>
        <w:rPr>
          <w:sz w:val="20"/>
          <w:szCs w:val="20"/>
          <w:color w:val="auto"/>
        </w:rPr>
      </w:pPr>
    </w:p>
    <w:p>
      <w:pPr>
        <w:ind w:right="60" w:firstLine="619"/>
        <w:spacing w:after="0" w:line="283" w:lineRule="auto"/>
        <w:rPr>
          <w:sz w:val="20"/>
          <w:szCs w:val="20"/>
          <w:color w:val="auto"/>
        </w:rPr>
      </w:pPr>
      <w:r>
        <w:rPr>
          <w:rFonts w:ascii="Arial" w:cs="Arial" w:eastAsia="Arial" w:hAnsi="Arial"/>
          <w:sz w:val="13"/>
          <w:szCs w:val="13"/>
          <w:color w:val="auto"/>
        </w:rPr>
        <w:t>The transaction enhances our position in the North American avocado category with expanded supply reliability across Mexico and California. The transaction also represents our entry into the prepared food sector, complementing our existing value-added avocado business. The transaction also provides a significant value opportunity for us to realize cost synergies and SG&amp;A savings. The results of Calavo and interest costs associated with the debt incurred will be included in our results for periods following the closing date.</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Tariffs</w:t>
      </w:r>
    </w:p>
    <w:p>
      <w:pPr>
        <w:spacing w:after="0" w:line="221" w:lineRule="exact"/>
        <w:rPr>
          <w:sz w:val="20"/>
          <w:szCs w:val="20"/>
          <w:color w:val="auto"/>
        </w:rPr>
      </w:pPr>
    </w:p>
    <w:p>
      <w:pPr>
        <w:ind w:firstLine="619"/>
        <w:spacing w:after="0" w:line="252" w:lineRule="auto"/>
        <w:rPr>
          <w:sz w:val="20"/>
          <w:szCs w:val="20"/>
          <w:color w:val="auto"/>
        </w:rPr>
      </w:pPr>
      <w:r>
        <w:rPr>
          <w:rFonts w:ascii="Arial" w:cs="Arial" w:eastAsia="Arial" w:hAnsi="Arial"/>
          <w:sz w:val="14"/>
          <w:szCs w:val="14"/>
          <w:color w:val="auto"/>
        </w:rPr>
        <w:t>On February 20, 2026, the U.S. Supreme Court issued a ruling striking down certain tariffs previously imposed under the International Emergency Economic Powers Act (IEEPA), and remanded related matters to the Court of International Trade. Following the Supreme Court’s decision, the U.S. presidential administration announced its intention to invoke other laws to collect tariffs and announced new tariffs on imports from all countries, in addition to any existing non-IEEPA tariffs. There remains substantial uncertainty regarding the duration of existing and newly announced tariffs, potential changes or pauses to such tariffs, tariff levels, and whether further additional tariffs or other retaliatory actions may be imposed, modified, or suspended, and the impacts of such actions on our business.</w:t>
      </w:r>
    </w:p>
    <w:p>
      <w:pPr>
        <w:spacing w:after="0" w:line="186" w:lineRule="exact"/>
        <w:rPr>
          <w:sz w:val="20"/>
          <w:szCs w:val="20"/>
          <w:color w:val="auto"/>
        </w:rPr>
      </w:pPr>
    </w:p>
    <w:p>
      <w:pPr>
        <w:ind w:right="20" w:firstLine="619"/>
        <w:spacing w:after="0" w:line="285" w:lineRule="auto"/>
        <w:rPr>
          <w:sz w:val="20"/>
          <w:szCs w:val="20"/>
          <w:color w:val="auto"/>
        </w:rPr>
      </w:pPr>
      <w:r>
        <w:rPr>
          <w:rFonts w:ascii="Arial" w:cs="Arial" w:eastAsia="Arial" w:hAnsi="Arial"/>
          <w:sz w:val="13"/>
          <w:szCs w:val="13"/>
          <w:color w:val="auto"/>
        </w:rPr>
        <w:t>Subsequently, the U.S. Customs and Border Protection (CBP) has created the Consolidated Administration and Processing of Entries (CAPE) system to administer refunds for tariffs imposed under IEEPA. While progress has been made regarding the establishment of the CAPE system, there remains substantial uncertainty regarding the submission process for refunds, and the timing, magnitude, and completeness of potential refunds. The ability to recover, and the timing and amount of any potential refunds are uncertain, and at this time we cannot reasonably estimate the financial impact to us, if any. As of June 8, 2026, we have not recognized any amounts associated with potential refunds related to these tariffs.</w:t>
      </w:r>
    </w:p>
    <w:p>
      <w:pPr>
        <w:spacing w:after="0" w:line="154" w:lineRule="exact"/>
        <w:rPr>
          <w:sz w:val="20"/>
          <w:szCs w:val="20"/>
          <w:color w:val="auto"/>
        </w:rPr>
      </w:pPr>
    </w:p>
    <w:p>
      <w:pPr>
        <w:ind w:left="620"/>
        <w:spacing w:after="0"/>
        <w:rPr>
          <w:sz w:val="20"/>
          <w:szCs w:val="20"/>
          <w:color w:val="auto"/>
        </w:rPr>
      </w:pPr>
      <w:r>
        <w:rPr>
          <w:rFonts w:ascii="Arial" w:cs="Arial" w:eastAsia="Arial" w:hAnsi="Arial"/>
          <w:sz w:val="14"/>
          <w:szCs w:val="14"/>
          <w:color w:val="auto"/>
        </w:rPr>
        <w:t>We are monitoring the situation closely for further information about how the U.S. government intends to proceed.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847725</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28" w:lineRule="exact"/>
        <w:rPr>
          <w:sz w:val="20"/>
          <w:szCs w:val="20"/>
          <w:color w:val="auto"/>
        </w:rPr>
      </w:pPr>
    </w:p>
    <w:p>
      <w:pPr>
        <w:jc w:val="both"/>
        <w:ind w:right="100" w:firstLine="619"/>
        <w:spacing w:after="0" w:line="253" w:lineRule="auto"/>
        <w:rPr>
          <w:sz w:val="20"/>
          <w:szCs w:val="20"/>
          <w:color w:val="auto"/>
        </w:rPr>
      </w:pPr>
      <w:r>
        <w:rPr>
          <w:rFonts w:ascii="Arial" w:cs="Arial" w:eastAsia="Arial" w:hAnsi="Arial"/>
          <w:sz w:val="14"/>
          <w:szCs w:val="14"/>
          <w:color w:val="auto"/>
        </w:rPr>
        <w:t>The operating results of our businesses are significantly impacted by the price and volume of fruit we farm, source and distribute. In addition, our results have been, and will continue to be, affected by quarterly and annual fluctuations due to a number of factors, including but not limited to: tariffs; pests and disease; weather patterns; changes in demand by consumers; food safety advisories; the timing of the receipt, reduction or cancellation of significant customer orders; the gain or loss of significant customers; the availability, quality and price of raw materials; the utilization of capacity at our various locations; and general economic conditions.</w:t>
      </w:r>
    </w:p>
    <w:p>
      <w:pPr>
        <w:spacing w:after="0" w:line="185" w:lineRule="exact"/>
        <w:rPr>
          <w:sz w:val="20"/>
          <w:szCs w:val="20"/>
          <w:color w:val="auto"/>
        </w:rPr>
      </w:pPr>
    </w:p>
    <w:p>
      <w:pPr>
        <w:ind w:firstLine="619"/>
        <w:spacing w:after="0" w:line="251" w:lineRule="auto"/>
        <w:rPr>
          <w:sz w:val="20"/>
          <w:szCs w:val="20"/>
          <w:color w:val="auto"/>
        </w:rPr>
      </w:pPr>
      <w:r>
        <w:rPr>
          <w:rFonts w:ascii="Arial" w:cs="Arial" w:eastAsia="Arial" w:hAnsi="Arial"/>
          <w:sz w:val="14"/>
          <w:szCs w:val="14"/>
          <w:color w:val="auto"/>
        </w:rPr>
        <w:t>Our financial reporting currency is the U.S. dollar. The functional currency of our most significant subsidiaries is the U.S. dollar and the majority of our sales are denominated in U.S. dollars. A significant portion of our purchases of avocados are denominated in the Mexican Peso and a significant portion of our growing and harvesting costs are denominated in Peruvian Soles. Fluctuations in the exchange rates between the U.S. dollar and these local currencies usually do not have a significant impact on our gross margin because the impact typically affects our pricing by comparable amounts. Our margin exposure to exchange rate fluctuations is short-term in nature, as our sales price commitments are generally limited to less than one month and orders can primarily be serviced with procured inventory. Over longer periods of time, we believe that the impact exchange rate fluctuations will have on our cost of goods sold will largely be passed on to our customers in the form of higher or lower prices.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331"/>
              <w:spacing w:after="0"/>
              <w:rPr>
                <w:sz w:val="20"/>
                <w:szCs w:val="20"/>
                <w:color w:val="auto"/>
              </w:rPr>
            </w:pPr>
            <w:r>
              <w:rPr>
                <w:rFonts w:ascii="Arial" w:cs="Arial" w:eastAsia="Arial" w:hAnsi="Arial"/>
                <w:sz w:val="14"/>
                <w:szCs w:val="14"/>
                <w:b w:val="1"/>
                <w:bCs w:val="1"/>
                <w:color w:val="auto"/>
              </w:rPr>
              <w:t>April 30,</w:t>
            </w:r>
          </w:p>
        </w:tc>
        <w:tc>
          <w:tcPr>
            <w:tcW w:w="6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311"/>
              <w:spacing w:after="0"/>
              <w:rPr>
                <w:sz w:val="20"/>
                <w:szCs w:val="20"/>
                <w:color w:val="auto"/>
              </w:rPr>
            </w:pPr>
            <w:r>
              <w:rPr>
                <w:rFonts w:ascii="Arial" w:cs="Arial" w:eastAsia="Arial" w:hAnsi="Arial"/>
                <w:sz w:val="14"/>
                <w:szCs w:val="14"/>
                <w:b w:val="1"/>
                <w:bCs w:val="1"/>
                <w:color w:val="auto"/>
              </w:rPr>
              <w:t>April 30,</w:t>
            </w:r>
          </w:p>
        </w:tc>
        <w:tc>
          <w:tcPr>
            <w:tcW w:w="7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2026</w:t>
            </w:r>
          </w:p>
        </w:tc>
        <w:tc>
          <w:tcPr>
            <w:tcW w:w="6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2025</w:t>
            </w:r>
          </w:p>
        </w:tc>
        <w:tc>
          <w:tcPr>
            <w:tcW w:w="6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2026</w:t>
            </w:r>
          </w:p>
        </w:tc>
        <w:tc>
          <w:tcPr>
            <w:tcW w:w="6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2025</w:t>
            </w: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 except for percentages)</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Dollars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6"/>
              </w:rPr>
              <w:t>Dollars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Dollars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Dollars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34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rPr>
              <w:t>290.9</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431"/>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4"/>
                <w:szCs w:val="14"/>
                <w:color w:val="auto"/>
              </w:rPr>
              <w:t>380.3</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4"/>
                <w:szCs w:val="14"/>
                <w:color w:val="auto"/>
              </w:rPr>
              <w:t>569.5</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411"/>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4"/>
                <w:szCs w:val="14"/>
                <w:color w:val="auto"/>
              </w:rPr>
              <w:t>714.5</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199"/>
        </w:trPr>
        <w:tc>
          <w:tcPr>
            <w:tcW w:w="326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340" w:type="dxa"/>
            <w:vAlign w:val="bottom"/>
          </w:tcPr>
          <w:p>
            <w:pPr>
              <w:spacing w:after="0"/>
              <w:rPr>
                <w:sz w:val="17"/>
                <w:szCs w:val="17"/>
                <w:color w:val="auto"/>
              </w:rPr>
            </w:pPr>
          </w:p>
        </w:tc>
        <w:tc>
          <w:tcPr>
            <w:tcW w:w="840" w:type="dxa"/>
            <w:vAlign w:val="bottom"/>
          </w:tcPr>
          <w:p>
            <w:pPr>
              <w:jc w:val="right"/>
              <w:ind w:right="91"/>
              <w:spacing w:after="0"/>
              <w:rPr>
                <w:sz w:val="20"/>
                <w:szCs w:val="20"/>
                <w:color w:val="auto"/>
              </w:rPr>
            </w:pPr>
            <w:r>
              <w:rPr>
                <w:rFonts w:ascii="Arial" w:cs="Arial" w:eastAsia="Arial" w:hAnsi="Arial"/>
                <w:sz w:val="14"/>
                <w:szCs w:val="14"/>
                <w:color w:val="auto"/>
              </w:rPr>
              <w:t>270.4</w:t>
            </w:r>
          </w:p>
        </w:tc>
        <w:tc>
          <w:tcPr>
            <w:tcW w:w="680" w:type="dxa"/>
            <w:vAlign w:val="bottom"/>
          </w:tcPr>
          <w:p>
            <w:pPr>
              <w:jc w:val="right"/>
              <w:spacing w:after="0"/>
              <w:rPr>
                <w:sz w:val="20"/>
                <w:szCs w:val="20"/>
                <w:color w:val="auto"/>
              </w:rPr>
            </w:pPr>
            <w:r>
              <w:rPr>
                <w:rFonts w:ascii="Arial" w:cs="Arial" w:eastAsia="Arial" w:hAnsi="Arial"/>
                <w:sz w:val="14"/>
                <w:szCs w:val="14"/>
                <w:color w:val="auto"/>
              </w:rPr>
              <w:t>93 %</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jc w:val="right"/>
              <w:ind w:right="191"/>
              <w:spacing w:after="0"/>
              <w:rPr>
                <w:sz w:val="20"/>
                <w:szCs w:val="20"/>
                <w:color w:val="auto"/>
              </w:rPr>
            </w:pPr>
            <w:r>
              <w:rPr>
                <w:rFonts w:ascii="Arial" w:cs="Arial" w:eastAsia="Arial" w:hAnsi="Arial"/>
                <w:sz w:val="14"/>
                <w:szCs w:val="14"/>
                <w:color w:val="auto"/>
              </w:rPr>
              <w:t>351.9</w:t>
            </w:r>
          </w:p>
        </w:tc>
        <w:tc>
          <w:tcPr>
            <w:tcW w:w="600" w:type="dxa"/>
            <w:vAlign w:val="bottom"/>
          </w:tcPr>
          <w:p>
            <w:pPr>
              <w:jc w:val="right"/>
              <w:spacing w:after="0"/>
              <w:rPr>
                <w:sz w:val="20"/>
                <w:szCs w:val="20"/>
                <w:color w:val="auto"/>
              </w:rPr>
            </w:pPr>
            <w:r>
              <w:rPr>
                <w:rFonts w:ascii="Arial" w:cs="Arial" w:eastAsia="Arial" w:hAnsi="Arial"/>
                <w:sz w:val="14"/>
                <w:szCs w:val="14"/>
                <w:color w:val="auto"/>
              </w:rPr>
              <w:t>93 %</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ind w:right="131"/>
              <w:spacing w:after="0"/>
              <w:rPr>
                <w:sz w:val="20"/>
                <w:szCs w:val="20"/>
                <w:color w:val="auto"/>
              </w:rPr>
            </w:pPr>
            <w:r>
              <w:rPr>
                <w:rFonts w:ascii="Arial" w:cs="Arial" w:eastAsia="Arial" w:hAnsi="Arial"/>
                <w:sz w:val="14"/>
                <w:szCs w:val="14"/>
                <w:color w:val="auto"/>
              </w:rPr>
              <w:t>517.4</w:t>
            </w:r>
          </w:p>
        </w:tc>
        <w:tc>
          <w:tcPr>
            <w:tcW w:w="640" w:type="dxa"/>
            <w:vAlign w:val="bottom"/>
          </w:tcPr>
          <w:p>
            <w:pPr>
              <w:jc w:val="right"/>
              <w:spacing w:after="0"/>
              <w:rPr>
                <w:sz w:val="20"/>
                <w:szCs w:val="20"/>
                <w:color w:val="auto"/>
              </w:rPr>
            </w:pPr>
            <w:r>
              <w:rPr>
                <w:rFonts w:ascii="Arial" w:cs="Arial" w:eastAsia="Arial" w:hAnsi="Arial"/>
                <w:sz w:val="14"/>
                <w:szCs w:val="14"/>
                <w:color w:val="auto"/>
              </w:rPr>
              <w:t>91 %</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jc w:val="right"/>
              <w:ind w:right="191"/>
              <w:spacing w:after="0"/>
              <w:rPr>
                <w:sz w:val="20"/>
                <w:szCs w:val="20"/>
                <w:color w:val="auto"/>
              </w:rPr>
            </w:pPr>
            <w:r>
              <w:rPr>
                <w:rFonts w:ascii="Arial" w:cs="Arial" w:eastAsia="Arial" w:hAnsi="Arial"/>
                <w:sz w:val="14"/>
                <w:szCs w:val="14"/>
                <w:color w:val="auto"/>
              </w:rPr>
              <w:t>654.6</w:t>
            </w:r>
          </w:p>
        </w:tc>
        <w:tc>
          <w:tcPr>
            <w:tcW w:w="600" w:type="dxa"/>
            <w:vAlign w:val="bottom"/>
          </w:tcPr>
          <w:p>
            <w:pPr>
              <w:jc w:val="right"/>
              <w:spacing w:after="0"/>
              <w:rPr>
                <w:sz w:val="20"/>
                <w:szCs w:val="20"/>
                <w:color w:val="auto"/>
              </w:rPr>
            </w:pPr>
            <w:r>
              <w:rPr>
                <w:rFonts w:ascii="Arial" w:cs="Arial" w:eastAsia="Arial" w:hAnsi="Arial"/>
                <w:sz w:val="14"/>
                <w:szCs w:val="14"/>
                <w:color w:val="auto"/>
              </w:rPr>
              <w:t>92 %</w:t>
            </w:r>
          </w:p>
        </w:tc>
        <w:tc>
          <w:tcPr>
            <w:tcW w:w="0" w:type="dxa"/>
            <w:vAlign w:val="bottom"/>
          </w:tcPr>
          <w:p>
            <w:pPr>
              <w:spacing w:after="0"/>
              <w:rPr>
                <w:sz w:val="1"/>
                <w:szCs w:val="1"/>
                <w:color w:val="auto"/>
              </w:rPr>
            </w:pPr>
          </w:p>
        </w:tc>
      </w:tr>
      <w:tr>
        <w:trPr>
          <w:trHeight w:val="20"/>
        </w:trPr>
        <w:tc>
          <w:tcPr>
            <w:tcW w:w="3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3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rPr>
              <w:t>20.5</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1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4"/>
                <w:szCs w:val="14"/>
                <w:color w:val="auto"/>
              </w:rPr>
              <w:t>28.4</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1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4"/>
                <w:szCs w:val="14"/>
                <w:color w:val="auto"/>
              </w:rPr>
              <w:t>52.1</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4"/>
                <w:szCs w:val="14"/>
                <w:color w:val="auto"/>
              </w:rPr>
              <w:t>59.9</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0" w:type="dxa"/>
            <w:vAlign w:val="bottom"/>
          </w:tcPr>
          <w:p>
            <w:pPr>
              <w:spacing w:after="0"/>
              <w:rPr>
                <w:sz w:val="1"/>
                <w:szCs w:val="1"/>
                <w:color w:val="auto"/>
              </w:rPr>
            </w:pPr>
          </w:p>
        </w:tc>
      </w:tr>
      <w:tr>
        <w:trPr>
          <w:trHeight w:val="199"/>
        </w:trPr>
        <w:tc>
          <w:tcPr>
            <w:tcW w:w="3260" w:type="dxa"/>
            <w:vAlign w:val="bottom"/>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340" w:type="dxa"/>
            <w:vAlign w:val="bottom"/>
          </w:tcPr>
          <w:p>
            <w:pPr>
              <w:spacing w:after="0"/>
              <w:rPr>
                <w:sz w:val="17"/>
                <w:szCs w:val="17"/>
                <w:color w:val="auto"/>
              </w:rPr>
            </w:pPr>
          </w:p>
        </w:tc>
        <w:tc>
          <w:tcPr>
            <w:tcW w:w="840" w:type="dxa"/>
            <w:vAlign w:val="bottom"/>
          </w:tcPr>
          <w:p>
            <w:pPr>
              <w:jc w:val="right"/>
              <w:ind w:right="91"/>
              <w:spacing w:after="0"/>
              <w:rPr>
                <w:sz w:val="20"/>
                <w:szCs w:val="20"/>
                <w:color w:val="auto"/>
              </w:rPr>
            </w:pPr>
            <w:r>
              <w:rPr>
                <w:rFonts w:ascii="Arial" w:cs="Arial" w:eastAsia="Arial" w:hAnsi="Arial"/>
                <w:sz w:val="14"/>
                <w:szCs w:val="14"/>
                <w:color w:val="auto"/>
              </w:rPr>
              <w:t>21.1</w:t>
            </w:r>
          </w:p>
        </w:tc>
        <w:tc>
          <w:tcPr>
            <w:tcW w:w="680" w:type="dxa"/>
            <w:vAlign w:val="bottom"/>
          </w:tcPr>
          <w:p>
            <w:pPr>
              <w:jc w:val="right"/>
              <w:spacing w:after="0"/>
              <w:rPr>
                <w:sz w:val="20"/>
                <w:szCs w:val="20"/>
                <w:color w:val="auto"/>
              </w:rPr>
            </w:pPr>
            <w:r>
              <w:rPr>
                <w:rFonts w:ascii="Arial" w:cs="Arial" w:eastAsia="Arial" w:hAnsi="Arial"/>
                <w:sz w:val="14"/>
                <w:szCs w:val="14"/>
                <w:color w:val="auto"/>
              </w:rPr>
              <w:t>7 %</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jc w:val="right"/>
              <w:ind w:right="191"/>
              <w:spacing w:after="0"/>
              <w:rPr>
                <w:sz w:val="20"/>
                <w:szCs w:val="20"/>
                <w:color w:val="auto"/>
              </w:rPr>
            </w:pPr>
            <w:r>
              <w:rPr>
                <w:rFonts w:ascii="Arial" w:cs="Arial" w:eastAsia="Arial" w:hAnsi="Arial"/>
                <w:sz w:val="14"/>
                <w:szCs w:val="14"/>
                <w:color w:val="auto"/>
              </w:rPr>
              <w:t>21.4</w:t>
            </w:r>
          </w:p>
        </w:tc>
        <w:tc>
          <w:tcPr>
            <w:tcW w:w="600" w:type="dxa"/>
            <w:vAlign w:val="bottom"/>
          </w:tcPr>
          <w:p>
            <w:pPr>
              <w:jc w:val="right"/>
              <w:spacing w:after="0"/>
              <w:rPr>
                <w:sz w:val="20"/>
                <w:szCs w:val="20"/>
                <w:color w:val="auto"/>
              </w:rPr>
            </w:pPr>
            <w:r>
              <w:rPr>
                <w:rFonts w:ascii="Arial" w:cs="Arial" w:eastAsia="Arial" w:hAnsi="Arial"/>
                <w:sz w:val="14"/>
                <w:szCs w:val="14"/>
                <w:color w:val="auto"/>
              </w:rPr>
              <w:t>6 %</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ind w:right="131"/>
              <w:spacing w:after="0"/>
              <w:rPr>
                <w:sz w:val="20"/>
                <w:szCs w:val="20"/>
                <w:color w:val="auto"/>
              </w:rPr>
            </w:pPr>
            <w:r>
              <w:rPr>
                <w:rFonts w:ascii="Arial" w:cs="Arial" w:eastAsia="Arial" w:hAnsi="Arial"/>
                <w:sz w:val="14"/>
                <w:szCs w:val="14"/>
                <w:color w:val="auto"/>
              </w:rPr>
              <w:t>43.2</w:t>
            </w:r>
          </w:p>
        </w:tc>
        <w:tc>
          <w:tcPr>
            <w:tcW w:w="640" w:type="dxa"/>
            <w:vAlign w:val="bottom"/>
          </w:tcPr>
          <w:p>
            <w:pPr>
              <w:jc w:val="right"/>
              <w:spacing w:after="0"/>
              <w:rPr>
                <w:sz w:val="20"/>
                <w:szCs w:val="20"/>
                <w:color w:val="auto"/>
              </w:rPr>
            </w:pPr>
            <w:r>
              <w:rPr>
                <w:rFonts w:ascii="Arial" w:cs="Arial" w:eastAsia="Arial" w:hAnsi="Arial"/>
                <w:sz w:val="14"/>
                <w:szCs w:val="14"/>
                <w:color w:val="auto"/>
              </w:rPr>
              <w:t>8 %</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jc w:val="right"/>
              <w:ind w:right="191"/>
              <w:spacing w:after="0"/>
              <w:rPr>
                <w:sz w:val="20"/>
                <w:szCs w:val="20"/>
                <w:color w:val="auto"/>
              </w:rPr>
            </w:pPr>
            <w:r>
              <w:rPr>
                <w:rFonts w:ascii="Arial" w:cs="Arial" w:eastAsia="Arial" w:hAnsi="Arial"/>
                <w:sz w:val="14"/>
                <w:szCs w:val="14"/>
                <w:color w:val="auto"/>
              </w:rPr>
              <w:t>43.5</w:t>
            </w:r>
          </w:p>
        </w:tc>
        <w:tc>
          <w:tcPr>
            <w:tcW w:w="600" w:type="dxa"/>
            <w:vAlign w:val="bottom"/>
          </w:tcPr>
          <w:p>
            <w:pPr>
              <w:jc w:val="right"/>
              <w:spacing w:after="0"/>
              <w:rPr>
                <w:sz w:val="20"/>
                <w:szCs w:val="20"/>
                <w:color w:val="auto"/>
              </w:rPr>
            </w:pPr>
            <w:r>
              <w:rPr>
                <w:rFonts w:ascii="Arial" w:cs="Arial" w:eastAsia="Arial" w:hAnsi="Arial"/>
                <w:sz w:val="14"/>
                <w:szCs w:val="14"/>
                <w:color w:val="auto"/>
              </w:rPr>
              <w:t>6 %</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Transaction advisory costs</w:t>
            </w:r>
          </w:p>
        </w:tc>
        <w:tc>
          <w:tcPr>
            <w:tcW w:w="3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rPr>
              <w:t>6.4</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1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4"/>
                <w:szCs w:val="14"/>
                <w:color w:val="auto"/>
              </w:rPr>
              <w:t>0.1</w:t>
            </w: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 %</w:t>
            </w: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4"/>
                <w:szCs w:val="14"/>
                <w:color w:val="auto"/>
              </w:rPr>
              <w:t>13.4</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1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4"/>
                <w:szCs w:val="14"/>
                <w:color w:val="auto"/>
              </w:rPr>
              <w:t>0.2</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2"/>
        </w:trPr>
        <w:tc>
          <w:tcPr>
            <w:tcW w:w="32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Operating (loss) income</w:t>
            </w:r>
          </w:p>
        </w:tc>
        <w:tc>
          <w:tcPr>
            <w:tcW w:w="3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ind w:left="420"/>
              <w:spacing w:after="0"/>
              <w:rPr>
                <w:sz w:val="20"/>
                <w:szCs w:val="20"/>
                <w:color w:val="auto"/>
              </w:rPr>
            </w:pPr>
            <w:r>
              <w:rPr>
                <w:rFonts w:ascii="Arial" w:cs="Arial" w:eastAsia="Arial" w:hAnsi="Arial"/>
                <w:sz w:val="14"/>
                <w:szCs w:val="14"/>
                <w:color w:val="auto"/>
              </w:rPr>
              <w:t>(7.0)</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191"/>
              <w:spacing w:after="0"/>
              <w:rPr>
                <w:sz w:val="20"/>
                <w:szCs w:val="20"/>
                <w:color w:val="auto"/>
              </w:rPr>
            </w:pPr>
            <w:r>
              <w:rPr>
                <w:rFonts w:ascii="Arial" w:cs="Arial" w:eastAsia="Arial" w:hAnsi="Arial"/>
                <w:sz w:val="14"/>
                <w:szCs w:val="14"/>
                <w:color w:val="auto"/>
              </w:rPr>
              <w:t>6.9</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2 %</w:t>
            </w:r>
          </w:p>
        </w:tc>
        <w:tc>
          <w:tcPr>
            <w:tcW w:w="16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91"/>
              <w:spacing w:after="0"/>
              <w:rPr>
                <w:sz w:val="20"/>
                <w:szCs w:val="20"/>
                <w:color w:val="auto"/>
              </w:rPr>
            </w:pPr>
            <w:r>
              <w:rPr>
                <w:rFonts w:ascii="Arial" w:cs="Arial" w:eastAsia="Arial" w:hAnsi="Arial"/>
                <w:sz w:val="14"/>
                <w:szCs w:val="14"/>
                <w:color w:val="auto"/>
              </w:rPr>
              <w:t>(4.5)</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191"/>
              <w:spacing w:after="0"/>
              <w:rPr>
                <w:sz w:val="20"/>
                <w:szCs w:val="20"/>
                <w:color w:val="auto"/>
              </w:rPr>
            </w:pPr>
            <w:r>
              <w:rPr>
                <w:rFonts w:ascii="Arial" w:cs="Arial" w:eastAsia="Arial" w:hAnsi="Arial"/>
                <w:sz w:val="14"/>
                <w:szCs w:val="14"/>
                <w:color w:val="auto"/>
              </w:rPr>
              <w:t>16.2</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3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(1.9)</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4"/>
                <w:szCs w:val="14"/>
                <w:color w:val="auto"/>
              </w:rPr>
              <w:t>(2.5)</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rPr>
              <w:t>(3.6)</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(4.7)</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9"/>
        </w:trPr>
        <w:tc>
          <w:tcPr>
            <w:tcW w:w="3260" w:type="dxa"/>
            <w:vAlign w:val="bottom"/>
          </w:tcPr>
          <w:p>
            <w:pPr>
              <w:ind w:left="20"/>
              <w:spacing w:after="0"/>
              <w:rPr>
                <w:sz w:val="20"/>
                <w:szCs w:val="20"/>
                <w:color w:val="auto"/>
              </w:rPr>
            </w:pPr>
            <w:r>
              <w:rPr>
                <w:rFonts w:ascii="Arial" w:cs="Arial" w:eastAsia="Arial" w:hAnsi="Arial"/>
                <w:sz w:val="14"/>
                <w:szCs w:val="14"/>
                <w:color w:val="auto"/>
              </w:rPr>
              <w:t>Equity method income</w:t>
            </w:r>
          </w:p>
        </w:tc>
        <w:tc>
          <w:tcPr>
            <w:tcW w:w="340" w:type="dxa"/>
            <w:vAlign w:val="bottom"/>
          </w:tcPr>
          <w:p>
            <w:pPr>
              <w:spacing w:after="0"/>
              <w:rPr>
                <w:sz w:val="17"/>
                <w:szCs w:val="17"/>
                <w:color w:val="auto"/>
              </w:rPr>
            </w:pPr>
          </w:p>
        </w:tc>
        <w:tc>
          <w:tcPr>
            <w:tcW w:w="840" w:type="dxa"/>
            <w:vAlign w:val="bottom"/>
          </w:tcPr>
          <w:p>
            <w:pPr>
              <w:jc w:val="right"/>
              <w:ind w:right="91"/>
              <w:spacing w:after="0"/>
              <w:rPr>
                <w:sz w:val="20"/>
                <w:szCs w:val="20"/>
                <w:color w:val="auto"/>
              </w:rPr>
            </w:pPr>
            <w:r>
              <w:rPr>
                <w:rFonts w:ascii="Arial" w:cs="Arial" w:eastAsia="Arial" w:hAnsi="Arial"/>
                <w:sz w:val="14"/>
                <w:szCs w:val="14"/>
                <w:color w:val="auto"/>
              </w:rPr>
              <w:t>1.3</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 %</w:t>
            </w:r>
          </w:p>
        </w:tc>
        <w:tc>
          <w:tcPr>
            <w:tcW w:w="600" w:type="dxa"/>
            <w:vAlign w:val="bottom"/>
          </w:tcPr>
          <w:p>
            <w:pPr>
              <w:spacing w:after="0"/>
              <w:rPr>
                <w:sz w:val="17"/>
                <w:szCs w:val="17"/>
                <w:color w:val="auto"/>
              </w:rPr>
            </w:pPr>
          </w:p>
        </w:tc>
        <w:tc>
          <w:tcPr>
            <w:tcW w:w="680" w:type="dxa"/>
            <w:vAlign w:val="bottom"/>
          </w:tcPr>
          <w:p>
            <w:pPr>
              <w:jc w:val="right"/>
              <w:ind w:right="191"/>
              <w:spacing w:after="0"/>
              <w:rPr>
                <w:sz w:val="20"/>
                <w:szCs w:val="20"/>
                <w:color w:val="auto"/>
              </w:rPr>
            </w:pPr>
            <w:r>
              <w:rPr>
                <w:rFonts w:ascii="Arial" w:cs="Arial" w:eastAsia="Arial" w:hAnsi="Arial"/>
                <w:sz w:val="14"/>
                <w:szCs w:val="14"/>
                <w:color w:val="auto"/>
              </w:rPr>
              <w:t>0.9</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 %</w:t>
            </w:r>
          </w:p>
        </w:tc>
        <w:tc>
          <w:tcPr>
            <w:tcW w:w="340" w:type="dxa"/>
            <w:vAlign w:val="bottom"/>
          </w:tcPr>
          <w:p>
            <w:pPr>
              <w:spacing w:after="0"/>
              <w:rPr>
                <w:sz w:val="17"/>
                <w:szCs w:val="17"/>
                <w:color w:val="auto"/>
              </w:rPr>
            </w:pPr>
          </w:p>
        </w:tc>
        <w:tc>
          <w:tcPr>
            <w:tcW w:w="880" w:type="dxa"/>
            <w:vAlign w:val="bottom"/>
          </w:tcPr>
          <w:p>
            <w:pPr>
              <w:jc w:val="right"/>
              <w:ind w:right="131"/>
              <w:spacing w:after="0"/>
              <w:rPr>
                <w:sz w:val="20"/>
                <w:szCs w:val="20"/>
                <w:color w:val="auto"/>
              </w:rPr>
            </w:pPr>
            <w:r>
              <w:rPr>
                <w:rFonts w:ascii="Arial" w:cs="Arial" w:eastAsia="Arial" w:hAnsi="Arial"/>
                <w:sz w:val="14"/>
                <w:szCs w:val="14"/>
                <w:color w:val="auto"/>
              </w:rPr>
              <w:t>2.8</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 %</w:t>
            </w:r>
          </w:p>
        </w:tc>
        <w:tc>
          <w:tcPr>
            <w:tcW w:w="580" w:type="dxa"/>
            <w:vAlign w:val="bottom"/>
          </w:tcPr>
          <w:p>
            <w:pPr>
              <w:spacing w:after="0"/>
              <w:rPr>
                <w:sz w:val="17"/>
                <w:szCs w:val="17"/>
                <w:color w:val="auto"/>
              </w:rPr>
            </w:pPr>
          </w:p>
        </w:tc>
        <w:tc>
          <w:tcPr>
            <w:tcW w:w="720" w:type="dxa"/>
            <w:vAlign w:val="bottom"/>
          </w:tcPr>
          <w:p>
            <w:pPr>
              <w:jc w:val="right"/>
              <w:ind w:right="191"/>
              <w:spacing w:after="0"/>
              <w:rPr>
                <w:sz w:val="20"/>
                <w:szCs w:val="20"/>
                <w:color w:val="auto"/>
              </w:rPr>
            </w:pPr>
            <w:r>
              <w:rPr>
                <w:rFonts w:ascii="Arial" w:cs="Arial" w:eastAsia="Arial" w:hAnsi="Arial"/>
                <w:sz w:val="14"/>
                <w:szCs w:val="14"/>
                <w:color w:val="auto"/>
              </w:rPr>
              <w:t>1.7</w:t>
            </w:r>
          </w:p>
        </w:tc>
        <w:tc>
          <w:tcPr>
            <w:tcW w:w="60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(expense) income, net</w:t>
            </w:r>
          </w:p>
        </w:tc>
        <w:tc>
          <w:tcPr>
            <w:tcW w:w="3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(1.1)</w:t>
            </w: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 %</w:t>
            </w:r>
          </w:p>
        </w:tc>
        <w:tc>
          <w:tcPr>
            <w:tcW w:w="6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4"/>
                <w:szCs w:val="14"/>
                <w:color w:val="auto"/>
              </w:rPr>
              <w:t>(0.6)</w:t>
            </w: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 %</w:t>
            </w: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rPr>
              <w:t>(2.4)</w:t>
            </w: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 %</w:t>
            </w:r>
          </w:p>
        </w:tc>
        <w:tc>
          <w:tcPr>
            <w:tcW w:w="5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4"/>
                <w:szCs w:val="14"/>
                <w:color w:val="auto"/>
              </w:rPr>
              <w:t>0.9</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2"/>
        </w:trPr>
        <w:tc>
          <w:tcPr>
            <w:tcW w:w="32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(Loss) income before income taxes</w:t>
            </w:r>
          </w:p>
        </w:tc>
        <w:tc>
          <w:tcPr>
            <w:tcW w:w="3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ind w:left="420"/>
              <w:spacing w:after="0"/>
              <w:rPr>
                <w:sz w:val="20"/>
                <w:szCs w:val="20"/>
                <w:color w:val="auto"/>
              </w:rPr>
            </w:pPr>
            <w:r>
              <w:rPr>
                <w:rFonts w:ascii="Arial" w:cs="Arial" w:eastAsia="Arial" w:hAnsi="Arial"/>
                <w:sz w:val="14"/>
                <w:szCs w:val="14"/>
                <w:color w:val="auto"/>
              </w:rPr>
              <w:t>(8.7)</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191"/>
              <w:spacing w:after="0"/>
              <w:rPr>
                <w:sz w:val="20"/>
                <w:szCs w:val="20"/>
                <w:color w:val="auto"/>
              </w:rPr>
            </w:pPr>
            <w:r>
              <w:rPr>
                <w:rFonts w:ascii="Arial" w:cs="Arial" w:eastAsia="Arial" w:hAnsi="Arial"/>
                <w:sz w:val="14"/>
                <w:szCs w:val="14"/>
                <w:color w:val="auto"/>
              </w:rPr>
              <w:t>4.7</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1 %</w:t>
            </w:r>
          </w:p>
        </w:tc>
        <w:tc>
          <w:tcPr>
            <w:tcW w:w="16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91"/>
              <w:spacing w:after="0"/>
              <w:rPr>
                <w:sz w:val="20"/>
                <w:szCs w:val="20"/>
                <w:color w:val="auto"/>
              </w:rPr>
            </w:pPr>
            <w:r>
              <w:rPr>
                <w:rFonts w:ascii="Arial" w:cs="Arial" w:eastAsia="Arial" w:hAnsi="Arial"/>
                <w:sz w:val="14"/>
                <w:szCs w:val="14"/>
                <w:color w:val="auto"/>
              </w:rPr>
              <w:t>(7.7)</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191"/>
              <w:spacing w:after="0"/>
              <w:rPr>
                <w:sz w:val="20"/>
                <w:szCs w:val="20"/>
                <w:color w:val="auto"/>
              </w:rPr>
            </w:pPr>
            <w:r>
              <w:rPr>
                <w:rFonts w:ascii="Arial" w:cs="Arial" w:eastAsia="Arial" w:hAnsi="Arial"/>
                <w:sz w:val="14"/>
                <w:szCs w:val="14"/>
                <w:color w:val="auto"/>
              </w:rPr>
              <w:t>14.1</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(Benefit) provision for income taxes</w:t>
            </w:r>
          </w:p>
        </w:tc>
        <w:tc>
          <w:tcPr>
            <w:tcW w:w="3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(1.3)</w:t>
            </w: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 %</w:t>
            </w:r>
          </w:p>
        </w:tc>
        <w:tc>
          <w:tcPr>
            <w:tcW w:w="6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4"/>
                <w:szCs w:val="14"/>
                <w:color w:val="auto"/>
              </w:rPr>
              <w:t>1.7</w:t>
            </w: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 %</w:t>
            </w: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rPr>
              <w:t>(0.2)</w:t>
            </w: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 %</w:t>
            </w:r>
          </w:p>
        </w:tc>
        <w:tc>
          <w:tcPr>
            <w:tcW w:w="5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4"/>
                <w:szCs w:val="14"/>
                <w:color w:val="auto"/>
              </w:rPr>
              <w:t>4.9</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92"/>
        </w:trPr>
        <w:tc>
          <w:tcPr>
            <w:tcW w:w="32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Net (loss) income</w:t>
            </w:r>
          </w:p>
        </w:tc>
        <w:tc>
          <w:tcPr>
            <w:tcW w:w="3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ind w:left="420"/>
              <w:spacing w:after="0"/>
              <w:rPr>
                <w:sz w:val="20"/>
                <w:szCs w:val="20"/>
                <w:color w:val="auto"/>
              </w:rPr>
            </w:pPr>
            <w:r>
              <w:rPr>
                <w:rFonts w:ascii="Arial" w:cs="Arial" w:eastAsia="Arial" w:hAnsi="Arial"/>
                <w:sz w:val="14"/>
                <w:szCs w:val="14"/>
                <w:color w:val="auto"/>
              </w:rPr>
              <w:t>(7.4)</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191"/>
              <w:spacing w:after="0"/>
              <w:rPr>
                <w:sz w:val="20"/>
                <w:szCs w:val="20"/>
                <w:color w:val="auto"/>
              </w:rPr>
            </w:pPr>
            <w:r>
              <w:rPr>
                <w:rFonts w:ascii="Arial" w:cs="Arial" w:eastAsia="Arial" w:hAnsi="Arial"/>
                <w:sz w:val="14"/>
                <w:szCs w:val="14"/>
                <w:color w:val="auto"/>
              </w:rPr>
              <w:t>3.0</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1 %</w:t>
            </w:r>
          </w:p>
        </w:tc>
        <w:tc>
          <w:tcPr>
            <w:tcW w:w="16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91"/>
              <w:spacing w:after="0"/>
              <w:rPr>
                <w:sz w:val="20"/>
                <w:szCs w:val="20"/>
                <w:color w:val="auto"/>
              </w:rPr>
            </w:pPr>
            <w:r>
              <w:rPr>
                <w:rFonts w:ascii="Arial" w:cs="Arial" w:eastAsia="Arial" w:hAnsi="Arial"/>
                <w:sz w:val="14"/>
                <w:szCs w:val="14"/>
                <w:color w:val="auto"/>
              </w:rPr>
              <w:t>(7.5)</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191"/>
              <w:spacing w:after="0"/>
              <w:rPr>
                <w:sz w:val="20"/>
                <w:szCs w:val="20"/>
                <w:color w:val="auto"/>
              </w:rPr>
            </w:pPr>
            <w:r>
              <w:rPr>
                <w:rFonts w:ascii="Arial" w:cs="Arial" w:eastAsia="Arial" w:hAnsi="Arial"/>
                <w:sz w:val="14"/>
                <w:szCs w:val="14"/>
                <w:color w:val="auto"/>
              </w:rPr>
              <w:t>9.2</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w:t>
            </w: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3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(loss) income attributable to noncontrolling</w:t>
            </w:r>
          </w:p>
        </w:tc>
        <w:tc>
          <w:tcPr>
            <w:tcW w:w="3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ind w:left="420"/>
              <w:spacing w:after="0"/>
              <w:rPr>
                <w:sz w:val="20"/>
                <w:szCs w:val="20"/>
                <w:color w:val="auto"/>
              </w:rPr>
            </w:pPr>
            <w:r>
              <w:rPr>
                <w:rFonts w:ascii="Arial" w:cs="Arial" w:eastAsia="Arial" w:hAnsi="Arial"/>
                <w:sz w:val="14"/>
                <w:szCs w:val="14"/>
                <w:color w:val="auto"/>
              </w:rPr>
              <w:t>(0.2)</w:t>
            </w: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 %</w:t>
            </w:r>
          </w:p>
        </w:tc>
        <w:tc>
          <w:tcPr>
            <w:tcW w:w="6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151"/>
              <w:spacing w:after="0"/>
              <w:rPr>
                <w:sz w:val="20"/>
                <w:szCs w:val="20"/>
                <w:color w:val="auto"/>
              </w:rPr>
            </w:pPr>
            <w:r>
              <w:rPr>
                <w:rFonts w:ascii="Arial" w:cs="Arial" w:eastAsia="Arial" w:hAnsi="Arial"/>
                <w:sz w:val="14"/>
                <w:szCs w:val="14"/>
                <w:color w:val="auto"/>
              </w:rPr>
              <w:t>(0.1)</w:t>
            </w: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 %</w:t>
            </w:r>
          </w:p>
        </w:tc>
        <w:tc>
          <w:tcPr>
            <w:tcW w:w="3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131"/>
              <w:spacing w:after="0"/>
              <w:rPr>
                <w:sz w:val="20"/>
                <w:szCs w:val="20"/>
                <w:color w:val="auto"/>
              </w:rPr>
            </w:pPr>
            <w:r>
              <w:rPr>
                <w:rFonts w:ascii="Arial" w:cs="Arial" w:eastAsia="Arial" w:hAnsi="Arial"/>
                <w:sz w:val="14"/>
                <w:szCs w:val="14"/>
                <w:color w:val="auto"/>
              </w:rPr>
              <w:t>0.4</w:t>
            </w: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 %</w:t>
            </w:r>
          </w:p>
        </w:tc>
        <w:tc>
          <w:tcPr>
            <w:tcW w:w="5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191"/>
              <w:spacing w:after="0"/>
              <w:rPr>
                <w:sz w:val="20"/>
                <w:szCs w:val="20"/>
                <w:color w:val="auto"/>
              </w:rPr>
            </w:pPr>
            <w:r>
              <w:rPr>
                <w:rFonts w:ascii="Arial" w:cs="Arial" w:eastAsia="Arial" w:hAnsi="Arial"/>
                <w:sz w:val="14"/>
                <w:szCs w:val="14"/>
                <w:color w:val="auto"/>
              </w:rPr>
              <w:t>2.2</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4"/>
        </w:trPr>
        <w:tc>
          <w:tcPr>
            <w:tcW w:w="32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4"/>
                <w:szCs w:val="14"/>
                <w:color w:val="auto"/>
              </w:rPr>
              <w:t>interest</w:t>
            </w:r>
          </w:p>
        </w:tc>
        <w:tc>
          <w:tcPr>
            <w:tcW w:w="3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840" w:type="dxa"/>
            <w:vAlign w:val="bottom"/>
            <w:tcBorders>
              <w:bottom w:val="single" w:sz="8" w:color="auto"/>
            </w:tcBorders>
            <w:gridSpan w:val="2"/>
            <w:vMerge w:val="continue"/>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760" w:type="dxa"/>
            <w:vAlign w:val="bottom"/>
            <w:tcBorders>
              <w:bottom w:val="single" w:sz="8" w:color="auto"/>
            </w:tcBorders>
            <w:gridSpan w:val="2"/>
            <w:vMerge w:val="continue"/>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800" w:type="dxa"/>
            <w:vAlign w:val="bottom"/>
            <w:tcBorders>
              <w:bottom w:val="single" w:sz="8" w:color="auto"/>
            </w:tcBorders>
            <w:gridSpan w:val="2"/>
            <w:vMerge w:val="continue"/>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260" w:type="dxa"/>
            <w:vAlign w:val="bottom"/>
          </w:tcPr>
          <w:p>
            <w:pPr>
              <w:ind w:left="20"/>
              <w:spacing w:after="0"/>
              <w:rPr>
                <w:sz w:val="20"/>
                <w:szCs w:val="20"/>
                <w:color w:val="auto"/>
              </w:rPr>
            </w:pPr>
            <w:r>
              <w:rPr>
                <w:rFonts w:ascii="Arial" w:cs="Arial" w:eastAsia="Arial" w:hAnsi="Arial"/>
                <w:sz w:val="14"/>
                <w:szCs w:val="14"/>
                <w:color w:val="auto"/>
              </w:rPr>
              <w:t>Net (loss) income attributable to Mission Produce</w:t>
            </w:r>
          </w:p>
        </w:tc>
        <w:tc>
          <w:tcPr>
            <w:tcW w:w="340" w:type="dxa"/>
            <w:vAlign w:val="bottom"/>
          </w:tcPr>
          <w:p>
            <w:pPr>
              <w:jc w:val="right"/>
              <w:ind w:right="191"/>
              <w:spacing w:after="0"/>
              <w:rPr>
                <w:sz w:val="20"/>
                <w:szCs w:val="20"/>
                <w:color w:val="auto"/>
              </w:rPr>
            </w:pPr>
            <w:r>
              <w:rPr>
                <w:rFonts w:ascii="Arial" w:cs="Arial" w:eastAsia="Arial" w:hAnsi="Arial"/>
                <w:sz w:val="14"/>
                <w:szCs w:val="14"/>
                <w:color w:val="auto"/>
                <w:w w:val="76"/>
              </w:rPr>
              <w:t>$</w:t>
            </w:r>
          </w:p>
        </w:tc>
        <w:tc>
          <w:tcPr>
            <w:tcW w:w="840" w:type="dxa"/>
            <w:vAlign w:val="bottom"/>
          </w:tcPr>
          <w:p>
            <w:pPr>
              <w:ind w:left="420"/>
              <w:spacing w:after="0"/>
              <w:rPr>
                <w:sz w:val="20"/>
                <w:szCs w:val="20"/>
                <w:color w:val="auto"/>
              </w:rPr>
            </w:pPr>
            <w:r>
              <w:rPr>
                <w:rFonts w:ascii="Arial" w:cs="Arial" w:eastAsia="Arial" w:hAnsi="Arial"/>
                <w:sz w:val="14"/>
                <w:szCs w:val="14"/>
                <w:color w:val="auto"/>
              </w:rPr>
              <w:t>(7.2)</w:t>
            </w:r>
          </w:p>
        </w:tc>
        <w:tc>
          <w:tcPr>
            <w:tcW w:w="680" w:type="dxa"/>
            <w:vAlign w:val="bottom"/>
          </w:tcPr>
          <w:p>
            <w:pPr>
              <w:jc w:val="right"/>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16"/>
                <w:szCs w:val="16"/>
                <w:color w:val="auto"/>
              </w:rPr>
            </w:pPr>
          </w:p>
        </w:tc>
        <w:tc>
          <w:tcPr>
            <w:tcW w:w="600" w:type="dxa"/>
            <w:vAlign w:val="bottom"/>
          </w:tcPr>
          <w:p>
            <w:pPr>
              <w:jc w:val="right"/>
              <w:ind w:right="431"/>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91"/>
              <w:spacing w:after="0"/>
              <w:rPr>
                <w:sz w:val="20"/>
                <w:szCs w:val="20"/>
                <w:color w:val="auto"/>
              </w:rPr>
            </w:pPr>
            <w:r>
              <w:rPr>
                <w:rFonts w:ascii="Arial" w:cs="Arial" w:eastAsia="Arial" w:hAnsi="Arial"/>
                <w:sz w:val="14"/>
                <w:szCs w:val="14"/>
                <w:color w:val="auto"/>
              </w:rPr>
              <w:t>3.1</w:t>
            </w:r>
          </w:p>
        </w:tc>
        <w:tc>
          <w:tcPr>
            <w:tcW w:w="600" w:type="dxa"/>
            <w:vAlign w:val="bottom"/>
          </w:tcPr>
          <w:p>
            <w:pPr>
              <w:jc w:val="right"/>
              <w:spacing w:after="0"/>
              <w:rPr>
                <w:sz w:val="20"/>
                <w:szCs w:val="20"/>
                <w:color w:val="auto"/>
              </w:rPr>
            </w:pPr>
            <w:r>
              <w:rPr>
                <w:rFonts w:ascii="Arial" w:cs="Arial" w:eastAsia="Arial" w:hAnsi="Arial"/>
                <w:sz w:val="14"/>
                <w:szCs w:val="14"/>
                <w:color w:val="auto"/>
              </w:rPr>
              <w:t>1 %</w:t>
            </w:r>
          </w:p>
        </w:tc>
        <w:tc>
          <w:tcPr>
            <w:tcW w:w="160" w:type="dxa"/>
            <w:vAlign w:val="bottom"/>
          </w:tcPr>
          <w:p>
            <w:pPr>
              <w:spacing w:after="0"/>
              <w:rPr>
                <w:sz w:val="16"/>
                <w:szCs w:val="16"/>
                <w:color w:val="auto"/>
              </w:rPr>
            </w:pPr>
          </w:p>
        </w:tc>
        <w:tc>
          <w:tcPr>
            <w:tcW w:w="340" w:type="dxa"/>
            <w:vAlign w:val="bottom"/>
          </w:tcPr>
          <w:p>
            <w:pPr>
              <w:jc w:val="right"/>
              <w:ind w:right="191"/>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91"/>
              <w:spacing w:after="0"/>
              <w:rPr>
                <w:sz w:val="20"/>
                <w:szCs w:val="20"/>
                <w:color w:val="auto"/>
              </w:rPr>
            </w:pPr>
            <w:r>
              <w:rPr>
                <w:rFonts w:ascii="Arial" w:cs="Arial" w:eastAsia="Arial" w:hAnsi="Arial"/>
                <w:sz w:val="14"/>
                <w:szCs w:val="14"/>
                <w:color w:val="auto"/>
              </w:rPr>
              <w:t>(7.9)</w:t>
            </w:r>
          </w:p>
        </w:tc>
        <w:tc>
          <w:tcPr>
            <w:tcW w:w="64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6"/>
                <w:szCs w:val="16"/>
                <w:color w:val="auto"/>
              </w:rPr>
            </w:pPr>
          </w:p>
        </w:tc>
        <w:tc>
          <w:tcPr>
            <w:tcW w:w="580" w:type="dxa"/>
            <w:vAlign w:val="bottom"/>
          </w:tcPr>
          <w:p>
            <w:pPr>
              <w:jc w:val="right"/>
              <w:ind w:right="411"/>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91"/>
              <w:spacing w:after="0"/>
              <w:rPr>
                <w:sz w:val="20"/>
                <w:szCs w:val="20"/>
                <w:color w:val="auto"/>
              </w:rPr>
            </w:pPr>
            <w:r>
              <w:rPr>
                <w:rFonts w:ascii="Arial" w:cs="Arial" w:eastAsia="Arial" w:hAnsi="Arial"/>
                <w:sz w:val="14"/>
                <w:szCs w:val="14"/>
                <w:color w:val="auto"/>
              </w:rPr>
              <w:t>7.0</w:t>
            </w:r>
          </w:p>
        </w:tc>
        <w:tc>
          <w:tcPr>
            <w:tcW w:w="600" w:type="dxa"/>
            <w:vAlign w:val="bottom"/>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20"/>
        </w:trPr>
        <w:tc>
          <w:tcPr>
            <w:tcW w:w="3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sales</w:t>
      </w:r>
    </w:p>
    <w:p>
      <w:pPr>
        <w:spacing w:after="0" w:line="221" w:lineRule="exact"/>
        <w:rPr>
          <w:sz w:val="20"/>
          <w:szCs w:val="20"/>
          <w:color w:val="auto"/>
        </w:rPr>
      </w:pPr>
    </w:p>
    <w:p>
      <w:pPr>
        <w:ind w:right="100" w:firstLine="619"/>
        <w:spacing w:after="0" w:line="264" w:lineRule="auto"/>
        <w:rPr>
          <w:sz w:val="20"/>
          <w:szCs w:val="20"/>
          <w:color w:val="auto"/>
        </w:rPr>
      </w:pPr>
      <w:r>
        <w:rPr>
          <w:rFonts w:ascii="Arial" w:cs="Arial" w:eastAsia="Arial" w:hAnsi="Arial"/>
          <w:sz w:val="14"/>
          <w:szCs w:val="14"/>
          <w:color w:val="auto"/>
        </w:rPr>
        <w:t>Our net sales are generated predominantly from the shipment of fresh avocados to retail, wholesale and foodservice customers worldwide. Our net sales are affected by numerous factors, including the balance between the supply of and demand for our produce and competition from other fresh produce companies. Our net sales are also dependent on our ability to supply a consistent volume and quality of fresh produce to the markets we serve.</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60" w:type="dxa"/>
            <w:vAlign w:val="bottom"/>
            <w:gridSpan w:val="2"/>
          </w:tcPr>
          <w:p>
            <w:pPr>
              <w:jc w:val="right"/>
              <w:ind w:right="231"/>
              <w:spacing w:after="0"/>
              <w:rPr>
                <w:sz w:val="20"/>
                <w:szCs w:val="20"/>
                <w:color w:val="auto"/>
              </w:rPr>
            </w:pPr>
            <w:r>
              <w:rPr>
                <w:rFonts w:ascii="Arial" w:cs="Arial" w:eastAsia="Arial" w:hAnsi="Arial"/>
                <w:sz w:val="14"/>
                <w:szCs w:val="14"/>
                <w:b w:val="1"/>
                <w:bCs w:val="1"/>
                <w:color w:val="auto"/>
              </w:rPr>
              <w:t>Three Months Ended</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80" w:type="dxa"/>
            <w:vAlign w:val="bottom"/>
            <w:gridSpan w:val="2"/>
          </w:tcPr>
          <w:p>
            <w:pPr>
              <w:jc w:val="right"/>
              <w:ind w:right="291"/>
              <w:spacing w:after="0"/>
              <w:rPr>
                <w:sz w:val="20"/>
                <w:szCs w:val="20"/>
                <w:color w:val="auto"/>
              </w:rPr>
            </w:pPr>
            <w:r>
              <w:rPr>
                <w:rFonts w:ascii="Arial" w:cs="Arial" w:eastAsia="Arial" w:hAnsi="Arial"/>
                <w:sz w:val="14"/>
                <w:szCs w:val="14"/>
                <w:b w:val="1"/>
                <w:bCs w:val="1"/>
                <w:color w:val="auto"/>
              </w:rPr>
              <w:t>Six Months Ended</w:t>
            </w:r>
          </w:p>
        </w:tc>
        <w:tc>
          <w:tcPr>
            <w:tcW w:w="780" w:type="dxa"/>
            <w:vAlign w:val="bottom"/>
          </w:tcPr>
          <w:p>
            <w:pPr>
              <w:spacing w:after="0"/>
              <w:rPr>
                <w:sz w:val="14"/>
                <w:szCs w:val="14"/>
                <w:color w:val="auto"/>
              </w:rPr>
            </w:pPr>
          </w:p>
        </w:tc>
      </w:tr>
      <w:tr>
        <w:trPr>
          <w:trHeight w:val="196"/>
        </w:trPr>
        <w:tc>
          <w:tcPr>
            <w:tcW w:w="40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2"/>
          </w:tcPr>
          <w:p>
            <w:pPr>
              <w:jc w:val="right"/>
              <w:ind w:right="651"/>
              <w:spacing w:after="0"/>
              <w:rPr>
                <w:sz w:val="20"/>
                <w:szCs w:val="20"/>
                <w:color w:val="auto"/>
              </w:rPr>
            </w:pPr>
            <w:r>
              <w:rPr>
                <w:rFonts w:ascii="Arial" w:cs="Arial" w:eastAsia="Arial" w:hAnsi="Arial"/>
                <w:sz w:val="14"/>
                <w:szCs w:val="14"/>
                <w:b w:val="1"/>
                <w:bCs w:val="1"/>
                <w:color w:val="auto"/>
              </w:rPr>
              <w:t>April 30,</w:t>
            </w:r>
          </w:p>
        </w:tc>
        <w:tc>
          <w:tcPr>
            <w:tcW w:w="7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2"/>
          </w:tcPr>
          <w:p>
            <w:pPr>
              <w:jc w:val="right"/>
              <w:ind w:right="631"/>
              <w:spacing w:after="0"/>
              <w:rPr>
                <w:sz w:val="20"/>
                <w:szCs w:val="20"/>
                <w:color w:val="auto"/>
              </w:rPr>
            </w:pPr>
            <w:r>
              <w:rPr>
                <w:rFonts w:ascii="Arial" w:cs="Arial" w:eastAsia="Arial" w:hAnsi="Arial"/>
                <w:sz w:val="14"/>
                <w:szCs w:val="14"/>
                <w:b w:val="1"/>
                <w:bCs w:val="1"/>
                <w:color w:val="auto"/>
              </w:rPr>
              <w:t>April 30,</w:t>
            </w:r>
          </w:p>
        </w:tc>
        <w:tc>
          <w:tcPr>
            <w:tcW w:w="780" w:type="dxa"/>
            <w:vAlign w:val="bottom"/>
            <w:tcBorders>
              <w:bottom w:val="single" w:sz="8" w:color="auto"/>
            </w:tcBorders>
          </w:tcPr>
          <w:p>
            <w:pPr>
              <w:spacing w:after="0"/>
              <w:rPr>
                <w:sz w:val="17"/>
                <w:szCs w:val="17"/>
                <w:color w:val="auto"/>
              </w:rPr>
            </w:pPr>
          </w:p>
        </w:tc>
      </w:tr>
      <w:tr>
        <w:trPr>
          <w:trHeight w:val="215"/>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5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2026</w:t>
            </w:r>
          </w:p>
        </w:tc>
        <w:tc>
          <w:tcPr>
            <w:tcW w:w="10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2026</w:t>
            </w:r>
          </w:p>
        </w:tc>
        <w:tc>
          <w:tcPr>
            <w:tcW w:w="10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2025</w:t>
            </w:r>
          </w:p>
        </w:tc>
      </w:tr>
      <w:tr>
        <w:trPr>
          <w:trHeight w:val="196"/>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sales by segment:</w:t>
            </w:r>
          </w:p>
        </w:tc>
        <w:tc>
          <w:tcPr>
            <w:tcW w:w="5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r>
      <w:tr>
        <w:trPr>
          <w:trHeight w:val="199"/>
        </w:trPr>
        <w:tc>
          <w:tcPr>
            <w:tcW w:w="4020" w:type="dxa"/>
            <w:vAlign w:val="bottom"/>
          </w:tcPr>
          <w:p>
            <w:pPr>
              <w:ind w:left="220"/>
              <w:spacing w:after="0"/>
              <w:rPr>
                <w:sz w:val="20"/>
                <w:szCs w:val="20"/>
                <w:color w:val="auto"/>
              </w:rPr>
            </w:pPr>
            <w:r>
              <w:rPr>
                <w:rFonts w:ascii="Arial" w:cs="Arial" w:eastAsia="Arial" w:hAnsi="Arial"/>
                <w:sz w:val="14"/>
                <w:szCs w:val="14"/>
                <w:color w:val="auto"/>
              </w:rPr>
              <w:t>Marketing and Distribution</w:t>
            </w:r>
          </w:p>
        </w:tc>
        <w:tc>
          <w:tcPr>
            <w:tcW w:w="560" w:type="dxa"/>
            <w:vAlign w:val="bottom"/>
          </w:tcPr>
          <w:p>
            <w:pPr>
              <w:jc w:val="right"/>
              <w:ind w:right="411"/>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31"/>
              <w:spacing w:after="0"/>
              <w:rPr>
                <w:sz w:val="20"/>
                <w:szCs w:val="20"/>
                <w:color w:val="auto"/>
              </w:rPr>
            </w:pPr>
            <w:r>
              <w:rPr>
                <w:rFonts w:ascii="Arial" w:cs="Arial" w:eastAsia="Arial" w:hAnsi="Arial"/>
                <w:sz w:val="14"/>
                <w:szCs w:val="14"/>
                <w:color w:val="auto"/>
              </w:rPr>
              <w:t>277.2</w:t>
            </w:r>
          </w:p>
        </w:tc>
        <w:tc>
          <w:tcPr>
            <w:tcW w:w="1020" w:type="dxa"/>
            <w:vAlign w:val="bottom"/>
          </w:tcPr>
          <w:p>
            <w:pPr>
              <w:jc w:val="right"/>
              <w:ind w:right="751"/>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362.5</w:t>
            </w:r>
          </w:p>
        </w:tc>
        <w:tc>
          <w:tcPr>
            <w:tcW w:w="260" w:type="dxa"/>
            <w:vAlign w:val="bottom"/>
          </w:tcPr>
          <w:p>
            <w:pPr>
              <w:spacing w:after="0"/>
              <w:rPr>
                <w:sz w:val="17"/>
                <w:szCs w:val="17"/>
                <w:color w:val="auto"/>
              </w:rPr>
            </w:pPr>
          </w:p>
        </w:tc>
        <w:tc>
          <w:tcPr>
            <w:tcW w:w="620" w:type="dxa"/>
            <w:vAlign w:val="bottom"/>
          </w:tcPr>
          <w:p>
            <w:pPr>
              <w:jc w:val="right"/>
              <w:ind w:right="471"/>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512.0</w:t>
            </w:r>
          </w:p>
        </w:tc>
        <w:tc>
          <w:tcPr>
            <w:tcW w:w="1000" w:type="dxa"/>
            <w:vAlign w:val="bottom"/>
          </w:tcPr>
          <w:p>
            <w:pPr>
              <w:jc w:val="right"/>
              <w:ind w:right="731"/>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658.3</w:t>
            </w:r>
          </w:p>
        </w:tc>
      </w:tr>
      <w:tr>
        <w:trPr>
          <w:trHeight w:val="20"/>
        </w:trPr>
        <w:tc>
          <w:tcPr>
            <w:tcW w:w="4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9"/>
        </w:trPr>
        <w:tc>
          <w:tcPr>
            <w:tcW w:w="4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International Farming</w:t>
            </w:r>
          </w:p>
        </w:tc>
        <w:tc>
          <w:tcPr>
            <w:tcW w:w="5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2.7</w:t>
            </w:r>
          </w:p>
        </w:tc>
        <w:tc>
          <w:tcPr>
            <w:tcW w:w="10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2.1</w:t>
            </w:r>
          </w:p>
        </w:tc>
        <w:tc>
          <w:tcPr>
            <w:tcW w:w="2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5.7</w:t>
            </w:r>
          </w:p>
        </w:tc>
        <w:tc>
          <w:tcPr>
            <w:tcW w:w="10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w:t>
            </w:r>
          </w:p>
        </w:tc>
      </w:tr>
      <w:tr>
        <w:trPr>
          <w:trHeight w:val="199"/>
        </w:trPr>
        <w:tc>
          <w:tcPr>
            <w:tcW w:w="4020" w:type="dxa"/>
            <w:vAlign w:val="bottom"/>
          </w:tcPr>
          <w:p>
            <w:pPr>
              <w:ind w:left="220"/>
              <w:spacing w:after="0"/>
              <w:rPr>
                <w:sz w:val="20"/>
                <w:szCs w:val="20"/>
                <w:color w:val="auto"/>
              </w:rPr>
            </w:pPr>
            <w:r>
              <w:rPr>
                <w:rFonts w:ascii="Arial" w:cs="Arial" w:eastAsia="Arial" w:hAnsi="Arial"/>
                <w:sz w:val="14"/>
                <w:szCs w:val="14"/>
                <w:color w:val="auto"/>
              </w:rPr>
              <w:t>Blueberries</w:t>
            </w:r>
          </w:p>
        </w:tc>
        <w:tc>
          <w:tcPr>
            <w:tcW w:w="560" w:type="dxa"/>
            <w:vAlign w:val="bottom"/>
          </w:tcPr>
          <w:p>
            <w:pPr>
              <w:spacing w:after="0"/>
              <w:rPr>
                <w:sz w:val="17"/>
                <w:szCs w:val="17"/>
                <w:color w:val="auto"/>
              </w:rPr>
            </w:pPr>
          </w:p>
        </w:tc>
        <w:tc>
          <w:tcPr>
            <w:tcW w:w="1140" w:type="dxa"/>
            <w:vAlign w:val="bottom"/>
          </w:tcPr>
          <w:p>
            <w:pPr>
              <w:jc w:val="right"/>
              <w:ind w:right="31"/>
              <w:spacing w:after="0"/>
              <w:rPr>
                <w:sz w:val="20"/>
                <w:szCs w:val="20"/>
                <w:color w:val="auto"/>
              </w:rPr>
            </w:pPr>
            <w:r>
              <w:rPr>
                <w:rFonts w:ascii="Arial" w:cs="Arial" w:eastAsia="Arial" w:hAnsi="Arial"/>
                <w:sz w:val="14"/>
                <w:szCs w:val="14"/>
                <w:color w:val="auto"/>
              </w:rPr>
              <w:t>11.0</w:t>
            </w:r>
          </w:p>
        </w:tc>
        <w:tc>
          <w:tcPr>
            <w:tcW w:w="1020" w:type="dxa"/>
            <w:vAlign w:val="bottom"/>
          </w:tcPr>
          <w:p>
            <w:pPr>
              <w:spacing w:after="0"/>
              <w:rPr>
                <w:sz w:val="17"/>
                <w:szCs w:val="17"/>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15.7</w:t>
            </w: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51.8</w:t>
            </w:r>
          </w:p>
        </w:tc>
        <w:tc>
          <w:tcPr>
            <w:tcW w:w="10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52.1</w:t>
            </w:r>
          </w:p>
        </w:tc>
      </w:tr>
      <w:tr>
        <w:trPr>
          <w:trHeight w:val="20"/>
        </w:trPr>
        <w:tc>
          <w:tcPr>
            <w:tcW w:w="4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17"/>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net sales</w:t>
            </w:r>
          </w:p>
        </w:tc>
        <w:tc>
          <w:tcPr>
            <w:tcW w:w="560" w:type="dxa"/>
            <w:vAlign w:val="bottom"/>
            <w:tcBorders>
              <w:bottom w:val="single" w:sz="8" w:color="CCEEFF"/>
            </w:tcBorders>
            <w:shd w:val="clear" w:color="auto" w:fill="CCEEFF"/>
          </w:tcPr>
          <w:p>
            <w:pPr>
              <w:jc w:val="right"/>
              <w:ind w:right="411"/>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290.9</w:t>
            </w:r>
          </w:p>
        </w:tc>
        <w:tc>
          <w:tcPr>
            <w:tcW w:w="1020" w:type="dxa"/>
            <w:vAlign w:val="bottom"/>
            <w:tcBorders>
              <w:bottom w:val="single" w:sz="8" w:color="CCEEFF"/>
            </w:tcBorders>
            <w:shd w:val="clear" w:color="auto" w:fill="CCEEFF"/>
          </w:tcPr>
          <w:p>
            <w:pPr>
              <w:jc w:val="right"/>
              <w:ind w:right="751"/>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380.3</w:t>
            </w:r>
          </w:p>
        </w:tc>
        <w:tc>
          <w:tcPr>
            <w:tcW w:w="2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71"/>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569.5</w:t>
            </w:r>
          </w:p>
        </w:tc>
        <w:tc>
          <w:tcPr>
            <w:tcW w:w="1000" w:type="dxa"/>
            <w:vAlign w:val="bottom"/>
            <w:tcBorders>
              <w:bottom w:val="single" w:sz="8" w:color="CCEEFF"/>
            </w:tcBorders>
            <w:shd w:val="clear" w:color="auto" w:fill="CCEEFF"/>
          </w:tcPr>
          <w:p>
            <w:pPr>
              <w:jc w:val="right"/>
              <w:ind w:right="73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714.5</w:t>
            </w:r>
          </w:p>
        </w:tc>
      </w:tr>
      <w:tr>
        <w:trPr>
          <w:trHeight w:val="1481"/>
        </w:trPr>
        <w:tc>
          <w:tcPr>
            <w:tcW w:w="4020" w:type="dxa"/>
            <w:vAlign w:val="bottom"/>
            <w:tcBorders>
              <w:top w:val="single" w:sz="8" w:color="auto"/>
              <w:bottom w:val="single" w:sz="8" w:color="9A9A9A"/>
            </w:tcBorders>
          </w:tcPr>
          <w:p>
            <w:pPr>
              <w:spacing w:after="0"/>
              <w:rPr>
                <w:sz w:val="24"/>
                <w:szCs w:val="24"/>
                <w:color w:val="auto"/>
              </w:rPr>
            </w:pPr>
          </w:p>
        </w:tc>
        <w:tc>
          <w:tcPr>
            <w:tcW w:w="560" w:type="dxa"/>
            <w:vAlign w:val="bottom"/>
            <w:tcBorders>
              <w:top w:val="single" w:sz="8" w:color="auto"/>
              <w:bottom w:val="single" w:sz="8" w:color="9A9A9A"/>
            </w:tcBorders>
          </w:tcPr>
          <w:p>
            <w:pPr>
              <w:spacing w:after="0"/>
              <w:rPr>
                <w:sz w:val="24"/>
                <w:szCs w:val="24"/>
                <w:color w:val="auto"/>
              </w:rPr>
            </w:pPr>
          </w:p>
        </w:tc>
        <w:tc>
          <w:tcPr>
            <w:tcW w:w="1140" w:type="dxa"/>
            <w:vAlign w:val="bottom"/>
            <w:tcBorders>
              <w:top w:val="single" w:sz="8" w:color="auto"/>
              <w:bottom w:val="single" w:sz="8" w:color="9A9A9A"/>
            </w:tcBorders>
          </w:tcPr>
          <w:p>
            <w:pPr>
              <w:spacing w:after="0"/>
              <w:rPr>
                <w:sz w:val="24"/>
                <w:szCs w:val="24"/>
                <w:color w:val="auto"/>
              </w:rPr>
            </w:pPr>
          </w:p>
        </w:tc>
        <w:tc>
          <w:tcPr>
            <w:tcW w:w="1020" w:type="dxa"/>
            <w:vAlign w:val="bottom"/>
            <w:tcBorders>
              <w:top w:val="single" w:sz="8" w:color="auto"/>
              <w:bottom w:val="single" w:sz="8" w:color="9A9A9A"/>
            </w:tcBorders>
          </w:tcPr>
          <w:p>
            <w:pPr>
              <w:spacing w:after="0"/>
              <w:rPr>
                <w:sz w:val="24"/>
                <w:szCs w:val="24"/>
                <w:color w:val="auto"/>
              </w:rPr>
            </w:pPr>
          </w:p>
        </w:tc>
        <w:tc>
          <w:tcPr>
            <w:tcW w:w="760" w:type="dxa"/>
            <w:vAlign w:val="bottom"/>
            <w:tcBorders>
              <w:top w:val="single" w:sz="8" w:color="auto"/>
              <w:bottom w:val="single" w:sz="8" w:color="9A9A9A"/>
            </w:tcBorders>
          </w:tcPr>
          <w:p>
            <w:pPr>
              <w:spacing w:after="0"/>
              <w:rPr>
                <w:sz w:val="24"/>
                <w:szCs w:val="24"/>
                <w:color w:val="auto"/>
              </w:rPr>
            </w:pPr>
          </w:p>
        </w:tc>
        <w:tc>
          <w:tcPr>
            <w:tcW w:w="260" w:type="dxa"/>
            <w:vAlign w:val="bottom"/>
            <w:tcBorders>
              <w:top w:val="single" w:sz="8" w:color="auto"/>
              <w:bottom w:val="single" w:sz="8" w:color="9A9A9A"/>
            </w:tcBorders>
          </w:tcPr>
          <w:p>
            <w:pPr>
              <w:spacing w:after="0"/>
              <w:rPr>
                <w:sz w:val="24"/>
                <w:szCs w:val="24"/>
                <w:color w:val="auto"/>
              </w:rPr>
            </w:pPr>
          </w:p>
        </w:tc>
        <w:tc>
          <w:tcPr>
            <w:tcW w:w="620" w:type="dxa"/>
            <w:vAlign w:val="bottom"/>
            <w:tcBorders>
              <w:top w:val="single" w:sz="8" w:color="auto"/>
              <w:bottom w:val="single" w:sz="8" w:color="9A9A9A"/>
            </w:tcBorders>
          </w:tcPr>
          <w:p>
            <w:pPr>
              <w:spacing w:after="0"/>
              <w:rPr>
                <w:sz w:val="24"/>
                <w:szCs w:val="24"/>
                <w:color w:val="auto"/>
              </w:rPr>
            </w:pPr>
          </w:p>
        </w:tc>
        <w:tc>
          <w:tcPr>
            <w:tcW w:w="1080" w:type="dxa"/>
            <w:vAlign w:val="bottom"/>
            <w:tcBorders>
              <w:top w:val="single" w:sz="8" w:color="auto"/>
              <w:bottom w:val="single" w:sz="8" w:color="9A9A9A"/>
            </w:tcBorders>
          </w:tcPr>
          <w:p>
            <w:pPr>
              <w:spacing w:after="0"/>
              <w:rPr>
                <w:sz w:val="24"/>
                <w:szCs w:val="24"/>
                <w:color w:val="auto"/>
              </w:rPr>
            </w:pPr>
          </w:p>
        </w:tc>
        <w:tc>
          <w:tcPr>
            <w:tcW w:w="1000" w:type="dxa"/>
            <w:vAlign w:val="bottom"/>
            <w:tcBorders>
              <w:top w:val="single" w:sz="8" w:color="auto"/>
              <w:bottom w:val="single" w:sz="8" w:color="9A9A9A"/>
            </w:tcBorders>
          </w:tcPr>
          <w:p>
            <w:pPr>
              <w:spacing w:after="0"/>
              <w:rPr>
                <w:sz w:val="24"/>
                <w:szCs w:val="24"/>
                <w:color w:val="auto"/>
              </w:rPr>
            </w:pPr>
          </w:p>
        </w:tc>
        <w:tc>
          <w:tcPr>
            <w:tcW w:w="780" w:type="dxa"/>
            <w:vAlign w:val="bottom"/>
            <w:tcBorders>
              <w:top w:val="single" w:sz="8" w:color="auto"/>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36" w:lineRule="exact"/>
        <w:rPr>
          <w:sz w:val="20"/>
          <w:szCs w:val="20"/>
          <w:color w:val="auto"/>
        </w:rPr>
      </w:pPr>
    </w:p>
    <w:p>
      <w:pPr>
        <w:jc w:val="both"/>
        <w:ind w:right="260" w:firstLine="619"/>
        <w:spacing w:after="0" w:line="264" w:lineRule="auto"/>
        <w:rPr>
          <w:sz w:val="20"/>
          <w:szCs w:val="20"/>
          <w:color w:val="auto"/>
        </w:rPr>
      </w:pPr>
      <w:r>
        <w:rPr>
          <w:rFonts w:ascii="Arial" w:cs="Arial" w:eastAsia="Arial" w:hAnsi="Arial"/>
          <w:sz w:val="14"/>
          <w:szCs w:val="14"/>
          <w:color w:val="auto"/>
        </w:rPr>
        <w:t>Net sales decreased $89.4 million or 24% in the three months ended April 30, 2026 compared to the same period last year, primarily driven by our Marketing &amp; Distribution segment, where a decrease in per-unit avocado sales prices of 36% was partially offset by an increase in avocado volume sold of 15%. Volume and price movements were driven by increased Mexican avocado supply due to higher yields in the current year.</w:t>
      </w:r>
    </w:p>
    <w:p>
      <w:pPr>
        <w:spacing w:after="0" w:line="165" w:lineRule="exact"/>
        <w:rPr>
          <w:sz w:val="20"/>
          <w:szCs w:val="20"/>
          <w:color w:val="auto"/>
        </w:rPr>
      </w:pPr>
    </w:p>
    <w:p>
      <w:pPr>
        <w:jc w:val="both"/>
        <w:ind w:right="260" w:firstLine="619"/>
        <w:spacing w:after="0" w:line="264" w:lineRule="auto"/>
        <w:rPr>
          <w:sz w:val="20"/>
          <w:szCs w:val="20"/>
          <w:color w:val="auto"/>
        </w:rPr>
      </w:pPr>
      <w:r>
        <w:rPr>
          <w:rFonts w:ascii="Arial" w:cs="Arial" w:eastAsia="Arial" w:hAnsi="Arial"/>
          <w:sz w:val="14"/>
          <w:szCs w:val="14"/>
          <w:color w:val="auto"/>
        </w:rPr>
        <w:t>Net sales decreased $145.0 million or 20% in the six months ended April 30, 2026 compared to the same period last year, primarily driven by our Marketing &amp; Distribution segment, where a decrease in per-unit avocado sales prices of 33% was partially offset by an increase in avocado volume sold of 14%. Volume and price movements were driven by increased Mexican avocado supply due to higher yields in the current year.</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Gross profit</w:t>
      </w:r>
    </w:p>
    <w:p>
      <w:pPr>
        <w:spacing w:after="0" w:line="221" w:lineRule="exact"/>
        <w:rPr>
          <w:sz w:val="20"/>
          <w:szCs w:val="20"/>
          <w:color w:val="auto"/>
        </w:rPr>
      </w:pPr>
    </w:p>
    <w:p>
      <w:pPr>
        <w:ind w:right="180" w:firstLine="619"/>
        <w:spacing w:after="0" w:line="259" w:lineRule="auto"/>
        <w:rPr>
          <w:sz w:val="20"/>
          <w:szCs w:val="20"/>
          <w:color w:val="auto"/>
        </w:rPr>
      </w:pPr>
      <w:r>
        <w:rPr>
          <w:rFonts w:ascii="Arial" w:cs="Arial" w:eastAsia="Arial" w:hAnsi="Arial"/>
          <w:sz w:val="14"/>
          <w:szCs w:val="14"/>
          <w:color w:val="auto"/>
        </w:rPr>
        <w:t>Cost of sales is composed primarily of avocado procurement costs from independent growers and packers, logistics costs, packaging costs, labor, costs associated with cultivation (the cost of growing crops), harvesting and depreciation. Avocado procurement costs from third-party suppliers can vary significantly between and within fiscal years and correlate closely with market prices for avocados. While we have long-standing relationships with our growers and packers, we predominantly purchase fruit on a daily basis at market rates. As such, the cost to procure products from independent growers can have a significant impact on our costs.</w:t>
      </w:r>
    </w:p>
    <w:p>
      <w:pPr>
        <w:spacing w:after="0" w:line="169" w:lineRule="exact"/>
        <w:rPr>
          <w:sz w:val="20"/>
          <w:szCs w:val="20"/>
          <w:color w:val="auto"/>
        </w:rPr>
      </w:pPr>
    </w:p>
    <w:p>
      <w:pPr>
        <w:ind w:right="200" w:firstLine="619"/>
        <w:spacing w:after="0" w:line="285" w:lineRule="auto"/>
        <w:rPr>
          <w:sz w:val="20"/>
          <w:szCs w:val="20"/>
          <w:color w:val="auto"/>
        </w:rPr>
      </w:pPr>
      <w:r>
        <w:rPr>
          <w:rFonts w:ascii="Arial" w:cs="Arial" w:eastAsia="Arial" w:hAnsi="Arial"/>
          <w:sz w:val="13"/>
          <w:szCs w:val="13"/>
          <w:color w:val="auto"/>
        </w:rPr>
        <w:t>Logistics costs include land and sea transportation and expenses related to port facilities and distribution centers as well as tariffs/import duties. Land transportation costs consist primarily of third-party trucking services to support North American distribution, while sea transportation cost consists primarily of third-party shipping of refrigerated containers from supply markets in South and Central America to demand markets in North America, Europe and Asia. Fuel prices as well as variations in containerboard prices, which affect the cost of boxes and other packaging materials, impact our product cost and our profit margins. Variations in production yields and other input costs also affect our cost of sales.</w:t>
      </w:r>
    </w:p>
    <w:p>
      <w:pPr>
        <w:spacing w:after="0" w:line="167" w:lineRule="exact"/>
        <w:rPr>
          <w:sz w:val="20"/>
          <w:szCs w:val="20"/>
          <w:color w:val="auto"/>
        </w:rPr>
      </w:pPr>
    </w:p>
    <w:p>
      <w:pPr>
        <w:ind w:right="20" w:firstLine="619"/>
        <w:spacing w:after="0" w:line="253" w:lineRule="auto"/>
        <w:rPr>
          <w:sz w:val="20"/>
          <w:szCs w:val="20"/>
          <w:color w:val="auto"/>
        </w:rPr>
      </w:pPr>
      <w:r>
        <w:rPr>
          <w:rFonts w:ascii="Arial" w:cs="Arial" w:eastAsia="Arial" w:hAnsi="Arial"/>
          <w:sz w:val="14"/>
          <w:szCs w:val="14"/>
          <w:color w:val="auto"/>
        </w:rPr>
        <w:t>In general, changes in our volume of products sold can have a disproportionate effect on our gross profit. Within any particular year, a significant portion of our cost of products are fixed. Accordingly, higher volumes produced on company-owned farms directly reduce the average cost per pound of fruit grown on company owned orchards, while lower volumes directly increase the average cost per pound of fruit grown on company owned orchards. Likewise, higher volumes processed through packing and distribution facilities directly reduce the average overhead cost per unit of fruit handled, while lower volumes directly increase the average overhead cost per unit of fruit handled.</w:t>
      </w:r>
    </w:p>
    <w:p>
      <w:pPr>
        <w:spacing w:after="0" w:line="185" w:lineRule="exact"/>
        <w:rPr>
          <w:sz w:val="20"/>
          <w:szCs w:val="20"/>
          <w:color w:val="auto"/>
        </w:rPr>
      </w:pPr>
    </w:p>
    <w:p>
      <w:pPr>
        <w:ind w:right="280" w:firstLine="619"/>
        <w:spacing w:after="0" w:line="278" w:lineRule="auto"/>
        <w:rPr>
          <w:sz w:val="20"/>
          <w:szCs w:val="20"/>
          <w:color w:val="auto"/>
        </w:rPr>
      </w:pPr>
      <w:r>
        <w:rPr>
          <w:rFonts w:ascii="Arial" w:cs="Arial" w:eastAsia="Arial" w:hAnsi="Arial"/>
          <w:sz w:val="14"/>
          <w:szCs w:val="14"/>
          <w:color w:val="auto"/>
        </w:rPr>
        <w:t>Gross profit percentage will fluctuate based upon per-unit sales price levels in relation to per-unit costs. Margin is primarily managed on a per-unit basis in our Marketing &amp; Distribution segment, which can lead to movement in gross profit percentage when sales prices fluctuate.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20" w:type="dxa"/>
            <w:vAlign w:val="bottom"/>
            <w:gridSpan w:val="2"/>
          </w:tcPr>
          <w:p>
            <w:pPr>
              <w:jc w:val="center"/>
              <w:ind w:left="111"/>
              <w:spacing w:after="0"/>
              <w:rPr>
                <w:sz w:val="20"/>
                <w:szCs w:val="20"/>
                <w:color w:val="auto"/>
              </w:rPr>
            </w:pPr>
            <w:r>
              <w:rPr>
                <w:rFonts w:ascii="Arial" w:cs="Arial" w:eastAsia="Arial" w:hAnsi="Arial"/>
                <w:sz w:val="14"/>
                <w:szCs w:val="14"/>
                <w:b w:val="1"/>
                <w:bCs w:val="1"/>
                <w:color w:val="auto"/>
                <w:w w:val="98"/>
              </w:rPr>
              <w:t>Three Months Ended</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140" w:type="dxa"/>
            <w:vAlign w:val="bottom"/>
            <w:gridSpan w:val="2"/>
          </w:tcPr>
          <w:p>
            <w:pPr>
              <w:jc w:val="center"/>
              <w:ind w:left="91"/>
              <w:spacing w:after="0"/>
              <w:rPr>
                <w:sz w:val="20"/>
                <w:szCs w:val="20"/>
                <w:color w:val="auto"/>
              </w:rPr>
            </w:pPr>
            <w:r>
              <w:rPr>
                <w:rFonts w:ascii="Arial" w:cs="Arial" w:eastAsia="Arial" w:hAnsi="Arial"/>
                <w:sz w:val="14"/>
                <w:szCs w:val="14"/>
                <w:b w:val="1"/>
                <w:bCs w:val="1"/>
                <w:color w:val="auto"/>
                <w:w w:val="97"/>
              </w:rPr>
              <w:t>Six Months Ended</w:t>
            </w:r>
          </w:p>
        </w:tc>
        <w:tc>
          <w:tcPr>
            <w:tcW w:w="800" w:type="dxa"/>
            <w:vAlign w:val="bottom"/>
          </w:tcPr>
          <w:p>
            <w:pPr>
              <w:spacing w:after="0"/>
              <w:rPr>
                <w:sz w:val="14"/>
                <w:szCs w:val="14"/>
                <w:color w:val="auto"/>
              </w:rPr>
            </w:pPr>
          </w:p>
        </w:tc>
      </w:tr>
      <w:tr>
        <w:trPr>
          <w:trHeight w:val="196"/>
        </w:trPr>
        <w:tc>
          <w:tcPr>
            <w:tcW w:w="38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2"/>
          </w:tcPr>
          <w:p>
            <w:pPr>
              <w:jc w:val="center"/>
              <w:ind w:left="91"/>
              <w:spacing w:after="0"/>
              <w:rPr>
                <w:sz w:val="20"/>
                <w:szCs w:val="20"/>
                <w:color w:val="auto"/>
              </w:rPr>
            </w:pPr>
            <w:r>
              <w:rPr>
                <w:rFonts w:ascii="Arial" w:cs="Arial" w:eastAsia="Arial" w:hAnsi="Arial"/>
                <w:sz w:val="14"/>
                <w:szCs w:val="14"/>
                <w:b w:val="1"/>
                <w:bCs w:val="1"/>
                <w:color w:val="auto"/>
                <w:w w:val="97"/>
              </w:rPr>
              <w:t>April 30,</w:t>
            </w:r>
          </w:p>
        </w:tc>
        <w:tc>
          <w:tcPr>
            <w:tcW w:w="7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2"/>
          </w:tcPr>
          <w:p>
            <w:pPr>
              <w:jc w:val="center"/>
              <w:ind w:left="91"/>
              <w:spacing w:after="0"/>
              <w:rPr>
                <w:sz w:val="20"/>
                <w:szCs w:val="20"/>
                <w:color w:val="auto"/>
              </w:rPr>
            </w:pPr>
            <w:r>
              <w:rPr>
                <w:rFonts w:ascii="Arial" w:cs="Arial" w:eastAsia="Arial" w:hAnsi="Arial"/>
                <w:sz w:val="14"/>
                <w:szCs w:val="14"/>
                <w:b w:val="1"/>
                <w:bCs w:val="1"/>
                <w:color w:val="auto"/>
                <w:w w:val="97"/>
              </w:rPr>
              <w:t>April 30,</w:t>
            </w:r>
          </w:p>
        </w:tc>
        <w:tc>
          <w:tcPr>
            <w:tcW w:w="800" w:type="dxa"/>
            <w:vAlign w:val="bottom"/>
            <w:tcBorders>
              <w:bottom w:val="single" w:sz="8" w:color="auto"/>
            </w:tcBorders>
          </w:tcPr>
          <w:p>
            <w:pPr>
              <w:spacing w:after="0"/>
              <w:rPr>
                <w:sz w:val="17"/>
                <w:szCs w:val="17"/>
                <w:color w:val="auto"/>
              </w:rPr>
            </w:pPr>
          </w:p>
        </w:tc>
      </w:tr>
      <w:tr>
        <w:trPr>
          <w:trHeight w:val="212"/>
        </w:trPr>
        <w:tc>
          <w:tcPr>
            <w:tcW w:w="38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2026</w:t>
            </w:r>
          </w:p>
        </w:tc>
        <w:tc>
          <w:tcPr>
            <w:tcW w:w="10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2025</w:t>
            </w: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2026</w:t>
            </w:r>
          </w:p>
        </w:tc>
        <w:tc>
          <w:tcPr>
            <w:tcW w:w="10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2025</w:t>
            </w:r>
          </w:p>
        </w:tc>
      </w:tr>
      <w:tr>
        <w:trPr>
          <w:trHeight w:val="199"/>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Gross profit (in millions)</w:t>
            </w:r>
          </w:p>
        </w:tc>
        <w:tc>
          <w:tcPr>
            <w:tcW w:w="600" w:type="dxa"/>
            <w:vAlign w:val="bottom"/>
            <w:tcBorders>
              <w:bottom w:val="single" w:sz="8" w:color="CCEEFF"/>
            </w:tcBorders>
            <w:shd w:val="clear" w:color="auto" w:fill="CCEEFF"/>
          </w:tcPr>
          <w:p>
            <w:pPr>
              <w:jc w:val="right"/>
              <w:ind w:right="431"/>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4"/>
                <w:szCs w:val="14"/>
                <w:color w:val="auto"/>
              </w:rPr>
              <w:t>20.5</w:t>
            </w:r>
          </w:p>
        </w:tc>
        <w:tc>
          <w:tcPr>
            <w:tcW w:w="1020" w:type="dxa"/>
            <w:vAlign w:val="bottom"/>
            <w:tcBorders>
              <w:bottom w:val="single" w:sz="8" w:color="CCEEFF"/>
            </w:tcBorders>
            <w:shd w:val="clear" w:color="auto" w:fill="CCEEFF"/>
          </w:tcPr>
          <w:p>
            <w:pPr>
              <w:jc w:val="right"/>
              <w:ind w:right="79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28.4</w:t>
            </w:r>
          </w:p>
        </w:tc>
        <w:tc>
          <w:tcPr>
            <w:tcW w:w="2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491"/>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4"/>
                <w:szCs w:val="14"/>
                <w:color w:val="auto"/>
              </w:rPr>
              <w:t>52.1</w:t>
            </w:r>
          </w:p>
        </w:tc>
        <w:tc>
          <w:tcPr>
            <w:tcW w:w="1000" w:type="dxa"/>
            <w:vAlign w:val="bottom"/>
            <w:tcBorders>
              <w:bottom w:val="single" w:sz="8" w:color="CCEEFF"/>
            </w:tcBorders>
            <w:shd w:val="clear" w:color="auto" w:fill="CCEEFF"/>
          </w:tcPr>
          <w:p>
            <w:pPr>
              <w:jc w:val="right"/>
              <w:ind w:right="751"/>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59.9</w:t>
            </w:r>
          </w:p>
        </w:tc>
      </w:tr>
      <w:tr>
        <w:trPr>
          <w:trHeight w:val="199"/>
        </w:trPr>
        <w:tc>
          <w:tcPr>
            <w:tcW w:w="3800" w:type="dxa"/>
            <w:vAlign w:val="bottom"/>
          </w:tcPr>
          <w:p>
            <w:pPr>
              <w:ind w:left="20"/>
              <w:spacing w:after="0"/>
              <w:rPr>
                <w:sz w:val="20"/>
                <w:szCs w:val="20"/>
                <w:color w:val="auto"/>
              </w:rPr>
            </w:pPr>
            <w:r>
              <w:rPr>
                <w:rFonts w:ascii="Arial" w:cs="Arial" w:eastAsia="Arial" w:hAnsi="Arial"/>
                <w:sz w:val="14"/>
                <w:szCs w:val="14"/>
                <w:color w:val="auto"/>
              </w:rPr>
              <w:t>Gross profit as a percentage of sales</w:t>
            </w:r>
          </w:p>
        </w:tc>
        <w:tc>
          <w:tcPr>
            <w:tcW w:w="600" w:type="dxa"/>
            <w:vAlign w:val="bottom"/>
          </w:tcPr>
          <w:p>
            <w:pPr>
              <w:spacing w:after="0"/>
              <w:rPr>
                <w:sz w:val="17"/>
                <w:szCs w:val="17"/>
                <w:color w:val="auto"/>
              </w:rPr>
            </w:pPr>
          </w:p>
        </w:tc>
        <w:tc>
          <w:tcPr>
            <w:tcW w:w="1200" w:type="dxa"/>
            <w:vAlign w:val="bottom"/>
          </w:tcPr>
          <w:p>
            <w:pPr>
              <w:jc w:val="right"/>
              <w:ind w:right="31"/>
              <w:spacing w:after="0"/>
              <w:rPr>
                <w:sz w:val="20"/>
                <w:szCs w:val="20"/>
                <w:color w:val="auto"/>
              </w:rPr>
            </w:pPr>
            <w:r>
              <w:rPr>
                <w:rFonts w:ascii="Arial" w:cs="Arial" w:eastAsia="Arial" w:hAnsi="Arial"/>
                <w:sz w:val="14"/>
                <w:szCs w:val="14"/>
                <w:color w:val="auto"/>
              </w:rPr>
              <w:t>7.0 %</w:t>
            </w:r>
          </w:p>
        </w:tc>
        <w:tc>
          <w:tcPr>
            <w:tcW w:w="10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7.5 %</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jc w:val="right"/>
              <w:ind w:right="31"/>
              <w:spacing w:after="0"/>
              <w:rPr>
                <w:sz w:val="20"/>
                <w:szCs w:val="20"/>
                <w:color w:val="auto"/>
              </w:rPr>
            </w:pPr>
            <w:r>
              <w:rPr>
                <w:rFonts w:ascii="Arial" w:cs="Arial" w:eastAsia="Arial" w:hAnsi="Arial"/>
                <w:sz w:val="14"/>
                <w:szCs w:val="14"/>
                <w:color w:val="auto"/>
              </w:rPr>
              <w:t>9.1 %</w:t>
            </w:r>
          </w:p>
        </w:tc>
        <w:tc>
          <w:tcPr>
            <w:tcW w:w="10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8.4 %</w:t>
            </w:r>
          </w:p>
        </w:tc>
      </w:tr>
      <w:tr>
        <w:trPr>
          <w:trHeight w:val="20"/>
        </w:trPr>
        <w:tc>
          <w:tcPr>
            <w:tcW w:w="3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right="120" w:firstLine="619"/>
        <w:spacing w:after="0" w:line="253" w:lineRule="auto"/>
        <w:rPr>
          <w:sz w:val="20"/>
          <w:szCs w:val="20"/>
          <w:color w:val="auto"/>
        </w:rPr>
      </w:pPr>
      <w:r>
        <w:rPr>
          <w:rFonts w:ascii="Arial" w:cs="Arial" w:eastAsia="Arial" w:hAnsi="Arial"/>
          <w:sz w:val="14"/>
          <w:szCs w:val="14"/>
          <w:color w:val="auto"/>
        </w:rPr>
        <w:t>Gross profit decreased $7.9 million or 28% for the three months ended April 30, 2026 compared to the same period last year and gross profit percentage decreased 50 basis points compared to the same period last year, to 7.0% of revenue. Gross profit in our Marketing and Distribution segment was lower due to high availability of Mexican avocado supply which drove low per-unit avocado selling prices and margins. In our International Farming segment gross profit was lower due to higher per-unit mango production costs and lower volume of blueberry packaging and storage services.</w:t>
      </w:r>
    </w:p>
    <w:p>
      <w:pPr>
        <w:spacing w:after="0" w:line="185" w:lineRule="exact"/>
        <w:rPr>
          <w:sz w:val="20"/>
          <w:szCs w:val="20"/>
          <w:color w:val="auto"/>
        </w:rPr>
      </w:pPr>
    </w:p>
    <w:p>
      <w:pPr>
        <w:ind w:right="100" w:firstLine="619"/>
        <w:spacing w:after="0" w:line="264" w:lineRule="auto"/>
        <w:rPr>
          <w:sz w:val="20"/>
          <w:szCs w:val="20"/>
          <w:color w:val="auto"/>
        </w:rPr>
      </w:pPr>
      <w:r>
        <w:rPr>
          <w:rFonts w:ascii="Arial" w:cs="Arial" w:eastAsia="Arial" w:hAnsi="Arial"/>
          <w:sz w:val="14"/>
          <w:szCs w:val="14"/>
          <w:color w:val="auto"/>
        </w:rPr>
        <w:t>Gross profit decreased $7.8 million or 13% for the six months ended April 30, 2026, while gross profit percentage increased 70 basis points compared to the same period last year, to 9.1% of revenue. Gross profit improved in our Marketing and Distribution segment due to higher volume of avocados sold, while gross profit in our Blueberries segment was lower due to higher per-unit production costs associated with lower yields which were partially offset by higher per-unit selling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825500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SG&amp;A</w:t>
      </w:r>
    </w:p>
    <w:p>
      <w:pPr>
        <w:spacing w:after="0" w:line="221" w:lineRule="exact"/>
        <w:rPr>
          <w:sz w:val="20"/>
          <w:szCs w:val="20"/>
          <w:color w:val="auto"/>
        </w:rPr>
      </w:pPr>
    </w:p>
    <w:p>
      <w:pPr>
        <w:ind w:right="300" w:firstLine="619"/>
        <w:spacing w:after="0" w:line="278" w:lineRule="auto"/>
        <w:rPr>
          <w:sz w:val="20"/>
          <w:szCs w:val="20"/>
          <w:color w:val="auto"/>
        </w:rPr>
      </w:pPr>
      <w:r>
        <w:rPr>
          <w:rFonts w:ascii="Arial" w:cs="Arial" w:eastAsia="Arial" w:hAnsi="Arial"/>
          <w:sz w:val="14"/>
          <w:szCs w:val="14"/>
          <w:color w:val="auto"/>
        </w:rPr>
        <w:t>Selling, general and administrative (“SG&amp;A”) expenses primarily include the costs associated with selling, professional fees, general corporate overhead and other related administrative functions.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60" w:type="dxa"/>
            <w:vAlign w:val="bottom"/>
            <w:gridSpan w:val="2"/>
          </w:tcPr>
          <w:p>
            <w:pPr>
              <w:jc w:val="center"/>
              <w:ind w:left="131"/>
              <w:spacing w:after="0"/>
              <w:rPr>
                <w:sz w:val="20"/>
                <w:szCs w:val="20"/>
                <w:color w:val="auto"/>
              </w:rPr>
            </w:pPr>
            <w:r>
              <w:rPr>
                <w:rFonts w:ascii="Arial" w:cs="Arial" w:eastAsia="Arial" w:hAnsi="Arial"/>
                <w:sz w:val="14"/>
                <w:szCs w:val="14"/>
                <w:b w:val="1"/>
                <w:bCs w:val="1"/>
                <w:color w:val="auto"/>
                <w:w w:val="98"/>
              </w:rPr>
              <w:t>Three Months Ended</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80" w:type="dxa"/>
            <w:vAlign w:val="bottom"/>
            <w:gridSpan w:val="2"/>
          </w:tcPr>
          <w:p>
            <w:pPr>
              <w:jc w:val="center"/>
              <w:ind w:left="91"/>
              <w:spacing w:after="0"/>
              <w:rPr>
                <w:sz w:val="20"/>
                <w:szCs w:val="20"/>
                <w:color w:val="auto"/>
              </w:rPr>
            </w:pPr>
            <w:r>
              <w:rPr>
                <w:rFonts w:ascii="Arial" w:cs="Arial" w:eastAsia="Arial" w:hAnsi="Arial"/>
                <w:sz w:val="14"/>
                <w:szCs w:val="14"/>
                <w:b w:val="1"/>
                <w:bCs w:val="1"/>
                <w:color w:val="auto"/>
                <w:w w:val="98"/>
              </w:rPr>
              <w:t>Six Months Ended</w:t>
            </w:r>
          </w:p>
        </w:tc>
        <w:tc>
          <w:tcPr>
            <w:tcW w:w="780" w:type="dxa"/>
            <w:vAlign w:val="bottom"/>
          </w:tcPr>
          <w:p>
            <w:pPr>
              <w:spacing w:after="0"/>
              <w:rPr>
                <w:sz w:val="14"/>
                <w:szCs w:val="14"/>
                <w:color w:val="auto"/>
              </w:rPr>
            </w:pPr>
          </w:p>
        </w:tc>
      </w:tr>
      <w:tr>
        <w:trPr>
          <w:trHeight w:val="196"/>
        </w:trPr>
        <w:tc>
          <w:tcPr>
            <w:tcW w:w="40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2"/>
          </w:tcPr>
          <w:p>
            <w:pPr>
              <w:jc w:val="center"/>
              <w:ind w:left="111"/>
              <w:spacing w:after="0"/>
              <w:rPr>
                <w:sz w:val="20"/>
                <w:szCs w:val="20"/>
                <w:color w:val="auto"/>
              </w:rPr>
            </w:pPr>
            <w:r>
              <w:rPr>
                <w:rFonts w:ascii="Arial" w:cs="Arial" w:eastAsia="Arial" w:hAnsi="Arial"/>
                <w:sz w:val="14"/>
                <w:szCs w:val="14"/>
                <w:b w:val="1"/>
                <w:bCs w:val="1"/>
                <w:color w:val="auto"/>
                <w:w w:val="97"/>
              </w:rPr>
              <w:t>April 30,</w:t>
            </w:r>
          </w:p>
        </w:tc>
        <w:tc>
          <w:tcPr>
            <w:tcW w:w="7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2"/>
          </w:tcPr>
          <w:p>
            <w:pPr>
              <w:jc w:val="center"/>
              <w:ind w:left="71"/>
              <w:spacing w:after="0"/>
              <w:rPr>
                <w:sz w:val="20"/>
                <w:szCs w:val="20"/>
                <w:color w:val="auto"/>
              </w:rPr>
            </w:pPr>
            <w:r>
              <w:rPr>
                <w:rFonts w:ascii="Arial" w:cs="Arial" w:eastAsia="Arial" w:hAnsi="Arial"/>
                <w:sz w:val="14"/>
                <w:szCs w:val="14"/>
                <w:b w:val="1"/>
                <w:bCs w:val="1"/>
                <w:color w:val="auto"/>
                <w:w w:val="97"/>
              </w:rPr>
              <w:t>April 30,</w:t>
            </w:r>
          </w:p>
        </w:tc>
        <w:tc>
          <w:tcPr>
            <w:tcW w:w="780" w:type="dxa"/>
            <w:vAlign w:val="bottom"/>
            <w:tcBorders>
              <w:bottom w:val="single" w:sz="8" w:color="auto"/>
            </w:tcBorders>
          </w:tcPr>
          <w:p>
            <w:pPr>
              <w:spacing w:after="0"/>
              <w:rPr>
                <w:sz w:val="17"/>
                <w:szCs w:val="17"/>
                <w:color w:val="auto"/>
              </w:rPr>
            </w:pPr>
          </w:p>
        </w:tc>
      </w:tr>
      <w:tr>
        <w:trPr>
          <w:trHeight w:val="215"/>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5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2026</w:t>
            </w:r>
          </w:p>
        </w:tc>
        <w:tc>
          <w:tcPr>
            <w:tcW w:w="10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2026</w:t>
            </w:r>
          </w:p>
        </w:tc>
        <w:tc>
          <w:tcPr>
            <w:tcW w:w="10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2025</w:t>
            </w:r>
          </w:p>
        </w:tc>
      </w:tr>
      <w:tr>
        <w:trPr>
          <w:trHeight w:val="196"/>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560" w:type="dxa"/>
            <w:vAlign w:val="bottom"/>
            <w:tcBorders>
              <w:bottom w:val="single" w:sz="8" w:color="CCEEFF"/>
            </w:tcBorders>
            <w:shd w:val="clear" w:color="auto" w:fill="CCEEFF"/>
          </w:tcPr>
          <w:p>
            <w:pPr>
              <w:jc w:val="right"/>
              <w:ind w:right="411"/>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21.1</w:t>
            </w:r>
          </w:p>
        </w:tc>
        <w:tc>
          <w:tcPr>
            <w:tcW w:w="1020" w:type="dxa"/>
            <w:vAlign w:val="bottom"/>
            <w:tcBorders>
              <w:bottom w:val="single" w:sz="8" w:color="CCEEFF"/>
            </w:tcBorders>
            <w:shd w:val="clear" w:color="auto" w:fill="CCEEFF"/>
          </w:tcPr>
          <w:p>
            <w:pPr>
              <w:jc w:val="right"/>
              <w:ind w:right="751"/>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21.4</w:t>
            </w:r>
          </w:p>
        </w:tc>
        <w:tc>
          <w:tcPr>
            <w:tcW w:w="2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471"/>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43.2</w:t>
            </w:r>
          </w:p>
        </w:tc>
        <w:tc>
          <w:tcPr>
            <w:tcW w:w="1000" w:type="dxa"/>
            <w:vAlign w:val="bottom"/>
            <w:tcBorders>
              <w:bottom w:val="single" w:sz="8" w:color="CCEEFF"/>
            </w:tcBorders>
            <w:shd w:val="clear" w:color="auto" w:fill="CCEEFF"/>
          </w:tcPr>
          <w:p>
            <w:pPr>
              <w:jc w:val="right"/>
              <w:ind w:right="73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43.5</w:t>
            </w:r>
          </w:p>
        </w:tc>
      </w:tr>
      <w:tr>
        <w:trPr>
          <w:trHeight w:val="199"/>
        </w:trPr>
        <w:tc>
          <w:tcPr>
            <w:tcW w:w="4020" w:type="dxa"/>
            <w:vAlign w:val="bottom"/>
          </w:tcPr>
          <w:p>
            <w:pPr>
              <w:ind w:left="20"/>
              <w:spacing w:after="0"/>
              <w:rPr>
                <w:sz w:val="20"/>
                <w:szCs w:val="20"/>
                <w:color w:val="auto"/>
              </w:rPr>
            </w:pPr>
            <w:r>
              <w:rPr>
                <w:rFonts w:ascii="Arial" w:cs="Arial" w:eastAsia="Arial" w:hAnsi="Arial"/>
                <w:sz w:val="14"/>
                <w:szCs w:val="14"/>
                <w:color w:val="auto"/>
              </w:rPr>
              <w:t>Transaction advisory costs</w:t>
            </w:r>
          </w:p>
        </w:tc>
        <w:tc>
          <w:tcPr>
            <w:tcW w:w="560" w:type="dxa"/>
            <w:vAlign w:val="bottom"/>
          </w:tcPr>
          <w:p>
            <w:pPr>
              <w:spacing w:after="0"/>
              <w:rPr>
                <w:sz w:val="17"/>
                <w:szCs w:val="17"/>
                <w:color w:val="auto"/>
              </w:rPr>
            </w:pPr>
          </w:p>
        </w:tc>
        <w:tc>
          <w:tcPr>
            <w:tcW w:w="1140" w:type="dxa"/>
            <w:vAlign w:val="bottom"/>
          </w:tcPr>
          <w:p>
            <w:pPr>
              <w:jc w:val="right"/>
              <w:ind w:right="31"/>
              <w:spacing w:after="0"/>
              <w:rPr>
                <w:sz w:val="20"/>
                <w:szCs w:val="20"/>
                <w:color w:val="auto"/>
              </w:rPr>
            </w:pPr>
            <w:r>
              <w:rPr>
                <w:rFonts w:ascii="Arial" w:cs="Arial" w:eastAsia="Arial" w:hAnsi="Arial"/>
                <w:sz w:val="14"/>
                <w:szCs w:val="14"/>
                <w:color w:val="auto"/>
              </w:rPr>
              <w:t>6.4</w:t>
            </w:r>
          </w:p>
        </w:tc>
        <w:tc>
          <w:tcPr>
            <w:tcW w:w="1020" w:type="dxa"/>
            <w:vAlign w:val="bottom"/>
          </w:tcPr>
          <w:p>
            <w:pPr>
              <w:spacing w:after="0"/>
              <w:rPr>
                <w:sz w:val="17"/>
                <w:szCs w:val="17"/>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0.1</w:t>
            </w: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13.4</w:t>
            </w:r>
          </w:p>
        </w:tc>
        <w:tc>
          <w:tcPr>
            <w:tcW w:w="10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0"/>
        </w:trPr>
        <w:tc>
          <w:tcPr>
            <w:tcW w:w="4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left="620"/>
        <w:spacing w:after="0"/>
        <w:rPr>
          <w:sz w:val="20"/>
          <w:szCs w:val="20"/>
          <w:color w:val="auto"/>
        </w:rPr>
      </w:pPr>
      <w:r>
        <w:rPr>
          <w:rFonts w:ascii="Arial" w:cs="Arial" w:eastAsia="Arial" w:hAnsi="Arial"/>
          <w:sz w:val="14"/>
          <w:szCs w:val="14"/>
          <w:color w:val="auto"/>
        </w:rPr>
        <w:t>SG&amp;A expenses excluding transaction advisory costs for the three and six months ended April 30, 2026 were flat compared to the same periods last year.</w:t>
      </w:r>
    </w:p>
    <w:p>
      <w:pPr>
        <w:spacing w:after="0" w:line="200" w:lineRule="exact"/>
        <w:rPr>
          <w:sz w:val="20"/>
          <w:szCs w:val="20"/>
          <w:color w:val="auto"/>
        </w:rPr>
      </w:pPr>
    </w:p>
    <w:p>
      <w:pPr>
        <w:ind w:left="620"/>
        <w:spacing w:after="0"/>
        <w:rPr>
          <w:sz w:val="20"/>
          <w:szCs w:val="20"/>
          <w:color w:val="auto"/>
        </w:rPr>
      </w:pPr>
      <w:r>
        <w:rPr>
          <w:rFonts w:ascii="Arial" w:cs="Arial" w:eastAsia="Arial" w:hAnsi="Arial"/>
          <w:sz w:val="14"/>
          <w:szCs w:val="14"/>
          <w:color w:val="auto"/>
        </w:rPr>
        <w:t>Transaction advisory costs are comprised of third-party legal, diligence, and other costs associated with the Calavo acquisition, which was completed on May 28, 2026.</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Interest expense</w:t>
      </w:r>
    </w:p>
    <w:p>
      <w:pPr>
        <w:spacing w:after="0" w:line="234" w:lineRule="exact"/>
        <w:rPr>
          <w:sz w:val="20"/>
          <w:szCs w:val="20"/>
          <w:color w:val="auto"/>
        </w:rPr>
      </w:pPr>
    </w:p>
    <w:p>
      <w:pPr>
        <w:ind w:right="280" w:firstLine="619"/>
        <w:spacing w:after="0" w:line="259" w:lineRule="auto"/>
        <w:rPr>
          <w:sz w:val="20"/>
          <w:szCs w:val="20"/>
          <w:color w:val="auto"/>
        </w:rPr>
      </w:pPr>
      <w:r>
        <w:rPr>
          <w:rFonts w:ascii="Arial" w:cs="Arial" w:eastAsia="Arial" w:hAnsi="Arial"/>
          <w:sz w:val="14"/>
          <w:szCs w:val="14"/>
          <w:color w:val="auto"/>
        </w:rPr>
        <w:t>Interest expense consists primarily of interest on borrowings under working capital facilities that we maintain and interest on other long-term debt used to make capital and equity investments. We also incur interest expense on finance leases, computed using each lease’s explicit or implicit borrowing rate.</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60" w:type="dxa"/>
            <w:vAlign w:val="bottom"/>
            <w:gridSpan w:val="2"/>
          </w:tcPr>
          <w:p>
            <w:pPr>
              <w:jc w:val="center"/>
              <w:ind w:left="91"/>
              <w:spacing w:after="0"/>
              <w:rPr>
                <w:sz w:val="20"/>
                <w:szCs w:val="20"/>
                <w:color w:val="auto"/>
              </w:rPr>
            </w:pPr>
            <w:r>
              <w:rPr>
                <w:rFonts w:ascii="Arial" w:cs="Arial" w:eastAsia="Arial" w:hAnsi="Arial"/>
                <w:sz w:val="14"/>
                <w:szCs w:val="14"/>
                <w:b w:val="1"/>
                <w:bCs w:val="1"/>
                <w:color w:val="auto"/>
                <w:w w:val="98"/>
              </w:rPr>
              <w:t>Three Months Ended</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100" w:type="dxa"/>
            <w:vAlign w:val="bottom"/>
            <w:gridSpan w:val="2"/>
          </w:tcPr>
          <w:p>
            <w:pPr>
              <w:jc w:val="center"/>
              <w:ind w:left="91"/>
              <w:spacing w:after="0"/>
              <w:rPr>
                <w:sz w:val="20"/>
                <w:szCs w:val="20"/>
                <w:color w:val="auto"/>
              </w:rPr>
            </w:pPr>
            <w:r>
              <w:rPr>
                <w:rFonts w:ascii="Arial" w:cs="Arial" w:eastAsia="Arial" w:hAnsi="Arial"/>
                <w:sz w:val="14"/>
                <w:szCs w:val="14"/>
                <w:b w:val="1"/>
                <w:bCs w:val="1"/>
                <w:color w:val="auto"/>
                <w:w w:val="97"/>
              </w:rPr>
              <w:t>Six Months Ended</w:t>
            </w:r>
          </w:p>
        </w:tc>
        <w:tc>
          <w:tcPr>
            <w:tcW w:w="780" w:type="dxa"/>
            <w:vAlign w:val="bottom"/>
          </w:tcPr>
          <w:p>
            <w:pPr>
              <w:spacing w:after="0"/>
              <w:rPr>
                <w:sz w:val="14"/>
                <w:szCs w:val="14"/>
                <w:color w:val="auto"/>
              </w:rPr>
            </w:pPr>
          </w:p>
        </w:tc>
      </w:tr>
      <w:tr>
        <w:trPr>
          <w:trHeight w:val="196"/>
        </w:trPr>
        <w:tc>
          <w:tcPr>
            <w:tcW w:w="40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2"/>
          </w:tcPr>
          <w:p>
            <w:pPr>
              <w:jc w:val="center"/>
              <w:ind w:left="91"/>
              <w:spacing w:after="0"/>
              <w:rPr>
                <w:sz w:val="20"/>
                <w:szCs w:val="20"/>
                <w:color w:val="auto"/>
              </w:rPr>
            </w:pPr>
            <w:r>
              <w:rPr>
                <w:rFonts w:ascii="Arial" w:cs="Arial" w:eastAsia="Arial" w:hAnsi="Arial"/>
                <w:sz w:val="14"/>
                <w:szCs w:val="14"/>
                <w:b w:val="1"/>
                <w:bCs w:val="1"/>
                <w:color w:val="auto"/>
              </w:rPr>
              <w:t>April 30,</w:t>
            </w:r>
          </w:p>
        </w:tc>
        <w:tc>
          <w:tcPr>
            <w:tcW w:w="74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2"/>
          </w:tcPr>
          <w:p>
            <w:pPr>
              <w:jc w:val="center"/>
              <w:ind w:left="91"/>
              <w:spacing w:after="0"/>
              <w:rPr>
                <w:sz w:val="20"/>
                <w:szCs w:val="20"/>
                <w:color w:val="auto"/>
              </w:rPr>
            </w:pPr>
            <w:r>
              <w:rPr>
                <w:rFonts w:ascii="Arial" w:cs="Arial" w:eastAsia="Arial" w:hAnsi="Arial"/>
                <w:sz w:val="14"/>
                <w:szCs w:val="14"/>
                <w:b w:val="1"/>
                <w:bCs w:val="1"/>
                <w:color w:val="auto"/>
                <w:w w:val="97"/>
              </w:rPr>
              <w:t>April 30,</w:t>
            </w:r>
          </w:p>
        </w:tc>
        <w:tc>
          <w:tcPr>
            <w:tcW w:w="780" w:type="dxa"/>
            <w:vAlign w:val="bottom"/>
            <w:tcBorders>
              <w:bottom w:val="single" w:sz="8" w:color="auto"/>
            </w:tcBorders>
          </w:tcPr>
          <w:p>
            <w:pPr>
              <w:spacing w:after="0"/>
              <w:rPr>
                <w:sz w:val="17"/>
                <w:szCs w:val="17"/>
                <w:color w:val="auto"/>
              </w:rPr>
            </w:pPr>
          </w:p>
        </w:tc>
      </w:tr>
      <w:tr>
        <w:trPr>
          <w:trHeight w:val="215"/>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5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2026</w:t>
            </w:r>
          </w:p>
        </w:tc>
        <w:tc>
          <w:tcPr>
            <w:tcW w:w="10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2026</w:t>
            </w:r>
          </w:p>
        </w:tc>
        <w:tc>
          <w:tcPr>
            <w:tcW w:w="10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2025</w:t>
            </w:r>
          </w:p>
        </w:tc>
      </w:tr>
      <w:tr>
        <w:trPr>
          <w:trHeight w:val="196"/>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580" w:type="dxa"/>
            <w:vAlign w:val="bottom"/>
            <w:tcBorders>
              <w:bottom w:val="single" w:sz="8" w:color="CCEEFF"/>
            </w:tcBorders>
            <w:shd w:val="clear" w:color="auto" w:fill="CCEEFF"/>
          </w:tcPr>
          <w:p>
            <w:pPr>
              <w:jc w:val="right"/>
              <w:ind w:right="411"/>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1.9</w:t>
            </w:r>
          </w:p>
        </w:tc>
        <w:tc>
          <w:tcPr>
            <w:tcW w:w="1020" w:type="dxa"/>
            <w:vAlign w:val="bottom"/>
            <w:tcBorders>
              <w:bottom w:val="single" w:sz="8" w:color="CCEEFF"/>
            </w:tcBorders>
            <w:shd w:val="clear" w:color="auto" w:fill="CCEEFF"/>
          </w:tcPr>
          <w:p>
            <w:pPr>
              <w:jc w:val="right"/>
              <w:ind w:right="751"/>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2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451"/>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3.6</w:t>
            </w:r>
          </w:p>
        </w:tc>
        <w:tc>
          <w:tcPr>
            <w:tcW w:w="1000" w:type="dxa"/>
            <w:vAlign w:val="bottom"/>
            <w:tcBorders>
              <w:bottom w:val="single" w:sz="8" w:color="CCEEFF"/>
            </w:tcBorders>
            <w:shd w:val="clear" w:color="auto" w:fill="CCEEFF"/>
          </w:tcPr>
          <w:p>
            <w:pPr>
              <w:jc w:val="right"/>
              <w:ind w:right="73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w:t>
            </w:r>
          </w:p>
        </w:tc>
      </w:tr>
      <w:tr>
        <w:trPr>
          <w:trHeight w:val="20"/>
        </w:trPr>
        <w:tc>
          <w:tcPr>
            <w:tcW w:w="4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bl>
    <w:p>
      <w:pPr>
        <w:spacing w:after="0" w:line="289" w:lineRule="exact"/>
        <w:rPr>
          <w:sz w:val="20"/>
          <w:szCs w:val="20"/>
          <w:color w:val="auto"/>
        </w:rPr>
      </w:pPr>
    </w:p>
    <w:p>
      <w:pPr>
        <w:ind w:right="20" w:firstLine="619"/>
        <w:spacing w:after="0" w:line="254" w:lineRule="auto"/>
        <w:rPr>
          <w:sz w:val="20"/>
          <w:szCs w:val="20"/>
          <w:color w:val="auto"/>
        </w:rPr>
      </w:pPr>
      <w:r>
        <w:rPr>
          <w:rFonts w:ascii="Arial" w:cs="Arial" w:eastAsia="Arial" w:hAnsi="Arial"/>
          <w:sz w:val="14"/>
          <w:szCs w:val="14"/>
          <w:color w:val="auto"/>
        </w:rPr>
        <w:t>Interest expense decreased $0.6 million or 24% and $1.1 million or 23% in the three and six months ended April 30, 2026, respectively, compared to the same periods last year. The decreases were primarily due to lower average balances on our revolving credit facility. Interest rates applicable to our credit facility are variable, based on SOFR and a spread depending on our net leverage ratio.</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Equity method income</w:t>
      </w:r>
    </w:p>
    <w:p>
      <w:pPr>
        <w:spacing w:after="0" w:line="234" w:lineRule="exact"/>
        <w:rPr>
          <w:sz w:val="20"/>
          <w:szCs w:val="20"/>
          <w:color w:val="auto"/>
        </w:rPr>
      </w:pPr>
    </w:p>
    <w:p>
      <w:pPr>
        <w:ind w:left="620"/>
        <w:spacing w:after="0"/>
        <w:rPr>
          <w:sz w:val="20"/>
          <w:szCs w:val="20"/>
          <w:color w:val="auto"/>
        </w:rPr>
      </w:pPr>
      <w:r>
        <w:rPr>
          <w:rFonts w:ascii="Arial" w:cs="Arial" w:eastAsia="Arial" w:hAnsi="Arial"/>
          <w:sz w:val="14"/>
          <w:szCs w:val="14"/>
          <w:color w:val="auto"/>
        </w:rPr>
        <w:t>Our material equity method investees include Henry Avocado (“HAC”), Mr. Avocado and Copaltas.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60" w:type="dxa"/>
            <w:vAlign w:val="bottom"/>
            <w:gridSpan w:val="2"/>
          </w:tcPr>
          <w:p>
            <w:pPr>
              <w:jc w:val="center"/>
              <w:ind w:left="91"/>
              <w:spacing w:after="0"/>
              <w:rPr>
                <w:sz w:val="20"/>
                <w:szCs w:val="20"/>
                <w:color w:val="auto"/>
              </w:rPr>
            </w:pPr>
            <w:r>
              <w:rPr>
                <w:rFonts w:ascii="Arial" w:cs="Arial" w:eastAsia="Arial" w:hAnsi="Arial"/>
                <w:sz w:val="14"/>
                <w:szCs w:val="14"/>
                <w:b w:val="1"/>
                <w:bCs w:val="1"/>
                <w:color w:val="auto"/>
                <w:w w:val="98"/>
              </w:rPr>
              <w:t>Three Months Ended</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100" w:type="dxa"/>
            <w:vAlign w:val="bottom"/>
            <w:gridSpan w:val="2"/>
          </w:tcPr>
          <w:p>
            <w:pPr>
              <w:jc w:val="center"/>
              <w:ind w:left="91"/>
              <w:spacing w:after="0"/>
              <w:rPr>
                <w:sz w:val="20"/>
                <w:szCs w:val="20"/>
                <w:color w:val="auto"/>
              </w:rPr>
            </w:pPr>
            <w:r>
              <w:rPr>
                <w:rFonts w:ascii="Arial" w:cs="Arial" w:eastAsia="Arial" w:hAnsi="Arial"/>
                <w:sz w:val="14"/>
                <w:szCs w:val="14"/>
                <w:b w:val="1"/>
                <w:bCs w:val="1"/>
                <w:color w:val="auto"/>
                <w:w w:val="97"/>
              </w:rPr>
              <w:t>Six Months Ended</w:t>
            </w:r>
          </w:p>
        </w:tc>
        <w:tc>
          <w:tcPr>
            <w:tcW w:w="780" w:type="dxa"/>
            <w:vAlign w:val="bottom"/>
          </w:tcPr>
          <w:p>
            <w:pPr>
              <w:spacing w:after="0"/>
              <w:rPr>
                <w:sz w:val="14"/>
                <w:szCs w:val="14"/>
                <w:color w:val="auto"/>
              </w:rPr>
            </w:pPr>
          </w:p>
        </w:tc>
      </w:tr>
      <w:tr>
        <w:trPr>
          <w:trHeight w:val="196"/>
        </w:trPr>
        <w:tc>
          <w:tcPr>
            <w:tcW w:w="40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2"/>
          </w:tcPr>
          <w:p>
            <w:pPr>
              <w:jc w:val="center"/>
              <w:ind w:left="91"/>
              <w:spacing w:after="0"/>
              <w:rPr>
                <w:sz w:val="20"/>
                <w:szCs w:val="20"/>
                <w:color w:val="auto"/>
              </w:rPr>
            </w:pPr>
            <w:r>
              <w:rPr>
                <w:rFonts w:ascii="Arial" w:cs="Arial" w:eastAsia="Arial" w:hAnsi="Arial"/>
                <w:sz w:val="14"/>
                <w:szCs w:val="14"/>
                <w:b w:val="1"/>
                <w:bCs w:val="1"/>
                <w:color w:val="auto"/>
              </w:rPr>
              <w:t>April 30,</w:t>
            </w:r>
          </w:p>
        </w:tc>
        <w:tc>
          <w:tcPr>
            <w:tcW w:w="74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2"/>
          </w:tcPr>
          <w:p>
            <w:pPr>
              <w:jc w:val="center"/>
              <w:ind w:left="91"/>
              <w:spacing w:after="0"/>
              <w:rPr>
                <w:sz w:val="20"/>
                <w:szCs w:val="20"/>
                <w:color w:val="auto"/>
              </w:rPr>
            </w:pPr>
            <w:r>
              <w:rPr>
                <w:rFonts w:ascii="Arial" w:cs="Arial" w:eastAsia="Arial" w:hAnsi="Arial"/>
                <w:sz w:val="14"/>
                <w:szCs w:val="14"/>
                <w:b w:val="1"/>
                <w:bCs w:val="1"/>
                <w:color w:val="auto"/>
                <w:w w:val="97"/>
              </w:rPr>
              <w:t>April 30,</w:t>
            </w:r>
          </w:p>
        </w:tc>
        <w:tc>
          <w:tcPr>
            <w:tcW w:w="780" w:type="dxa"/>
            <w:vAlign w:val="bottom"/>
            <w:tcBorders>
              <w:bottom w:val="single" w:sz="8" w:color="auto"/>
            </w:tcBorders>
          </w:tcPr>
          <w:p>
            <w:pPr>
              <w:spacing w:after="0"/>
              <w:rPr>
                <w:sz w:val="17"/>
                <w:szCs w:val="17"/>
                <w:color w:val="auto"/>
              </w:rPr>
            </w:pPr>
          </w:p>
        </w:tc>
      </w:tr>
      <w:tr>
        <w:trPr>
          <w:trHeight w:val="215"/>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5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2026</w:t>
            </w:r>
          </w:p>
        </w:tc>
        <w:tc>
          <w:tcPr>
            <w:tcW w:w="10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2026</w:t>
            </w:r>
          </w:p>
        </w:tc>
        <w:tc>
          <w:tcPr>
            <w:tcW w:w="10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2025</w:t>
            </w:r>
          </w:p>
        </w:tc>
      </w:tr>
      <w:tr>
        <w:trPr>
          <w:trHeight w:val="196"/>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 method income</w:t>
            </w:r>
          </w:p>
        </w:tc>
        <w:tc>
          <w:tcPr>
            <w:tcW w:w="580" w:type="dxa"/>
            <w:vAlign w:val="bottom"/>
            <w:tcBorders>
              <w:bottom w:val="single" w:sz="8" w:color="CCEEFF"/>
            </w:tcBorders>
            <w:shd w:val="clear" w:color="auto" w:fill="CCEEFF"/>
          </w:tcPr>
          <w:p>
            <w:pPr>
              <w:jc w:val="right"/>
              <w:ind w:right="411"/>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1.3</w:t>
            </w:r>
          </w:p>
        </w:tc>
        <w:tc>
          <w:tcPr>
            <w:tcW w:w="1020" w:type="dxa"/>
            <w:vAlign w:val="bottom"/>
            <w:tcBorders>
              <w:bottom w:val="single" w:sz="8" w:color="CCEEFF"/>
            </w:tcBorders>
            <w:shd w:val="clear" w:color="auto" w:fill="CCEEFF"/>
          </w:tcPr>
          <w:p>
            <w:pPr>
              <w:jc w:val="right"/>
              <w:ind w:right="751"/>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2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451"/>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2.8</w:t>
            </w:r>
          </w:p>
        </w:tc>
        <w:tc>
          <w:tcPr>
            <w:tcW w:w="1000" w:type="dxa"/>
            <w:vAlign w:val="bottom"/>
            <w:tcBorders>
              <w:bottom w:val="single" w:sz="8" w:color="CCEEFF"/>
            </w:tcBorders>
            <w:shd w:val="clear" w:color="auto" w:fill="CCEEFF"/>
          </w:tcPr>
          <w:p>
            <w:pPr>
              <w:jc w:val="right"/>
              <w:ind w:right="73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20"/>
        </w:trPr>
        <w:tc>
          <w:tcPr>
            <w:tcW w:w="4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bl>
    <w:p>
      <w:pPr>
        <w:spacing w:after="0" w:line="276" w:lineRule="exact"/>
        <w:rPr>
          <w:sz w:val="20"/>
          <w:szCs w:val="20"/>
          <w:color w:val="auto"/>
        </w:rPr>
      </w:pPr>
    </w:p>
    <w:p>
      <w:pPr>
        <w:ind w:right="220" w:firstLine="619"/>
        <w:spacing w:after="0" w:line="278" w:lineRule="auto"/>
        <w:rPr>
          <w:sz w:val="20"/>
          <w:szCs w:val="20"/>
          <w:color w:val="auto"/>
        </w:rPr>
      </w:pPr>
      <w:r>
        <w:rPr>
          <w:rFonts w:ascii="Arial" w:cs="Arial" w:eastAsia="Arial" w:hAnsi="Arial"/>
          <w:sz w:val="14"/>
          <w:szCs w:val="14"/>
          <w:color w:val="auto"/>
        </w:rPr>
        <w:t>Equity method income increased $0.4 million or 44% and $1.1 million or 65% in the three and six months ended April 30, 2026, respectively, compared to the same periods last year. Equity method income is mostly comprised of earnings in our investment in Henry Avocado Corporation.</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(expense) income, net</w:t>
      </w:r>
    </w:p>
    <w:p>
      <w:pPr>
        <w:spacing w:after="0" w:line="221" w:lineRule="exact"/>
        <w:rPr>
          <w:sz w:val="20"/>
          <w:szCs w:val="20"/>
          <w:color w:val="auto"/>
        </w:rPr>
      </w:pPr>
    </w:p>
    <w:p>
      <w:pPr>
        <w:ind w:right="380" w:firstLine="619"/>
        <w:spacing w:after="0" w:line="278" w:lineRule="auto"/>
        <w:rPr>
          <w:sz w:val="20"/>
          <w:szCs w:val="20"/>
          <w:color w:val="auto"/>
        </w:rPr>
      </w:pPr>
      <w:r>
        <w:rPr>
          <w:rFonts w:ascii="Arial" w:cs="Arial" w:eastAsia="Arial" w:hAnsi="Arial"/>
          <w:sz w:val="14"/>
          <w:szCs w:val="14"/>
          <w:color w:val="auto"/>
        </w:rPr>
        <w:t>Other (expense) income, net consists of interest income, currency exchange gains or losses, interest rate derivative gains or losses and other miscellaneous income and expense items.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60" w:type="dxa"/>
            <w:vAlign w:val="bottom"/>
            <w:gridSpan w:val="2"/>
          </w:tcPr>
          <w:p>
            <w:pPr>
              <w:jc w:val="center"/>
              <w:ind w:left="91"/>
              <w:spacing w:after="0"/>
              <w:rPr>
                <w:sz w:val="20"/>
                <w:szCs w:val="20"/>
                <w:color w:val="auto"/>
              </w:rPr>
            </w:pPr>
            <w:r>
              <w:rPr>
                <w:rFonts w:ascii="Arial" w:cs="Arial" w:eastAsia="Arial" w:hAnsi="Arial"/>
                <w:sz w:val="14"/>
                <w:szCs w:val="14"/>
                <w:b w:val="1"/>
                <w:bCs w:val="1"/>
                <w:color w:val="auto"/>
                <w:w w:val="98"/>
              </w:rPr>
              <w:t>Three Months Ended</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100" w:type="dxa"/>
            <w:vAlign w:val="bottom"/>
            <w:gridSpan w:val="2"/>
          </w:tcPr>
          <w:p>
            <w:pPr>
              <w:jc w:val="center"/>
              <w:ind w:left="91"/>
              <w:spacing w:after="0"/>
              <w:rPr>
                <w:sz w:val="20"/>
                <w:szCs w:val="20"/>
                <w:color w:val="auto"/>
              </w:rPr>
            </w:pPr>
            <w:r>
              <w:rPr>
                <w:rFonts w:ascii="Arial" w:cs="Arial" w:eastAsia="Arial" w:hAnsi="Arial"/>
                <w:sz w:val="14"/>
                <w:szCs w:val="14"/>
                <w:b w:val="1"/>
                <w:bCs w:val="1"/>
                <w:color w:val="auto"/>
                <w:w w:val="97"/>
              </w:rPr>
              <w:t>Six Months Ended</w:t>
            </w:r>
          </w:p>
        </w:tc>
        <w:tc>
          <w:tcPr>
            <w:tcW w:w="780" w:type="dxa"/>
            <w:vAlign w:val="bottom"/>
          </w:tcPr>
          <w:p>
            <w:pPr>
              <w:spacing w:after="0"/>
              <w:rPr>
                <w:sz w:val="14"/>
                <w:szCs w:val="14"/>
                <w:color w:val="auto"/>
              </w:rPr>
            </w:pPr>
          </w:p>
        </w:tc>
      </w:tr>
      <w:tr>
        <w:trPr>
          <w:trHeight w:val="188"/>
        </w:trPr>
        <w:tc>
          <w:tcPr>
            <w:tcW w:w="4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160" w:type="dxa"/>
            <w:vAlign w:val="bottom"/>
            <w:gridSpan w:val="2"/>
          </w:tcPr>
          <w:p>
            <w:pPr>
              <w:jc w:val="center"/>
              <w:ind w:left="91"/>
              <w:spacing w:after="0"/>
              <w:rPr>
                <w:sz w:val="20"/>
                <w:szCs w:val="20"/>
                <w:color w:val="auto"/>
              </w:rPr>
            </w:pPr>
            <w:r>
              <w:rPr>
                <w:rFonts w:ascii="Arial" w:cs="Arial" w:eastAsia="Arial" w:hAnsi="Arial"/>
                <w:sz w:val="14"/>
                <w:szCs w:val="14"/>
                <w:b w:val="1"/>
                <w:bCs w:val="1"/>
                <w:color w:val="auto"/>
              </w:rPr>
              <w:t>April 30,</w:t>
            </w: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100" w:type="dxa"/>
            <w:vAlign w:val="bottom"/>
            <w:gridSpan w:val="2"/>
          </w:tcPr>
          <w:p>
            <w:pPr>
              <w:jc w:val="center"/>
              <w:ind w:left="91"/>
              <w:spacing w:after="0"/>
              <w:rPr>
                <w:sz w:val="20"/>
                <w:szCs w:val="20"/>
                <w:color w:val="auto"/>
              </w:rPr>
            </w:pPr>
            <w:r>
              <w:rPr>
                <w:rFonts w:ascii="Arial" w:cs="Arial" w:eastAsia="Arial" w:hAnsi="Arial"/>
                <w:sz w:val="14"/>
                <w:szCs w:val="14"/>
                <w:b w:val="1"/>
                <w:bCs w:val="1"/>
                <w:color w:val="auto"/>
                <w:w w:val="97"/>
              </w:rPr>
              <w:t>April 30,</w:t>
            </w:r>
          </w:p>
        </w:tc>
        <w:tc>
          <w:tcPr>
            <w:tcW w:w="780" w:type="dxa"/>
            <w:vAlign w:val="bottom"/>
          </w:tcPr>
          <w:p>
            <w:pPr>
              <w:spacing w:after="0"/>
              <w:rPr>
                <w:sz w:val="16"/>
                <w:szCs w:val="16"/>
                <w:color w:val="auto"/>
              </w:rPr>
            </w:pPr>
          </w:p>
        </w:tc>
      </w:tr>
      <w:tr>
        <w:trPr>
          <w:trHeight w:val="27"/>
        </w:trPr>
        <w:tc>
          <w:tcPr>
            <w:tcW w:w="40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8"/>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5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2026</w:t>
            </w:r>
          </w:p>
        </w:tc>
        <w:tc>
          <w:tcPr>
            <w:tcW w:w="10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2026</w:t>
            </w:r>
          </w:p>
        </w:tc>
        <w:tc>
          <w:tcPr>
            <w:tcW w:w="9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2025</w:t>
            </w:r>
          </w:p>
        </w:tc>
      </w:tr>
      <w:tr>
        <w:trPr>
          <w:trHeight w:val="221"/>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(expense) income, net</w:t>
            </w:r>
          </w:p>
        </w:tc>
        <w:tc>
          <w:tcPr>
            <w:tcW w:w="580" w:type="dxa"/>
            <w:vAlign w:val="bottom"/>
            <w:tcBorders>
              <w:bottom w:val="single" w:sz="8" w:color="CCEEFF"/>
            </w:tcBorders>
            <w:shd w:val="clear" w:color="auto" w:fill="CCEEFF"/>
          </w:tcPr>
          <w:p>
            <w:pPr>
              <w:jc w:val="right"/>
              <w:ind w:right="411"/>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(1.1)</w:t>
            </w:r>
          </w:p>
        </w:tc>
        <w:tc>
          <w:tcPr>
            <w:tcW w:w="1000" w:type="dxa"/>
            <w:vAlign w:val="bottom"/>
            <w:tcBorders>
              <w:bottom w:val="single" w:sz="8" w:color="CCEEFF"/>
            </w:tcBorders>
            <w:shd w:val="clear" w:color="auto" w:fill="CCEEFF"/>
          </w:tcPr>
          <w:p>
            <w:pPr>
              <w:jc w:val="right"/>
              <w:ind w:right="751"/>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2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51"/>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(2.4)</w:t>
            </w:r>
          </w:p>
        </w:tc>
        <w:tc>
          <w:tcPr>
            <w:tcW w:w="980" w:type="dxa"/>
            <w:vAlign w:val="bottom"/>
            <w:tcBorders>
              <w:bottom w:val="single" w:sz="8" w:color="CCEEFF"/>
            </w:tcBorders>
            <w:shd w:val="clear" w:color="auto" w:fill="CCEEFF"/>
          </w:tcPr>
          <w:p>
            <w:pPr>
              <w:jc w:val="right"/>
              <w:ind w:right="73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0.9</w:t>
            </w:r>
          </w:p>
        </w:tc>
      </w:tr>
      <w:tr>
        <w:trPr>
          <w:trHeight w:val="1468"/>
        </w:trPr>
        <w:tc>
          <w:tcPr>
            <w:tcW w:w="4000" w:type="dxa"/>
            <w:vAlign w:val="bottom"/>
            <w:tcBorders>
              <w:top w:val="single" w:sz="8" w:color="auto"/>
              <w:bottom w:val="single" w:sz="8" w:color="9A9A9A"/>
            </w:tcBorders>
          </w:tcPr>
          <w:p>
            <w:pPr>
              <w:spacing w:after="0"/>
              <w:rPr>
                <w:sz w:val="24"/>
                <w:szCs w:val="24"/>
                <w:color w:val="auto"/>
              </w:rPr>
            </w:pPr>
          </w:p>
        </w:tc>
        <w:tc>
          <w:tcPr>
            <w:tcW w:w="580" w:type="dxa"/>
            <w:vAlign w:val="bottom"/>
            <w:tcBorders>
              <w:top w:val="single" w:sz="8" w:color="auto"/>
              <w:bottom w:val="single" w:sz="8" w:color="9A9A9A"/>
            </w:tcBorders>
          </w:tcPr>
          <w:p>
            <w:pPr>
              <w:spacing w:after="0"/>
              <w:rPr>
                <w:sz w:val="24"/>
                <w:szCs w:val="24"/>
                <w:color w:val="auto"/>
              </w:rPr>
            </w:pPr>
          </w:p>
        </w:tc>
        <w:tc>
          <w:tcPr>
            <w:tcW w:w="1160" w:type="dxa"/>
            <w:vAlign w:val="bottom"/>
            <w:tcBorders>
              <w:top w:val="single" w:sz="8" w:color="auto"/>
              <w:bottom w:val="single" w:sz="8" w:color="9A9A9A"/>
            </w:tcBorders>
          </w:tcPr>
          <w:p>
            <w:pPr>
              <w:spacing w:after="0"/>
              <w:rPr>
                <w:sz w:val="24"/>
                <w:szCs w:val="24"/>
                <w:color w:val="auto"/>
              </w:rPr>
            </w:pPr>
          </w:p>
        </w:tc>
        <w:tc>
          <w:tcPr>
            <w:tcW w:w="1000" w:type="dxa"/>
            <w:vAlign w:val="bottom"/>
            <w:tcBorders>
              <w:top w:val="single" w:sz="8" w:color="auto"/>
              <w:bottom w:val="single" w:sz="8" w:color="9A9A9A"/>
            </w:tcBorders>
          </w:tcPr>
          <w:p>
            <w:pPr>
              <w:spacing w:after="0"/>
              <w:rPr>
                <w:sz w:val="24"/>
                <w:szCs w:val="24"/>
                <w:color w:val="auto"/>
              </w:rPr>
            </w:pPr>
          </w:p>
        </w:tc>
        <w:tc>
          <w:tcPr>
            <w:tcW w:w="740" w:type="dxa"/>
            <w:vAlign w:val="bottom"/>
            <w:tcBorders>
              <w:top w:val="single" w:sz="8" w:color="auto"/>
              <w:bottom w:val="single" w:sz="8" w:color="9A9A9A"/>
            </w:tcBorders>
          </w:tcPr>
          <w:p>
            <w:pPr>
              <w:spacing w:after="0"/>
              <w:rPr>
                <w:sz w:val="24"/>
                <w:szCs w:val="24"/>
                <w:color w:val="auto"/>
              </w:rPr>
            </w:pPr>
          </w:p>
        </w:tc>
        <w:tc>
          <w:tcPr>
            <w:tcW w:w="260" w:type="dxa"/>
            <w:vAlign w:val="bottom"/>
            <w:tcBorders>
              <w:top w:val="single" w:sz="8" w:color="auto"/>
              <w:bottom w:val="single" w:sz="8" w:color="9A9A9A"/>
            </w:tcBorders>
          </w:tcPr>
          <w:p>
            <w:pPr>
              <w:spacing w:after="0"/>
              <w:rPr>
                <w:sz w:val="24"/>
                <w:szCs w:val="24"/>
                <w:color w:val="auto"/>
              </w:rPr>
            </w:pPr>
          </w:p>
        </w:tc>
        <w:tc>
          <w:tcPr>
            <w:tcW w:w="620" w:type="dxa"/>
            <w:vAlign w:val="bottom"/>
            <w:tcBorders>
              <w:top w:val="single" w:sz="8" w:color="auto"/>
              <w:bottom w:val="single" w:sz="8" w:color="9A9A9A"/>
            </w:tcBorders>
          </w:tcPr>
          <w:p>
            <w:pPr>
              <w:spacing w:after="0"/>
              <w:rPr>
                <w:sz w:val="24"/>
                <w:szCs w:val="24"/>
                <w:color w:val="auto"/>
              </w:rPr>
            </w:pPr>
          </w:p>
        </w:tc>
        <w:tc>
          <w:tcPr>
            <w:tcW w:w="1120" w:type="dxa"/>
            <w:vAlign w:val="bottom"/>
            <w:tcBorders>
              <w:top w:val="single" w:sz="8" w:color="auto"/>
              <w:bottom w:val="single" w:sz="8" w:color="9A9A9A"/>
            </w:tcBorders>
          </w:tcPr>
          <w:p>
            <w:pPr>
              <w:spacing w:after="0"/>
              <w:rPr>
                <w:sz w:val="24"/>
                <w:szCs w:val="24"/>
                <w:color w:val="auto"/>
              </w:rPr>
            </w:pPr>
          </w:p>
        </w:tc>
        <w:tc>
          <w:tcPr>
            <w:tcW w:w="980" w:type="dxa"/>
            <w:vAlign w:val="bottom"/>
            <w:tcBorders>
              <w:top w:val="single" w:sz="8" w:color="auto"/>
              <w:bottom w:val="single" w:sz="8" w:color="9A9A9A"/>
            </w:tcBorders>
          </w:tcPr>
          <w:p>
            <w:pPr>
              <w:spacing w:after="0"/>
              <w:rPr>
                <w:sz w:val="24"/>
                <w:szCs w:val="24"/>
                <w:color w:val="auto"/>
              </w:rPr>
            </w:pPr>
          </w:p>
        </w:tc>
        <w:tc>
          <w:tcPr>
            <w:tcW w:w="780" w:type="dxa"/>
            <w:vAlign w:val="bottom"/>
            <w:tcBorders>
              <w:top w:val="single" w:sz="8" w:color="auto"/>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36" w:lineRule="exact"/>
        <w:rPr>
          <w:sz w:val="20"/>
          <w:szCs w:val="20"/>
          <w:color w:val="auto"/>
        </w:rPr>
      </w:pPr>
    </w:p>
    <w:p>
      <w:pPr>
        <w:ind w:right="20" w:firstLine="619"/>
        <w:spacing w:after="0" w:line="278" w:lineRule="auto"/>
        <w:rPr>
          <w:sz w:val="20"/>
          <w:szCs w:val="20"/>
          <w:color w:val="auto"/>
        </w:rPr>
      </w:pPr>
      <w:r>
        <w:rPr>
          <w:rFonts w:ascii="Arial" w:cs="Arial" w:eastAsia="Arial" w:hAnsi="Arial"/>
          <w:sz w:val="14"/>
          <w:szCs w:val="14"/>
          <w:color w:val="auto"/>
        </w:rPr>
        <w:t>Other expense increased $0.5 million or 83% in the three months ended April 30, 2026 compared to the same period last year, primarily due to debt restructuring fees incurred in the current year.</w:t>
      </w:r>
    </w:p>
    <w:p>
      <w:pPr>
        <w:spacing w:after="0" w:line="168" w:lineRule="exact"/>
        <w:rPr>
          <w:sz w:val="20"/>
          <w:szCs w:val="20"/>
          <w:color w:val="auto"/>
        </w:rPr>
      </w:pPr>
    </w:p>
    <w:p>
      <w:pPr>
        <w:ind w:right="340" w:firstLine="619"/>
        <w:spacing w:after="0" w:line="259" w:lineRule="auto"/>
        <w:rPr>
          <w:sz w:val="20"/>
          <w:szCs w:val="20"/>
          <w:color w:val="auto"/>
        </w:rPr>
      </w:pPr>
      <w:r>
        <w:rPr>
          <w:rFonts w:ascii="Arial" w:cs="Arial" w:eastAsia="Arial" w:hAnsi="Arial"/>
          <w:sz w:val="14"/>
          <w:szCs w:val="14"/>
          <w:color w:val="auto"/>
        </w:rPr>
        <w:t>Other expense was $2.4 million for the six months ended April 30, 2026 compared to other income of $0.9 million for the same period last year. The change was primarily attributed to greater foreign currency transaction losses resulting from more pronounced weakening of the U.S. dollar relative to the Mexican peso in the current year.</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Provision for income taxes</w:t>
      </w:r>
    </w:p>
    <w:p>
      <w:pPr>
        <w:spacing w:after="0" w:line="234" w:lineRule="exact"/>
        <w:rPr>
          <w:sz w:val="20"/>
          <w:szCs w:val="20"/>
          <w:color w:val="auto"/>
        </w:rPr>
      </w:pPr>
    </w:p>
    <w:p>
      <w:pPr>
        <w:ind w:right="60" w:firstLine="619"/>
        <w:spacing w:after="0" w:line="253" w:lineRule="auto"/>
        <w:rPr>
          <w:sz w:val="20"/>
          <w:szCs w:val="20"/>
          <w:color w:val="auto"/>
        </w:rPr>
      </w:pPr>
      <w:r>
        <w:rPr>
          <w:rFonts w:ascii="Arial" w:cs="Arial" w:eastAsia="Arial" w:hAnsi="Arial"/>
          <w:sz w:val="14"/>
          <w:szCs w:val="14"/>
          <w:color w:val="auto"/>
        </w:rPr>
        <w:t>The provision for income taxes consists of the consolidation of tax provisions, computed on a separate entity basis, in each country in which we have operations. We recognize the effects of tax legislation in the period in which the law is enacted. Our deferred tax assets and liabilities are measured using enacted tax rates expected to apply to taxable income in the years we estimate the related temporary differences to reverse. Realization of deferred tax assets is dependent upon future earnings, the timing and amount of which are uncertain.</w:t>
      </w:r>
    </w:p>
    <w:p>
      <w:pPr>
        <w:spacing w:after="0" w:line="185" w:lineRule="exact"/>
        <w:rPr>
          <w:sz w:val="20"/>
          <w:szCs w:val="20"/>
          <w:color w:val="auto"/>
        </w:rPr>
      </w:pPr>
    </w:p>
    <w:p>
      <w:pPr>
        <w:ind w:right="180" w:firstLine="619"/>
        <w:spacing w:after="0" w:line="254" w:lineRule="auto"/>
        <w:rPr>
          <w:sz w:val="20"/>
          <w:szCs w:val="20"/>
          <w:color w:val="auto"/>
        </w:rPr>
      </w:pPr>
      <w:r>
        <w:rPr>
          <w:rFonts w:ascii="Arial" w:cs="Arial" w:eastAsia="Arial" w:hAnsi="Arial"/>
          <w:sz w:val="14"/>
          <w:szCs w:val="14"/>
          <w:color w:val="auto"/>
        </w:rPr>
        <w:t>We recognize a tax benefit from an uncertain tax position only if it is more likely than not the tax position will be sustained on examination by the taxing authorities, based on the technical merits of the position. The tax benefits recognized from such positions are then measured based on the largest benefit that has a greater than 50% likelihood of being realized upon settlement. Interest and penalties related to unrecognized tax benefits are recognized within provision for income taxes.</w:t>
      </w:r>
    </w:p>
    <w:p>
      <w:pPr>
        <w:spacing w:after="0" w:line="185" w:lineRule="exact"/>
        <w:rPr>
          <w:sz w:val="20"/>
          <w:szCs w:val="20"/>
          <w:color w:val="auto"/>
        </w:rPr>
      </w:pPr>
    </w:p>
    <w:p>
      <w:pPr>
        <w:ind w:right="360" w:firstLine="619"/>
        <w:spacing w:after="0" w:line="278" w:lineRule="auto"/>
        <w:rPr>
          <w:sz w:val="20"/>
          <w:szCs w:val="20"/>
          <w:color w:val="auto"/>
        </w:rPr>
      </w:pPr>
      <w:r>
        <w:rPr>
          <w:rFonts w:ascii="Arial" w:cs="Arial" w:eastAsia="Arial" w:hAnsi="Arial"/>
          <w:sz w:val="14"/>
          <w:szCs w:val="14"/>
          <w:color w:val="auto"/>
        </w:rPr>
        <w:t>Our effective tax rate is impacted by income attributable to foreign jurisdictions which is taxed at different rates from the U.S. federal statutory tax rate of 21%, changes in foreign exchange rates taxable in foreign jurisdictions and nondeductible tax items.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0" w:type="dxa"/>
            <w:vAlign w:val="bottom"/>
            <w:gridSpan w:val="2"/>
          </w:tcPr>
          <w:p>
            <w:pPr>
              <w:jc w:val="center"/>
              <w:ind w:left="131"/>
              <w:spacing w:after="0"/>
              <w:rPr>
                <w:sz w:val="20"/>
                <w:szCs w:val="20"/>
                <w:color w:val="auto"/>
              </w:rPr>
            </w:pPr>
            <w:r>
              <w:rPr>
                <w:rFonts w:ascii="Arial" w:cs="Arial" w:eastAsia="Arial" w:hAnsi="Arial"/>
                <w:sz w:val="14"/>
                <w:szCs w:val="14"/>
                <w:b w:val="1"/>
                <w:bCs w:val="1"/>
                <w:color w:val="auto"/>
                <w:w w:val="98"/>
              </w:rPr>
              <w:t>Three Months Ended</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120" w:type="dxa"/>
            <w:vAlign w:val="bottom"/>
            <w:gridSpan w:val="2"/>
          </w:tcPr>
          <w:p>
            <w:pPr>
              <w:jc w:val="center"/>
              <w:ind w:left="111"/>
              <w:spacing w:after="0"/>
              <w:rPr>
                <w:sz w:val="20"/>
                <w:szCs w:val="20"/>
                <w:color w:val="auto"/>
              </w:rPr>
            </w:pPr>
            <w:r>
              <w:rPr>
                <w:rFonts w:ascii="Arial" w:cs="Arial" w:eastAsia="Arial" w:hAnsi="Arial"/>
                <w:sz w:val="14"/>
                <w:szCs w:val="14"/>
                <w:b w:val="1"/>
                <w:bCs w:val="1"/>
                <w:color w:val="auto"/>
                <w:w w:val="97"/>
              </w:rPr>
              <w:t>Six Months Ended</w:t>
            </w:r>
          </w:p>
        </w:tc>
        <w:tc>
          <w:tcPr>
            <w:tcW w:w="820" w:type="dxa"/>
            <w:vAlign w:val="bottom"/>
          </w:tcPr>
          <w:p>
            <w:pPr>
              <w:spacing w:after="0"/>
              <w:rPr>
                <w:sz w:val="14"/>
                <w:szCs w:val="14"/>
                <w:color w:val="auto"/>
              </w:rPr>
            </w:pPr>
          </w:p>
        </w:tc>
      </w:tr>
      <w:tr>
        <w:trPr>
          <w:trHeight w:val="196"/>
        </w:trPr>
        <w:tc>
          <w:tcPr>
            <w:tcW w:w="382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2"/>
          </w:tcPr>
          <w:p>
            <w:pPr>
              <w:jc w:val="center"/>
              <w:ind w:left="111"/>
              <w:spacing w:after="0"/>
              <w:rPr>
                <w:sz w:val="20"/>
                <w:szCs w:val="20"/>
                <w:color w:val="auto"/>
              </w:rPr>
            </w:pPr>
            <w:r>
              <w:rPr>
                <w:rFonts w:ascii="Arial" w:cs="Arial" w:eastAsia="Arial" w:hAnsi="Arial"/>
                <w:sz w:val="14"/>
                <w:szCs w:val="14"/>
                <w:b w:val="1"/>
                <w:bCs w:val="1"/>
                <w:color w:val="auto"/>
                <w:w w:val="97"/>
              </w:rPr>
              <w:t>April 30,</w:t>
            </w:r>
          </w:p>
        </w:tc>
        <w:tc>
          <w:tcPr>
            <w:tcW w:w="7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2"/>
          </w:tcPr>
          <w:p>
            <w:pPr>
              <w:jc w:val="center"/>
              <w:ind w:left="111"/>
              <w:spacing w:after="0"/>
              <w:rPr>
                <w:sz w:val="20"/>
                <w:szCs w:val="20"/>
                <w:color w:val="auto"/>
              </w:rPr>
            </w:pPr>
            <w:r>
              <w:rPr>
                <w:rFonts w:ascii="Arial" w:cs="Arial" w:eastAsia="Arial" w:hAnsi="Arial"/>
                <w:sz w:val="14"/>
                <w:szCs w:val="14"/>
                <w:b w:val="1"/>
                <w:bCs w:val="1"/>
                <w:color w:val="auto"/>
                <w:w w:val="97"/>
              </w:rPr>
              <w:t>April 30,</w:t>
            </w:r>
          </w:p>
        </w:tc>
        <w:tc>
          <w:tcPr>
            <w:tcW w:w="820" w:type="dxa"/>
            <w:vAlign w:val="bottom"/>
            <w:tcBorders>
              <w:bottom w:val="single" w:sz="8" w:color="auto"/>
            </w:tcBorders>
          </w:tcPr>
          <w:p>
            <w:pPr>
              <w:spacing w:after="0"/>
              <w:rPr>
                <w:sz w:val="17"/>
                <w:szCs w:val="17"/>
                <w:color w:val="auto"/>
              </w:rPr>
            </w:pPr>
          </w:p>
        </w:tc>
      </w:tr>
      <w:tr>
        <w:trPr>
          <w:trHeight w:val="212"/>
        </w:trPr>
        <w:tc>
          <w:tcPr>
            <w:tcW w:w="38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2026</w:t>
            </w:r>
          </w:p>
        </w:tc>
        <w:tc>
          <w:tcPr>
            <w:tcW w:w="10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2026</w:t>
            </w:r>
          </w:p>
        </w:tc>
        <w:tc>
          <w:tcPr>
            <w:tcW w:w="9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2025</w:t>
            </w:r>
          </w:p>
        </w:tc>
      </w:tr>
      <w:tr>
        <w:trPr>
          <w:trHeight w:val="199"/>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(Benefit) provision for income taxes (in millions)</w:t>
            </w:r>
          </w:p>
        </w:tc>
        <w:tc>
          <w:tcPr>
            <w:tcW w:w="600" w:type="dxa"/>
            <w:vAlign w:val="bottom"/>
            <w:tcBorders>
              <w:bottom w:val="single" w:sz="8" w:color="CCEEFF"/>
            </w:tcBorders>
            <w:shd w:val="clear" w:color="auto" w:fill="CCEEFF"/>
          </w:tcPr>
          <w:p>
            <w:pPr>
              <w:jc w:val="right"/>
              <w:ind w:right="431"/>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(1.3)</w:t>
            </w:r>
          </w:p>
        </w:tc>
        <w:tc>
          <w:tcPr>
            <w:tcW w:w="1000" w:type="dxa"/>
            <w:vAlign w:val="bottom"/>
            <w:tcBorders>
              <w:bottom w:val="single" w:sz="8" w:color="CCEEFF"/>
            </w:tcBorders>
            <w:shd w:val="clear" w:color="auto" w:fill="CCEEFF"/>
          </w:tcPr>
          <w:p>
            <w:pPr>
              <w:jc w:val="right"/>
              <w:ind w:right="77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rPr>
              <w:t>1.7</w:t>
            </w:r>
          </w:p>
        </w:tc>
        <w:tc>
          <w:tcPr>
            <w:tcW w:w="2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471"/>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(0.2)</w:t>
            </w:r>
          </w:p>
        </w:tc>
        <w:tc>
          <w:tcPr>
            <w:tcW w:w="960" w:type="dxa"/>
            <w:vAlign w:val="bottom"/>
            <w:tcBorders>
              <w:bottom w:val="single" w:sz="8" w:color="CCEEFF"/>
            </w:tcBorders>
            <w:shd w:val="clear" w:color="auto" w:fill="CCEEFF"/>
          </w:tcPr>
          <w:p>
            <w:pPr>
              <w:jc w:val="right"/>
              <w:ind w:right="731"/>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rPr>
              <w:t>4.9</w:t>
            </w:r>
          </w:p>
        </w:tc>
      </w:tr>
      <w:tr>
        <w:trPr>
          <w:trHeight w:val="199"/>
        </w:trPr>
        <w:tc>
          <w:tcPr>
            <w:tcW w:w="3820" w:type="dxa"/>
            <w:vAlign w:val="bottom"/>
          </w:tcPr>
          <w:p>
            <w:pPr>
              <w:ind w:left="20"/>
              <w:spacing w:after="0"/>
              <w:rPr>
                <w:sz w:val="20"/>
                <w:szCs w:val="20"/>
                <w:color w:val="auto"/>
              </w:rPr>
            </w:pPr>
            <w:r>
              <w:rPr>
                <w:rFonts w:ascii="Arial" w:cs="Arial" w:eastAsia="Arial" w:hAnsi="Arial"/>
                <w:sz w:val="14"/>
                <w:szCs w:val="14"/>
                <w:color w:val="auto"/>
              </w:rPr>
              <w:t>Effective tax rate</w:t>
            </w:r>
          </w:p>
        </w:tc>
        <w:tc>
          <w:tcPr>
            <w:tcW w:w="600" w:type="dxa"/>
            <w:vAlign w:val="bottom"/>
          </w:tcPr>
          <w:p>
            <w:pPr>
              <w:spacing w:after="0"/>
              <w:rPr>
                <w:sz w:val="17"/>
                <w:szCs w:val="17"/>
                <w:color w:val="auto"/>
              </w:rPr>
            </w:pPr>
          </w:p>
        </w:tc>
        <w:tc>
          <w:tcPr>
            <w:tcW w:w="1200" w:type="dxa"/>
            <w:vAlign w:val="bottom"/>
          </w:tcPr>
          <w:p>
            <w:pPr>
              <w:jc w:val="right"/>
              <w:ind w:right="31"/>
              <w:spacing w:after="0"/>
              <w:rPr>
                <w:sz w:val="20"/>
                <w:szCs w:val="20"/>
                <w:color w:val="auto"/>
              </w:rPr>
            </w:pPr>
            <w:r>
              <w:rPr>
                <w:rFonts w:ascii="Arial" w:cs="Arial" w:eastAsia="Arial" w:hAnsi="Arial"/>
                <w:sz w:val="14"/>
                <w:szCs w:val="14"/>
                <w:color w:val="auto"/>
              </w:rPr>
              <w:t>14.9 %</w:t>
            </w:r>
          </w:p>
        </w:tc>
        <w:tc>
          <w:tcPr>
            <w:tcW w:w="10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36.2 %</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jc w:val="right"/>
              <w:ind w:right="31"/>
              <w:spacing w:after="0"/>
              <w:rPr>
                <w:sz w:val="20"/>
                <w:szCs w:val="20"/>
                <w:color w:val="auto"/>
              </w:rPr>
            </w:pPr>
            <w:r>
              <w:rPr>
                <w:rFonts w:ascii="Arial" w:cs="Arial" w:eastAsia="Arial" w:hAnsi="Arial"/>
                <w:sz w:val="14"/>
                <w:szCs w:val="14"/>
                <w:color w:val="auto"/>
              </w:rPr>
              <w:t>2.6 %</w:t>
            </w:r>
          </w:p>
        </w:tc>
        <w:tc>
          <w:tcPr>
            <w:tcW w:w="9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34.8 %</w:t>
            </w:r>
          </w:p>
        </w:tc>
      </w:tr>
      <w:tr>
        <w:trPr>
          <w:trHeight w:val="20"/>
        </w:trPr>
        <w:tc>
          <w:tcPr>
            <w:tcW w:w="38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ind w:right="60" w:firstLine="619"/>
        <w:spacing w:after="0" w:line="259" w:lineRule="auto"/>
        <w:rPr>
          <w:sz w:val="20"/>
          <w:szCs w:val="20"/>
          <w:color w:val="auto"/>
        </w:rPr>
      </w:pPr>
      <w:r>
        <w:rPr>
          <w:rFonts w:ascii="Arial" w:cs="Arial" w:eastAsia="Arial" w:hAnsi="Arial"/>
          <w:sz w:val="14"/>
          <w:szCs w:val="14"/>
          <w:color w:val="auto"/>
        </w:rPr>
        <w:t>The benefit for income taxes was $1.3 million compared to a provision for income tax of $1.7 million for the three months ended April 30, 2026 and 2025, respectively. The benefit for income taxes was $0.2 million compared to a provision for income tax of $4.9 million for the six months ended April 30, 2026 and 2025, respectively. The (benefits) provisions were impacted by the effect of lower income before taxes in the current year. Our effective tax rate was impacted by book losses in jurisdictions where either a full valuation allowance has been recorded or where loss carryforward is disallowed in both years.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Measure</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Adjusted EBITDA</w:t>
      </w:r>
    </w:p>
    <w:p>
      <w:pPr>
        <w:spacing w:after="0" w:line="200" w:lineRule="exact"/>
        <w:rPr>
          <w:sz w:val="20"/>
          <w:szCs w:val="20"/>
          <w:color w:val="auto"/>
        </w:rPr>
      </w:pPr>
    </w:p>
    <w:p>
      <w:pPr>
        <w:ind w:right="40" w:firstLine="619"/>
        <w:spacing w:after="0" w:line="251" w:lineRule="auto"/>
        <w:rPr>
          <w:sz w:val="20"/>
          <w:szCs w:val="20"/>
          <w:color w:val="auto"/>
        </w:rPr>
      </w:pPr>
      <w:r>
        <w:rPr>
          <w:rFonts w:ascii="Arial" w:cs="Arial" w:eastAsia="Arial" w:hAnsi="Arial"/>
          <w:sz w:val="14"/>
          <w:szCs w:val="14"/>
          <w:color w:val="auto"/>
        </w:rPr>
        <w:t>Adjusted EBITDA refers to net income (loss), before interest expense, income taxes, depreciation and amortization expense, stock-based compensation expense, other income (expense), and income (loss) from equity method investees, further adjusted by asset impairment and disposals, net of insurance recoveries, farming costs for nonproductive orchards (which represents land lease costs), certain noncash and nonrecurring ERP costs, transaction advisory costs, material legal settlements, amortization of inventory adjustments recognized from business combinations, and any special, non-recurring, or one-time items such as remeasurements or impairments, and any portion of these items attributable to the noncontrolling interest. We believe that adjusted EBITDA provides useful information for analyzing the underlying business results as well as allowing investors a means to evaluate the financial results of each reportable segment in relation to the Company as a whole. This measure is not in accordance with, nor is it a substitute for or superior to, the comparable GAAP financial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962660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60" w:type="dxa"/>
            <w:vAlign w:val="bottom"/>
            <w:gridSpan w:val="2"/>
          </w:tcPr>
          <w:p>
            <w:pPr>
              <w:jc w:val="right"/>
              <w:ind w:right="231"/>
              <w:spacing w:after="0"/>
              <w:rPr>
                <w:sz w:val="20"/>
                <w:szCs w:val="20"/>
                <w:color w:val="auto"/>
              </w:rPr>
            </w:pPr>
            <w:r>
              <w:rPr>
                <w:rFonts w:ascii="Arial" w:cs="Arial" w:eastAsia="Arial" w:hAnsi="Arial"/>
                <w:sz w:val="14"/>
                <w:szCs w:val="14"/>
                <w:b w:val="1"/>
                <w:bCs w:val="1"/>
                <w:color w:val="auto"/>
              </w:rPr>
              <w:t>Three Months Ended</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80" w:type="dxa"/>
            <w:vAlign w:val="bottom"/>
            <w:gridSpan w:val="2"/>
          </w:tcPr>
          <w:p>
            <w:pPr>
              <w:jc w:val="right"/>
              <w:ind w:right="291"/>
              <w:spacing w:after="0"/>
              <w:rPr>
                <w:sz w:val="20"/>
                <w:szCs w:val="20"/>
                <w:color w:val="auto"/>
              </w:rPr>
            </w:pPr>
            <w:r>
              <w:rPr>
                <w:rFonts w:ascii="Arial" w:cs="Arial" w:eastAsia="Arial" w:hAnsi="Arial"/>
                <w:sz w:val="14"/>
                <w:szCs w:val="14"/>
                <w:b w:val="1"/>
                <w:bCs w:val="1"/>
                <w:color w:val="auto"/>
              </w:rPr>
              <w:t>Six Months Ended</w:t>
            </w:r>
          </w:p>
        </w:tc>
        <w:tc>
          <w:tcPr>
            <w:tcW w:w="780" w:type="dxa"/>
            <w:vAlign w:val="bottom"/>
          </w:tcPr>
          <w:p>
            <w:pPr>
              <w:spacing w:after="0"/>
              <w:rPr>
                <w:sz w:val="14"/>
                <w:szCs w:val="14"/>
                <w:color w:val="auto"/>
              </w:rPr>
            </w:pPr>
          </w:p>
        </w:tc>
      </w:tr>
      <w:tr>
        <w:trPr>
          <w:trHeight w:val="196"/>
        </w:trPr>
        <w:tc>
          <w:tcPr>
            <w:tcW w:w="40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2"/>
          </w:tcPr>
          <w:p>
            <w:pPr>
              <w:jc w:val="right"/>
              <w:ind w:right="651"/>
              <w:spacing w:after="0"/>
              <w:rPr>
                <w:sz w:val="20"/>
                <w:szCs w:val="20"/>
                <w:color w:val="auto"/>
              </w:rPr>
            </w:pPr>
            <w:r>
              <w:rPr>
                <w:rFonts w:ascii="Arial" w:cs="Arial" w:eastAsia="Arial" w:hAnsi="Arial"/>
                <w:sz w:val="14"/>
                <w:szCs w:val="14"/>
                <w:b w:val="1"/>
                <w:bCs w:val="1"/>
                <w:color w:val="auto"/>
              </w:rPr>
              <w:t>April 30,</w:t>
            </w:r>
          </w:p>
        </w:tc>
        <w:tc>
          <w:tcPr>
            <w:tcW w:w="7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2"/>
          </w:tcPr>
          <w:p>
            <w:pPr>
              <w:jc w:val="right"/>
              <w:ind w:right="631"/>
              <w:spacing w:after="0"/>
              <w:rPr>
                <w:sz w:val="20"/>
                <w:szCs w:val="20"/>
                <w:color w:val="auto"/>
              </w:rPr>
            </w:pPr>
            <w:r>
              <w:rPr>
                <w:rFonts w:ascii="Arial" w:cs="Arial" w:eastAsia="Arial" w:hAnsi="Arial"/>
                <w:sz w:val="14"/>
                <w:szCs w:val="14"/>
                <w:b w:val="1"/>
                <w:bCs w:val="1"/>
                <w:color w:val="auto"/>
              </w:rPr>
              <w:t>April 30,</w:t>
            </w:r>
          </w:p>
        </w:tc>
        <w:tc>
          <w:tcPr>
            <w:tcW w:w="780" w:type="dxa"/>
            <w:vAlign w:val="bottom"/>
            <w:tcBorders>
              <w:bottom w:val="single" w:sz="8" w:color="auto"/>
            </w:tcBorders>
          </w:tcPr>
          <w:p>
            <w:pPr>
              <w:spacing w:after="0"/>
              <w:rPr>
                <w:sz w:val="17"/>
                <w:szCs w:val="17"/>
                <w:color w:val="auto"/>
              </w:rPr>
            </w:pPr>
          </w:p>
        </w:tc>
      </w:tr>
      <w:tr>
        <w:trPr>
          <w:trHeight w:val="212"/>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5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2026</w:t>
            </w:r>
          </w:p>
        </w:tc>
        <w:tc>
          <w:tcPr>
            <w:tcW w:w="10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2026</w:t>
            </w:r>
          </w:p>
        </w:tc>
        <w:tc>
          <w:tcPr>
            <w:tcW w:w="9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2025</w:t>
            </w:r>
          </w:p>
        </w:tc>
      </w:tr>
      <w:tr>
        <w:trPr>
          <w:trHeight w:val="199"/>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income</w:t>
            </w:r>
          </w:p>
        </w:tc>
        <w:tc>
          <w:tcPr>
            <w:tcW w:w="560" w:type="dxa"/>
            <w:vAlign w:val="bottom"/>
            <w:tcBorders>
              <w:bottom w:val="single" w:sz="8" w:color="CCEEFF"/>
            </w:tcBorders>
            <w:shd w:val="clear" w:color="auto" w:fill="CCEEFF"/>
          </w:tcPr>
          <w:p>
            <w:pPr>
              <w:jc w:val="right"/>
              <w:ind w:right="411"/>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(7.4)</w:t>
            </w:r>
          </w:p>
        </w:tc>
        <w:tc>
          <w:tcPr>
            <w:tcW w:w="1000" w:type="dxa"/>
            <w:vAlign w:val="bottom"/>
            <w:tcBorders>
              <w:bottom w:val="single" w:sz="8" w:color="CCEEFF"/>
            </w:tcBorders>
            <w:shd w:val="clear" w:color="auto" w:fill="CCEEFF"/>
          </w:tcPr>
          <w:p>
            <w:pPr>
              <w:jc w:val="right"/>
              <w:ind w:right="751"/>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3.0</w:t>
            </w:r>
          </w:p>
        </w:tc>
        <w:tc>
          <w:tcPr>
            <w:tcW w:w="2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471"/>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(7.5)</w:t>
            </w:r>
          </w:p>
        </w:tc>
        <w:tc>
          <w:tcPr>
            <w:tcW w:w="980" w:type="dxa"/>
            <w:vAlign w:val="bottom"/>
            <w:tcBorders>
              <w:bottom w:val="single" w:sz="8" w:color="CCEEFF"/>
            </w:tcBorders>
            <w:shd w:val="clear" w:color="auto" w:fill="CCEEFF"/>
          </w:tcPr>
          <w:p>
            <w:pPr>
              <w:jc w:val="right"/>
              <w:ind w:right="73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w:t>
            </w:r>
          </w:p>
        </w:tc>
      </w:tr>
      <w:tr>
        <w:trPr>
          <w:trHeight w:val="219"/>
        </w:trPr>
        <w:tc>
          <w:tcPr>
            <w:tcW w:w="4020" w:type="dxa"/>
            <w:vAlign w:val="bottom"/>
          </w:tcPr>
          <w:p>
            <w:pPr>
              <w:ind w:left="20"/>
              <w:spacing w:after="0"/>
              <w:rPr>
                <w:sz w:val="20"/>
                <w:szCs w:val="20"/>
                <w:color w:val="auto"/>
              </w:rPr>
            </w:pPr>
            <w:r>
              <w:rPr>
                <w:rFonts w:ascii="Arial" w:cs="Arial" w:eastAsia="Arial" w:hAnsi="Arial"/>
                <w:sz w:val="14"/>
                <w:szCs w:val="14"/>
                <w:color w:val="auto"/>
              </w:rPr>
              <w:t>Interest expense</w:t>
            </w:r>
            <w:r>
              <w:rPr>
                <w:rFonts w:ascii="Arial" w:cs="Arial" w:eastAsia="Arial" w:hAnsi="Arial"/>
                <w:sz w:val="17"/>
                <w:szCs w:val="17"/>
                <w:color w:val="auto"/>
                <w:vertAlign w:val="superscript"/>
              </w:rPr>
              <w:t>(1)</w:t>
            </w:r>
          </w:p>
        </w:tc>
        <w:tc>
          <w:tcPr>
            <w:tcW w:w="560" w:type="dxa"/>
            <w:vAlign w:val="bottom"/>
          </w:tcPr>
          <w:p>
            <w:pPr>
              <w:spacing w:after="0"/>
              <w:rPr>
                <w:sz w:val="19"/>
                <w:szCs w:val="19"/>
                <w:color w:val="auto"/>
              </w:rPr>
            </w:pPr>
          </w:p>
        </w:tc>
        <w:tc>
          <w:tcPr>
            <w:tcW w:w="1160" w:type="dxa"/>
            <w:vAlign w:val="bottom"/>
          </w:tcPr>
          <w:p>
            <w:pPr>
              <w:jc w:val="right"/>
              <w:ind w:right="51"/>
              <w:spacing w:after="0"/>
              <w:rPr>
                <w:sz w:val="20"/>
                <w:szCs w:val="20"/>
                <w:color w:val="auto"/>
              </w:rPr>
            </w:pPr>
            <w:r>
              <w:rPr>
                <w:rFonts w:ascii="Arial" w:cs="Arial" w:eastAsia="Arial" w:hAnsi="Arial"/>
                <w:sz w:val="14"/>
                <w:szCs w:val="14"/>
                <w:color w:val="auto"/>
              </w:rPr>
              <w:t>1.9</w:t>
            </w:r>
          </w:p>
        </w:tc>
        <w:tc>
          <w:tcPr>
            <w:tcW w:w="1000" w:type="dxa"/>
            <w:vAlign w:val="bottom"/>
          </w:tcPr>
          <w:p>
            <w:pPr>
              <w:spacing w:after="0"/>
              <w:rPr>
                <w:sz w:val="19"/>
                <w:szCs w:val="19"/>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2.5</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jc w:val="right"/>
              <w:ind w:right="51"/>
              <w:spacing w:after="0"/>
              <w:rPr>
                <w:sz w:val="20"/>
                <w:szCs w:val="20"/>
                <w:color w:val="auto"/>
              </w:rPr>
            </w:pPr>
            <w:r>
              <w:rPr>
                <w:rFonts w:ascii="Arial" w:cs="Arial" w:eastAsia="Arial" w:hAnsi="Arial"/>
                <w:sz w:val="14"/>
                <w:szCs w:val="14"/>
                <w:color w:val="auto"/>
              </w:rPr>
              <w:t>3.6</w:t>
            </w:r>
          </w:p>
        </w:tc>
        <w:tc>
          <w:tcPr>
            <w:tcW w:w="9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199"/>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(Benefit) provision for income taxes</w:t>
            </w:r>
          </w:p>
        </w:tc>
        <w:tc>
          <w:tcPr>
            <w:tcW w:w="5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(1.3)</w:t>
            </w:r>
          </w:p>
        </w:tc>
        <w:tc>
          <w:tcPr>
            <w:tcW w:w="10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1.7</w:t>
            </w:r>
          </w:p>
        </w:tc>
        <w:tc>
          <w:tcPr>
            <w:tcW w:w="2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(0.2)</w:t>
            </w:r>
          </w:p>
        </w:tc>
        <w:tc>
          <w:tcPr>
            <w:tcW w:w="9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w:t>
            </w:r>
          </w:p>
        </w:tc>
      </w:tr>
      <w:tr>
        <w:trPr>
          <w:trHeight w:val="219"/>
        </w:trPr>
        <w:tc>
          <w:tcPr>
            <w:tcW w:w="4020" w:type="dxa"/>
            <w:vAlign w:val="bottom"/>
          </w:tcPr>
          <w:p>
            <w:pPr>
              <w:ind w:left="20"/>
              <w:spacing w:after="0"/>
              <w:rPr>
                <w:sz w:val="20"/>
                <w:szCs w:val="20"/>
                <w:color w:val="auto"/>
              </w:rPr>
            </w:pPr>
            <w:r>
              <w:rPr>
                <w:rFonts w:ascii="Arial" w:cs="Arial" w:eastAsia="Arial" w:hAnsi="Arial"/>
                <w:sz w:val="14"/>
                <w:szCs w:val="14"/>
                <w:color w:val="auto"/>
              </w:rPr>
              <w:t>Depreciation and amortization</w:t>
            </w:r>
            <w:r>
              <w:rPr>
                <w:rFonts w:ascii="Arial" w:cs="Arial" w:eastAsia="Arial" w:hAnsi="Arial"/>
                <w:sz w:val="17"/>
                <w:szCs w:val="17"/>
                <w:color w:val="auto"/>
                <w:vertAlign w:val="superscript"/>
              </w:rPr>
              <w:t>(2)</w:t>
            </w:r>
          </w:p>
        </w:tc>
        <w:tc>
          <w:tcPr>
            <w:tcW w:w="560" w:type="dxa"/>
            <w:vAlign w:val="bottom"/>
          </w:tcPr>
          <w:p>
            <w:pPr>
              <w:spacing w:after="0"/>
              <w:rPr>
                <w:sz w:val="19"/>
                <w:szCs w:val="19"/>
                <w:color w:val="auto"/>
              </w:rPr>
            </w:pPr>
          </w:p>
        </w:tc>
        <w:tc>
          <w:tcPr>
            <w:tcW w:w="1160" w:type="dxa"/>
            <w:vAlign w:val="bottom"/>
          </w:tcPr>
          <w:p>
            <w:pPr>
              <w:jc w:val="right"/>
              <w:ind w:right="51"/>
              <w:spacing w:after="0"/>
              <w:rPr>
                <w:sz w:val="20"/>
                <w:szCs w:val="20"/>
                <w:color w:val="auto"/>
              </w:rPr>
            </w:pPr>
            <w:r>
              <w:rPr>
                <w:rFonts w:ascii="Arial" w:cs="Arial" w:eastAsia="Arial" w:hAnsi="Arial"/>
                <w:sz w:val="14"/>
                <w:szCs w:val="14"/>
                <w:color w:val="auto"/>
              </w:rPr>
              <w:t>6.7</w:t>
            </w:r>
          </w:p>
        </w:tc>
        <w:tc>
          <w:tcPr>
            <w:tcW w:w="1000" w:type="dxa"/>
            <w:vAlign w:val="bottom"/>
          </w:tcPr>
          <w:p>
            <w:pPr>
              <w:spacing w:after="0"/>
              <w:rPr>
                <w:sz w:val="19"/>
                <w:szCs w:val="19"/>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7.0</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jc w:val="right"/>
              <w:ind w:right="51"/>
              <w:spacing w:after="0"/>
              <w:rPr>
                <w:sz w:val="20"/>
                <w:szCs w:val="20"/>
                <w:color w:val="auto"/>
              </w:rPr>
            </w:pPr>
            <w:r>
              <w:rPr>
                <w:rFonts w:ascii="Arial" w:cs="Arial" w:eastAsia="Arial" w:hAnsi="Arial"/>
                <w:sz w:val="14"/>
                <w:szCs w:val="14"/>
                <w:color w:val="auto"/>
              </w:rPr>
              <w:t>15.9</w:t>
            </w:r>
          </w:p>
        </w:tc>
        <w:tc>
          <w:tcPr>
            <w:tcW w:w="9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15.7</w:t>
            </w:r>
          </w:p>
        </w:tc>
      </w:tr>
      <w:tr>
        <w:trPr>
          <w:trHeight w:val="199"/>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 method income</w:t>
            </w:r>
          </w:p>
        </w:tc>
        <w:tc>
          <w:tcPr>
            <w:tcW w:w="5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(1.3)</w:t>
            </w:r>
          </w:p>
        </w:tc>
        <w:tc>
          <w:tcPr>
            <w:tcW w:w="10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2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(2.8)</w:t>
            </w:r>
          </w:p>
        </w:tc>
        <w:tc>
          <w:tcPr>
            <w:tcW w:w="9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199"/>
        </w:trPr>
        <w:tc>
          <w:tcPr>
            <w:tcW w:w="402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560" w:type="dxa"/>
            <w:vAlign w:val="bottom"/>
          </w:tcPr>
          <w:p>
            <w:pPr>
              <w:spacing w:after="0"/>
              <w:rPr>
                <w:sz w:val="17"/>
                <w:szCs w:val="17"/>
                <w:color w:val="auto"/>
              </w:rPr>
            </w:pPr>
          </w:p>
        </w:tc>
        <w:tc>
          <w:tcPr>
            <w:tcW w:w="1160" w:type="dxa"/>
            <w:vAlign w:val="bottom"/>
          </w:tcPr>
          <w:p>
            <w:pPr>
              <w:jc w:val="right"/>
              <w:ind w:right="51"/>
              <w:spacing w:after="0"/>
              <w:rPr>
                <w:sz w:val="20"/>
                <w:szCs w:val="20"/>
                <w:color w:val="auto"/>
              </w:rPr>
            </w:pPr>
            <w:r>
              <w:rPr>
                <w:rFonts w:ascii="Arial" w:cs="Arial" w:eastAsia="Arial" w:hAnsi="Arial"/>
                <w:sz w:val="14"/>
                <w:szCs w:val="14"/>
                <w:color w:val="auto"/>
              </w:rPr>
              <w:t>1.4</w:t>
            </w:r>
          </w:p>
        </w:tc>
        <w:tc>
          <w:tcPr>
            <w:tcW w:w="1000" w:type="dxa"/>
            <w:vAlign w:val="bottom"/>
          </w:tcPr>
          <w:p>
            <w:pPr>
              <w:spacing w:after="0"/>
              <w:rPr>
                <w:sz w:val="17"/>
                <w:szCs w:val="17"/>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1.9</w:t>
            </w: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jc w:val="right"/>
              <w:ind w:right="51"/>
              <w:spacing w:after="0"/>
              <w:rPr>
                <w:sz w:val="20"/>
                <w:szCs w:val="20"/>
                <w:color w:val="auto"/>
              </w:rPr>
            </w:pPr>
            <w:r>
              <w:rPr>
                <w:rFonts w:ascii="Arial" w:cs="Arial" w:eastAsia="Arial" w:hAnsi="Arial"/>
                <w:sz w:val="14"/>
                <w:szCs w:val="14"/>
                <w:color w:val="auto"/>
              </w:rPr>
              <w:t>2.8</w:t>
            </w:r>
          </w:p>
        </w:tc>
        <w:tc>
          <w:tcPr>
            <w:tcW w:w="9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20"/>
        </w:trPr>
        <w:tc>
          <w:tcPr>
            <w:tcW w:w="4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9"/>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Losses on asset impairment and disposals</w:t>
            </w:r>
          </w:p>
        </w:tc>
        <w:tc>
          <w:tcPr>
            <w:tcW w:w="5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1.7</w:t>
            </w:r>
          </w:p>
        </w:tc>
        <w:tc>
          <w:tcPr>
            <w:tcW w:w="2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r>
      <w:tr>
        <w:trPr>
          <w:trHeight w:val="199"/>
        </w:trPr>
        <w:tc>
          <w:tcPr>
            <w:tcW w:w="4020" w:type="dxa"/>
            <w:vAlign w:val="bottom"/>
          </w:tcPr>
          <w:p>
            <w:pPr>
              <w:ind w:left="20"/>
              <w:spacing w:after="0"/>
              <w:rPr>
                <w:sz w:val="20"/>
                <w:szCs w:val="20"/>
                <w:color w:val="auto"/>
              </w:rPr>
            </w:pPr>
            <w:r>
              <w:rPr>
                <w:rFonts w:ascii="Arial" w:cs="Arial" w:eastAsia="Arial" w:hAnsi="Arial"/>
                <w:sz w:val="14"/>
                <w:szCs w:val="14"/>
                <w:color w:val="auto"/>
              </w:rPr>
              <w:t>Farming costs for nonproductive orchards</w:t>
            </w:r>
          </w:p>
        </w:tc>
        <w:tc>
          <w:tcPr>
            <w:tcW w:w="560" w:type="dxa"/>
            <w:vAlign w:val="bottom"/>
          </w:tcPr>
          <w:p>
            <w:pPr>
              <w:spacing w:after="0"/>
              <w:rPr>
                <w:sz w:val="17"/>
                <w:szCs w:val="17"/>
                <w:color w:val="auto"/>
              </w:rPr>
            </w:pPr>
          </w:p>
        </w:tc>
        <w:tc>
          <w:tcPr>
            <w:tcW w:w="1160" w:type="dxa"/>
            <w:vAlign w:val="bottom"/>
          </w:tcPr>
          <w:p>
            <w:pPr>
              <w:jc w:val="right"/>
              <w:ind w:right="51"/>
              <w:spacing w:after="0"/>
              <w:rPr>
                <w:sz w:val="20"/>
                <w:szCs w:val="20"/>
                <w:color w:val="auto"/>
              </w:rPr>
            </w:pPr>
            <w:r>
              <w:rPr>
                <w:rFonts w:ascii="Arial" w:cs="Arial" w:eastAsia="Arial" w:hAnsi="Arial"/>
                <w:sz w:val="14"/>
                <w:szCs w:val="14"/>
                <w:color w:val="auto"/>
              </w:rPr>
              <w:t>0.4</w:t>
            </w:r>
          </w:p>
        </w:tc>
        <w:tc>
          <w:tcPr>
            <w:tcW w:w="1000" w:type="dxa"/>
            <w:vAlign w:val="bottom"/>
          </w:tcPr>
          <w:p>
            <w:pPr>
              <w:spacing w:after="0"/>
              <w:rPr>
                <w:sz w:val="17"/>
                <w:szCs w:val="17"/>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0.3</w:t>
            </w: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jc w:val="right"/>
              <w:ind w:right="51"/>
              <w:spacing w:after="0"/>
              <w:rPr>
                <w:sz w:val="20"/>
                <w:szCs w:val="20"/>
                <w:color w:val="auto"/>
              </w:rPr>
            </w:pPr>
            <w:r>
              <w:rPr>
                <w:rFonts w:ascii="Arial" w:cs="Arial" w:eastAsia="Arial" w:hAnsi="Arial"/>
                <w:sz w:val="14"/>
                <w:szCs w:val="14"/>
                <w:color w:val="auto"/>
              </w:rPr>
              <w:t>0.9</w:t>
            </w:r>
          </w:p>
        </w:tc>
        <w:tc>
          <w:tcPr>
            <w:tcW w:w="9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0.8</w:t>
            </w:r>
          </w:p>
        </w:tc>
      </w:tr>
      <w:tr>
        <w:trPr>
          <w:trHeight w:val="20"/>
        </w:trPr>
        <w:tc>
          <w:tcPr>
            <w:tcW w:w="4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9"/>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Recognition of deferred ERP costs</w:t>
            </w:r>
          </w:p>
        </w:tc>
        <w:tc>
          <w:tcPr>
            <w:tcW w:w="5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0.5</w:t>
            </w:r>
          </w:p>
        </w:tc>
        <w:tc>
          <w:tcPr>
            <w:tcW w:w="2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199"/>
        </w:trPr>
        <w:tc>
          <w:tcPr>
            <w:tcW w:w="4020" w:type="dxa"/>
            <w:vAlign w:val="bottom"/>
          </w:tcPr>
          <w:p>
            <w:pPr>
              <w:ind w:left="20"/>
              <w:spacing w:after="0"/>
              <w:rPr>
                <w:sz w:val="20"/>
                <w:szCs w:val="20"/>
                <w:color w:val="auto"/>
              </w:rPr>
            </w:pPr>
            <w:r>
              <w:rPr>
                <w:rFonts w:ascii="Arial" w:cs="Arial" w:eastAsia="Arial" w:hAnsi="Arial"/>
                <w:sz w:val="14"/>
                <w:szCs w:val="14"/>
                <w:color w:val="auto"/>
              </w:rPr>
              <w:t>Transaction advisory costs</w:t>
            </w:r>
          </w:p>
        </w:tc>
        <w:tc>
          <w:tcPr>
            <w:tcW w:w="560" w:type="dxa"/>
            <w:vAlign w:val="bottom"/>
          </w:tcPr>
          <w:p>
            <w:pPr>
              <w:spacing w:after="0"/>
              <w:rPr>
                <w:sz w:val="17"/>
                <w:szCs w:val="17"/>
                <w:color w:val="auto"/>
              </w:rPr>
            </w:pPr>
          </w:p>
        </w:tc>
        <w:tc>
          <w:tcPr>
            <w:tcW w:w="1160" w:type="dxa"/>
            <w:vAlign w:val="bottom"/>
          </w:tcPr>
          <w:p>
            <w:pPr>
              <w:jc w:val="right"/>
              <w:ind w:right="51"/>
              <w:spacing w:after="0"/>
              <w:rPr>
                <w:sz w:val="20"/>
                <w:szCs w:val="20"/>
                <w:color w:val="auto"/>
              </w:rPr>
            </w:pPr>
            <w:r>
              <w:rPr>
                <w:rFonts w:ascii="Arial" w:cs="Arial" w:eastAsia="Arial" w:hAnsi="Arial"/>
                <w:sz w:val="14"/>
                <w:szCs w:val="14"/>
                <w:color w:val="auto"/>
              </w:rPr>
              <w:t>6.4</w:t>
            </w:r>
          </w:p>
        </w:tc>
        <w:tc>
          <w:tcPr>
            <w:tcW w:w="1000" w:type="dxa"/>
            <w:vAlign w:val="bottom"/>
          </w:tcPr>
          <w:p>
            <w:pPr>
              <w:spacing w:after="0"/>
              <w:rPr>
                <w:sz w:val="17"/>
                <w:szCs w:val="17"/>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0.1</w:t>
            </w: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jc w:val="right"/>
              <w:ind w:right="51"/>
              <w:spacing w:after="0"/>
              <w:rPr>
                <w:sz w:val="20"/>
                <w:szCs w:val="20"/>
                <w:color w:val="auto"/>
              </w:rPr>
            </w:pPr>
            <w:r>
              <w:rPr>
                <w:rFonts w:ascii="Arial" w:cs="Arial" w:eastAsia="Arial" w:hAnsi="Arial"/>
                <w:sz w:val="14"/>
                <w:szCs w:val="14"/>
                <w:color w:val="auto"/>
              </w:rPr>
              <w:t>13.4</w:t>
            </w:r>
          </w:p>
        </w:tc>
        <w:tc>
          <w:tcPr>
            <w:tcW w:w="9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0"/>
        </w:trPr>
        <w:tc>
          <w:tcPr>
            <w:tcW w:w="4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9"/>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Canada site closures</w:t>
            </w:r>
            <w:r>
              <w:rPr>
                <w:rFonts w:ascii="Arial" w:cs="Arial" w:eastAsia="Arial" w:hAnsi="Arial"/>
                <w:sz w:val="17"/>
                <w:szCs w:val="17"/>
                <w:color w:val="auto"/>
                <w:vertAlign w:val="superscript"/>
              </w:rPr>
              <w:t>(3)</w:t>
            </w: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0.2</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r>
      <w:tr>
        <w:trPr>
          <w:trHeight w:val="219"/>
        </w:trPr>
        <w:tc>
          <w:tcPr>
            <w:tcW w:w="4020" w:type="dxa"/>
            <w:vAlign w:val="bottom"/>
          </w:tcPr>
          <w:p>
            <w:pPr>
              <w:ind w:left="20"/>
              <w:spacing w:after="0"/>
              <w:rPr>
                <w:sz w:val="20"/>
                <w:szCs w:val="20"/>
                <w:color w:val="auto"/>
              </w:rPr>
            </w:pPr>
            <w:r>
              <w:rPr>
                <w:rFonts w:ascii="Arial" w:cs="Arial" w:eastAsia="Arial" w:hAnsi="Arial"/>
                <w:sz w:val="14"/>
                <w:szCs w:val="14"/>
                <w:color w:val="auto"/>
              </w:rPr>
              <w:t>Tariffs</w:t>
            </w:r>
            <w:r>
              <w:rPr>
                <w:rFonts w:ascii="Arial" w:cs="Arial" w:eastAsia="Arial" w:hAnsi="Arial"/>
                <w:sz w:val="17"/>
                <w:szCs w:val="17"/>
                <w:color w:val="auto"/>
                <w:vertAlign w:val="superscript"/>
              </w:rPr>
              <w:t>(4)</w:t>
            </w:r>
          </w:p>
        </w:tc>
        <w:tc>
          <w:tcPr>
            <w:tcW w:w="560" w:type="dxa"/>
            <w:vAlign w:val="bottom"/>
          </w:tcPr>
          <w:p>
            <w:pPr>
              <w:spacing w:after="0"/>
              <w:rPr>
                <w:sz w:val="19"/>
                <w:szCs w:val="19"/>
                <w:color w:val="auto"/>
              </w:rPr>
            </w:pPr>
          </w:p>
        </w:tc>
        <w:tc>
          <w:tcPr>
            <w:tcW w:w="116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9"/>
                <w:szCs w:val="19"/>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1.1</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24"/>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expense (income), net</w:t>
            </w:r>
          </w:p>
        </w:tc>
        <w:tc>
          <w:tcPr>
            <w:tcW w:w="5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1.1</w:t>
            </w:r>
          </w:p>
        </w:tc>
        <w:tc>
          <w:tcPr>
            <w:tcW w:w="10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0.6</w:t>
            </w:r>
          </w:p>
        </w:tc>
        <w:tc>
          <w:tcPr>
            <w:tcW w:w="2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2.4</w:t>
            </w:r>
          </w:p>
        </w:tc>
        <w:tc>
          <w:tcPr>
            <w:tcW w:w="9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(0.9)</w:t>
            </w:r>
          </w:p>
        </w:tc>
      </w:tr>
      <w:tr>
        <w:trPr>
          <w:trHeight w:val="192"/>
        </w:trPr>
        <w:tc>
          <w:tcPr>
            <w:tcW w:w="40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Adjusted EBITDA before adjustment for noncontrolling interest</w:t>
            </w:r>
          </w:p>
        </w:tc>
        <w:tc>
          <w:tcPr>
            <w:tcW w:w="5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7.9</w:t>
            </w:r>
          </w:p>
        </w:tc>
        <w:tc>
          <w:tcPr>
            <w:tcW w:w="10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19.7</w:t>
            </w:r>
          </w:p>
        </w:tc>
        <w:tc>
          <w:tcPr>
            <w:tcW w:w="2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28.5</w:t>
            </w:r>
          </w:p>
        </w:tc>
        <w:tc>
          <w:tcPr>
            <w:tcW w:w="9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41.5</w:t>
            </w:r>
          </w:p>
        </w:tc>
      </w:tr>
      <w:tr>
        <w:trPr>
          <w:trHeight w:val="20"/>
        </w:trPr>
        <w:tc>
          <w:tcPr>
            <w:tcW w:w="4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9"/>
        </w:trPr>
        <w:tc>
          <w:tcPr>
            <w:tcW w:w="4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Noncontrolling interest</w:t>
            </w:r>
            <w:r>
              <w:rPr>
                <w:rFonts w:ascii="Arial" w:cs="Arial" w:eastAsia="Arial" w:hAnsi="Arial"/>
                <w:sz w:val="17"/>
                <w:szCs w:val="17"/>
                <w:color w:val="auto"/>
                <w:vertAlign w:val="superscript"/>
              </w:rPr>
              <w:t>(5)</w:t>
            </w:r>
          </w:p>
        </w:tc>
        <w:tc>
          <w:tcPr>
            <w:tcW w:w="5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(0.8)</w:t>
            </w:r>
          </w:p>
        </w:tc>
        <w:tc>
          <w:tcPr>
            <w:tcW w:w="10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2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(2.9)</w:t>
            </w:r>
          </w:p>
        </w:tc>
        <w:tc>
          <w:tcPr>
            <w:tcW w:w="9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w:t>
            </w:r>
          </w:p>
        </w:tc>
      </w:tr>
      <w:tr>
        <w:trPr>
          <w:trHeight w:val="192"/>
        </w:trPr>
        <w:tc>
          <w:tcPr>
            <w:tcW w:w="4020" w:type="dxa"/>
            <w:vAlign w:val="bottom"/>
          </w:tcPr>
          <w:p>
            <w:pPr>
              <w:ind w:left="20"/>
              <w:spacing w:after="0"/>
              <w:rPr>
                <w:sz w:val="20"/>
                <w:szCs w:val="20"/>
                <w:color w:val="auto"/>
              </w:rPr>
            </w:pPr>
            <w:r>
              <w:rPr>
                <w:rFonts w:ascii="Arial" w:cs="Arial" w:eastAsia="Arial" w:hAnsi="Arial"/>
                <w:sz w:val="14"/>
                <w:szCs w:val="14"/>
                <w:color w:val="auto"/>
              </w:rPr>
              <w:t>Total adjusted EBITDA</w:t>
            </w:r>
          </w:p>
        </w:tc>
        <w:tc>
          <w:tcPr>
            <w:tcW w:w="560" w:type="dxa"/>
            <w:vAlign w:val="bottom"/>
          </w:tcPr>
          <w:p>
            <w:pPr>
              <w:jc w:val="right"/>
              <w:ind w:right="411"/>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51"/>
              <w:spacing w:after="0"/>
              <w:rPr>
                <w:sz w:val="20"/>
                <w:szCs w:val="20"/>
                <w:color w:val="auto"/>
              </w:rPr>
            </w:pPr>
            <w:r>
              <w:rPr>
                <w:rFonts w:ascii="Arial" w:cs="Arial" w:eastAsia="Arial" w:hAnsi="Arial"/>
                <w:sz w:val="14"/>
                <w:szCs w:val="14"/>
                <w:color w:val="auto"/>
              </w:rPr>
              <w:t>7.1</w:t>
            </w:r>
          </w:p>
        </w:tc>
        <w:tc>
          <w:tcPr>
            <w:tcW w:w="1000" w:type="dxa"/>
            <w:vAlign w:val="bottom"/>
          </w:tcPr>
          <w:p>
            <w:pPr>
              <w:jc w:val="right"/>
              <w:ind w:right="751"/>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19.1</w:t>
            </w:r>
          </w:p>
        </w:tc>
        <w:tc>
          <w:tcPr>
            <w:tcW w:w="260" w:type="dxa"/>
            <w:vAlign w:val="bottom"/>
          </w:tcPr>
          <w:p>
            <w:pPr>
              <w:spacing w:after="0"/>
              <w:rPr>
                <w:sz w:val="16"/>
                <w:szCs w:val="16"/>
                <w:color w:val="auto"/>
              </w:rPr>
            </w:pPr>
          </w:p>
        </w:tc>
        <w:tc>
          <w:tcPr>
            <w:tcW w:w="620" w:type="dxa"/>
            <w:vAlign w:val="bottom"/>
          </w:tcPr>
          <w:p>
            <w:pPr>
              <w:jc w:val="right"/>
              <w:ind w:right="471"/>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51"/>
              <w:spacing w:after="0"/>
              <w:rPr>
                <w:sz w:val="20"/>
                <w:szCs w:val="20"/>
                <w:color w:val="auto"/>
              </w:rPr>
            </w:pPr>
            <w:r>
              <w:rPr>
                <w:rFonts w:ascii="Arial" w:cs="Arial" w:eastAsia="Arial" w:hAnsi="Arial"/>
                <w:sz w:val="14"/>
                <w:szCs w:val="14"/>
                <w:color w:val="auto"/>
              </w:rPr>
              <w:t>25.6</w:t>
            </w:r>
          </w:p>
        </w:tc>
        <w:tc>
          <w:tcPr>
            <w:tcW w:w="980" w:type="dxa"/>
            <w:vAlign w:val="bottom"/>
          </w:tcPr>
          <w:p>
            <w:pPr>
              <w:jc w:val="right"/>
              <w:ind w:right="731"/>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36.8</w:t>
            </w:r>
          </w:p>
        </w:tc>
      </w:tr>
      <w:tr>
        <w:trPr>
          <w:trHeight w:val="20"/>
        </w:trPr>
        <w:tc>
          <w:tcPr>
            <w:tcW w:w="4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ind w:left="240" w:right="80" w:hanging="237"/>
        <w:spacing w:after="0" w:line="282" w:lineRule="auto"/>
        <w:tabs>
          <w:tab w:leader="none" w:pos="232" w:val="left"/>
        </w:tabs>
        <w:numPr>
          <w:ilvl w:val="0"/>
          <w:numId w:val="18"/>
        </w:numPr>
        <w:rPr>
          <w:rFonts w:ascii="Arial" w:cs="Arial" w:eastAsia="Arial" w:hAnsi="Arial"/>
          <w:sz w:val="12"/>
          <w:szCs w:val="12"/>
          <w:color w:val="auto"/>
        </w:rPr>
      </w:pPr>
      <w:r>
        <w:rPr>
          <w:rFonts w:ascii="Arial" w:cs="Arial" w:eastAsia="Arial" w:hAnsi="Arial"/>
          <w:sz w:val="12"/>
          <w:szCs w:val="12"/>
          <w:color w:val="auto"/>
        </w:rPr>
        <w:t>Includes interest expense from finance leases, the most significant of which is for land at our Blueberries segment of $0.5 million for both the three months ended April 30, 2026 and 2025 and $1.0 million for both the six months ended April 30, 2026 and 2025.</w:t>
      </w:r>
    </w:p>
    <w:p>
      <w:pPr>
        <w:spacing w:after="0" w:line="10" w:lineRule="exact"/>
        <w:rPr>
          <w:rFonts w:ascii="Arial" w:cs="Arial" w:eastAsia="Arial" w:hAnsi="Arial"/>
          <w:sz w:val="12"/>
          <w:szCs w:val="12"/>
          <w:color w:val="auto"/>
        </w:rPr>
      </w:pPr>
    </w:p>
    <w:p>
      <w:pPr>
        <w:ind w:left="240" w:right="20" w:hanging="237"/>
        <w:spacing w:after="0" w:line="266" w:lineRule="auto"/>
        <w:tabs>
          <w:tab w:leader="none" w:pos="232" w:val="left"/>
        </w:tabs>
        <w:numPr>
          <w:ilvl w:val="0"/>
          <w:numId w:val="18"/>
        </w:numPr>
        <w:rPr>
          <w:rFonts w:ascii="Arial" w:cs="Arial" w:eastAsia="Arial" w:hAnsi="Arial"/>
          <w:sz w:val="12"/>
          <w:szCs w:val="12"/>
          <w:color w:val="auto"/>
        </w:rPr>
      </w:pPr>
      <w:r>
        <w:rPr>
          <w:rFonts w:ascii="Arial" w:cs="Arial" w:eastAsia="Arial" w:hAnsi="Arial"/>
          <w:sz w:val="12"/>
          <w:szCs w:val="12"/>
          <w:color w:val="auto"/>
        </w:rPr>
        <w:t>Includes depreciation and amortization of purchase accounting assets of $0.1 million and $0.5 million for the three months ended April 30, 2026 and 2025, respectively, and $0.3 million and $0.8 million for six months ended April 30, 2026 and 2025, respectively. Includes $0.2 million of amortization of the Blueberries finance lease for both the three months ended April 30, 2026 and 2025 and $0.4 million for both the six months ended April 30, 2026 and 2025. The six months ended April 30, 2025 also include $0.9 million of accelerated depreciation expense from fixed assets related to the closure of our Canada facilities.</w:t>
      </w:r>
    </w:p>
    <w:p>
      <w:pPr>
        <w:spacing w:after="0" w:line="19" w:lineRule="exact"/>
        <w:rPr>
          <w:rFonts w:ascii="Arial" w:cs="Arial" w:eastAsia="Arial" w:hAnsi="Arial"/>
          <w:sz w:val="12"/>
          <w:szCs w:val="12"/>
          <w:color w:val="auto"/>
        </w:rPr>
      </w:pPr>
    </w:p>
    <w:p>
      <w:pPr>
        <w:ind w:left="220" w:hanging="217"/>
        <w:spacing w:after="0"/>
        <w:tabs>
          <w:tab w:leader="none" w:pos="2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Represents accelerated amortization of operating lease right-of-use assets, early lease termination costs and severance costs incurred due to the closure of our Canada facilities recognized in cost of sales.</w:t>
      </w:r>
    </w:p>
    <w:p>
      <w:pPr>
        <w:spacing w:after="0" w:line="55" w:lineRule="exact"/>
        <w:rPr>
          <w:rFonts w:ascii="Arial" w:cs="Arial" w:eastAsia="Arial" w:hAnsi="Arial"/>
          <w:sz w:val="12"/>
          <w:szCs w:val="12"/>
          <w:color w:val="auto"/>
        </w:rPr>
      </w:pPr>
    </w:p>
    <w:p>
      <w:pPr>
        <w:jc w:val="both"/>
        <w:ind w:left="240" w:right="80" w:hanging="237"/>
        <w:spacing w:after="0" w:line="264" w:lineRule="auto"/>
        <w:tabs>
          <w:tab w:leader="none" w:pos="232" w:val="left"/>
        </w:tabs>
        <w:numPr>
          <w:ilvl w:val="0"/>
          <w:numId w:val="18"/>
        </w:numPr>
        <w:rPr>
          <w:rFonts w:ascii="Arial" w:cs="Arial" w:eastAsia="Arial" w:hAnsi="Arial"/>
          <w:sz w:val="12"/>
          <w:szCs w:val="12"/>
          <w:color w:val="auto"/>
        </w:rPr>
      </w:pPr>
      <w:r>
        <w:rPr>
          <w:rFonts w:ascii="Arial" w:cs="Arial" w:eastAsia="Arial" w:hAnsi="Arial"/>
          <w:sz w:val="12"/>
          <w:szCs w:val="12"/>
          <w:color w:val="auto"/>
        </w:rPr>
        <w:t>Represents tariff charges levied on USMCA-compliant goods imported from Mexico for the three-day period from March 4th to March 6th, 2025. The extremely short-term nature of the charges prevented the Company from effectively passing the charges in both pricing to customers and prices paid for goods from suppliers. USMCA-compliant goods have subsequently been exempted from tariff charges on U.S. imports.</w:t>
      </w:r>
    </w:p>
    <w:p>
      <w:pPr>
        <w:spacing w:after="0" w:line="34" w:lineRule="exact"/>
        <w:rPr>
          <w:rFonts w:ascii="Arial" w:cs="Arial" w:eastAsia="Arial" w:hAnsi="Arial"/>
          <w:sz w:val="12"/>
          <w:szCs w:val="12"/>
          <w:color w:val="auto"/>
        </w:rPr>
      </w:pPr>
    </w:p>
    <w:p>
      <w:pPr>
        <w:ind w:left="220" w:hanging="217"/>
        <w:spacing w:after="0"/>
        <w:tabs>
          <w:tab w:leader="none" w:pos="2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Represents net income (loss) attributable to noncontrolling interest plus the impact of non-GAAP adjustments, allocable to the noncontrolling owner based on their percentage of ownership interest.</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Results of Operations</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Net sales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jc w:val="right"/>
              <w:ind w:right="48"/>
              <w:spacing w:after="0"/>
              <w:rPr>
                <w:sz w:val="20"/>
                <w:szCs w:val="20"/>
                <w:color w:val="auto"/>
              </w:rPr>
            </w:pPr>
            <w:r>
              <w:rPr>
                <w:rFonts w:ascii="Arial" w:cs="Arial" w:eastAsia="Arial" w:hAnsi="Arial"/>
                <w:sz w:val="10"/>
                <w:szCs w:val="10"/>
                <w:b w:val="1"/>
                <w:bCs w:val="1"/>
                <w:color w:val="auto"/>
              </w:rPr>
              <w:t>Marketing &amp;</w:t>
            </w:r>
          </w:p>
        </w:tc>
        <w:tc>
          <w:tcPr>
            <w:tcW w:w="300" w:type="dxa"/>
            <w:vAlign w:val="bottom"/>
          </w:tcPr>
          <w:p>
            <w:pPr>
              <w:spacing w:after="0"/>
              <w:rPr>
                <w:sz w:val="10"/>
                <w:szCs w:val="10"/>
                <w:color w:val="auto"/>
              </w:rPr>
            </w:pPr>
          </w:p>
        </w:tc>
        <w:tc>
          <w:tcPr>
            <w:tcW w:w="880" w:type="dxa"/>
            <w:vAlign w:val="bottom"/>
          </w:tcPr>
          <w:p>
            <w:pPr>
              <w:jc w:val="right"/>
              <w:ind w:right="48"/>
              <w:spacing w:after="0"/>
              <w:rPr>
                <w:sz w:val="20"/>
                <w:szCs w:val="20"/>
                <w:color w:val="auto"/>
              </w:rPr>
            </w:pPr>
            <w:r>
              <w:rPr>
                <w:rFonts w:ascii="Arial" w:cs="Arial" w:eastAsia="Arial" w:hAnsi="Arial"/>
                <w:sz w:val="10"/>
                <w:szCs w:val="10"/>
                <w:b w:val="1"/>
                <w:bCs w:val="1"/>
                <w:color w:val="auto"/>
              </w:rPr>
              <w:t>International</w:t>
            </w:r>
          </w:p>
        </w:tc>
        <w:tc>
          <w:tcPr>
            <w:tcW w:w="3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jc w:val="right"/>
              <w:ind w:right="48"/>
              <w:spacing w:after="0"/>
              <w:rPr>
                <w:sz w:val="20"/>
                <w:szCs w:val="20"/>
                <w:color w:val="auto"/>
              </w:rPr>
            </w:pPr>
            <w:r>
              <w:rPr>
                <w:rFonts w:ascii="Arial" w:cs="Arial" w:eastAsia="Arial" w:hAnsi="Arial"/>
                <w:sz w:val="10"/>
                <w:szCs w:val="10"/>
                <w:b w:val="1"/>
                <w:bCs w:val="1"/>
                <w:color w:val="auto"/>
              </w:rPr>
              <w:t>Marketing &amp;</w:t>
            </w:r>
          </w:p>
        </w:tc>
        <w:tc>
          <w:tcPr>
            <w:tcW w:w="300" w:type="dxa"/>
            <w:vAlign w:val="bottom"/>
          </w:tcPr>
          <w:p>
            <w:pPr>
              <w:spacing w:after="0"/>
              <w:rPr>
                <w:sz w:val="10"/>
                <w:szCs w:val="10"/>
                <w:color w:val="auto"/>
              </w:rPr>
            </w:pPr>
          </w:p>
        </w:tc>
        <w:tc>
          <w:tcPr>
            <w:tcW w:w="880" w:type="dxa"/>
            <w:vAlign w:val="bottom"/>
          </w:tcPr>
          <w:p>
            <w:pPr>
              <w:jc w:val="right"/>
              <w:ind w:right="48"/>
              <w:spacing w:after="0"/>
              <w:rPr>
                <w:sz w:val="20"/>
                <w:szCs w:val="20"/>
                <w:color w:val="auto"/>
              </w:rPr>
            </w:pPr>
            <w:r>
              <w:rPr>
                <w:rFonts w:ascii="Arial" w:cs="Arial" w:eastAsia="Arial" w:hAnsi="Arial"/>
                <w:sz w:val="10"/>
                <w:szCs w:val="10"/>
                <w:b w:val="1"/>
                <w:bCs w:val="1"/>
                <w:color w:val="auto"/>
              </w:rPr>
              <w:t>International</w:t>
            </w:r>
          </w:p>
        </w:tc>
        <w:tc>
          <w:tcPr>
            <w:tcW w:w="3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48"/>
              <w:spacing w:after="0"/>
              <w:rPr>
                <w:sz w:val="20"/>
                <w:szCs w:val="20"/>
                <w:color w:val="auto"/>
              </w:rPr>
            </w:pPr>
            <w:r>
              <w:rPr>
                <w:rFonts w:ascii="Arial" w:cs="Arial" w:eastAsia="Arial" w:hAnsi="Arial"/>
                <w:sz w:val="10"/>
                <w:szCs w:val="10"/>
                <w:b w:val="1"/>
                <w:bCs w:val="1"/>
                <w:color w:val="auto"/>
              </w:rPr>
              <w:t>Distribution</w:t>
            </w:r>
          </w:p>
        </w:tc>
        <w:tc>
          <w:tcPr>
            <w:tcW w:w="300" w:type="dxa"/>
            <w:vAlign w:val="bottom"/>
          </w:tcPr>
          <w:p>
            <w:pPr>
              <w:spacing w:after="0"/>
              <w:rPr>
                <w:sz w:val="12"/>
                <w:szCs w:val="12"/>
                <w:color w:val="auto"/>
              </w:rPr>
            </w:pPr>
          </w:p>
        </w:tc>
        <w:tc>
          <w:tcPr>
            <w:tcW w:w="880" w:type="dxa"/>
            <w:vAlign w:val="bottom"/>
          </w:tcPr>
          <w:p>
            <w:pPr>
              <w:jc w:val="right"/>
              <w:ind w:right="48"/>
              <w:spacing w:after="0"/>
              <w:rPr>
                <w:sz w:val="20"/>
                <w:szCs w:val="20"/>
                <w:color w:val="auto"/>
              </w:rPr>
            </w:pPr>
            <w:r>
              <w:rPr>
                <w:rFonts w:ascii="Arial" w:cs="Arial" w:eastAsia="Arial" w:hAnsi="Arial"/>
                <w:sz w:val="10"/>
                <w:szCs w:val="10"/>
                <w:b w:val="1"/>
                <w:bCs w:val="1"/>
                <w:color w:val="auto"/>
              </w:rPr>
              <w:t>Farming</w:t>
            </w:r>
          </w:p>
        </w:tc>
        <w:tc>
          <w:tcPr>
            <w:tcW w:w="320" w:type="dxa"/>
            <w:vAlign w:val="bottom"/>
          </w:tcPr>
          <w:p>
            <w:pPr>
              <w:spacing w:after="0"/>
              <w:rPr>
                <w:sz w:val="12"/>
                <w:szCs w:val="12"/>
                <w:color w:val="auto"/>
              </w:rPr>
            </w:pPr>
          </w:p>
        </w:tc>
        <w:tc>
          <w:tcPr>
            <w:tcW w:w="840" w:type="dxa"/>
            <w:vAlign w:val="bottom"/>
          </w:tcPr>
          <w:p>
            <w:pPr>
              <w:jc w:val="right"/>
              <w:ind w:right="28"/>
              <w:spacing w:after="0"/>
              <w:rPr>
                <w:sz w:val="20"/>
                <w:szCs w:val="20"/>
                <w:color w:val="auto"/>
              </w:rPr>
            </w:pPr>
            <w:r>
              <w:rPr>
                <w:rFonts w:ascii="Arial" w:cs="Arial" w:eastAsia="Arial" w:hAnsi="Arial"/>
                <w:sz w:val="10"/>
                <w:szCs w:val="10"/>
                <w:b w:val="1"/>
                <w:bCs w:val="1"/>
                <w:color w:val="auto"/>
              </w:rPr>
              <w:t>Blueberries</w:t>
            </w:r>
          </w:p>
        </w:tc>
        <w:tc>
          <w:tcPr>
            <w:tcW w:w="440" w:type="dxa"/>
            <w:vAlign w:val="bottom"/>
          </w:tcPr>
          <w:p>
            <w:pPr>
              <w:spacing w:after="0"/>
              <w:rPr>
                <w:sz w:val="12"/>
                <w:szCs w:val="12"/>
                <w:color w:val="auto"/>
              </w:rPr>
            </w:pPr>
          </w:p>
        </w:tc>
        <w:tc>
          <w:tcPr>
            <w:tcW w:w="920" w:type="dxa"/>
            <w:vAlign w:val="bottom"/>
            <w:gridSpan w:val="2"/>
          </w:tcPr>
          <w:p>
            <w:pPr>
              <w:ind w:left="400"/>
              <w:spacing w:after="0"/>
              <w:rPr>
                <w:sz w:val="20"/>
                <w:szCs w:val="20"/>
                <w:color w:val="auto"/>
              </w:rPr>
            </w:pPr>
            <w:r>
              <w:rPr>
                <w:rFonts w:ascii="Arial" w:cs="Arial" w:eastAsia="Arial" w:hAnsi="Arial"/>
                <w:sz w:val="10"/>
                <w:szCs w:val="10"/>
                <w:b w:val="1"/>
                <w:bCs w:val="1"/>
                <w:color w:val="auto"/>
              </w:rPr>
              <w:t>Total</w:t>
            </w:r>
          </w:p>
        </w:tc>
        <w:tc>
          <w:tcPr>
            <w:tcW w:w="380" w:type="dxa"/>
            <w:vAlign w:val="bottom"/>
          </w:tcPr>
          <w:p>
            <w:pPr>
              <w:spacing w:after="0"/>
              <w:rPr>
                <w:sz w:val="12"/>
                <w:szCs w:val="12"/>
                <w:color w:val="auto"/>
              </w:rPr>
            </w:pPr>
          </w:p>
        </w:tc>
        <w:tc>
          <w:tcPr>
            <w:tcW w:w="700" w:type="dxa"/>
            <w:vAlign w:val="bottom"/>
          </w:tcPr>
          <w:p>
            <w:pPr>
              <w:jc w:val="right"/>
              <w:ind w:right="48"/>
              <w:spacing w:after="0"/>
              <w:rPr>
                <w:sz w:val="20"/>
                <w:szCs w:val="20"/>
                <w:color w:val="auto"/>
              </w:rPr>
            </w:pPr>
            <w:r>
              <w:rPr>
                <w:rFonts w:ascii="Arial" w:cs="Arial" w:eastAsia="Arial" w:hAnsi="Arial"/>
                <w:sz w:val="10"/>
                <w:szCs w:val="10"/>
                <w:b w:val="1"/>
                <w:bCs w:val="1"/>
                <w:color w:val="auto"/>
              </w:rPr>
              <w:t>Distribution</w:t>
            </w:r>
          </w:p>
        </w:tc>
        <w:tc>
          <w:tcPr>
            <w:tcW w:w="300" w:type="dxa"/>
            <w:vAlign w:val="bottom"/>
          </w:tcPr>
          <w:p>
            <w:pPr>
              <w:spacing w:after="0"/>
              <w:rPr>
                <w:sz w:val="12"/>
                <w:szCs w:val="12"/>
                <w:color w:val="auto"/>
              </w:rPr>
            </w:pPr>
          </w:p>
        </w:tc>
        <w:tc>
          <w:tcPr>
            <w:tcW w:w="880" w:type="dxa"/>
            <w:vAlign w:val="bottom"/>
          </w:tcPr>
          <w:p>
            <w:pPr>
              <w:jc w:val="right"/>
              <w:ind w:right="48"/>
              <w:spacing w:after="0"/>
              <w:rPr>
                <w:sz w:val="20"/>
                <w:szCs w:val="20"/>
                <w:color w:val="auto"/>
              </w:rPr>
            </w:pPr>
            <w:r>
              <w:rPr>
                <w:rFonts w:ascii="Arial" w:cs="Arial" w:eastAsia="Arial" w:hAnsi="Arial"/>
                <w:sz w:val="10"/>
                <w:szCs w:val="10"/>
                <w:b w:val="1"/>
                <w:bCs w:val="1"/>
                <w:color w:val="auto"/>
              </w:rPr>
              <w:t>Farming</w:t>
            </w:r>
          </w:p>
        </w:tc>
        <w:tc>
          <w:tcPr>
            <w:tcW w:w="320" w:type="dxa"/>
            <w:vAlign w:val="bottom"/>
          </w:tcPr>
          <w:p>
            <w:pPr>
              <w:spacing w:after="0"/>
              <w:rPr>
                <w:sz w:val="12"/>
                <w:szCs w:val="12"/>
                <w:color w:val="auto"/>
              </w:rPr>
            </w:pPr>
          </w:p>
        </w:tc>
        <w:tc>
          <w:tcPr>
            <w:tcW w:w="840" w:type="dxa"/>
            <w:vAlign w:val="bottom"/>
          </w:tcPr>
          <w:p>
            <w:pPr>
              <w:jc w:val="right"/>
              <w:ind w:right="28"/>
              <w:spacing w:after="0"/>
              <w:rPr>
                <w:sz w:val="20"/>
                <w:szCs w:val="20"/>
                <w:color w:val="auto"/>
              </w:rPr>
            </w:pPr>
            <w:r>
              <w:rPr>
                <w:rFonts w:ascii="Arial" w:cs="Arial" w:eastAsia="Arial" w:hAnsi="Arial"/>
                <w:sz w:val="10"/>
                <w:szCs w:val="10"/>
                <w:b w:val="1"/>
                <w:bCs w:val="1"/>
                <w:color w:val="auto"/>
              </w:rPr>
              <w:t>Blueberries</w:t>
            </w:r>
          </w:p>
        </w:tc>
        <w:tc>
          <w:tcPr>
            <w:tcW w:w="480" w:type="dxa"/>
            <w:vAlign w:val="bottom"/>
          </w:tcPr>
          <w:p>
            <w:pPr>
              <w:spacing w:after="0"/>
              <w:rPr>
                <w:sz w:val="12"/>
                <w:szCs w:val="12"/>
                <w:color w:val="auto"/>
              </w:rPr>
            </w:pPr>
          </w:p>
        </w:tc>
        <w:tc>
          <w:tcPr>
            <w:tcW w:w="640" w:type="dxa"/>
            <w:vAlign w:val="bottom"/>
            <w:gridSpan w:val="2"/>
          </w:tcPr>
          <w:p>
            <w:pPr>
              <w:ind w:left="36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00" w:type="dxa"/>
            <w:vAlign w:val="bottom"/>
            <w:gridSpan w:val="3"/>
          </w:tcPr>
          <w:p>
            <w:pPr>
              <w:jc w:val="center"/>
              <w:ind w:left="228"/>
              <w:spacing w:after="0"/>
              <w:rPr>
                <w:sz w:val="20"/>
                <w:szCs w:val="20"/>
                <w:color w:val="auto"/>
              </w:rPr>
            </w:pPr>
            <w:r>
              <w:rPr>
                <w:rFonts w:ascii="Arial" w:cs="Arial" w:eastAsia="Arial" w:hAnsi="Arial"/>
                <w:sz w:val="10"/>
                <w:szCs w:val="10"/>
                <w:b w:val="1"/>
                <w:bCs w:val="1"/>
                <w:color w:val="auto"/>
              </w:rPr>
              <w:t>Three Months Ended</w:t>
            </w: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00" w:type="dxa"/>
            <w:vAlign w:val="bottom"/>
            <w:gridSpan w:val="3"/>
          </w:tcPr>
          <w:p>
            <w:pPr>
              <w:jc w:val="center"/>
              <w:ind w:left="208"/>
              <w:spacing w:after="0"/>
              <w:rPr>
                <w:sz w:val="20"/>
                <w:szCs w:val="20"/>
                <w:color w:val="auto"/>
              </w:rPr>
            </w:pPr>
            <w:r>
              <w:rPr>
                <w:rFonts w:ascii="Arial" w:cs="Arial" w:eastAsia="Arial" w:hAnsi="Arial"/>
                <w:sz w:val="10"/>
                <w:szCs w:val="10"/>
                <w:b w:val="1"/>
                <w:bCs w:val="1"/>
                <w:color w:val="auto"/>
              </w:rPr>
              <w:t>April 30,</w:t>
            </w: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1880" w:type="dxa"/>
            <w:vAlign w:val="bottom"/>
            <w:vMerge w:val="restart"/>
          </w:tcPr>
          <w:p>
            <w:pPr>
              <w:ind w:left="20"/>
              <w:spacing w:after="0"/>
              <w:rPr>
                <w:sz w:val="20"/>
                <w:szCs w:val="20"/>
                <w:color w:val="auto"/>
              </w:rPr>
            </w:pPr>
            <w:r>
              <w:rPr>
                <w:rFonts w:ascii="Arial" w:cs="Arial" w:eastAsia="Arial" w:hAnsi="Arial"/>
                <w:sz w:val="10"/>
                <w:szCs w:val="10"/>
                <w:color w:val="auto"/>
              </w:rPr>
              <w:t>(In millions)</w:t>
            </w: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tcPr>
          <w:p>
            <w:pPr>
              <w:jc w:val="right"/>
              <w:ind w:right="168"/>
              <w:spacing w:after="0"/>
              <w:rPr>
                <w:sz w:val="20"/>
                <w:szCs w:val="20"/>
                <w:color w:val="auto"/>
              </w:rPr>
            </w:pPr>
            <w:r>
              <w:rPr>
                <w:rFonts w:ascii="Arial" w:cs="Arial" w:eastAsia="Arial" w:hAnsi="Arial"/>
                <w:sz w:val="10"/>
                <w:szCs w:val="10"/>
                <w:b w:val="1"/>
                <w:bCs w:val="1"/>
                <w:color w:val="auto"/>
              </w:rPr>
              <w:t>2026</w:t>
            </w: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tcPr>
          <w:p>
            <w:pPr>
              <w:jc w:val="right"/>
              <w:ind w:right="168"/>
              <w:spacing w:after="0"/>
              <w:rPr>
                <w:sz w:val="20"/>
                <w:szCs w:val="20"/>
                <w:color w:val="auto"/>
              </w:rPr>
            </w:pPr>
            <w:r>
              <w:rPr>
                <w:rFonts w:ascii="Arial" w:cs="Arial" w:eastAsia="Arial" w:hAnsi="Arial"/>
                <w:sz w:val="10"/>
                <w:szCs w:val="10"/>
                <w:b w:val="1"/>
                <w:bCs w:val="1"/>
                <w:color w:val="auto"/>
              </w:rPr>
              <w:t>2025</w:t>
            </w: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Third party sales</w:t>
            </w:r>
          </w:p>
        </w:tc>
        <w:tc>
          <w:tcPr>
            <w:tcW w:w="24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0"/>
                <w:szCs w:val="10"/>
                <w:color w:val="auto"/>
              </w:rPr>
              <w:t>277.2</w:t>
            </w:r>
          </w:p>
        </w:tc>
        <w:tc>
          <w:tcPr>
            <w:tcW w:w="30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0"/>
                <w:szCs w:val="10"/>
                <w:color w:val="auto"/>
              </w:rPr>
              <w:t>2.7</w:t>
            </w:r>
          </w:p>
        </w:tc>
        <w:tc>
          <w:tcPr>
            <w:tcW w:w="32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11.0</w:t>
            </w:r>
          </w:p>
        </w:tc>
        <w:tc>
          <w:tcPr>
            <w:tcW w:w="44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290.9</w:t>
            </w:r>
          </w:p>
        </w:tc>
        <w:tc>
          <w:tcPr>
            <w:tcW w:w="26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jc w:val="right"/>
              <w:ind w:right="268"/>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362.5</w:t>
            </w:r>
          </w:p>
        </w:tc>
        <w:tc>
          <w:tcPr>
            <w:tcW w:w="30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0"/>
                <w:szCs w:val="10"/>
                <w:color w:val="auto"/>
              </w:rPr>
              <w:t>2.1</w:t>
            </w:r>
          </w:p>
        </w:tc>
        <w:tc>
          <w:tcPr>
            <w:tcW w:w="32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15.7</w:t>
            </w:r>
          </w:p>
        </w:tc>
        <w:tc>
          <w:tcPr>
            <w:tcW w:w="480" w:type="dxa"/>
            <w:vAlign w:val="bottom"/>
            <w:tcBorders>
              <w:bottom w:val="single" w:sz="8" w:color="CCEEFF"/>
            </w:tcBorders>
            <w:shd w:val="clear" w:color="auto" w:fill="CCEEFF"/>
          </w:tcPr>
          <w:p>
            <w:pPr>
              <w:jc w:val="right"/>
              <w:ind w:right="268"/>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380.3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880" w:type="dxa"/>
            <w:vAlign w:val="bottom"/>
          </w:tcPr>
          <w:p>
            <w:pPr>
              <w:ind w:left="20"/>
              <w:spacing w:after="0"/>
              <w:rPr>
                <w:sz w:val="20"/>
                <w:szCs w:val="20"/>
                <w:color w:val="auto"/>
              </w:rPr>
            </w:pPr>
            <w:r>
              <w:rPr>
                <w:rFonts w:ascii="Arial" w:cs="Arial" w:eastAsia="Arial" w:hAnsi="Arial"/>
                <w:sz w:val="10"/>
                <w:szCs w:val="10"/>
                <w:color w:val="auto"/>
              </w:rPr>
              <w:t>Affiliated sales</w:t>
            </w:r>
          </w:p>
        </w:tc>
        <w:tc>
          <w:tcPr>
            <w:tcW w:w="240" w:type="dxa"/>
            <w:vAlign w:val="bottom"/>
          </w:tcPr>
          <w:p>
            <w:pPr>
              <w:spacing w:after="0"/>
              <w:rPr>
                <w:sz w:val="12"/>
                <w:szCs w:val="12"/>
                <w:color w:val="auto"/>
              </w:rPr>
            </w:pPr>
          </w:p>
        </w:tc>
        <w:tc>
          <w:tcPr>
            <w:tcW w:w="840" w:type="dxa"/>
            <w:vAlign w:val="bottom"/>
          </w:tcPr>
          <w:p>
            <w:pPr>
              <w:jc w:val="right"/>
              <w:ind w:right="88"/>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880" w:type="dxa"/>
            <w:vAlign w:val="bottom"/>
          </w:tcPr>
          <w:p>
            <w:pPr>
              <w:jc w:val="right"/>
              <w:ind w:right="88"/>
              <w:spacing w:after="0"/>
              <w:rPr>
                <w:sz w:val="20"/>
                <w:szCs w:val="20"/>
                <w:color w:val="auto"/>
              </w:rPr>
            </w:pPr>
            <w:r>
              <w:rPr>
                <w:rFonts w:ascii="Arial" w:cs="Arial" w:eastAsia="Arial" w:hAnsi="Arial"/>
                <w:sz w:val="10"/>
                <w:szCs w:val="10"/>
                <w:color w:val="auto"/>
              </w:rPr>
              <w:t>5.0</w:t>
            </w:r>
          </w:p>
        </w:tc>
        <w:tc>
          <w:tcPr>
            <w:tcW w:w="320" w:type="dxa"/>
            <w:vAlign w:val="bottom"/>
          </w:tcPr>
          <w:p>
            <w:pPr>
              <w:spacing w:after="0"/>
              <w:rPr>
                <w:sz w:val="12"/>
                <w:szCs w:val="12"/>
                <w:color w:val="auto"/>
              </w:rPr>
            </w:pPr>
          </w:p>
        </w:tc>
        <w:tc>
          <w:tcPr>
            <w:tcW w:w="84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2"/>
                <w:szCs w:val="12"/>
                <w:color w:val="auto"/>
              </w:rPr>
            </w:pPr>
          </w:p>
        </w:tc>
        <w:tc>
          <w:tcPr>
            <w:tcW w:w="660" w:type="dxa"/>
            <w:vAlign w:val="bottom"/>
          </w:tcPr>
          <w:p>
            <w:pPr>
              <w:jc w:val="right"/>
              <w:ind w:right="8"/>
              <w:spacing w:after="0"/>
              <w:rPr>
                <w:sz w:val="20"/>
                <w:szCs w:val="20"/>
                <w:color w:val="auto"/>
              </w:rPr>
            </w:pPr>
            <w:r>
              <w:rPr>
                <w:rFonts w:ascii="Arial" w:cs="Arial" w:eastAsia="Arial" w:hAnsi="Arial"/>
                <w:sz w:val="10"/>
                <w:szCs w:val="10"/>
                <w:color w:val="auto"/>
              </w:rPr>
              <w:t>5.0</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880" w:type="dxa"/>
            <w:vAlign w:val="bottom"/>
          </w:tcPr>
          <w:p>
            <w:pPr>
              <w:jc w:val="right"/>
              <w:ind w:right="88"/>
              <w:spacing w:after="0"/>
              <w:rPr>
                <w:sz w:val="20"/>
                <w:szCs w:val="20"/>
                <w:color w:val="auto"/>
              </w:rPr>
            </w:pPr>
            <w:r>
              <w:rPr>
                <w:rFonts w:ascii="Arial" w:cs="Arial" w:eastAsia="Arial" w:hAnsi="Arial"/>
                <w:sz w:val="10"/>
                <w:szCs w:val="10"/>
                <w:color w:val="auto"/>
              </w:rPr>
              <w:t>6.0</w:t>
            </w:r>
          </w:p>
        </w:tc>
        <w:tc>
          <w:tcPr>
            <w:tcW w:w="320" w:type="dxa"/>
            <w:vAlign w:val="bottom"/>
          </w:tcPr>
          <w:p>
            <w:pPr>
              <w:spacing w:after="0"/>
              <w:rPr>
                <w:sz w:val="12"/>
                <w:szCs w:val="12"/>
                <w:color w:val="auto"/>
              </w:rPr>
            </w:pPr>
          </w:p>
        </w:tc>
        <w:tc>
          <w:tcPr>
            <w:tcW w:w="84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480" w:type="dxa"/>
            <w:vAlign w:val="bottom"/>
          </w:tcPr>
          <w:p>
            <w:pPr>
              <w:spacing w:after="0"/>
              <w:rPr>
                <w:sz w:val="12"/>
                <w:szCs w:val="12"/>
                <w:color w:val="auto"/>
              </w:rPr>
            </w:pPr>
          </w:p>
        </w:tc>
        <w:tc>
          <w:tcPr>
            <w:tcW w:w="620" w:type="dxa"/>
            <w:vAlign w:val="bottom"/>
          </w:tcPr>
          <w:p>
            <w:pPr>
              <w:jc w:val="right"/>
              <w:ind w:right="8"/>
              <w:spacing w:after="0"/>
              <w:rPr>
                <w:sz w:val="20"/>
                <w:szCs w:val="20"/>
                <w:color w:val="auto"/>
              </w:rPr>
            </w:pPr>
            <w:r>
              <w:rPr>
                <w:rFonts w:ascii="Arial" w:cs="Arial" w:eastAsia="Arial" w:hAnsi="Arial"/>
                <w:sz w:val="10"/>
                <w:szCs w:val="10"/>
                <w:color w:val="auto"/>
              </w:rPr>
              <w:t>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Total segment sales</w:t>
            </w:r>
          </w:p>
        </w:tc>
        <w:tc>
          <w:tcPr>
            <w:tcW w:w="24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0"/>
                <w:szCs w:val="10"/>
                <w:color w:val="auto"/>
              </w:rPr>
              <w:t>277.2</w:t>
            </w:r>
          </w:p>
        </w:tc>
        <w:tc>
          <w:tcPr>
            <w:tcW w:w="3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0"/>
                <w:szCs w:val="10"/>
                <w:color w:val="auto"/>
              </w:rPr>
              <w:t>7.7</w:t>
            </w:r>
          </w:p>
        </w:tc>
        <w:tc>
          <w:tcPr>
            <w:tcW w:w="3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11.0</w:t>
            </w:r>
          </w:p>
        </w:tc>
        <w:tc>
          <w:tcPr>
            <w:tcW w:w="4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295.9</w:t>
            </w:r>
          </w:p>
        </w:tc>
        <w:tc>
          <w:tcPr>
            <w:tcW w:w="26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362.5</w:t>
            </w:r>
          </w:p>
        </w:tc>
        <w:tc>
          <w:tcPr>
            <w:tcW w:w="3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0"/>
                <w:szCs w:val="10"/>
                <w:color w:val="auto"/>
              </w:rPr>
              <w:t>8.1</w:t>
            </w:r>
          </w:p>
        </w:tc>
        <w:tc>
          <w:tcPr>
            <w:tcW w:w="3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15.7</w:t>
            </w:r>
          </w:p>
        </w:tc>
        <w:tc>
          <w:tcPr>
            <w:tcW w:w="4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386.3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880" w:type="dxa"/>
            <w:vAlign w:val="bottom"/>
          </w:tcPr>
          <w:p>
            <w:pPr>
              <w:ind w:left="20"/>
              <w:spacing w:after="0"/>
              <w:rPr>
                <w:sz w:val="20"/>
                <w:szCs w:val="20"/>
                <w:color w:val="auto"/>
              </w:rPr>
            </w:pPr>
            <w:r>
              <w:rPr>
                <w:rFonts w:ascii="Arial" w:cs="Arial" w:eastAsia="Arial" w:hAnsi="Arial"/>
                <w:sz w:val="10"/>
                <w:szCs w:val="10"/>
                <w:color w:val="auto"/>
              </w:rPr>
              <w:t>Intercompany eliminations</w:t>
            </w:r>
          </w:p>
        </w:tc>
        <w:tc>
          <w:tcPr>
            <w:tcW w:w="240" w:type="dxa"/>
            <w:vAlign w:val="bottom"/>
          </w:tcPr>
          <w:p>
            <w:pPr>
              <w:spacing w:after="0"/>
              <w:rPr>
                <w:sz w:val="12"/>
                <w:szCs w:val="12"/>
                <w:color w:val="auto"/>
              </w:rPr>
            </w:pPr>
          </w:p>
        </w:tc>
        <w:tc>
          <w:tcPr>
            <w:tcW w:w="840" w:type="dxa"/>
            <w:vAlign w:val="bottom"/>
          </w:tcPr>
          <w:p>
            <w:pPr>
              <w:jc w:val="right"/>
              <w:ind w:right="88"/>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880" w:type="dxa"/>
            <w:vAlign w:val="bottom"/>
          </w:tcPr>
          <w:p>
            <w:pPr>
              <w:jc w:val="right"/>
              <w:ind w:right="48"/>
              <w:spacing w:after="0"/>
              <w:rPr>
                <w:sz w:val="20"/>
                <w:szCs w:val="20"/>
                <w:color w:val="auto"/>
              </w:rPr>
            </w:pPr>
            <w:r>
              <w:rPr>
                <w:rFonts w:ascii="Arial" w:cs="Arial" w:eastAsia="Arial" w:hAnsi="Arial"/>
                <w:sz w:val="10"/>
                <w:szCs w:val="10"/>
                <w:color w:val="auto"/>
              </w:rPr>
              <w:t>(5.0)</w:t>
            </w:r>
          </w:p>
        </w:tc>
        <w:tc>
          <w:tcPr>
            <w:tcW w:w="320" w:type="dxa"/>
            <w:vAlign w:val="bottom"/>
          </w:tcPr>
          <w:p>
            <w:pPr>
              <w:spacing w:after="0"/>
              <w:rPr>
                <w:sz w:val="12"/>
                <w:szCs w:val="12"/>
                <w:color w:val="auto"/>
              </w:rPr>
            </w:pPr>
          </w:p>
        </w:tc>
        <w:tc>
          <w:tcPr>
            <w:tcW w:w="84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(5.0)</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880" w:type="dxa"/>
            <w:vAlign w:val="bottom"/>
          </w:tcPr>
          <w:p>
            <w:pPr>
              <w:jc w:val="right"/>
              <w:ind w:right="48"/>
              <w:spacing w:after="0"/>
              <w:rPr>
                <w:sz w:val="20"/>
                <w:szCs w:val="20"/>
                <w:color w:val="auto"/>
              </w:rPr>
            </w:pPr>
            <w:r>
              <w:rPr>
                <w:rFonts w:ascii="Arial" w:cs="Arial" w:eastAsia="Arial" w:hAnsi="Arial"/>
                <w:sz w:val="10"/>
                <w:szCs w:val="10"/>
                <w:color w:val="auto"/>
              </w:rPr>
              <w:t>(6.0)</w:t>
            </w:r>
          </w:p>
        </w:tc>
        <w:tc>
          <w:tcPr>
            <w:tcW w:w="320" w:type="dxa"/>
            <w:vAlign w:val="bottom"/>
          </w:tcPr>
          <w:p>
            <w:pPr>
              <w:spacing w:after="0"/>
              <w:rPr>
                <w:sz w:val="12"/>
                <w:szCs w:val="12"/>
                <w:color w:val="auto"/>
              </w:rPr>
            </w:pPr>
          </w:p>
        </w:tc>
        <w:tc>
          <w:tcPr>
            <w:tcW w:w="84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4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1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Total net sales</w:t>
            </w:r>
          </w:p>
        </w:tc>
        <w:tc>
          <w:tcPr>
            <w:tcW w:w="24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0"/>
                <w:szCs w:val="10"/>
                <w:color w:val="auto"/>
              </w:rPr>
              <w:t>277.2</w:t>
            </w:r>
          </w:p>
        </w:tc>
        <w:tc>
          <w:tcPr>
            <w:tcW w:w="30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0"/>
                <w:szCs w:val="10"/>
                <w:color w:val="auto"/>
              </w:rPr>
              <w:t>2.7</w:t>
            </w:r>
          </w:p>
        </w:tc>
        <w:tc>
          <w:tcPr>
            <w:tcW w:w="32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11.0</w:t>
            </w:r>
          </w:p>
        </w:tc>
        <w:tc>
          <w:tcPr>
            <w:tcW w:w="44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290.9</w:t>
            </w:r>
          </w:p>
        </w:tc>
        <w:tc>
          <w:tcPr>
            <w:tcW w:w="26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ind w:right="268"/>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362.5</w:t>
            </w:r>
          </w:p>
        </w:tc>
        <w:tc>
          <w:tcPr>
            <w:tcW w:w="30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0"/>
                <w:szCs w:val="10"/>
                <w:color w:val="auto"/>
              </w:rPr>
              <w:t>2.1</w:t>
            </w:r>
          </w:p>
        </w:tc>
        <w:tc>
          <w:tcPr>
            <w:tcW w:w="32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15.7</w:t>
            </w:r>
          </w:p>
        </w:tc>
        <w:tc>
          <w:tcPr>
            <w:tcW w:w="480" w:type="dxa"/>
            <w:vAlign w:val="bottom"/>
            <w:tcBorders>
              <w:bottom w:val="single" w:sz="8" w:color="CCEEFF"/>
            </w:tcBorders>
            <w:shd w:val="clear" w:color="auto" w:fill="CCEEFF"/>
          </w:tcPr>
          <w:p>
            <w:pPr>
              <w:jc w:val="right"/>
              <w:ind w:right="268"/>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380.3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8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3"/>
          </w:tcPr>
          <w:p>
            <w:pPr>
              <w:jc w:val="center"/>
              <w:ind w:left="228"/>
              <w:spacing w:after="0"/>
              <w:rPr>
                <w:sz w:val="20"/>
                <w:szCs w:val="20"/>
                <w:color w:val="auto"/>
              </w:rPr>
            </w:pPr>
            <w:r>
              <w:rPr>
                <w:rFonts w:ascii="Arial" w:cs="Arial" w:eastAsia="Arial" w:hAnsi="Arial"/>
                <w:sz w:val="10"/>
                <w:szCs w:val="10"/>
                <w:b w:val="1"/>
                <w:bCs w:val="1"/>
                <w:color w:val="auto"/>
              </w:rPr>
              <w:t>Six Months Ended</w:t>
            </w:r>
          </w:p>
        </w:tc>
        <w:tc>
          <w:tcPr>
            <w:tcW w:w="7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00" w:type="dxa"/>
            <w:vAlign w:val="bottom"/>
            <w:gridSpan w:val="3"/>
          </w:tcPr>
          <w:p>
            <w:pPr>
              <w:jc w:val="center"/>
              <w:ind w:left="208"/>
              <w:spacing w:after="0"/>
              <w:rPr>
                <w:sz w:val="20"/>
                <w:szCs w:val="20"/>
                <w:color w:val="auto"/>
              </w:rPr>
            </w:pPr>
            <w:r>
              <w:rPr>
                <w:rFonts w:ascii="Arial" w:cs="Arial" w:eastAsia="Arial" w:hAnsi="Arial"/>
                <w:sz w:val="10"/>
                <w:szCs w:val="10"/>
                <w:b w:val="1"/>
                <w:bCs w:val="1"/>
                <w:color w:val="auto"/>
              </w:rPr>
              <w:t>April 30,</w:t>
            </w: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tcPr>
          <w:p>
            <w:pPr>
              <w:jc w:val="right"/>
              <w:ind w:right="168"/>
              <w:spacing w:after="0"/>
              <w:rPr>
                <w:sz w:val="20"/>
                <w:szCs w:val="20"/>
                <w:color w:val="auto"/>
              </w:rPr>
            </w:pPr>
            <w:r>
              <w:rPr>
                <w:rFonts w:ascii="Arial" w:cs="Arial" w:eastAsia="Arial" w:hAnsi="Arial"/>
                <w:sz w:val="10"/>
                <w:szCs w:val="10"/>
                <w:b w:val="1"/>
                <w:bCs w:val="1"/>
                <w:color w:val="auto"/>
              </w:rPr>
              <w:t>2026</w:t>
            </w: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tcPr>
          <w:p>
            <w:pPr>
              <w:jc w:val="right"/>
              <w:ind w:right="168"/>
              <w:spacing w:after="0"/>
              <w:rPr>
                <w:sz w:val="20"/>
                <w:szCs w:val="20"/>
                <w:color w:val="auto"/>
              </w:rPr>
            </w:pPr>
            <w:r>
              <w:rPr>
                <w:rFonts w:ascii="Arial" w:cs="Arial" w:eastAsia="Arial" w:hAnsi="Arial"/>
                <w:sz w:val="10"/>
                <w:szCs w:val="10"/>
                <w:b w:val="1"/>
                <w:bCs w:val="1"/>
                <w:color w:val="auto"/>
              </w:rPr>
              <w:t>2025</w:t>
            </w: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Third party sales</w:t>
            </w:r>
          </w:p>
        </w:tc>
        <w:tc>
          <w:tcPr>
            <w:tcW w:w="24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0"/>
                <w:szCs w:val="10"/>
                <w:color w:val="auto"/>
              </w:rPr>
              <w:t>512.0</w:t>
            </w:r>
          </w:p>
        </w:tc>
        <w:tc>
          <w:tcPr>
            <w:tcW w:w="30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0"/>
                <w:szCs w:val="10"/>
                <w:color w:val="auto"/>
              </w:rPr>
              <w:t>5.7</w:t>
            </w:r>
          </w:p>
        </w:tc>
        <w:tc>
          <w:tcPr>
            <w:tcW w:w="32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51.8</w:t>
            </w:r>
          </w:p>
        </w:tc>
        <w:tc>
          <w:tcPr>
            <w:tcW w:w="44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569.5</w:t>
            </w:r>
          </w:p>
        </w:tc>
        <w:tc>
          <w:tcPr>
            <w:tcW w:w="26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jc w:val="right"/>
              <w:ind w:right="268"/>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658.3</w:t>
            </w:r>
          </w:p>
        </w:tc>
        <w:tc>
          <w:tcPr>
            <w:tcW w:w="30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0"/>
                <w:szCs w:val="10"/>
                <w:color w:val="auto"/>
              </w:rPr>
              <w:t>4.1</w:t>
            </w:r>
          </w:p>
        </w:tc>
        <w:tc>
          <w:tcPr>
            <w:tcW w:w="32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52.1</w:t>
            </w:r>
          </w:p>
        </w:tc>
        <w:tc>
          <w:tcPr>
            <w:tcW w:w="480" w:type="dxa"/>
            <w:vAlign w:val="bottom"/>
            <w:tcBorders>
              <w:bottom w:val="single" w:sz="8" w:color="CCEEFF"/>
            </w:tcBorders>
            <w:shd w:val="clear" w:color="auto" w:fill="CCEEFF"/>
          </w:tcPr>
          <w:p>
            <w:pPr>
              <w:jc w:val="right"/>
              <w:ind w:right="268"/>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714.5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880" w:type="dxa"/>
            <w:vAlign w:val="bottom"/>
          </w:tcPr>
          <w:p>
            <w:pPr>
              <w:ind w:left="20"/>
              <w:spacing w:after="0"/>
              <w:rPr>
                <w:sz w:val="20"/>
                <w:szCs w:val="20"/>
                <w:color w:val="auto"/>
              </w:rPr>
            </w:pPr>
            <w:r>
              <w:rPr>
                <w:rFonts w:ascii="Arial" w:cs="Arial" w:eastAsia="Arial" w:hAnsi="Arial"/>
                <w:sz w:val="10"/>
                <w:szCs w:val="10"/>
                <w:color w:val="auto"/>
              </w:rPr>
              <w:t>Affiliated sales</w:t>
            </w:r>
          </w:p>
        </w:tc>
        <w:tc>
          <w:tcPr>
            <w:tcW w:w="240" w:type="dxa"/>
            <w:vAlign w:val="bottom"/>
          </w:tcPr>
          <w:p>
            <w:pPr>
              <w:spacing w:after="0"/>
              <w:rPr>
                <w:sz w:val="12"/>
                <w:szCs w:val="12"/>
                <w:color w:val="auto"/>
              </w:rPr>
            </w:pPr>
          </w:p>
        </w:tc>
        <w:tc>
          <w:tcPr>
            <w:tcW w:w="840" w:type="dxa"/>
            <w:vAlign w:val="bottom"/>
          </w:tcPr>
          <w:p>
            <w:pPr>
              <w:jc w:val="right"/>
              <w:ind w:right="88"/>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880" w:type="dxa"/>
            <w:vAlign w:val="bottom"/>
          </w:tcPr>
          <w:p>
            <w:pPr>
              <w:jc w:val="right"/>
              <w:ind w:right="88"/>
              <w:spacing w:after="0"/>
              <w:rPr>
                <w:sz w:val="20"/>
                <w:szCs w:val="20"/>
                <w:color w:val="auto"/>
              </w:rPr>
            </w:pPr>
            <w:r>
              <w:rPr>
                <w:rFonts w:ascii="Arial" w:cs="Arial" w:eastAsia="Arial" w:hAnsi="Arial"/>
                <w:sz w:val="10"/>
                <w:szCs w:val="10"/>
                <w:color w:val="auto"/>
              </w:rPr>
              <w:t>12.6</w:t>
            </w:r>
          </w:p>
        </w:tc>
        <w:tc>
          <w:tcPr>
            <w:tcW w:w="320" w:type="dxa"/>
            <w:vAlign w:val="bottom"/>
          </w:tcPr>
          <w:p>
            <w:pPr>
              <w:spacing w:after="0"/>
              <w:rPr>
                <w:sz w:val="12"/>
                <w:szCs w:val="12"/>
                <w:color w:val="auto"/>
              </w:rPr>
            </w:pPr>
          </w:p>
        </w:tc>
        <w:tc>
          <w:tcPr>
            <w:tcW w:w="84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2"/>
                <w:szCs w:val="12"/>
                <w:color w:val="auto"/>
              </w:rPr>
            </w:pPr>
          </w:p>
        </w:tc>
        <w:tc>
          <w:tcPr>
            <w:tcW w:w="660" w:type="dxa"/>
            <w:vAlign w:val="bottom"/>
          </w:tcPr>
          <w:p>
            <w:pPr>
              <w:jc w:val="right"/>
              <w:ind w:right="8"/>
              <w:spacing w:after="0"/>
              <w:rPr>
                <w:sz w:val="20"/>
                <w:szCs w:val="20"/>
                <w:color w:val="auto"/>
              </w:rPr>
            </w:pPr>
            <w:r>
              <w:rPr>
                <w:rFonts w:ascii="Arial" w:cs="Arial" w:eastAsia="Arial" w:hAnsi="Arial"/>
                <w:sz w:val="10"/>
                <w:szCs w:val="10"/>
                <w:color w:val="auto"/>
              </w:rPr>
              <w:t>12.6</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880" w:type="dxa"/>
            <w:vAlign w:val="bottom"/>
          </w:tcPr>
          <w:p>
            <w:pPr>
              <w:jc w:val="right"/>
              <w:ind w:right="88"/>
              <w:spacing w:after="0"/>
              <w:rPr>
                <w:sz w:val="20"/>
                <w:szCs w:val="20"/>
                <w:color w:val="auto"/>
              </w:rPr>
            </w:pPr>
            <w:r>
              <w:rPr>
                <w:rFonts w:ascii="Arial" w:cs="Arial" w:eastAsia="Arial" w:hAnsi="Arial"/>
                <w:sz w:val="10"/>
                <w:szCs w:val="10"/>
                <w:color w:val="auto"/>
              </w:rPr>
              <w:t>13.2</w:t>
            </w:r>
          </w:p>
        </w:tc>
        <w:tc>
          <w:tcPr>
            <w:tcW w:w="320" w:type="dxa"/>
            <w:vAlign w:val="bottom"/>
          </w:tcPr>
          <w:p>
            <w:pPr>
              <w:spacing w:after="0"/>
              <w:rPr>
                <w:sz w:val="12"/>
                <w:szCs w:val="12"/>
                <w:color w:val="auto"/>
              </w:rPr>
            </w:pPr>
          </w:p>
        </w:tc>
        <w:tc>
          <w:tcPr>
            <w:tcW w:w="84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480" w:type="dxa"/>
            <w:vAlign w:val="bottom"/>
          </w:tcPr>
          <w:p>
            <w:pPr>
              <w:spacing w:after="0"/>
              <w:rPr>
                <w:sz w:val="12"/>
                <w:szCs w:val="12"/>
                <w:color w:val="auto"/>
              </w:rPr>
            </w:pPr>
          </w:p>
        </w:tc>
        <w:tc>
          <w:tcPr>
            <w:tcW w:w="620" w:type="dxa"/>
            <w:vAlign w:val="bottom"/>
          </w:tcPr>
          <w:p>
            <w:pPr>
              <w:jc w:val="right"/>
              <w:ind w:right="8"/>
              <w:spacing w:after="0"/>
              <w:rPr>
                <w:sz w:val="20"/>
                <w:szCs w:val="20"/>
                <w:color w:val="auto"/>
              </w:rPr>
            </w:pPr>
            <w:r>
              <w:rPr>
                <w:rFonts w:ascii="Arial" w:cs="Arial" w:eastAsia="Arial" w:hAnsi="Arial"/>
                <w:sz w:val="10"/>
                <w:szCs w:val="10"/>
                <w:color w:val="auto"/>
              </w:rPr>
              <w:t>13.2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Total segment sales</w:t>
            </w:r>
          </w:p>
        </w:tc>
        <w:tc>
          <w:tcPr>
            <w:tcW w:w="24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0"/>
                <w:szCs w:val="10"/>
                <w:color w:val="auto"/>
              </w:rPr>
              <w:t>512.0</w:t>
            </w:r>
          </w:p>
        </w:tc>
        <w:tc>
          <w:tcPr>
            <w:tcW w:w="3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0"/>
                <w:szCs w:val="10"/>
                <w:color w:val="auto"/>
              </w:rPr>
              <w:t>18.3</w:t>
            </w:r>
          </w:p>
        </w:tc>
        <w:tc>
          <w:tcPr>
            <w:tcW w:w="3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51.8</w:t>
            </w:r>
          </w:p>
        </w:tc>
        <w:tc>
          <w:tcPr>
            <w:tcW w:w="4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582.1</w:t>
            </w:r>
          </w:p>
        </w:tc>
        <w:tc>
          <w:tcPr>
            <w:tcW w:w="26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658.3</w:t>
            </w:r>
          </w:p>
        </w:tc>
        <w:tc>
          <w:tcPr>
            <w:tcW w:w="3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0"/>
                <w:szCs w:val="10"/>
                <w:color w:val="auto"/>
              </w:rPr>
              <w:t>17.3</w:t>
            </w:r>
          </w:p>
        </w:tc>
        <w:tc>
          <w:tcPr>
            <w:tcW w:w="3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52.1</w:t>
            </w:r>
          </w:p>
        </w:tc>
        <w:tc>
          <w:tcPr>
            <w:tcW w:w="4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727.7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880" w:type="dxa"/>
            <w:vAlign w:val="bottom"/>
          </w:tcPr>
          <w:p>
            <w:pPr>
              <w:ind w:left="20"/>
              <w:spacing w:after="0"/>
              <w:rPr>
                <w:sz w:val="20"/>
                <w:szCs w:val="20"/>
                <w:color w:val="auto"/>
              </w:rPr>
            </w:pPr>
            <w:r>
              <w:rPr>
                <w:rFonts w:ascii="Arial" w:cs="Arial" w:eastAsia="Arial" w:hAnsi="Arial"/>
                <w:sz w:val="10"/>
                <w:szCs w:val="10"/>
                <w:color w:val="auto"/>
              </w:rPr>
              <w:t>Intercompany eliminations</w:t>
            </w:r>
          </w:p>
        </w:tc>
        <w:tc>
          <w:tcPr>
            <w:tcW w:w="240" w:type="dxa"/>
            <w:vAlign w:val="bottom"/>
          </w:tcPr>
          <w:p>
            <w:pPr>
              <w:spacing w:after="0"/>
              <w:rPr>
                <w:sz w:val="12"/>
                <w:szCs w:val="12"/>
                <w:color w:val="auto"/>
              </w:rPr>
            </w:pPr>
          </w:p>
        </w:tc>
        <w:tc>
          <w:tcPr>
            <w:tcW w:w="840" w:type="dxa"/>
            <w:vAlign w:val="bottom"/>
          </w:tcPr>
          <w:p>
            <w:pPr>
              <w:jc w:val="right"/>
              <w:ind w:right="88"/>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880" w:type="dxa"/>
            <w:vAlign w:val="bottom"/>
          </w:tcPr>
          <w:p>
            <w:pPr>
              <w:jc w:val="right"/>
              <w:ind w:right="48"/>
              <w:spacing w:after="0"/>
              <w:rPr>
                <w:sz w:val="20"/>
                <w:szCs w:val="20"/>
                <w:color w:val="auto"/>
              </w:rPr>
            </w:pPr>
            <w:r>
              <w:rPr>
                <w:rFonts w:ascii="Arial" w:cs="Arial" w:eastAsia="Arial" w:hAnsi="Arial"/>
                <w:sz w:val="10"/>
                <w:szCs w:val="10"/>
                <w:color w:val="auto"/>
              </w:rPr>
              <w:t>(12.6)</w:t>
            </w:r>
          </w:p>
        </w:tc>
        <w:tc>
          <w:tcPr>
            <w:tcW w:w="320" w:type="dxa"/>
            <w:vAlign w:val="bottom"/>
          </w:tcPr>
          <w:p>
            <w:pPr>
              <w:spacing w:after="0"/>
              <w:rPr>
                <w:sz w:val="12"/>
                <w:szCs w:val="12"/>
                <w:color w:val="auto"/>
              </w:rPr>
            </w:pPr>
          </w:p>
        </w:tc>
        <w:tc>
          <w:tcPr>
            <w:tcW w:w="84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(12.6)</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880" w:type="dxa"/>
            <w:vAlign w:val="bottom"/>
          </w:tcPr>
          <w:p>
            <w:pPr>
              <w:jc w:val="right"/>
              <w:ind w:right="48"/>
              <w:spacing w:after="0"/>
              <w:rPr>
                <w:sz w:val="20"/>
                <w:szCs w:val="20"/>
                <w:color w:val="auto"/>
              </w:rPr>
            </w:pPr>
            <w:r>
              <w:rPr>
                <w:rFonts w:ascii="Arial" w:cs="Arial" w:eastAsia="Arial" w:hAnsi="Arial"/>
                <w:sz w:val="10"/>
                <w:szCs w:val="10"/>
                <w:color w:val="auto"/>
              </w:rPr>
              <w:t>(13.2)</w:t>
            </w:r>
          </w:p>
        </w:tc>
        <w:tc>
          <w:tcPr>
            <w:tcW w:w="320" w:type="dxa"/>
            <w:vAlign w:val="bottom"/>
          </w:tcPr>
          <w:p>
            <w:pPr>
              <w:spacing w:after="0"/>
              <w:rPr>
                <w:sz w:val="12"/>
                <w:szCs w:val="12"/>
                <w:color w:val="auto"/>
              </w:rPr>
            </w:pPr>
          </w:p>
        </w:tc>
        <w:tc>
          <w:tcPr>
            <w:tcW w:w="84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4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1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Total net sales</w:t>
            </w:r>
          </w:p>
        </w:tc>
        <w:tc>
          <w:tcPr>
            <w:tcW w:w="24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0"/>
                <w:szCs w:val="10"/>
                <w:color w:val="auto"/>
              </w:rPr>
              <w:t>512.0</w:t>
            </w:r>
          </w:p>
        </w:tc>
        <w:tc>
          <w:tcPr>
            <w:tcW w:w="30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0"/>
                <w:szCs w:val="10"/>
                <w:color w:val="auto"/>
              </w:rPr>
              <w:t>5.7</w:t>
            </w:r>
          </w:p>
        </w:tc>
        <w:tc>
          <w:tcPr>
            <w:tcW w:w="32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51.8</w:t>
            </w:r>
          </w:p>
        </w:tc>
        <w:tc>
          <w:tcPr>
            <w:tcW w:w="44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569.5</w:t>
            </w:r>
          </w:p>
        </w:tc>
        <w:tc>
          <w:tcPr>
            <w:tcW w:w="26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ind w:right="268"/>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658.3</w:t>
            </w:r>
          </w:p>
        </w:tc>
        <w:tc>
          <w:tcPr>
            <w:tcW w:w="30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0"/>
                <w:szCs w:val="10"/>
                <w:color w:val="auto"/>
              </w:rPr>
              <w:t>4.1</w:t>
            </w:r>
          </w:p>
        </w:tc>
        <w:tc>
          <w:tcPr>
            <w:tcW w:w="32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52.1</w:t>
            </w:r>
          </w:p>
        </w:tc>
        <w:tc>
          <w:tcPr>
            <w:tcW w:w="480" w:type="dxa"/>
            <w:vAlign w:val="bottom"/>
            <w:tcBorders>
              <w:bottom w:val="single" w:sz="8" w:color="CCEEFF"/>
            </w:tcBorders>
            <w:shd w:val="clear" w:color="auto" w:fill="CCEEFF"/>
          </w:tcPr>
          <w:p>
            <w:pPr>
              <w:jc w:val="right"/>
              <w:ind w:right="268"/>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714.5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8"/>
        </w:trPr>
        <w:tc>
          <w:tcPr>
            <w:tcW w:w="40" w:type="dxa"/>
            <w:vAlign w:val="bottom"/>
            <w:tcBorders>
              <w:bottom w:val="single" w:sz="8" w:color="9A9A9A"/>
            </w:tcBorders>
          </w:tcPr>
          <w:p>
            <w:pPr>
              <w:spacing w:after="0"/>
              <w:rPr>
                <w:sz w:val="24"/>
                <w:szCs w:val="24"/>
                <w:color w:val="auto"/>
              </w:rPr>
            </w:pPr>
          </w:p>
        </w:tc>
        <w:tc>
          <w:tcPr>
            <w:tcW w:w="1880" w:type="dxa"/>
            <w:vAlign w:val="bottom"/>
            <w:tcBorders>
              <w:top w:val="single" w:sz="8" w:color="auto"/>
              <w:bottom w:val="single" w:sz="8" w:color="9A9A9A"/>
            </w:tcBorders>
          </w:tcPr>
          <w:p>
            <w:pPr>
              <w:spacing w:after="0"/>
              <w:rPr>
                <w:sz w:val="24"/>
                <w:szCs w:val="24"/>
                <w:color w:val="auto"/>
              </w:rPr>
            </w:pPr>
          </w:p>
        </w:tc>
        <w:tc>
          <w:tcPr>
            <w:tcW w:w="240" w:type="dxa"/>
            <w:vAlign w:val="bottom"/>
            <w:tcBorders>
              <w:top w:val="single" w:sz="8" w:color="auto"/>
              <w:bottom w:val="single" w:sz="8" w:color="9A9A9A"/>
            </w:tcBorders>
          </w:tcPr>
          <w:p>
            <w:pPr>
              <w:spacing w:after="0"/>
              <w:rPr>
                <w:sz w:val="24"/>
                <w:szCs w:val="24"/>
                <w:color w:val="auto"/>
              </w:rPr>
            </w:pPr>
          </w:p>
        </w:tc>
        <w:tc>
          <w:tcPr>
            <w:tcW w:w="840" w:type="dxa"/>
            <w:vAlign w:val="bottom"/>
            <w:tcBorders>
              <w:top w:val="single" w:sz="8" w:color="auto"/>
              <w:bottom w:val="single" w:sz="8" w:color="9A9A9A"/>
            </w:tcBorders>
          </w:tcPr>
          <w:p>
            <w:pPr>
              <w:spacing w:after="0"/>
              <w:rPr>
                <w:sz w:val="24"/>
                <w:szCs w:val="24"/>
                <w:color w:val="auto"/>
              </w:rPr>
            </w:pPr>
          </w:p>
        </w:tc>
        <w:tc>
          <w:tcPr>
            <w:tcW w:w="300" w:type="dxa"/>
            <w:vAlign w:val="bottom"/>
            <w:tcBorders>
              <w:top w:val="single" w:sz="8" w:color="auto"/>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320" w:type="dxa"/>
            <w:vAlign w:val="bottom"/>
            <w:tcBorders>
              <w:top w:val="single" w:sz="8" w:color="auto"/>
              <w:bottom w:val="single" w:sz="8" w:color="9A9A9A"/>
            </w:tcBorders>
          </w:tcPr>
          <w:p>
            <w:pPr>
              <w:spacing w:after="0"/>
              <w:rPr>
                <w:sz w:val="24"/>
                <w:szCs w:val="24"/>
                <w:color w:val="auto"/>
              </w:rPr>
            </w:pPr>
          </w:p>
        </w:tc>
        <w:tc>
          <w:tcPr>
            <w:tcW w:w="840" w:type="dxa"/>
            <w:vAlign w:val="bottom"/>
            <w:tcBorders>
              <w:top w:val="single" w:sz="8" w:color="auto"/>
              <w:bottom w:val="single" w:sz="8" w:color="9A9A9A"/>
            </w:tcBorders>
          </w:tcPr>
          <w:p>
            <w:pPr>
              <w:spacing w:after="0"/>
              <w:rPr>
                <w:sz w:val="24"/>
                <w:szCs w:val="24"/>
                <w:color w:val="auto"/>
              </w:rPr>
            </w:pPr>
          </w:p>
        </w:tc>
        <w:tc>
          <w:tcPr>
            <w:tcW w:w="440" w:type="dxa"/>
            <w:vAlign w:val="bottom"/>
            <w:tcBorders>
              <w:top w:val="single" w:sz="8" w:color="auto"/>
              <w:bottom w:val="single" w:sz="8" w:color="9A9A9A"/>
            </w:tcBorders>
          </w:tcPr>
          <w:p>
            <w:pPr>
              <w:spacing w:after="0"/>
              <w:rPr>
                <w:sz w:val="24"/>
                <w:szCs w:val="24"/>
                <w:color w:val="auto"/>
              </w:rPr>
            </w:pPr>
          </w:p>
        </w:tc>
        <w:tc>
          <w:tcPr>
            <w:tcW w:w="660" w:type="dxa"/>
            <w:vAlign w:val="bottom"/>
            <w:tcBorders>
              <w:top w:val="single" w:sz="8" w:color="auto"/>
              <w:bottom w:val="single" w:sz="8" w:color="9A9A9A"/>
            </w:tcBorders>
          </w:tcPr>
          <w:p>
            <w:pPr>
              <w:spacing w:after="0"/>
              <w:rPr>
                <w:sz w:val="24"/>
                <w:szCs w:val="24"/>
                <w:color w:val="auto"/>
              </w:rPr>
            </w:pPr>
          </w:p>
        </w:tc>
        <w:tc>
          <w:tcPr>
            <w:tcW w:w="260" w:type="dxa"/>
            <w:vAlign w:val="bottom"/>
            <w:tcBorders>
              <w:top w:val="single" w:sz="8" w:color="auto"/>
              <w:bottom w:val="single" w:sz="8" w:color="9A9A9A"/>
            </w:tcBorders>
          </w:tcPr>
          <w:p>
            <w:pPr>
              <w:spacing w:after="0"/>
              <w:rPr>
                <w:sz w:val="24"/>
                <w:szCs w:val="24"/>
                <w:color w:val="auto"/>
              </w:rPr>
            </w:pPr>
          </w:p>
        </w:tc>
        <w:tc>
          <w:tcPr>
            <w:tcW w:w="380" w:type="dxa"/>
            <w:vAlign w:val="bottom"/>
            <w:tcBorders>
              <w:top w:val="single" w:sz="8" w:color="auto"/>
              <w:bottom w:val="single" w:sz="8" w:color="9A9A9A"/>
            </w:tcBorders>
          </w:tcPr>
          <w:p>
            <w:pPr>
              <w:spacing w:after="0"/>
              <w:rPr>
                <w:sz w:val="24"/>
                <w:szCs w:val="24"/>
                <w:color w:val="auto"/>
              </w:rPr>
            </w:pPr>
          </w:p>
        </w:tc>
        <w:tc>
          <w:tcPr>
            <w:tcW w:w="700" w:type="dxa"/>
            <w:vAlign w:val="bottom"/>
            <w:tcBorders>
              <w:top w:val="single" w:sz="8" w:color="auto"/>
              <w:bottom w:val="single" w:sz="8" w:color="9A9A9A"/>
            </w:tcBorders>
          </w:tcPr>
          <w:p>
            <w:pPr>
              <w:spacing w:after="0"/>
              <w:rPr>
                <w:sz w:val="24"/>
                <w:szCs w:val="24"/>
                <w:color w:val="auto"/>
              </w:rPr>
            </w:pPr>
          </w:p>
        </w:tc>
        <w:tc>
          <w:tcPr>
            <w:tcW w:w="300" w:type="dxa"/>
            <w:vAlign w:val="bottom"/>
            <w:tcBorders>
              <w:top w:val="single" w:sz="8" w:color="auto"/>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320" w:type="dxa"/>
            <w:vAlign w:val="bottom"/>
            <w:tcBorders>
              <w:top w:val="single" w:sz="8" w:color="auto"/>
              <w:bottom w:val="single" w:sz="8" w:color="9A9A9A"/>
            </w:tcBorders>
          </w:tcPr>
          <w:p>
            <w:pPr>
              <w:spacing w:after="0"/>
              <w:rPr>
                <w:sz w:val="24"/>
                <w:szCs w:val="24"/>
                <w:color w:val="auto"/>
              </w:rPr>
            </w:pPr>
          </w:p>
        </w:tc>
        <w:tc>
          <w:tcPr>
            <w:tcW w:w="840" w:type="dxa"/>
            <w:vAlign w:val="bottom"/>
            <w:tcBorders>
              <w:top w:val="single" w:sz="8" w:color="auto"/>
              <w:bottom w:val="single" w:sz="8" w:color="9A9A9A"/>
            </w:tcBorders>
          </w:tcPr>
          <w:p>
            <w:pPr>
              <w:spacing w:after="0"/>
              <w:rPr>
                <w:sz w:val="24"/>
                <w:szCs w:val="24"/>
                <w:color w:val="auto"/>
              </w:rPr>
            </w:pPr>
          </w:p>
        </w:tc>
        <w:tc>
          <w:tcPr>
            <w:tcW w:w="480" w:type="dxa"/>
            <w:vAlign w:val="bottom"/>
            <w:tcBorders>
              <w:top w:val="single" w:sz="8" w:color="auto"/>
              <w:bottom w:val="single" w:sz="8" w:color="9A9A9A"/>
            </w:tcBorders>
          </w:tcPr>
          <w:p>
            <w:pPr>
              <w:spacing w:after="0"/>
              <w:rPr>
                <w:sz w:val="24"/>
                <w:szCs w:val="24"/>
                <w:color w:val="auto"/>
              </w:rPr>
            </w:pPr>
          </w:p>
        </w:tc>
        <w:tc>
          <w:tcPr>
            <w:tcW w:w="620" w:type="dxa"/>
            <w:vAlign w:val="bottom"/>
            <w:tcBorders>
              <w:top w:val="single" w:sz="8" w:color="auto"/>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020" w:type="dxa"/>
            <w:vAlign w:val="bottom"/>
          </w:tcPr>
          <w:p>
            <w:pPr>
              <w:spacing w:after="0"/>
              <w:rPr>
                <w:sz w:val="20"/>
                <w:szCs w:val="20"/>
                <w:color w:val="auto"/>
              </w:rPr>
            </w:pPr>
            <w:r>
              <w:rPr>
                <w:rFonts w:ascii="Arial" w:cs="Arial" w:eastAsia="Arial" w:hAnsi="Arial"/>
                <w:sz w:val="14"/>
                <w:szCs w:val="14"/>
                <w:i w:val="1"/>
                <w:iCs w:val="1"/>
                <w:color w:val="auto"/>
              </w:rPr>
              <w:t>Segment operating income (loss)</w:t>
            </w:r>
          </w:p>
        </w:tc>
        <w:tc>
          <w:tcPr>
            <w:tcW w:w="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488"/>
        </w:trPr>
        <w:tc>
          <w:tcPr>
            <w:tcW w:w="4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60" w:type="dxa"/>
            <w:vAlign w:val="bottom"/>
            <w:gridSpan w:val="2"/>
          </w:tcPr>
          <w:p>
            <w:pPr>
              <w:jc w:val="center"/>
              <w:ind w:left="131"/>
              <w:spacing w:after="0"/>
              <w:rPr>
                <w:sz w:val="20"/>
                <w:szCs w:val="20"/>
                <w:color w:val="auto"/>
              </w:rPr>
            </w:pPr>
            <w:r>
              <w:rPr>
                <w:rFonts w:ascii="Arial" w:cs="Arial" w:eastAsia="Arial" w:hAnsi="Arial"/>
                <w:sz w:val="14"/>
                <w:szCs w:val="14"/>
                <w:b w:val="1"/>
                <w:bCs w:val="1"/>
                <w:color w:val="auto"/>
                <w:w w:val="98"/>
              </w:rPr>
              <w:t>Three Months Ended</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80" w:type="dxa"/>
            <w:vAlign w:val="bottom"/>
            <w:gridSpan w:val="2"/>
          </w:tcPr>
          <w:p>
            <w:pPr>
              <w:jc w:val="center"/>
              <w:ind w:left="91"/>
              <w:spacing w:after="0"/>
              <w:rPr>
                <w:sz w:val="20"/>
                <w:szCs w:val="20"/>
                <w:color w:val="auto"/>
              </w:rPr>
            </w:pPr>
            <w:r>
              <w:rPr>
                <w:rFonts w:ascii="Arial" w:cs="Arial" w:eastAsia="Arial" w:hAnsi="Arial"/>
                <w:sz w:val="14"/>
                <w:szCs w:val="14"/>
                <w:b w:val="1"/>
                <w:bCs w:val="1"/>
                <w:color w:val="auto"/>
                <w:w w:val="98"/>
              </w:rPr>
              <w:t>Six Months Ended</w:t>
            </w:r>
          </w:p>
        </w:tc>
        <w:tc>
          <w:tcPr>
            <w:tcW w:w="780" w:type="dxa"/>
            <w:vAlign w:val="bottom"/>
          </w:tcPr>
          <w:p>
            <w:pPr>
              <w:spacing w:after="0"/>
              <w:rPr>
                <w:sz w:val="24"/>
                <w:szCs w:val="24"/>
                <w:color w:val="auto"/>
              </w:rPr>
            </w:pPr>
          </w:p>
        </w:tc>
      </w:tr>
      <w:tr>
        <w:trPr>
          <w:trHeight w:val="196"/>
        </w:trPr>
        <w:tc>
          <w:tcPr>
            <w:tcW w:w="40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2"/>
          </w:tcPr>
          <w:p>
            <w:pPr>
              <w:jc w:val="center"/>
              <w:ind w:left="111"/>
              <w:spacing w:after="0"/>
              <w:rPr>
                <w:sz w:val="20"/>
                <w:szCs w:val="20"/>
                <w:color w:val="auto"/>
              </w:rPr>
            </w:pPr>
            <w:r>
              <w:rPr>
                <w:rFonts w:ascii="Arial" w:cs="Arial" w:eastAsia="Arial" w:hAnsi="Arial"/>
                <w:sz w:val="14"/>
                <w:szCs w:val="14"/>
                <w:b w:val="1"/>
                <w:bCs w:val="1"/>
                <w:color w:val="auto"/>
                <w:w w:val="97"/>
              </w:rPr>
              <w:t>April 30,</w:t>
            </w:r>
          </w:p>
        </w:tc>
        <w:tc>
          <w:tcPr>
            <w:tcW w:w="7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2"/>
          </w:tcPr>
          <w:p>
            <w:pPr>
              <w:jc w:val="center"/>
              <w:ind w:left="71"/>
              <w:spacing w:after="0"/>
              <w:rPr>
                <w:sz w:val="20"/>
                <w:szCs w:val="20"/>
                <w:color w:val="auto"/>
              </w:rPr>
            </w:pPr>
            <w:r>
              <w:rPr>
                <w:rFonts w:ascii="Arial" w:cs="Arial" w:eastAsia="Arial" w:hAnsi="Arial"/>
                <w:sz w:val="14"/>
                <w:szCs w:val="14"/>
                <w:b w:val="1"/>
                <w:bCs w:val="1"/>
                <w:color w:val="auto"/>
                <w:w w:val="97"/>
              </w:rPr>
              <w:t>April 30,</w:t>
            </w:r>
          </w:p>
        </w:tc>
        <w:tc>
          <w:tcPr>
            <w:tcW w:w="780" w:type="dxa"/>
            <w:vAlign w:val="bottom"/>
            <w:tcBorders>
              <w:bottom w:val="single" w:sz="8" w:color="auto"/>
            </w:tcBorders>
          </w:tcPr>
          <w:p>
            <w:pPr>
              <w:spacing w:after="0"/>
              <w:rPr>
                <w:sz w:val="17"/>
                <w:szCs w:val="17"/>
                <w:color w:val="auto"/>
              </w:rPr>
            </w:pPr>
          </w:p>
        </w:tc>
      </w:tr>
      <w:tr>
        <w:trPr>
          <w:trHeight w:val="215"/>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5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2026</w:t>
            </w:r>
          </w:p>
        </w:tc>
        <w:tc>
          <w:tcPr>
            <w:tcW w:w="10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2026</w:t>
            </w:r>
          </w:p>
        </w:tc>
        <w:tc>
          <w:tcPr>
            <w:tcW w:w="9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2025</w:t>
            </w:r>
          </w:p>
        </w:tc>
      </w:tr>
      <w:tr>
        <w:trPr>
          <w:trHeight w:val="196"/>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Segment operating income (loss):</w:t>
            </w:r>
          </w:p>
        </w:tc>
        <w:tc>
          <w:tcPr>
            <w:tcW w:w="5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r>
      <w:tr>
        <w:trPr>
          <w:trHeight w:val="199"/>
        </w:trPr>
        <w:tc>
          <w:tcPr>
            <w:tcW w:w="4020" w:type="dxa"/>
            <w:vAlign w:val="bottom"/>
          </w:tcPr>
          <w:p>
            <w:pPr>
              <w:ind w:left="120"/>
              <w:spacing w:after="0"/>
              <w:rPr>
                <w:sz w:val="20"/>
                <w:szCs w:val="20"/>
                <w:color w:val="auto"/>
              </w:rPr>
            </w:pPr>
            <w:r>
              <w:rPr>
                <w:rFonts w:ascii="Arial" w:cs="Arial" w:eastAsia="Arial" w:hAnsi="Arial"/>
                <w:sz w:val="14"/>
                <w:szCs w:val="14"/>
                <w:color w:val="auto"/>
              </w:rPr>
              <w:t>Marketing &amp; Distribution</w:t>
            </w:r>
          </w:p>
        </w:tc>
        <w:tc>
          <w:tcPr>
            <w:tcW w:w="560" w:type="dxa"/>
            <w:vAlign w:val="bottom"/>
          </w:tcPr>
          <w:p>
            <w:pPr>
              <w:jc w:val="right"/>
              <w:ind w:right="411"/>
              <w:spacing w:after="0"/>
              <w:rPr>
                <w:sz w:val="20"/>
                <w:szCs w:val="20"/>
                <w:color w:val="auto"/>
              </w:rPr>
            </w:pPr>
            <w:r>
              <w:rPr>
                <w:rFonts w:ascii="Arial" w:cs="Arial" w:eastAsia="Arial" w:hAnsi="Arial"/>
                <w:sz w:val="14"/>
                <w:szCs w:val="14"/>
                <w:color w:val="auto"/>
                <w:w w:val="76"/>
              </w:rPr>
              <w:t>$</w:t>
            </w:r>
          </w:p>
        </w:tc>
        <w:tc>
          <w:tcPr>
            <w:tcW w:w="1160" w:type="dxa"/>
            <w:vAlign w:val="bottom"/>
          </w:tcPr>
          <w:p>
            <w:pPr>
              <w:jc w:val="center"/>
              <w:ind w:left="611"/>
              <w:spacing w:after="0"/>
              <w:rPr>
                <w:sz w:val="20"/>
                <w:szCs w:val="20"/>
                <w:color w:val="auto"/>
              </w:rPr>
            </w:pPr>
            <w:r>
              <w:rPr>
                <w:rFonts w:ascii="Arial" w:cs="Arial" w:eastAsia="Arial" w:hAnsi="Arial"/>
                <w:sz w:val="14"/>
                <w:szCs w:val="14"/>
                <w:color w:val="auto"/>
                <w:w w:val="97"/>
              </w:rPr>
              <w:t>(3.8)</w:t>
            </w:r>
          </w:p>
        </w:tc>
        <w:tc>
          <w:tcPr>
            <w:tcW w:w="1000" w:type="dxa"/>
            <w:vAlign w:val="bottom"/>
          </w:tcPr>
          <w:p>
            <w:pPr>
              <w:jc w:val="right"/>
              <w:ind w:right="751"/>
              <w:spacing w:after="0"/>
              <w:rPr>
                <w:sz w:val="20"/>
                <w:szCs w:val="20"/>
                <w:color w:val="auto"/>
              </w:rPr>
            </w:pPr>
            <w:r>
              <w:rPr>
                <w:rFonts w:ascii="Arial" w:cs="Arial" w:eastAsia="Arial" w:hAnsi="Arial"/>
                <w:sz w:val="14"/>
                <w:szCs w:val="14"/>
                <w:color w:val="auto"/>
              </w:rPr>
              <w:t>$</w:t>
            </w:r>
          </w:p>
        </w:tc>
        <w:tc>
          <w:tcPr>
            <w:tcW w:w="760" w:type="dxa"/>
            <w:vAlign w:val="bottom"/>
          </w:tcPr>
          <w:p>
            <w:pPr>
              <w:jc w:val="center"/>
              <w:ind w:left="351"/>
              <w:spacing w:after="0"/>
              <w:rPr>
                <w:sz w:val="20"/>
                <w:szCs w:val="20"/>
                <w:color w:val="auto"/>
              </w:rPr>
            </w:pPr>
            <w:r>
              <w:rPr>
                <w:rFonts w:ascii="Arial" w:cs="Arial" w:eastAsia="Arial" w:hAnsi="Arial"/>
                <w:sz w:val="14"/>
                <w:szCs w:val="14"/>
                <w:color w:val="auto"/>
                <w:w w:val="92"/>
              </w:rPr>
              <w:t>7.6</w:t>
            </w:r>
          </w:p>
        </w:tc>
        <w:tc>
          <w:tcPr>
            <w:tcW w:w="260" w:type="dxa"/>
            <w:vAlign w:val="bottom"/>
          </w:tcPr>
          <w:p>
            <w:pPr>
              <w:spacing w:after="0"/>
              <w:rPr>
                <w:sz w:val="17"/>
                <w:szCs w:val="17"/>
                <w:color w:val="auto"/>
              </w:rPr>
            </w:pPr>
          </w:p>
        </w:tc>
        <w:tc>
          <w:tcPr>
            <w:tcW w:w="620" w:type="dxa"/>
            <w:vAlign w:val="bottom"/>
          </w:tcPr>
          <w:p>
            <w:pPr>
              <w:jc w:val="right"/>
              <w:ind w:right="471"/>
              <w:spacing w:after="0"/>
              <w:rPr>
                <w:sz w:val="20"/>
                <w:szCs w:val="20"/>
                <w:color w:val="auto"/>
              </w:rPr>
            </w:pPr>
            <w:r>
              <w:rPr>
                <w:rFonts w:ascii="Arial" w:cs="Arial" w:eastAsia="Arial" w:hAnsi="Arial"/>
                <w:sz w:val="14"/>
                <w:szCs w:val="14"/>
                <w:color w:val="auto"/>
                <w:w w:val="76"/>
              </w:rPr>
              <w:t>$</w:t>
            </w:r>
          </w:p>
        </w:tc>
        <w:tc>
          <w:tcPr>
            <w:tcW w:w="1100" w:type="dxa"/>
            <w:vAlign w:val="bottom"/>
          </w:tcPr>
          <w:p>
            <w:pPr>
              <w:jc w:val="center"/>
              <w:ind w:left="551"/>
              <w:spacing w:after="0"/>
              <w:rPr>
                <w:sz w:val="20"/>
                <w:szCs w:val="20"/>
                <w:color w:val="auto"/>
              </w:rPr>
            </w:pPr>
            <w:r>
              <w:rPr>
                <w:rFonts w:ascii="Arial" w:cs="Arial" w:eastAsia="Arial" w:hAnsi="Arial"/>
                <w:sz w:val="14"/>
                <w:szCs w:val="14"/>
                <w:color w:val="auto"/>
                <w:w w:val="97"/>
              </w:rPr>
              <w:t>(2.7)</w:t>
            </w:r>
          </w:p>
        </w:tc>
        <w:tc>
          <w:tcPr>
            <w:tcW w:w="980" w:type="dxa"/>
            <w:vAlign w:val="bottom"/>
          </w:tcPr>
          <w:p>
            <w:pPr>
              <w:jc w:val="right"/>
              <w:ind w:right="731"/>
              <w:spacing w:after="0"/>
              <w:rPr>
                <w:sz w:val="20"/>
                <w:szCs w:val="20"/>
                <w:color w:val="auto"/>
              </w:rPr>
            </w:pPr>
            <w:r>
              <w:rPr>
                <w:rFonts w:ascii="Arial" w:cs="Arial" w:eastAsia="Arial" w:hAnsi="Arial"/>
                <w:sz w:val="14"/>
                <w:szCs w:val="14"/>
                <w:color w:val="auto"/>
              </w:rPr>
              <w:t>$</w:t>
            </w:r>
          </w:p>
        </w:tc>
        <w:tc>
          <w:tcPr>
            <w:tcW w:w="780" w:type="dxa"/>
            <w:vAlign w:val="bottom"/>
          </w:tcPr>
          <w:p>
            <w:pPr>
              <w:jc w:val="center"/>
              <w:ind w:left="411"/>
              <w:spacing w:after="0"/>
              <w:rPr>
                <w:sz w:val="20"/>
                <w:szCs w:val="20"/>
                <w:color w:val="auto"/>
              </w:rPr>
            </w:pPr>
            <w:r>
              <w:rPr>
                <w:rFonts w:ascii="Arial" w:cs="Arial" w:eastAsia="Arial" w:hAnsi="Arial"/>
                <w:sz w:val="14"/>
                <w:szCs w:val="14"/>
                <w:color w:val="auto"/>
                <w:w w:val="92"/>
              </w:rPr>
              <w:t>9.4</w:t>
            </w:r>
          </w:p>
        </w:tc>
      </w:tr>
      <w:tr>
        <w:trPr>
          <w:trHeight w:val="20"/>
        </w:trPr>
        <w:tc>
          <w:tcPr>
            <w:tcW w:w="4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9"/>
        </w:trPr>
        <w:tc>
          <w:tcPr>
            <w:tcW w:w="4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International Farming</w:t>
            </w:r>
          </w:p>
        </w:tc>
        <w:tc>
          <w:tcPr>
            <w:tcW w:w="5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center"/>
              <w:ind w:left="611"/>
              <w:spacing w:after="0"/>
              <w:rPr>
                <w:sz w:val="20"/>
                <w:szCs w:val="20"/>
                <w:color w:val="auto"/>
              </w:rPr>
            </w:pPr>
            <w:r>
              <w:rPr>
                <w:rFonts w:ascii="Arial" w:cs="Arial" w:eastAsia="Arial" w:hAnsi="Arial"/>
                <w:sz w:val="14"/>
                <w:szCs w:val="14"/>
                <w:color w:val="auto"/>
                <w:w w:val="97"/>
              </w:rPr>
              <w:t>(3.9)</w:t>
            </w:r>
          </w:p>
        </w:tc>
        <w:tc>
          <w:tcPr>
            <w:tcW w:w="10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center"/>
              <w:ind w:left="331"/>
              <w:spacing w:after="0"/>
              <w:rPr>
                <w:sz w:val="20"/>
                <w:szCs w:val="20"/>
                <w:color w:val="auto"/>
              </w:rPr>
            </w:pPr>
            <w:r>
              <w:rPr>
                <w:rFonts w:ascii="Arial" w:cs="Arial" w:eastAsia="Arial" w:hAnsi="Arial"/>
                <w:sz w:val="14"/>
                <w:szCs w:val="14"/>
                <w:color w:val="auto"/>
                <w:w w:val="97"/>
              </w:rPr>
              <w:t>(1.3)</w:t>
            </w:r>
          </w:p>
        </w:tc>
        <w:tc>
          <w:tcPr>
            <w:tcW w:w="2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center"/>
              <w:ind w:left="551"/>
              <w:spacing w:after="0"/>
              <w:rPr>
                <w:sz w:val="20"/>
                <w:szCs w:val="20"/>
                <w:color w:val="auto"/>
              </w:rPr>
            </w:pPr>
            <w:r>
              <w:rPr>
                <w:rFonts w:ascii="Arial" w:cs="Arial" w:eastAsia="Arial" w:hAnsi="Arial"/>
                <w:sz w:val="14"/>
                <w:szCs w:val="14"/>
                <w:color w:val="auto"/>
                <w:w w:val="97"/>
              </w:rPr>
              <w:t>(3.6)</w:t>
            </w:r>
          </w:p>
        </w:tc>
        <w:tc>
          <w:tcPr>
            <w:tcW w:w="9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ind w:left="391"/>
              <w:spacing w:after="0"/>
              <w:rPr>
                <w:sz w:val="20"/>
                <w:szCs w:val="20"/>
                <w:color w:val="auto"/>
              </w:rPr>
            </w:pPr>
            <w:r>
              <w:rPr>
                <w:rFonts w:ascii="Arial" w:cs="Arial" w:eastAsia="Arial" w:hAnsi="Arial"/>
                <w:sz w:val="14"/>
                <w:szCs w:val="14"/>
                <w:color w:val="auto"/>
                <w:w w:val="97"/>
              </w:rPr>
              <w:t>(1.4)</w:t>
            </w:r>
          </w:p>
        </w:tc>
      </w:tr>
      <w:tr>
        <w:trPr>
          <w:trHeight w:val="199"/>
        </w:trPr>
        <w:tc>
          <w:tcPr>
            <w:tcW w:w="4020" w:type="dxa"/>
            <w:vAlign w:val="bottom"/>
          </w:tcPr>
          <w:p>
            <w:pPr>
              <w:ind w:left="120"/>
              <w:spacing w:after="0"/>
              <w:rPr>
                <w:sz w:val="20"/>
                <w:szCs w:val="20"/>
                <w:color w:val="auto"/>
              </w:rPr>
            </w:pPr>
            <w:r>
              <w:rPr>
                <w:rFonts w:ascii="Arial" w:cs="Arial" w:eastAsia="Arial" w:hAnsi="Arial"/>
                <w:sz w:val="14"/>
                <w:szCs w:val="14"/>
                <w:color w:val="auto"/>
              </w:rPr>
              <w:t>Blueberries</w:t>
            </w:r>
          </w:p>
        </w:tc>
        <w:tc>
          <w:tcPr>
            <w:tcW w:w="560" w:type="dxa"/>
            <w:vAlign w:val="bottom"/>
          </w:tcPr>
          <w:p>
            <w:pPr>
              <w:spacing w:after="0"/>
              <w:rPr>
                <w:sz w:val="17"/>
                <w:szCs w:val="17"/>
                <w:color w:val="auto"/>
              </w:rPr>
            </w:pPr>
          </w:p>
        </w:tc>
        <w:tc>
          <w:tcPr>
            <w:tcW w:w="1160" w:type="dxa"/>
            <w:vAlign w:val="bottom"/>
          </w:tcPr>
          <w:p>
            <w:pPr>
              <w:jc w:val="center"/>
              <w:ind w:left="651"/>
              <w:spacing w:after="0"/>
              <w:rPr>
                <w:sz w:val="20"/>
                <w:szCs w:val="20"/>
                <w:color w:val="auto"/>
              </w:rPr>
            </w:pPr>
            <w:r>
              <w:rPr>
                <w:rFonts w:ascii="Arial" w:cs="Arial" w:eastAsia="Arial" w:hAnsi="Arial"/>
                <w:sz w:val="14"/>
                <w:szCs w:val="14"/>
                <w:color w:val="auto"/>
              </w:rPr>
              <w:t>0.7</w:t>
            </w:r>
          </w:p>
        </w:tc>
        <w:tc>
          <w:tcPr>
            <w:tcW w:w="1000" w:type="dxa"/>
            <w:vAlign w:val="bottom"/>
          </w:tcPr>
          <w:p>
            <w:pPr>
              <w:spacing w:after="0"/>
              <w:rPr>
                <w:sz w:val="17"/>
                <w:szCs w:val="17"/>
                <w:color w:val="auto"/>
              </w:rPr>
            </w:pPr>
          </w:p>
        </w:tc>
        <w:tc>
          <w:tcPr>
            <w:tcW w:w="760" w:type="dxa"/>
            <w:vAlign w:val="bottom"/>
          </w:tcPr>
          <w:p>
            <w:pPr>
              <w:jc w:val="center"/>
              <w:ind w:left="351"/>
              <w:spacing w:after="0"/>
              <w:rPr>
                <w:sz w:val="20"/>
                <w:szCs w:val="20"/>
                <w:color w:val="auto"/>
              </w:rPr>
            </w:pPr>
            <w:r>
              <w:rPr>
                <w:rFonts w:ascii="Arial" w:cs="Arial" w:eastAsia="Arial" w:hAnsi="Arial"/>
                <w:sz w:val="14"/>
                <w:szCs w:val="14"/>
                <w:color w:val="auto"/>
                <w:w w:val="92"/>
              </w:rPr>
              <w:t>0.6</w:t>
            </w: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jc w:val="center"/>
              <w:ind w:left="591"/>
              <w:spacing w:after="0"/>
              <w:rPr>
                <w:sz w:val="20"/>
                <w:szCs w:val="20"/>
                <w:color w:val="auto"/>
              </w:rPr>
            </w:pPr>
            <w:r>
              <w:rPr>
                <w:rFonts w:ascii="Arial" w:cs="Arial" w:eastAsia="Arial" w:hAnsi="Arial"/>
                <w:sz w:val="14"/>
                <w:szCs w:val="14"/>
                <w:color w:val="auto"/>
              </w:rPr>
              <w:t>1.8</w:t>
            </w:r>
          </w:p>
        </w:tc>
        <w:tc>
          <w:tcPr>
            <w:tcW w:w="980" w:type="dxa"/>
            <w:vAlign w:val="bottom"/>
          </w:tcPr>
          <w:p>
            <w:pPr>
              <w:spacing w:after="0"/>
              <w:rPr>
                <w:sz w:val="17"/>
                <w:szCs w:val="17"/>
                <w:color w:val="auto"/>
              </w:rPr>
            </w:pPr>
          </w:p>
        </w:tc>
        <w:tc>
          <w:tcPr>
            <w:tcW w:w="780" w:type="dxa"/>
            <w:vAlign w:val="bottom"/>
          </w:tcPr>
          <w:p>
            <w:pPr>
              <w:jc w:val="center"/>
              <w:ind w:left="411"/>
              <w:spacing w:after="0"/>
              <w:rPr>
                <w:sz w:val="20"/>
                <w:szCs w:val="20"/>
                <w:color w:val="auto"/>
              </w:rPr>
            </w:pPr>
            <w:r>
              <w:rPr>
                <w:rFonts w:ascii="Arial" w:cs="Arial" w:eastAsia="Arial" w:hAnsi="Arial"/>
                <w:sz w:val="14"/>
                <w:szCs w:val="14"/>
                <w:color w:val="auto"/>
                <w:w w:val="92"/>
              </w:rPr>
              <w:t>8.2</w:t>
            </w:r>
          </w:p>
        </w:tc>
      </w:tr>
      <w:tr>
        <w:trPr>
          <w:trHeight w:val="20"/>
        </w:trPr>
        <w:tc>
          <w:tcPr>
            <w:tcW w:w="4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Marketing &amp; Distribution</w:t>
      </w:r>
    </w:p>
    <w:p>
      <w:pPr>
        <w:spacing w:after="0" w:line="213" w:lineRule="exact"/>
        <w:rPr>
          <w:sz w:val="20"/>
          <w:szCs w:val="20"/>
          <w:color w:val="auto"/>
        </w:rPr>
      </w:pPr>
    </w:p>
    <w:p>
      <w:pPr>
        <w:ind w:left="620"/>
        <w:spacing w:after="0"/>
        <w:rPr>
          <w:sz w:val="20"/>
          <w:szCs w:val="20"/>
          <w:color w:val="auto"/>
        </w:rPr>
      </w:pPr>
      <w:r>
        <w:rPr>
          <w:rFonts w:ascii="Arial" w:cs="Arial" w:eastAsia="Arial" w:hAnsi="Arial"/>
          <w:sz w:val="13"/>
          <w:szCs w:val="13"/>
          <w:color w:val="auto"/>
        </w:rPr>
        <w:t>Total segment sales in our Marketing &amp; Distribution segment decreased $85.3 million or 24% in the three months ended April 30, 2026, compared to the same period last year.</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Lower per-unit avocado selling prices associated with high market supply conditions in the current year were partially offset by higher avocado volume sold.</w:t>
      </w:r>
    </w:p>
    <w:p>
      <w:pPr>
        <w:spacing w:after="0" w:line="201" w:lineRule="exact"/>
        <w:rPr>
          <w:sz w:val="20"/>
          <w:szCs w:val="20"/>
          <w:color w:val="auto"/>
        </w:rPr>
      </w:pPr>
    </w:p>
    <w:p>
      <w:pPr>
        <w:ind w:right="120" w:firstLine="619"/>
        <w:spacing w:after="0" w:line="278" w:lineRule="auto"/>
        <w:rPr>
          <w:sz w:val="20"/>
          <w:szCs w:val="20"/>
          <w:color w:val="auto"/>
        </w:rPr>
      </w:pPr>
      <w:r>
        <w:rPr>
          <w:rFonts w:ascii="Arial" w:cs="Arial" w:eastAsia="Arial" w:hAnsi="Arial"/>
          <w:sz w:val="14"/>
          <w:szCs w:val="14"/>
          <w:color w:val="auto"/>
        </w:rPr>
        <w:t>Segment operating loss was $3.8 million in the three months ended April 30, 2026 compared income of $7.6 million in the same period last year. The decrease was driven by lower per-unit margin well as higher transaction advisory costs.</w:t>
      </w:r>
    </w:p>
    <w:p>
      <w:pPr>
        <w:spacing w:after="0" w:line="156" w:lineRule="exact"/>
        <w:rPr>
          <w:sz w:val="20"/>
          <w:szCs w:val="20"/>
          <w:color w:val="auto"/>
        </w:rPr>
      </w:pPr>
    </w:p>
    <w:p>
      <w:pPr>
        <w:ind w:right="140" w:firstLine="619"/>
        <w:spacing w:after="0" w:line="278" w:lineRule="auto"/>
        <w:rPr>
          <w:sz w:val="20"/>
          <w:szCs w:val="20"/>
          <w:color w:val="auto"/>
        </w:rPr>
      </w:pPr>
      <w:r>
        <w:rPr>
          <w:rFonts w:ascii="Arial" w:cs="Arial" w:eastAsia="Arial" w:hAnsi="Arial"/>
          <w:sz w:val="14"/>
          <w:szCs w:val="14"/>
          <w:color w:val="auto"/>
        </w:rPr>
        <w:t>Total segment sales in our Marketing &amp; Distribution segment decreased $146.3 million or 22% in the six months ended April 30, 2026 compared to the same period last year, driven by the avocado volume and price dynamics described above.</w:t>
      </w:r>
    </w:p>
    <w:p>
      <w:pPr>
        <w:spacing w:after="0" w:line="168" w:lineRule="exact"/>
        <w:rPr>
          <w:sz w:val="20"/>
          <w:szCs w:val="20"/>
          <w:color w:val="auto"/>
        </w:rPr>
      </w:pPr>
    </w:p>
    <w:p>
      <w:pPr>
        <w:ind w:right="40" w:firstLine="619"/>
        <w:spacing w:after="0" w:line="278" w:lineRule="auto"/>
        <w:rPr>
          <w:sz w:val="20"/>
          <w:szCs w:val="20"/>
          <w:color w:val="auto"/>
        </w:rPr>
      </w:pPr>
      <w:r>
        <w:rPr>
          <w:rFonts w:ascii="Arial" w:cs="Arial" w:eastAsia="Arial" w:hAnsi="Arial"/>
          <w:sz w:val="14"/>
          <w:szCs w:val="14"/>
          <w:color w:val="auto"/>
        </w:rPr>
        <w:t>Segment operating loss was $2.7 million in the six months ended April 30, 2026 compared income of $9.4 million in the same period last year. The decrease in operating profit was driven by transaction advisory cots in the current year.</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International Farming</w:t>
      </w:r>
    </w:p>
    <w:p>
      <w:pPr>
        <w:spacing w:after="0" w:line="200" w:lineRule="exact"/>
        <w:rPr>
          <w:sz w:val="20"/>
          <w:szCs w:val="20"/>
          <w:color w:val="auto"/>
        </w:rPr>
      </w:pPr>
    </w:p>
    <w:p>
      <w:pPr>
        <w:ind w:right="140" w:firstLine="619"/>
        <w:spacing w:after="0" w:line="259" w:lineRule="auto"/>
        <w:rPr>
          <w:sz w:val="20"/>
          <w:szCs w:val="20"/>
          <w:color w:val="auto"/>
        </w:rPr>
      </w:pPr>
      <w:r>
        <w:rPr>
          <w:rFonts w:ascii="Arial" w:cs="Arial" w:eastAsia="Arial" w:hAnsi="Arial"/>
          <w:sz w:val="14"/>
          <w:szCs w:val="14"/>
          <w:color w:val="auto"/>
        </w:rPr>
        <w:t>The vast majority of fruit sales from our International Farming segment are made to the Marketing &amp; Distribution segment, with the remainder of revenue largely derived from services provided to third parties and our Blueberries segment. Affiliated sales are concentrated in the second half of the fiscal year in alignment with the Peruvian avocado harvest season, which typically runs from April through September of each year. As a result, operating income for the International Farming segment is generally concentrated in the third and fourth quarters of the fiscal year in alignment with the timing of sales.</w:t>
      </w:r>
    </w:p>
    <w:p>
      <w:pPr>
        <w:spacing w:after="0" w:line="182" w:lineRule="exact"/>
        <w:rPr>
          <w:sz w:val="20"/>
          <w:szCs w:val="20"/>
          <w:color w:val="auto"/>
        </w:rPr>
      </w:pPr>
    </w:p>
    <w:p>
      <w:pPr>
        <w:ind w:left="620"/>
        <w:spacing w:after="0"/>
        <w:rPr>
          <w:sz w:val="20"/>
          <w:szCs w:val="20"/>
          <w:color w:val="auto"/>
        </w:rPr>
      </w:pPr>
      <w:r>
        <w:rPr>
          <w:rFonts w:ascii="Arial" w:cs="Arial" w:eastAsia="Arial" w:hAnsi="Arial"/>
          <w:sz w:val="14"/>
          <w:szCs w:val="14"/>
          <w:color w:val="auto"/>
        </w:rPr>
        <w:t>Total segment sales in our International Farming segment decreased $0.4 million or 5% in the three months ended April 30, 2026, compared to the same period last year.</w:t>
      </w:r>
    </w:p>
    <w:p>
      <w:pPr>
        <w:spacing w:after="0" w:line="200" w:lineRule="exact"/>
        <w:rPr>
          <w:sz w:val="20"/>
          <w:szCs w:val="20"/>
          <w:color w:val="auto"/>
        </w:rPr>
      </w:pPr>
    </w:p>
    <w:p>
      <w:pPr>
        <w:ind w:right="60" w:firstLine="619"/>
        <w:spacing w:after="0" w:line="278" w:lineRule="auto"/>
        <w:rPr>
          <w:sz w:val="20"/>
          <w:szCs w:val="20"/>
          <w:color w:val="auto"/>
        </w:rPr>
      </w:pPr>
      <w:r>
        <w:rPr>
          <w:rFonts w:ascii="Arial" w:cs="Arial" w:eastAsia="Arial" w:hAnsi="Arial"/>
          <w:sz w:val="14"/>
          <w:szCs w:val="14"/>
          <w:color w:val="auto"/>
        </w:rPr>
        <w:t>Segment operating loss was $3.9 million in the three months ended April 30, 2026 compared to $1.3 million in the same period last year. The higher operating loss was due to higher per-unit mango production costs and lower volume of blueberry packaging and storage services.</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Total segment sales in our International Farming segment increased $1.0 million or 6% in the six months ended April 30, 2026 compared to the same period last year.</w:t>
      </w:r>
    </w:p>
    <w:p>
      <w:pPr>
        <w:spacing w:after="0" w:line="213" w:lineRule="exact"/>
        <w:rPr>
          <w:sz w:val="20"/>
          <w:szCs w:val="20"/>
          <w:color w:val="auto"/>
        </w:rPr>
      </w:pPr>
    </w:p>
    <w:p>
      <w:pPr>
        <w:ind w:left="620"/>
        <w:spacing w:after="0"/>
        <w:rPr>
          <w:sz w:val="20"/>
          <w:szCs w:val="20"/>
          <w:color w:val="auto"/>
        </w:rPr>
      </w:pPr>
      <w:r>
        <w:rPr>
          <w:rFonts w:ascii="Arial" w:cs="Arial" w:eastAsia="Arial" w:hAnsi="Arial"/>
          <w:sz w:val="14"/>
          <w:szCs w:val="14"/>
          <w:color w:val="auto"/>
        </w:rPr>
        <w:t>Segment operating loss was $3.6 million in the six months ended April 30, 2026 compared to $1.4 million in the same period last year due to the same factors described</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above.</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Blueberries</w:t>
      </w:r>
    </w:p>
    <w:p>
      <w:pPr>
        <w:spacing w:after="0" w:line="213" w:lineRule="exact"/>
        <w:rPr>
          <w:sz w:val="20"/>
          <w:szCs w:val="20"/>
          <w:color w:val="auto"/>
        </w:rPr>
      </w:pPr>
    </w:p>
    <w:p>
      <w:pPr>
        <w:ind w:left="620"/>
        <w:spacing w:after="0"/>
        <w:rPr>
          <w:sz w:val="20"/>
          <w:szCs w:val="20"/>
          <w:color w:val="auto"/>
        </w:rPr>
      </w:pPr>
      <w:r>
        <w:rPr>
          <w:rFonts w:ascii="Arial" w:cs="Arial" w:eastAsia="Arial" w:hAnsi="Arial"/>
          <w:sz w:val="14"/>
          <w:szCs w:val="14"/>
          <w:color w:val="auto"/>
        </w:rPr>
        <w:t>Sales in our Blueberries segment have traditionally been concentrated in the first and fourth quarters of our fiscal year in alignment with the Peruvian blueberry harvest</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season.</w:t>
      </w:r>
    </w:p>
    <w:p>
      <w:pPr>
        <w:spacing w:after="0" w:line="201" w:lineRule="exact"/>
        <w:rPr>
          <w:sz w:val="20"/>
          <w:szCs w:val="20"/>
          <w:color w:val="auto"/>
        </w:rPr>
      </w:pPr>
    </w:p>
    <w:p>
      <w:pPr>
        <w:ind w:right="80" w:firstLine="619"/>
        <w:spacing w:after="0" w:line="278" w:lineRule="auto"/>
        <w:rPr>
          <w:sz w:val="20"/>
          <w:szCs w:val="20"/>
          <w:color w:val="auto"/>
        </w:rPr>
      </w:pPr>
      <w:r>
        <w:rPr>
          <w:rFonts w:ascii="Arial" w:cs="Arial" w:eastAsia="Arial" w:hAnsi="Arial"/>
          <w:sz w:val="14"/>
          <w:szCs w:val="14"/>
          <w:color w:val="auto"/>
        </w:rPr>
        <w:t>Total segment sales in our Blueberries segment decreased $4.7 million or 30% in the three months ended April 30, 2026 compared to the same period last year, primarily due to a decrease in volume sold of 41%, partially offset by an increase in average per-unit sales price of 19%.</w:t>
      </w:r>
    </w:p>
    <w:p>
      <w:pPr>
        <w:spacing w:after="0" w:line="156" w:lineRule="exact"/>
        <w:rPr>
          <w:sz w:val="20"/>
          <w:szCs w:val="20"/>
          <w:color w:val="auto"/>
        </w:rPr>
      </w:pPr>
    </w:p>
    <w:p>
      <w:pPr>
        <w:ind w:left="620"/>
        <w:spacing w:after="0"/>
        <w:rPr>
          <w:sz w:val="20"/>
          <w:szCs w:val="20"/>
          <w:color w:val="auto"/>
        </w:rPr>
      </w:pPr>
      <w:r>
        <w:rPr>
          <w:rFonts w:ascii="Arial" w:cs="Arial" w:eastAsia="Arial" w:hAnsi="Arial"/>
          <w:sz w:val="14"/>
          <w:szCs w:val="14"/>
          <w:color w:val="auto"/>
        </w:rPr>
        <w:t>Segment operating income for the three months ended April 30, 2026 was flat compared to the same period last year.</w:t>
      </w:r>
    </w:p>
    <w:p>
      <w:pPr>
        <w:spacing w:after="0" w:line="213" w:lineRule="exact"/>
        <w:rPr>
          <w:sz w:val="20"/>
          <w:szCs w:val="20"/>
          <w:color w:val="auto"/>
        </w:rPr>
      </w:pPr>
    </w:p>
    <w:p>
      <w:pPr>
        <w:ind w:right="20" w:firstLine="619"/>
        <w:spacing w:after="0" w:line="278" w:lineRule="auto"/>
        <w:rPr>
          <w:sz w:val="20"/>
          <w:szCs w:val="20"/>
          <w:color w:val="auto"/>
        </w:rPr>
      </w:pPr>
      <w:r>
        <w:rPr>
          <w:rFonts w:ascii="Arial" w:cs="Arial" w:eastAsia="Arial" w:hAnsi="Arial"/>
          <w:sz w:val="14"/>
          <w:szCs w:val="14"/>
          <w:color w:val="auto"/>
        </w:rPr>
        <w:t>Total segment sales in our Blueberries segment in the six months ended April 30, 2026 were flat compared to the same period last year, as increases in average per-unit sales price of 12% were offset by a decrease in volume sold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819150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36" w:lineRule="exact"/>
        <w:rPr>
          <w:sz w:val="20"/>
          <w:szCs w:val="20"/>
          <w:color w:val="auto"/>
        </w:rPr>
      </w:pPr>
    </w:p>
    <w:p>
      <w:pPr>
        <w:ind w:right="60" w:firstLine="619"/>
        <w:spacing w:after="0" w:line="278" w:lineRule="auto"/>
        <w:rPr>
          <w:sz w:val="20"/>
          <w:szCs w:val="20"/>
          <w:color w:val="auto"/>
        </w:rPr>
      </w:pPr>
      <w:r>
        <w:rPr>
          <w:rFonts w:ascii="Arial" w:cs="Arial" w:eastAsia="Arial" w:hAnsi="Arial"/>
          <w:sz w:val="14"/>
          <w:szCs w:val="14"/>
          <w:color w:val="auto"/>
        </w:rPr>
        <w:t>Segment operating income decreased $6.4 million or 78% for the six months ended April 30, 2026 compared to the same period last year due to lower per-acre yield resulting in higher per-unit fruit production costs.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Operating activities</w:t>
      </w:r>
    </w:p>
    <w:p>
      <w:pPr>
        <w:spacing w:after="0" w:line="221" w:lineRule="exact"/>
        <w:rPr>
          <w:sz w:val="20"/>
          <w:szCs w:val="20"/>
          <w:color w:val="auto"/>
        </w:rPr>
      </w:pPr>
    </w:p>
    <w:p>
      <w:pPr>
        <w:ind w:right="20" w:firstLine="619"/>
        <w:spacing w:after="0" w:line="253" w:lineRule="auto"/>
        <w:rPr>
          <w:sz w:val="20"/>
          <w:szCs w:val="20"/>
          <w:color w:val="auto"/>
        </w:rPr>
      </w:pPr>
      <w:r>
        <w:rPr>
          <w:rFonts w:ascii="Arial" w:cs="Arial" w:eastAsia="Arial" w:hAnsi="Arial"/>
          <w:sz w:val="14"/>
          <w:szCs w:val="14"/>
          <w:color w:val="auto"/>
        </w:rPr>
        <w:t>Operating cash flows are seasonal in nature. We typically see increases in working capital during the first half of our fiscal year as our supply is predominantly sourced from Mexico under payment terms that are shorter than terms established for other source markets. In addition, we are building our growing crops inventory in our International Farming segment during the first half of the year for ultimate harvest and sale that will occur during the second half of the fiscal year. While these increases in working capital can cause operating cash flows to be unfavorable in individual quarters, it is not indicative of operating cash performance that we expect to realize for the full year.</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140" w:type="dxa"/>
            <w:vAlign w:val="bottom"/>
            <w:gridSpan w:val="2"/>
          </w:tcPr>
          <w:p>
            <w:pPr>
              <w:jc w:val="right"/>
              <w:ind w:right="311"/>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4"/>
                <w:szCs w:val="14"/>
                <w:color w:val="auto"/>
              </w:rPr>
            </w:pPr>
          </w:p>
        </w:tc>
      </w:tr>
      <w:tr>
        <w:trPr>
          <w:trHeight w:val="196"/>
        </w:trPr>
        <w:tc>
          <w:tcPr>
            <w:tcW w:w="764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2"/>
          </w:tcPr>
          <w:p>
            <w:pPr>
              <w:jc w:val="right"/>
              <w:ind w:right="631"/>
              <w:spacing w:after="0"/>
              <w:rPr>
                <w:sz w:val="20"/>
                <w:szCs w:val="20"/>
                <w:color w:val="auto"/>
              </w:rPr>
            </w:pPr>
            <w:r>
              <w:rPr>
                <w:rFonts w:ascii="Arial" w:cs="Arial" w:eastAsia="Arial" w:hAnsi="Arial"/>
                <w:sz w:val="14"/>
                <w:szCs w:val="14"/>
                <w:b w:val="1"/>
                <w:bCs w:val="1"/>
                <w:color w:val="auto"/>
              </w:rPr>
              <w:t>April 30,</w:t>
            </w:r>
          </w:p>
        </w:tc>
        <w:tc>
          <w:tcPr>
            <w:tcW w:w="820" w:type="dxa"/>
            <w:vAlign w:val="bottom"/>
            <w:tcBorders>
              <w:bottom w:val="single" w:sz="8" w:color="auto"/>
            </w:tcBorders>
          </w:tcPr>
          <w:p>
            <w:pPr>
              <w:spacing w:after="0"/>
              <w:rPr>
                <w:sz w:val="17"/>
                <w:szCs w:val="17"/>
                <w:color w:val="auto"/>
              </w:rPr>
            </w:pPr>
          </w:p>
        </w:tc>
      </w:tr>
      <w:tr>
        <w:trPr>
          <w:trHeight w:val="215"/>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6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2026</w:t>
            </w:r>
          </w:p>
        </w:tc>
        <w:tc>
          <w:tcPr>
            <w:tcW w:w="9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2025</w:t>
            </w:r>
          </w:p>
        </w:tc>
      </w:tr>
      <w:tr>
        <w:trPr>
          <w:trHeight w:val="196"/>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income</w:t>
            </w:r>
          </w:p>
        </w:tc>
        <w:tc>
          <w:tcPr>
            <w:tcW w:w="640" w:type="dxa"/>
            <w:vAlign w:val="bottom"/>
            <w:tcBorders>
              <w:bottom w:val="single" w:sz="8" w:color="CCEEFF"/>
            </w:tcBorders>
            <w:shd w:val="clear" w:color="auto" w:fill="CCEEFF"/>
          </w:tcPr>
          <w:p>
            <w:pPr>
              <w:jc w:val="right"/>
              <w:ind w:right="491"/>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rPr>
              <w:t>(7.5)</w:t>
            </w:r>
          </w:p>
        </w:tc>
        <w:tc>
          <w:tcPr>
            <w:tcW w:w="980" w:type="dxa"/>
            <w:vAlign w:val="bottom"/>
            <w:tcBorders>
              <w:bottom w:val="single" w:sz="8" w:color="CCEEFF"/>
            </w:tcBorders>
            <w:shd w:val="clear" w:color="auto" w:fill="CCEEFF"/>
          </w:tcPr>
          <w:p>
            <w:pPr>
              <w:jc w:val="right"/>
              <w:ind w:right="691"/>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w:t>
            </w:r>
          </w:p>
        </w:tc>
      </w:tr>
      <w:tr>
        <w:trPr>
          <w:trHeight w:val="199"/>
        </w:trPr>
        <w:tc>
          <w:tcPr>
            <w:tcW w:w="7640" w:type="dxa"/>
            <w:vAlign w:val="bottom"/>
          </w:tcPr>
          <w:p>
            <w:pPr>
              <w:ind w:left="320"/>
              <w:spacing w:after="0"/>
              <w:rPr>
                <w:sz w:val="20"/>
                <w:szCs w:val="20"/>
                <w:color w:val="auto"/>
              </w:rPr>
            </w:pPr>
            <w:r>
              <w:rPr>
                <w:rFonts w:ascii="Arial" w:cs="Arial" w:eastAsia="Arial" w:hAnsi="Arial"/>
                <w:sz w:val="14"/>
                <w:szCs w:val="14"/>
                <w:color w:val="auto"/>
              </w:rPr>
              <w:t>Depreciation and amortization</w:t>
            </w:r>
          </w:p>
        </w:tc>
        <w:tc>
          <w:tcPr>
            <w:tcW w:w="640" w:type="dxa"/>
            <w:vAlign w:val="bottom"/>
          </w:tcPr>
          <w:p>
            <w:pPr>
              <w:spacing w:after="0"/>
              <w:rPr>
                <w:sz w:val="17"/>
                <w:szCs w:val="17"/>
                <w:color w:val="auto"/>
              </w:rPr>
            </w:pPr>
          </w:p>
        </w:tc>
        <w:tc>
          <w:tcPr>
            <w:tcW w:w="1160" w:type="dxa"/>
            <w:vAlign w:val="bottom"/>
          </w:tcPr>
          <w:p>
            <w:pPr>
              <w:jc w:val="right"/>
              <w:ind w:right="131"/>
              <w:spacing w:after="0"/>
              <w:rPr>
                <w:sz w:val="20"/>
                <w:szCs w:val="20"/>
                <w:color w:val="auto"/>
              </w:rPr>
            </w:pPr>
            <w:r>
              <w:rPr>
                <w:rFonts w:ascii="Arial" w:cs="Arial" w:eastAsia="Arial" w:hAnsi="Arial"/>
                <w:sz w:val="14"/>
                <w:szCs w:val="14"/>
                <w:color w:val="auto"/>
              </w:rPr>
              <w:t>15.9</w:t>
            </w:r>
          </w:p>
        </w:tc>
        <w:tc>
          <w:tcPr>
            <w:tcW w:w="9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15.7</w:t>
            </w:r>
          </w:p>
        </w:tc>
      </w:tr>
      <w:tr>
        <w:trPr>
          <w:trHeight w:val="20"/>
        </w:trPr>
        <w:tc>
          <w:tcPr>
            <w:tcW w:w="7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9"/>
        </w:trPr>
        <w:tc>
          <w:tcPr>
            <w:tcW w:w="76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Equity method income</w:t>
            </w:r>
          </w:p>
        </w:tc>
        <w:tc>
          <w:tcPr>
            <w:tcW w:w="6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rPr>
              <w:t>(2.8)</w:t>
            </w:r>
          </w:p>
        </w:tc>
        <w:tc>
          <w:tcPr>
            <w:tcW w:w="9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199"/>
        </w:trPr>
        <w:tc>
          <w:tcPr>
            <w:tcW w:w="7640" w:type="dxa"/>
            <w:vAlign w:val="bottom"/>
          </w:tcPr>
          <w:p>
            <w:pPr>
              <w:ind w:left="320"/>
              <w:spacing w:after="0"/>
              <w:rPr>
                <w:sz w:val="20"/>
                <w:szCs w:val="20"/>
                <w:color w:val="auto"/>
              </w:rPr>
            </w:pPr>
            <w:r>
              <w:rPr>
                <w:rFonts w:ascii="Arial" w:cs="Arial" w:eastAsia="Arial" w:hAnsi="Arial"/>
                <w:sz w:val="14"/>
                <w:szCs w:val="14"/>
                <w:color w:val="auto"/>
              </w:rPr>
              <w:t>Noncash lease expense</w:t>
            </w:r>
          </w:p>
        </w:tc>
        <w:tc>
          <w:tcPr>
            <w:tcW w:w="640" w:type="dxa"/>
            <w:vAlign w:val="bottom"/>
          </w:tcPr>
          <w:p>
            <w:pPr>
              <w:spacing w:after="0"/>
              <w:rPr>
                <w:sz w:val="17"/>
                <w:szCs w:val="17"/>
                <w:color w:val="auto"/>
              </w:rPr>
            </w:pPr>
          </w:p>
        </w:tc>
        <w:tc>
          <w:tcPr>
            <w:tcW w:w="1160" w:type="dxa"/>
            <w:vAlign w:val="bottom"/>
          </w:tcPr>
          <w:p>
            <w:pPr>
              <w:jc w:val="right"/>
              <w:ind w:right="131"/>
              <w:spacing w:after="0"/>
              <w:rPr>
                <w:sz w:val="20"/>
                <w:szCs w:val="20"/>
                <w:color w:val="auto"/>
              </w:rPr>
            </w:pPr>
            <w:r>
              <w:rPr>
                <w:rFonts w:ascii="Arial" w:cs="Arial" w:eastAsia="Arial" w:hAnsi="Arial"/>
                <w:sz w:val="14"/>
                <w:szCs w:val="14"/>
                <w:color w:val="auto"/>
              </w:rPr>
              <w:t>3.1</w:t>
            </w:r>
          </w:p>
        </w:tc>
        <w:tc>
          <w:tcPr>
            <w:tcW w:w="9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20"/>
        </w:trPr>
        <w:tc>
          <w:tcPr>
            <w:tcW w:w="7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9"/>
        </w:trPr>
        <w:tc>
          <w:tcPr>
            <w:tcW w:w="76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Stock-based compensation</w:t>
            </w:r>
          </w:p>
        </w:tc>
        <w:tc>
          <w:tcPr>
            <w:tcW w:w="6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4"/>
                <w:szCs w:val="14"/>
                <w:color w:val="auto"/>
              </w:rPr>
              <w:t>2.8</w:t>
            </w:r>
          </w:p>
        </w:tc>
        <w:tc>
          <w:tcPr>
            <w:tcW w:w="9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w:t>
            </w:r>
          </w:p>
        </w:tc>
      </w:tr>
      <w:tr>
        <w:trPr>
          <w:trHeight w:val="199"/>
        </w:trPr>
        <w:tc>
          <w:tcPr>
            <w:tcW w:w="7640" w:type="dxa"/>
            <w:vAlign w:val="bottom"/>
          </w:tcPr>
          <w:p>
            <w:pPr>
              <w:ind w:left="320"/>
              <w:spacing w:after="0"/>
              <w:rPr>
                <w:sz w:val="20"/>
                <w:szCs w:val="20"/>
                <w:color w:val="auto"/>
              </w:rPr>
            </w:pPr>
            <w:r>
              <w:rPr>
                <w:rFonts w:ascii="Arial" w:cs="Arial" w:eastAsia="Arial" w:hAnsi="Arial"/>
                <w:sz w:val="14"/>
                <w:szCs w:val="14"/>
                <w:color w:val="auto"/>
              </w:rPr>
              <w:t>Dividends received from equity method investees</w:t>
            </w:r>
          </w:p>
        </w:tc>
        <w:tc>
          <w:tcPr>
            <w:tcW w:w="640" w:type="dxa"/>
            <w:vAlign w:val="bottom"/>
          </w:tcPr>
          <w:p>
            <w:pPr>
              <w:spacing w:after="0"/>
              <w:rPr>
                <w:sz w:val="17"/>
                <w:szCs w:val="17"/>
                <w:color w:val="auto"/>
              </w:rPr>
            </w:pPr>
          </w:p>
        </w:tc>
        <w:tc>
          <w:tcPr>
            <w:tcW w:w="1160" w:type="dxa"/>
            <w:vAlign w:val="bottom"/>
          </w:tcPr>
          <w:p>
            <w:pPr>
              <w:jc w:val="right"/>
              <w:ind w:right="131"/>
              <w:spacing w:after="0"/>
              <w:rPr>
                <w:sz w:val="20"/>
                <w:szCs w:val="20"/>
                <w:color w:val="auto"/>
              </w:rPr>
            </w:pPr>
            <w:r>
              <w:rPr>
                <w:rFonts w:ascii="Arial" w:cs="Arial" w:eastAsia="Arial" w:hAnsi="Arial"/>
                <w:sz w:val="14"/>
                <w:szCs w:val="14"/>
                <w:color w:val="auto"/>
              </w:rPr>
              <w:t>4.9</w:t>
            </w:r>
          </w:p>
        </w:tc>
        <w:tc>
          <w:tcPr>
            <w:tcW w:w="9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20"/>
        </w:trPr>
        <w:tc>
          <w:tcPr>
            <w:tcW w:w="7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9"/>
        </w:trPr>
        <w:tc>
          <w:tcPr>
            <w:tcW w:w="76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Deferred income taxes</w:t>
            </w:r>
          </w:p>
        </w:tc>
        <w:tc>
          <w:tcPr>
            <w:tcW w:w="6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rPr>
              <w:t>(0.2)</w:t>
            </w:r>
          </w:p>
        </w:tc>
        <w:tc>
          <w:tcPr>
            <w:tcW w:w="9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199"/>
        </w:trPr>
        <w:tc>
          <w:tcPr>
            <w:tcW w:w="7640" w:type="dxa"/>
            <w:vAlign w:val="bottom"/>
          </w:tcPr>
          <w:p>
            <w:pPr>
              <w:ind w:left="320"/>
              <w:spacing w:after="0"/>
              <w:rPr>
                <w:sz w:val="20"/>
                <w:szCs w:val="20"/>
                <w:color w:val="auto"/>
              </w:rPr>
            </w:pPr>
            <w:r>
              <w:rPr>
                <w:rFonts w:ascii="Arial" w:cs="Arial" w:eastAsia="Arial" w:hAnsi="Arial"/>
                <w:sz w:val="14"/>
                <w:szCs w:val="14"/>
                <w:color w:val="auto"/>
              </w:rPr>
              <w:t>Other</w:t>
            </w:r>
          </w:p>
        </w:tc>
        <w:tc>
          <w:tcPr>
            <w:tcW w:w="640" w:type="dxa"/>
            <w:vAlign w:val="bottom"/>
          </w:tcPr>
          <w:p>
            <w:pPr>
              <w:spacing w:after="0"/>
              <w:rPr>
                <w:sz w:val="17"/>
                <w:szCs w:val="17"/>
                <w:color w:val="auto"/>
              </w:rPr>
            </w:pPr>
          </w:p>
        </w:tc>
        <w:tc>
          <w:tcPr>
            <w:tcW w:w="1160" w:type="dxa"/>
            <w:vAlign w:val="bottom"/>
          </w:tcPr>
          <w:p>
            <w:pPr>
              <w:jc w:val="right"/>
              <w:ind w:right="131"/>
              <w:spacing w:after="0"/>
              <w:rPr>
                <w:sz w:val="20"/>
                <w:szCs w:val="20"/>
                <w:color w:val="auto"/>
              </w:rPr>
            </w:pPr>
            <w:r>
              <w:rPr>
                <w:rFonts w:ascii="Arial" w:cs="Arial" w:eastAsia="Arial" w:hAnsi="Arial"/>
                <w:sz w:val="14"/>
                <w:szCs w:val="14"/>
                <w:color w:val="auto"/>
              </w:rPr>
              <w:t>1.0</w:t>
            </w:r>
          </w:p>
        </w:tc>
        <w:tc>
          <w:tcPr>
            <w:tcW w:w="9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20"/>
        </w:trPr>
        <w:tc>
          <w:tcPr>
            <w:tcW w:w="7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24"/>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Changes in working capital</w:t>
            </w:r>
          </w:p>
        </w:tc>
        <w:tc>
          <w:tcPr>
            <w:tcW w:w="6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rPr>
              <w:t>(38.2)</w:t>
            </w:r>
          </w:p>
        </w:tc>
        <w:tc>
          <w:tcPr>
            <w:tcW w:w="9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(48.0)</w:t>
            </w:r>
          </w:p>
        </w:tc>
      </w:tr>
      <w:tr>
        <w:trPr>
          <w:trHeight w:val="192"/>
        </w:trPr>
        <w:tc>
          <w:tcPr>
            <w:tcW w:w="76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Net cash used in operating activities</w:t>
            </w:r>
          </w:p>
        </w:tc>
        <w:tc>
          <w:tcPr>
            <w:tcW w:w="640" w:type="dxa"/>
            <w:vAlign w:val="bottom"/>
            <w:tcBorders>
              <w:top w:val="single" w:sz="8" w:color="auto"/>
            </w:tcBorders>
          </w:tcPr>
          <w:p>
            <w:pPr>
              <w:jc w:val="right"/>
              <w:ind w:right="491"/>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tcPr>
          <w:p>
            <w:pPr>
              <w:jc w:val="right"/>
              <w:ind w:right="91"/>
              <w:spacing w:after="0"/>
              <w:rPr>
                <w:sz w:val="20"/>
                <w:szCs w:val="20"/>
                <w:color w:val="auto"/>
              </w:rPr>
            </w:pPr>
            <w:r>
              <w:rPr>
                <w:rFonts w:ascii="Arial" w:cs="Arial" w:eastAsia="Arial" w:hAnsi="Arial"/>
                <w:sz w:val="14"/>
                <w:szCs w:val="14"/>
                <w:color w:val="auto"/>
              </w:rPr>
              <w:t>(21.0)</w:t>
            </w:r>
          </w:p>
        </w:tc>
        <w:tc>
          <w:tcPr>
            <w:tcW w:w="980" w:type="dxa"/>
            <w:vAlign w:val="bottom"/>
            <w:tcBorders>
              <w:top w:val="single" w:sz="8" w:color="auto"/>
            </w:tcBorders>
          </w:tcPr>
          <w:p>
            <w:pPr>
              <w:jc w:val="right"/>
              <w:ind w:right="691"/>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(13.0)</w:t>
            </w:r>
          </w:p>
        </w:tc>
      </w:tr>
      <w:tr>
        <w:trPr>
          <w:trHeight w:val="20"/>
        </w:trPr>
        <w:tc>
          <w:tcPr>
            <w:tcW w:w="76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both"/>
        <w:ind w:right="200" w:firstLine="619"/>
        <w:spacing w:after="0" w:line="253" w:lineRule="auto"/>
        <w:rPr>
          <w:sz w:val="20"/>
          <w:szCs w:val="20"/>
          <w:color w:val="auto"/>
        </w:rPr>
      </w:pPr>
      <w:r>
        <w:rPr>
          <w:rFonts w:ascii="Arial" w:cs="Arial" w:eastAsia="Arial" w:hAnsi="Arial"/>
          <w:sz w:val="14"/>
          <w:szCs w:val="14"/>
          <w:color w:val="auto"/>
        </w:rPr>
        <w:t>Net cash used in operating activities was $21.0 million for the six months ended April 30, 2026 compared to $13.0 million for the same period last year. Lower income in the current year was partially offset by lower increases in working capital. Working capital growth in the current year is driven by higher trade receivables associated with seasonality and timing of sales in the Marketing &amp; Distribution and Blueberries segments, while inventory growth is driven by higher volume in the Marketing &amp; Distribution segment and cultivation of growing crop inventory in our International Farming and Blueberries segments.</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Investing activities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140" w:type="dxa"/>
            <w:vAlign w:val="bottom"/>
            <w:gridSpan w:val="2"/>
          </w:tcPr>
          <w:p>
            <w:pPr>
              <w:jc w:val="right"/>
              <w:ind w:right="311"/>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4"/>
                <w:szCs w:val="14"/>
                <w:color w:val="auto"/>
              </w:rPr>
            </w:pPr>
          </w:p>
        </w:tc>
      </w:tr>
      <w:tr>
        <w:trPr>
          <w:trHeight w:val="196"/>
        </w:trPr>
        <w:tc>
          <w:tcPr>
            <w:tcW w:w="764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2"/>
          </w:tcPr>
          <w:p>
            <w:pPr>
              <w:jc w:val="right"/>
              <w:ind w:right="631"/>
              <w:spacing w:after="0"/>
              <w:rPr>
                <w:sz w:val="20"/>
                <w:szCs w:val="20"/>
                <w:color w:val="auto"/>
              </w:rPr>
            </w:pPr>
            <w:r>
              <w:rPr>
                <w:rFonts w:ascii="Arial" w:cs="Arial" w:eastAsia="Arial" w:hAnsi="Arial"/>
                <w:sz w:val="14"/>
                <w:szCs w:val="14"/>
                <w:b w:val="1"/>
                <w:bCs w:val="1"/>
                <w:color w:val="auto"/>
              </w:rPr>
              <w:t>April 30,</w:t>
            </w:r>
          </w:p>
        </w:tc>
        <w:tc>
          <w:tcPr>
            <w:tcW w:w="820" w:type="dxa"/>
            <w:vAlign w:val="bottom"/>
            <w:tcBorders>
              <w:bottom w:val="single" w:sz="8" w:color="auto"/>
            </w:tcBorders>
          </w:tcPr>
          <w:p>
            <w:pPr>
              <w:spacing w:after="0"/>
              <w:rPr>
                <w:sz w:val="17"/>
                <w:szCs w:val="17"/>
                <w:color w:val="auto"/>
              </w:rPr>
            </w:pPr>
          </w:p>
        </w:tc>
      </w:tr>
      <w:tr>
        <w:trPr>
          <w:trHeight w:val="215"/>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6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2026</w:t>
            </w:r>
          </w:p>
        </w:tc>
        <w:tc>
          <w:tcPr>
            <w:tcW w:w="9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2025</w:t>
            </w:r>
          </w:p>
        </w:tc>
      </w:tr>
      <w:tr>
        <w:trPr>
          <w:trHeight w:val="196"/>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Purchases of property, plant and equipment</w:t>
            </w:r>
          </w:p>
        </w:tc>
        <w:tc>
          <w:tcPr>
            <w:tcW w:w="640" w:type="dxa"/>
            <w:vAlign w:val="bottom"/>
            <w:tcBorders>
              <w:bottom w:val="single" w:sz="8" w:color="CCEEFF"/>
            </w:tcBorders>
            <w:shd w:val="clear" w:color="auto" w:fill="CCEEFF"/>
          </w:tcPr>
          <w:p>
            <w:pPr>
              <w:jc w:val="right"/>
              <w:ind w:right="491"/>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rPr>
              <w:t>(22.9)</w:t>
            </w:r>
          </w:p>
        </w:tc>
        <w:tc>
          <w:tcPr>
            <w:tcW w:w="980" w:type="dxa"/>
            <w:vAlign w:val="bottom"/>
            <w:tcBorders>
              <w:bottom w:val="single" w:sz="8" w:color="CCEEFF"/>
            </w:tcBorders>
            <w:shd w:val="clear" w:color="auto" w:fill="CCEEFF"/>
          </w:tcPr>
          <w:p>
            <w:pPr>
              <w:jc w:val="right"/>
              <w:ind w:right="691"/>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(28.0)</w:t>
            </w:r>
          </w:p>
        </w:tc>
      </w:tr>
      <w:tr>
        <w:trPr>
          <w:trHeight w:val="199"/>
        </w:trPr>
        <w:tc>
          <w:tcPr>
            <w:tcW w:w="7640" w:type="dxa"/>
            <w:vAlign w:val="bottom"/>
          </w:tcPr>
          <w:p>
            <w:pPr>
              <w:ind w:left="20"/>
              <w:spacing w:after="0"/>
              <w:rPr>
                <w:sz w:val="20"/>
                <w:szCs w:val="20"/>
                <w:color w:val="auto"/>
              </w:rPr>
            </w:pPr>
            <w:r>
              <w:rPr>
                <w:rFonts w:ascii="Arial" w:cs="Arial" w:eastAsia="Arial" w:hAnsi="Arial"/>
                <w:sz w:val="14"/>
                <w:szCs w:val="14"/>
                <w:color w:val="auto"/>
              </w:rPr>
              <w:t>Proceeds from sale of property, plant and equipment</w:t>
            </w:r>
          </w:p>
        </w:tc>
        <w:tc>
          <w:tcPr>
            <w:tcW w:w="640" w:type="dxa"/>
            <w:vAlign w:val="bottom"/>
          </w:tcPr>
          <w:p>
            <w:pPr>
              <w:spacing w:after="0"/>
              <w:rPr>
                <w:sz w:val="17"/>
                <w:szCs w:val="17"/>
                <w:color w:val="auto"/>
              </w:rPr>
            </w:pPr>
          </w:p>
        </w:tc>
        <w:tc>
          <w:tcPr>
            <w:tcW w:w="1160" w:type="dxa"/>
            <w:vAlign w:val="bottom"/>
          </w:tcPr>
          <w:p>
            <w:pPr>
              <w:jc w:val="right"/>
              <w:ind w:right="131"/>
              <w:spacing w:after="0"/>
              <w:rPr>
                <w:sz w:val="20"/>
                <w:szCs w:val="20"/>
                <w:color w:val="auto"/>
              </w:rPr>
            </w:pPr>
            <w:r>
              <w:rPr>
                <w:rFonts w:ascii="Arial" w:cs="Arial" w:eastAsia="Arial" w:hAnsi="Arial"/>
                <w:sz w:val="14"/>
                <w:szCs w:val="14"/>
                <w:color w:val="auto"/>
              </w:rPr>
              <w:t>0.1</w:t>
            </w:r>
          </w:p>
        </w:tc>
        <w:tc>
          <w:tcPr>
            <w:tcW w:w="9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7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24"/>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6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rPr>
              <w:t>(0.3)</w:t>
            </w:r>
          </w:p>
        </w:tc>
        <w:tc>
          <w:tcPr>
            <w:tcW w:w="9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192"/>
        </w:trPr>
        <w:tc>
          <w:tcPr>
            <w:tcW w:w="76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Net cash used in investing activities</w:t>
            </w:r>
          </w:p>
        </w:tc>
        <w:tc>
          <w:tcPr>
            <w:tcW w:w="640" w:type="dxa"/>
            <w:vAlign w:val="bottom"/>
            <w:tcBorders>
              <w:top w:val="single" w:sz="8" w:color="auto"/>
            </w:tcBorders>
          </w:tcPr>
          <w:p>
            <w:pPr>
              <w:jc w:val="right"/>
              <w:ind w:right="491"/>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tcPr>
          <w:p>
            <w:pPr>
              <w:jc w:val="right"/>
              <w:ind w:right="91"/>
              <w:spacing w:after="0"/>
              <w:rPr>
                <w:sz w:val="20"/>
                <w:szCs w:val="20"/>
                <w:color w:val="auto"/>
              </w:rPr>
            </w:pPr>
            <w:r>
              <w:rPr>
                <w:rFonts w:ascii="Arial" w:cs="Arial" w:eastAsia="Arial" w:hAnsi="Arial"/>
                <w:sz w:val="14"/>
                <w:szCs w:val="14"/>
                <w:color w:val="auto"/>
              </w:rPr>
              <w:t>(23.1)</w:t>
            </w:r>
          </w:p>
        </w:tc>
        <w:tc>
          <w:tcPr>
            <w:tcW w:w="980" w:type="dxa"/>
            <w:vAlign w:val="bottom"/>
            <w:tcBorders>
              <w:top w:val="single" w:sz="8" w:color="auto"/>
            </w:tcBorders>
          </w:tcPr>
          <w:p>
            <w:pPr>
              <w:jc w:val="right"/>
              <w:ind w:right="691"/>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(28.2)</w:t>
            </w:r>
          </w:p>
        </w:tc>
      </w:tr>
      <w:tr>
        <w:trPr>
          <w:trHeight w:val="20"/>
        </w:trPr>
        <w:tc>
          <w:tcPr>
            <w:tcW w:w="76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Property, plant and equipment</w:t>
      </w:r>
    </w:p>
    <w:p>
      <w:pPr>
        <w:spacing w:after="0" w:line="288"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Six Months Ended</w:t>
      </w:r>
    </w:p>
    <w:p>
      <w:pPr>
        <w:spacing w:after="0" w:line="21"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17780</wp:posOffset>
            </wp:positionV>
            <wp:extent cx="22923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292350" cy="8255"/>
                    </a:xfrm>
                    <a:prstGeom prst="rect">
                      <a:avLst/>
                    </a:prstGeom>
                    <a:noFill/>
                  </pic:spPr>
                </pic:pic>
              </a:graphicData>
            </a:graphic>
          </wp:anchor>
        </w:drawing>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7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2026</w:t>
            </w:r>
          </w:p>
        </w:tc>
        <w:tc>
          <w:tcPr>
            <w:tcW w:w="8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2025</w:t>
            </w:r>
          </w:p>
        </w:tc>
      </w:tr>
      <w:tr>
        <w:trPr>
          <w:trHeight w:val="196"/>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Purchases of property, plant and equipment by segment:</w:t>
            </w:r>
          </w:p>
        </w:tc>
        <w:tc>
          <w:tcPr>
            <w:tcW w:w="27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r>
      <w:tr>
        <w:trPr>
          <w:trHeight w:val="199"/>
        </w:trPr>
        <w:tc>
          <w:tcPr>
            <w:tcW w:w="5560" w:type="dxa"/>
            <w:vAlign w:val="bottom"/>
          </w:tcPr>
          <w:p>
            <w:pPr>
              <w:ind w:left="220"/>
              <w:spacing w:after="0"/>
              <w:rPr>
                <w:sz w:val="20"/>
                <w:szCs w:val="20"/>
                <w:color w:val="auto"/>
              </w:rPr>
            </w:pPr>
            <w:r>
              <w:rPr>
                <w:rFonts w:ascii="Arial" w:cs="Arial" w:eastAsia="Arial" w:hAnsi="Arial"/>
                <w:sz w:val="14"/>
                <w:szCs w:val="14"/>
                <w:color w:val="auto"/>
              </w:rPr>
              <w:t>Marketing &amp; Distribution</w:t>
            </w:r>
          </w:p>
        </w:tc>
        <w:tc>
          <w:tcPr>
            <w:tcW w:w="2740" w:type="dxa"/>
            <w:vAlign w:val="bottom"/>
          </w:tcPr>
          <w:p>
            <w:pPr>
              <w:jc w:val="right"/>
              <w:ind w:right="511"/>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11"/>
              <w:spacing w:after="0"/>
              <w:rPr>
                <w:sz w:val="20"/>
                <w:szCs w:val="20"/>
                <w:color w:val="auto"/>
              </w:rPr>
            </w:pPr>
            <w:r>
              <w:rPr>
                <w:rFonts w:ascii="Arial" w:cs="Arial" w:eastAsia="Arial" w:hAnsi="Arial"/>
                <w:sz w:val="14"/>
                <w:szCs w:val="14"/>
                <w:color w:val="auto"/>
              </w:rPr>
              <w:t>4.3</w:t>
            </w:r>
          </w:p>
        </w:tc>
        <w:tc>
          <w:tcPr>
            <w:tcW w:w="820" w:type="dxa"/>
            <w:vAlign w:val="bottom"/>
          </w:tcPr>
          <w:p>
            <w:pPr>
              <w:jc w:val="right"/>
              <w:ind w:right="511"/>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20"/>
        </w:trPr>
        <w:tc>
          <w:tcPr>
            <w:tcW w:w="55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9"/>
        </w:trPr>
        <w:tc>
          <w:tcPr>
            <w:tcW w:w="5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International Farming</w:t>
            </w:r>
          </w:p>
        </w:tc>
        <w:tc>
          <w:tcPr>
            <w:tcW w:w="27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rPr>
              <w:t>11.9</w:t>
            </w:r>
          </w:p>
        </w:tc>
        <w:tc>
          <w:tcPr>
            <w:tcW w:w="8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17.6</w:t>
            </w:r>
          </w:p>
        </w:tc>
      </w:tr>
      <w:tr>
        <w:trPr>
          <w:trHeight w:val="199"/>
        </w:trPr>
        <w:tc>
          <w:tcPr>
            <w:tcW w:w="5560" w:type="dxa"/>
            <w:vAlign w:val="bottom"/>
          </w:tcPr>
          <w:p>
            <w:pPr>
              <w:ind w:left="220"/>
              <w:spacing w:after="0"/>
              <w:rPr>
                <w:sz w:val="20"/>
                <w:szCs w:val="20"/>
                <w:color w:val="auto"/>
              </w:rPr>
            </w:pPr>
            <w:r>
              <w:rPr>
                <w:rFonts w:ascii="Arial" w:cs="Arial" w:eastAsia="Arial" w:hAnsi="Arial"/>
                <w:sz w:val="14"/>
                <w:szCs w:val="14"/>
                <w:color w:val="auto"/>
              </w:rPr>
              <w:t>Blueberries</w:t>
            </w:r>
          </w:p>
        </w:tc>
        <w:tc>
          <w:tcPr>
            <w:tcW w:w="2740" w:type="dxa"/>
            <w:vAlign w:val="bottom"/>
          </w:tcPr>
          <w:p>
            <w:pPr>
              <w:spacing w:after="0"/>
              <w:rPr>
                <w:sz w:val="17"/>
                <w:szCs w:val="17"/>
                <w:color w:val="auto"/>
              </w:rPr>
            </w:pPr>
          </w:p>
        </w:tc>
        <w:tc>
          <w:tcPr>
            <w:tcW w:w="1120" w:type="dxa"/>
            <w:vAlign w:val="bottom"/>
          </w:tcPr>
          <w:p>
            <w:pPr>
              <w:jc w:val="right"/>
              <w:ind w:right="111"/>
              <w:spacing w:after="0"/>
              <w:rPr>
                <w:sz w:val="20"/>
                <w:szCs w:val="20"/>
                <w:color w:val="auto"/>
              </w:rPr>
            </w:pPr>
            <w:r>
              <w:rPr>
                <w:rFonts w:ascii="Arial" w:cs="Arial" w:eastAsia="Arial" w:hAnsi="Arial"/>
                <w:sz w:val="14"/>
                <w:szCs w:val="14"/>
                <w:color w:val="auto"/>
              </w:rPr>
              <w:t>6.7</w:t>
            </w:r>
          </w:p>
        </w:tc>
        <w:tc>
          <w:tcPr>
            <w:tcW w:w="8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8.2</w:t>
            </w:r>
          </w:p>
        </w:tc>
      </w:tr>
      <w:tr>
        <w:trPr>
          <w:trHeight w:val="20"/>
        </w:trPr>
        <w:tc>
          <w:tcPr>
            <w:tcW w:w="556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7"/>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purchases of property, plant and equipment</w:t>
            </w:r>
          </w:p>
        </w:tc>
        <w:tc>
          <w:tcPr>
            <w:tcW w:w="2740" w:type="dxa"/>
            <w:vAlign w:val="bottom"/>
            <w:tcBorders>
              <w:bottom w:val="single" w:sz="8" w:color="CCEEFF"/>
            </w:tcBorders>
            <w:shd w:val="clear" w:color="auto" w:fill="CCEEFF"/>
          </w:tcPr>
          <w:p>
            <w:pPr>
              <w:jc w:val="right"/>
              <w:ind w:right="511"/>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rPr>
              <w:t>22.9</w:t>
            </w:r>
          </w:p>
        </w:tc>
        <w:tc>
          <w:tcPr>
            <w:tcW w:w="820" w:type="dxa"/>
            <w:vAlign w:val="bottom"/>
            <w:tcBorders>
              <w:bottom w:val="single" w:sz="8" w:color="CCEEFF"/>
            </w:tcBorders>
            <w:shd w:val="clear" w:color="auto" w:fill="CCEEFF"/>
          </w:tcPr>
          <w:p>
            <w:pPr>
              <w:jc w:val="right"/>
              <w:ind w:right="511"/>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28.0</w:t>
            </w:r>
          </w:p>
        </w:tc>
      </w:tr>
      <w:tr>
        <w:trPr>
          <w:trHeight w:val="1430"/>
        </w:trPr>
        <w:tc>
          <w:tcPr>
            <w:tcW w:w="5560" w:type="dxa"/>
            <w:vAlign w:val="bottom"/>
            <w:tcBorders>
              <w:top w:val="single" w:sz="8" w:color="auto"/>
              <w:bottom w:val="single" w:sz="8" w:color="9A9A9A"/>
            </w:tcBorders>
          </w:tcPr>
          <w:p>
            <w:pPr>
              <w:spacing w:after="0"/>
              <w:rPr>
                <w:sz w:val="24"/>
                <w:szCs w:val="24"/>
                <w:color w:val="auto"/>
              </w:rPr>
            </w:pPr>
          </w:p>
        </w:tc>
        <w:tc>
          <w:tcPr>
            <w:tcW w:w="2740" w:type="dxa"/>
            <w:vAlign w:val="bottom"/>
            <w:tcBorders>
              <w:top w:val="single" w:sz="8" w:color="auto"/>
              <w:bottom w:val="single" w:sz="8" w:color="9A9A9A"/>
            </w:tcBorders>
          </w:tcPr>
          <w:p>
            <w:pPr>
              <w:spacing w:after="0"/>
              <w:rPr>
                <w:sz w:val="24"/>
                <w:szCs w:val="24"/>
                <w:color w:val="auto"/>
              </w:rPr>
            </w:pPr>
          </w:p>
        </w:tc>
        <w:tc>
          <w:tcPr>
            <w:tcW w:w="1120" w:type="dxa"/>
            <w:vAlign w:val="bottom"/>
            <w:tcBorders>
              <w:top w:val="single" w:sz="8" w:color="auto"/>
              <w:bottom w:val="single" w:sz="8" w:color="9A9A9A"/>
            </w:tcBorders>
          </w:tcPr>
          <w:p>
            <w:pPr>
              <w:spacing w:after="0"/>
              <w:rPr>
                <w:sz w:val="24"/>
                <w:szCs w:val="24"/>
                <w:color w:val="auto"/>
              </w:rPr>
            </w:pPr>
          </w:p>
        </w:tc>
        <w:tc>
          <w:tcPr>
            <w:tcW w:w="820" w:type="dxa"/>
            <w:vAlign w:val="bottom"/>
            <w:tcBorders>
              <w:top w:val="single" w:sz="8" w:color="auto"/>
              <w:bottom w:val="single" w:sz="8" w:color="9A9A9A"/>
            </w:tcBorders>
          </w:tcPr>
          <w:p>
            <w:pPr>
              <w:spacing w:after="0"/>
              <w:rPr>
                <w:sz w:val="24"/>
                <w:szCs w:val="24"/>
                <w:color w:val="auto"/>
              </w:rPr>
            </w:pPr>
          </w:p>
        </w:tc>
        <w:tc>
          <w:tcPr>
            <w:tcW w:w="1000" w:type="dxa"/>
            <w:vAlign w:val="bottom"/>
            <w:tcBorders>
              <w:top w:val="single" w:sz="8" w:color="auto"/>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36" w:lineRule="exact"/>
        <w:rPr>
          <w:sz w:val="20"/>
          <w:szCs w:val="20"/>
          <w:color w:val="auto"/>
        </w:rPr>
      </w:pPr>
    </w:p>
    <w:p>
      <w:pPr>
        <w:ind w:firstLine="619"/>
        <w:spacing w:after="0" w:line="264" w:lineRule="auto"/>
        <w:rPr>
          <w:sz w:val="20"/>
          <w:szCs w:val="20"/>
          <w:color w:val="auto"/>
        </w:rPr>
      </w:pPr>
      <w:r>
        <w:rPr>
          <w:rFonts w:ascii="Arial" w:cs="Arial" w:eastAsia="Arial" w:hAnsi="Arial"/>
          <w:sz w:val="14"/>
          <w:szCs w:val="14"/>
          <w:color w:val="auto"/>
        </w:rPr>
        <w:t>In the six months ended April 30, 2026 and 2025, capital expenditures were comprised primarily of avocado orchard development, pre-production orchard maintenance and land improvements, packhouse construction in Guatemala and pre-production land development and blueberry plant cultivation in Peru. The current year also includes construction costs associated with increasing capacity in our Mexican packing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Financing activities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80" w:type="dxa"/>
            <w:vAlign w:val="bottom"/>
            <w:gridSpan w:val="2"/>
          </w:tcPr>
          <w:p>
            <w:pPr>
              <w:ind w:left="580"/>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r>
      <w:tr>
        <w:trPr>
          <w:trHeight w:val="196"/>
        </w:trPr>
        <w:tc>
          <w:tcPr>
            <w:tcW w:w="754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2"/>
          </w:tcPr>
          <w:p>
            <w:pPr>
              <w:ind w:left="900"/>
              <w:spacing w:after="0"/>
              <w:rPr>
                <w:sz w:val="20"/>
                <w:szCs w:val="20"/>
                <w:color w:val="auto"/>
              </w:rPr>
            </w:pPr>
            <w:r>
              <w:rPr>
                <w:rFonts w:ascii="Arial" w:cs="Arial" w:eastAsia="Arial" w:hAnsi="Arial"/>
                <w:sz w:val="14"/>
                <w:szCs w:val="14"/>
                <w:b w:val="1"/>
                <w:bCs w:val="1"/>
                <w:color w:val="auto"/>
              </w:rPr>
              <w:t>April 30,</w:t>
            </w:r>
          </w:p>
        </w:tc>
        <w:tc>
          <w:tcPr>
            <w:tcW w:w="840" w:type="dxa"/>
            <w:vAlign w:val="bottom"/>
            <w:tcBorders>
              <w:bottom w:val="single" w:sz="8" w:color="auto"/>
            </w:tcBorders>
          </w:tcPr>
          <w:p>
            <w:pPr>
              <w:spacing w:after="0"/>
              <w:rPr>
                <w:sz w:val="17"/>
                <w:szCs w:val="17"/>
                <w:color w:val="auto"/>
              </w:rPr>
            </w:pPr>
          </w:p>
        </w:tc>
      </w:tr>
      <w:tr>
        <w:trPr>
          <w:trHeight w:val="215"/>
        </w:trPr>
        <w:tc>
          <w:tcPr>
            <w:tcW w:w="7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6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2026</w:t>
            </w:r>
          </w:p>
        </w:tc>
        <w:tc>
          <w:tcPr>
            <w:tcW w:w="10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2025</w:t>
            </w:r>
          </w:p>
        </w:tc>
      </w:tr>
      <w:tr>
        <w:trPr>
          <w:trHeight w:val="196"/>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Borrowings on revolving credit facility</w:t>
            </w:r>
          </w:p>
        </w:tc>
        <w:tc>
          <w:tcPr>
            <w:tcW w:w="680" w:type="dxa"/>
            <w:vAlign w:val="bottom"/>
            <w:tcBorders>
              <w:bottom w:val="single" w:sz="8" w:color="CCEEFF"/>
            </w:tcBorders>
            <w:shd w:val="clear" w:color="auto" w:fill="CCEEFF"/>
          </w:tcPr>
          <w:p>
            <w:pPr>
              <w:jc w:val="right"/>
              <w:ind w:right="511"/>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4"/>
                <w:szCs w:val="14"/>
                <w:color w:val="auto"/>
              </w:rPr>
              <w:t>45.0</w:t>
            </w:r>
          </w:p>
        </w:tc>
        <w:tc>
          <w:tcPr>
            <w:tcW w:w="1020" w:type="dxa"/>
            <w:vAlign w:val="bottom"/>
            <w:tcBorders>
              <w:bottom w:val="single" w:sz="8" w:color="CCEEFF"/>
            </w:tcBorders>
            <w:shd w:val="clear" w:color="auto" w:fill="CCEEFF"/>
          </w:tcPr>
          <w:p>
            <w:pPr>
              <w:jc w:val="right"/>
              <w:ind w:right="691"/>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55.0</w:t>
            </w:r>
          </w:p>
        </w:tc>
      </w:tr>
      <w:tr>
        <w:trPr>
          <w:trHeight w:val="199"/>
        </w:trPr>
        <w:tc>
          <w:tcPr>
            <w:tcW w:w="7540" w:type="dxa"/>
            <w:vAlign w:val="bottom"/>
          </w:tcPr>
          <w:p>
            <w:pPr>
              <w:ind w:left="20"/>
              <w:spacing w:after="0"/>
              <w:rPr>
                <w:sz w:val="20"/>
                <w:szCs w:val="20"/>
                <w:color w:val="auto"/>
              </w:rPr>
            </w:pPr>
            <w:r>
              <w:rPr>
                <w:rFonts w:ascii="Arial" w:cs="Arial" w:eastAsia="Arial" w:hAnsi="Arial"/>
                <w:sz w:val="14"/>
                <w:szCs w:val="14"/>
                <w:color w:val="auto"/>
              </w:rPr>
              <w:t>Payments on revolving credit facility</w:t>
            </w:r>
          </w:p>
        </w:tc>
        <w:tc>
          <w:tcPr>
            <w:tcW w:w="680" w:type="dxa"/>
            <w:vAlign w:val="bottom"/>
          </w:tcPr>
          <w:p>
            <w:pPr>
              <w:spacing w:after="0"/>
              <w:rPr>
                <w:sz w:val="17"/>
                <w:szCs w:val="17"/>
                <w:color w:val="auto"/>
              </w:rPr>
            </w:pPr>
          </w:p>
        </w:tc>
        <w:tc>
          <w:tcPr>
            <w:tcW w:w="1160" w:type="dxa"/>
            <w:vAlign w:val="bottom"/>
          </w:tcPr>
          <w:p>
            <w:pPr>
              <w:jc w:val="right"/>
              <w:ind w:right="111"/>
              <w:spacing w:after="0"/>
              <w:rPr>
                <w:sz w:val="20"/>
                <w:szCs w:val="20"/>
                <w:color w:val="auto"/>
              </w:rPr>
            </w:pPr>
            <w:r>
              <w:rPr>
                <w:rFonts w:ascii="Arial" w:cs="Arial" w:eastAsia="Arial" w:hAnsi="Arial"/>
                <w:sz w:val="14"/>
                <w:szCs w:val="14"/>
                <w:color w:val="auto"/>
              </w:rPr>
              <w:t>(30.0)</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(20.0)</w:t>
            </w:r>
          </w:p>
        </w:tc>
      </w:tr>
      <w:tr>
        <w:trPr>
          <w:trHeight w:val="20"/>
        </w:trPr>
        <w:tc>
          <w:tcPr>
            <w:tcW w:w="7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9"/>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Repayment of short-term borrowings</w:t>
            </w:r>
          </w:p>
        </w:tc>
        <w:tc>
          <w:tcPr>
            <w:tcW w:w="6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rPr>
              <w:t>(4.5)</w:t>
            </w:r>
          </w:p>
        </w:tc>
        <w:tc>
          <w:tcPr>
            <w:tcW w:w="10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w:t>
            </w:r>
          </w:p>
        </w:tc>
      </w:tr>
      <w:tr>
        <w:trPr>
          <w:trHeight w:val="199"/>
        </w:trPr>
        <w:tc>
          <w:tcPr>
            <w:tcW w:w="7540" w:type="dxa"/>
            <w:vAlign w:val="bottom"/>
          </w:tcPr>
          <w:p>
            <w:pPr>
              <w:ind w:left="20"/>
              <w:spacing w:after="0"/>
              <w:rPr>
                <w:sz w:val="20"/>
                <w:szCs w:val="20"/>
                <w:color w:val="auto"/>
              </w:rPr>
            </w:pPr>
            <w:r>
              <w:rPr>
                <w:rFonts w:ascii="Arial" w:cs="Arial" w:eastAsia="Arial" w:hAnsi="Arial"/>
                <w:sz w:val="14"/>
                <w:szCs w:val="14"/>
                <w:color w:val="auto"/>
              </w:rPr>
              <w:t>Borrowings under long-term debt obligations</w:t>
            </w:r>
          </w:p>
        </w:tc>
        <w:tc>
          <w:tcPr>
            <w:tcW w:w="680" w:type="dxa"/>
            <w:vAlign w:val="bottom"/>
          </w:tcPr>
          <w:p>
            <w:pPr>
              <w:spacing w:after="0"/>
              <w:rPr>
                <w:sz w:val="17"/>
                <w:szCs w:val="17"/>
                <w:color w:val="auto"/>
              </w:rPr>
            </w:pPr>
          </w:p>
        </w:tc>
        <w:tc>
          <w:tcPr>
            <w:tcW w:w="1160" w:type="dxa"/>
            <w:vAlign w:val="bottom"/>
          </w:tcPr>
          <w:p>
            <w:pPr>
              <w:jc w:val="right"/>
              <w:ind w:right="151"/>
              <w:spacing w:after="0"/>
              <w:rPr>
                <w:sz w:val="20"/>
                <w:szCs w:val="20"/>
                <w:color w:val="auto"/>
              </w:rPr>
            </w:pPr>
            <w:r>
              <w:rPr>
                <w:rFonts w:ascii="Arial" w:cs="Arial" w:eastAsia="Arial" w:hAnsi="Arial"/>
                <w:sz w:val="14"/>
                <w:szCs w:val="14"/>
                <w:color w:val="auto"/>
              </w:rPr>
              <w:t>100.0</w:t>
            </w:r>
          </w:p>
        </w:tc>
        <w:tc>
          <w:tcPr>
            <w:tcW w:w="1020" w:type="dxa"/>
            <w:vAlign w:val="bottom"/>
          </w:tcPr>
          <w:p>
            <w:pPr>
              <w:spacing w:after="0"/>
              <w:rPr>
                <w:sz w:val="17"/>
                <w:szCs w:val="17"/>
                <w:color w:val="auto"/>
              </w:rPr>
            </w:pPr>
          </w:p>
        </w:tc>
        <w:tc>
          <w:tcPr>
            <w:tcW w:w="840" w:type="dxa"/>
            <w:vAlign w:val="bottom"/>
          </w:tcPr>
          <w:p>
            <w:pPr>
              <w:jc w:val="right"/>
              <w:ind w:right="11"/>
              <w:spacing w:after="0"/>
              <w:rPr>
                <w:sz w:val="20"/>
                <w:szCs w:val="20"/>
                <w:color w:val="auto"/>
              </w:rPr>
            </w:pPr>
            <w:r>
              <w:rPr>
                <w:rFonts w:ascii="Arial" w:cs="Arial" w:eastAsia="Arial" w:hAnsi="Arial"/>
                <w:sz w:val="14"/>
                <w:szCs w:val="14"/>
                <w:color w:val="auto"/>
              </w:rPr>
              <w:t>—</w:t>
            </w:r>
          </w:p>
        </w:tc>
      </w:tr>
      <w:tr>
        <w:trPr>
          <w:trHeight w:val="20"/>
        </w:trPr>
        <w:tc>
          <w:tcPr>
            <w:tcW w:w="7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9"/>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Principal payments on long-term debt obligations</w:t>
            </w:r>
          </w:p>
        </w:tc>
        <w:tc>
          <w:tcPr>
            <w:tcW w:w="6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rPr>
              <w:t>(91.0)</w:t>
            </w:r>
          </w:p>
        </w:tc>
        <w:tc>
          <w:tcPr>
            <w:tcW w:w="10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w:t>
            </w:r>
          </w:p>
        </w:tc>
      </w:tr>
      <w:tr>
        <w:trPr>
          <w:trHeight w:val="199"/>
        </w:trPr>
        <w:tc>
          <w:tcPr>
            <w:tcW w:w="7540" w:type="dxa"/>
            <w:vAlign w:val="bottom"/>
          </w:tcPr>
          <w:p>
            <w:pPr>
              <w:ind w:left="20"/>
              <w:spacing w:after="0"/>
              <w:rPr>
                <w:sz w:val="20"/>
                <w:szCs w:val="20"/>
                <w:color w:val="auto"/>
              </w:rPr>
            </w:pPr>
            <w:r>
              <w:rPr>
                <w:rFonts w:ascii="Arial" w:cs="Arial" w:eastAsia="Arial" w:hAnsi="Arial"/>
                <w:sz w:val="14"/>
                <w:szCs w:val="14"/>
                <w:color w:val="auto"/>
              </w:rPr>
              <w:t>Payment of debt restructuring fees</w:t>
            </w:r>
          </w:p>
        </w:tc>
        <w:tc>
          <w:tcPr>
            <w:tcW w:w="680" w:type="dxa"/>
            <w:vAlign w:val="bottom"/>
          </w:tcPr>
          <w:p>
            <w:pPr>
              <w:spacing w:after="0"/>
              <w:rPr>
                <w:sz w:val="17"/>
                <w:szCs w:val="17"/>
                <w:color w:val="auto"/>
              </w:rPr>
            </w:pPr>
          </w:p>
        </w:tc>
        <w:tc>
          <w:tcPr>
            <w:tcW w:w="1160" w:type="dxa"/>
            <w:vAlign w:val="bottom"/>
          </w:tcPr>
          <w:p>
            <w:pPr>
              <w:jc w:val="right"/>
              <w:ind w:right="111"/>
              <w:spacing w:after="0"/>
              <w:rPr>
                <w:sz w:val="20"/>
                <w:szCs w:val="20"/>
                <w:color w:val="auto"/>
              </w:rPr>
            </w:pPr>
            <w:r>
              <w:rPr>
                <w:rFonts w:ascii="Arial" w:cs="Arial" w:eastAsia="Arial" w:hAnsi="Arial"/>
                <w:sz w:val="14"/>
                <w:szCs w:val="14"/>
                <w:color w:val="auto"/>
              </w:rPr>
              <w:t>(2.2)</w:t>
            </w:r>
          </w:p>
        </w:tc>
        <w:tc>
          <w:tcPr>
            <w:tcW w:w="1020" w:type="dxa"/>
            <w:vAlign w:val="bottom"/>
          </w:tcPr>
          <w:p>
            <w:pPr>
              <w:spacing w:after="0"/>
              <w:rPr>
                <w:sz w:val="17"/>
                <w:szCs w:val="17"/>
                <w:color w:val="auto"/>
              </w:rPr>
            </w:pPr>
          </w:p>
        </w:tc>
        <w:tc>
          <w:tcPr>
            <w:tcW w:w="840" w:type="dxa"/>
            <w:vAlign w:val="bottom"/>
          </w:tcPr>
          <w:p>
            <w:pPr>
              <w:jc w:val="right"/>
              <w:ind w:right="11"/>
              <w:spacing w:after="0"/>
              <w:rPr>
                <w:sz w:val="20"/>
                <w:szCs w:val="20"/>
                <w:color w:val="auto"/>
              </w:rPr>
            </w:pPr>
            <w:r>
              <w:rPr>
                <w:rFonts w:ascii="Arial" w:cs="Arial" w:eastAsia="Arial" w:hAnsi="Arial"/>
                <w:sz w:val="14"/>
                <w:szCs w:val="14"/>
                <w:color w:val="auto"/>
              </w:rPr>
              <w:t>—</w:t>
            </w:r>
          </w:p>
        </w:tc>
      </w:tr>
      <w:tr>
        <w:trPr>
          <w:trHeight w:val="20"/>
        </w:trPr>
        <w:tc>
          <w:tcPr>
            <w:tcW w:w="7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9"/>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Principal payments on finance lease obligations</w:t>
            </w:r>
          </w:p>
        </w:tc>
        <w:tc>
          <w:tcPr>
            <w:tcW w:w="6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rPr>
              <w:t>(0.5)</w:t>
            </w:r>
          </w:p>
        </w:tc>
        <w:tc>
          <w:tcPr>
            <w:tcW w:w="10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w:t>
            </w:r>
          </w:p>
        </w:tc>
      </w:tr>
      <w:tr>
        <w:trPr>
          <w:trHeight w:val="199"/>
        </w:trPr>
        <w:tc>
          <w:tcPr>
            <w:tcW w:w="7540" w:type="dxa"/>
            <w:vAlign w:val="bottom"/>
          </w:tcPr>
          <w:p>
            <w:pPr>
              <w:ind w:left="20"/>
              <w:spacing w:after="0"/>
              <w:rPr>
                <w:sz w:val="20"/>
                <w:szCs w:val="20"/>
                <w:color w:val="auto"/>
              </w:rPr>
            </w:pPr>
            <w:r>
              <w:rPr>
                <w:rFonts w:ascii="Arial" w:cs="Arial" w:eastAsia="Arial" w:hAnsi="Arial"/>
                <w:sz w:val="14"/>
                <w:szCs w:val="14"/>
                <w:color w:val="auto"/>
              </w:rPr>
              <w:t>Payments for long-term supplier financing</w:t>
            </w:r>
          </w:p>
        </w:tc>
        <w:tc>
          <w:tcPr>
            <w:tcW w:w="680" w:type="dxa"/>
            <w:vAlign w:val="bottom"/>
          </w:tcPr>
          <w:p>
            <w:pPr>
              <w:spacing w:after="0"/>
              <w:rPr>
                <w:sz w:val="17"/>
                <w:szCs w:val="17"/>
                <w:color w:val="auto"/>
              </w:rPr>
            </w:pPr>
          </w:p>
        </w:tc>
        <w:tc>
          <w:tcPr>
            <w:tcW w:w="1160" w:type="dxa"/>
            <w:vAlign w:val="bottom"/>
          </w:tcPr>
          <w:p>
            <w:pPr>
              <w:jc w:val="right"/>
              <w:ind w:right="111"/>
              <w:spacing w:after="0"/>
              <w:rPr>
                <w:sz w:val="20"/>
                <w:szCs w:val="20"/>
                <w:color w:val="auto"/>
              </w:rPr>
            </w:pPr>
            <w:r>
              <w:rPr>
                <w:rFonts w:ascii="Arial" w:cs="Arial" w:eastAsia="Arial" w:hAnsi="Arial"/>
                <w:sz w:val="14"/>
                <w:szCs w:val="14"/>
                <w:color w:val="auto"/>
              </w:rPr>
              <w:t>(2.6)</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20"/>
        </w:trPr>
        <w:tc>
          <w:tcPr>
            <w:tcW w:w="7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9"/>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Proceeds from loan from noncontrolling interest holder</w:t>
            </w:r>
          </w:p>
        </w:tc>
        <w:tc>
          <w:tcPr>
            <w:tcW w:w="6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4"/>
                <w:szCs w:val="14"/>
                <w:color w:val="auto"/>
              </w:rPr>
              <w:t>3.1</w:t>
            </w:r>
          </w:p>
        </w:tc>
        <w:tc>
          <w:tcPr>
            <w:tcW w:w="10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r>
      <w:tr>
        <w:trPr>
          <w:trHeight w:val="199"/>
        </w:trPr>
        <w:tc>
          <w:tcPr>
            <w:tcW w:w="7540" w:type="dxa"/>
            <w:vAlign w:val="bottom"/>
          </w:tcPr>
          <w:p>
            <w:pPr>
              <w:ind w:left="20"/>
              <w:spacing w:after="0"/>
              <w:rPr>
                <w:sz w:val="20"/>
                <w:szCs w:val="20"/>
                <w:color w:val="auto"/>
              </w:rPr>
            </w:pPr>
            <w:r>
              <w:rPr>
                <w:rFonts w:ascii="Arial" w:cs="Arial" w:eastAsia="Arial" w:hAnsi="Arial"/>
                <w:sz w:val="14"/>
                <w:szCs w:val="14"/>
                <w:color w:val="auto"/>
              </w:rPr>
              <w:t>Payments to noncontrolling interest holder for long-term supply financing</w:t>
            </w:r>
          </w:p>
        </w:tc>
        <w:tc>
          <w:tcPr>
            <w:tcW w:w="680" w:type="dxa"/>
            <w:vAlign w:val="bottom"/>
          </w:tcPr>
          <w:p>
            <w:pPr>
              <w:spacing w:after="0"/>
              <w:rPr>
                <w:sz w:val="17"/>
                <w:szCs w:val="17"/>
                <w:color w:val="auto"/>
              </w:rPr>
            </w:pPr>
          </w:p>
        </w:tc>
        <w:tc>
          <w:tcPr>
            <w:tcW w:w="116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0"/>
        </w:trPr>
        <w:tc>
          <w:tcPr>
            <w:tcW w:w="7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9"/>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Principal payments on loans due to noncontrolling interest holder</w:t>
            </w:r>
          </w:p>
        </w:tc>
        <w:tc>
          <w:tcPr>
            <w:tcW w:w="6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rPr>
              <w:t>(0.1)</w:t>
            </w:r>
          </w:p>
        </w:tc>
        <w:tc>
          <w:tcPr>
            <w:tcW w:w="10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r>
      <w:tr>
        <w:trPr>
          <w:trHeight w:val="199"/>
        </w:trPr>
        <w:tc>
          <w:tcPr>
            <w:tcW w:w="7540" w:type="dxa"/>
            <w:vAlign w:val="bottom"/>
          </w:tcPr>
          <w:p>
            <w:pPr>
              <w:ind w:left="20"/>
              <w:spacing w:after="0"/>
              <w:rPr>
                <w:sz w:val="20"/>
                <w:szCs w:val="20"/>
                <w:color w:val="auto"/>
              </w:rPr>
            </w:pPr>
            <w:r>
              <w:rPr>
                <w:rFonts w:ascii="Arial" w:cs="Arial" w:eastAsia="Arial" w:hAnsi="Arial"/>
                <w:sz w:val="14"/>
                <w:szCs w:val="14"/>
                <w:color w:val="auto"/>
              </w:rPr>
              <w:t>Payments of minimum withholding taxes on net share settlement of equity awards</w:t>
            </w:r>
          </w:p>
        </w:tc>
        <w:tc>
          <w:tcPr>
            <w:tcW w:w="680" w:type="dxa"/>
            <w:vAlign w:val="bottom"/>
          </w:tcPr>
          <w:p>
            <w:pPr>
              <w:spacing w:after="0"/>
              <w:rPr>
                <w:sz w:val="17"/>
                <w:szCs w:val="17"/>
                <w:color w:val="auto"/>
              </w:rPr>
            </w:pPr>
          </w:p>
        </w:tc>
        <w:tc>
          <w:tcPr>
            <w:tcW w:w="1160" w:type="dxa"/>
            <w:vAlign w:val="bottom"/>
          </w:tcPr>
          <w:p>
            <w:pPr>
              <w:jc w:val="right"/>
              <w:ind w:right="111"/>
              <w:spacing w:after="0"/>
              <w:rPr>
                <w:sz w:val="20"/>
                <w:szCs w:val="20"/>
                <w:color w:val="auto"/>
              </w:rPr>
            </w:pPr>
            <w:r>
              <w:rPr>
                <w:rFonts w:ascii="Arial" w:cs="Arial" w:eastAsia="Arial" w:hAnsi="Arial"/>
                <w:sz w:val="14"/>
                <w:szCs w:val="14"/>
                <w:color w:val="auto"/>
              </w:rPr>
              <w:t>(2.5)</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0"/>
        </w:trPr>
        <w:tc>
          <w:tcPr>
            <w:tcW w:w="7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9"/>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Exercise of stock options</w:t>
            </w:r>
          </w:p>
        </w:tc>
        <w:tc>
          <w:tcPr>
            <w:tcW w:w="6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0.3</w:t>
            </w:r>
          </w:p>
        </w:tc>
      </w:tr>
      <w:tr>
        <w:trPr>
          <w:trHeight w:val="199"/>
        </w:trPr>
        <w:tc>
          <w:tcPr>
            <w:tcW w:w="7540" w:type="dxa"/>
            <w:vAlign w:val="bottom"/>
          </w:tcPr>
          <w:p>
            <w:pPr>
              <w:ind w:left="20"/>
              <w:spacing w:after="0"/>
              <w:rPr>
                <w:sz w:val="20"/>
                <w:szCs w:val="20"/>
                <w:color w:val="auto"/>
              </w:rPr>
            </w:pPr>
            <w:r>
              <w:rPr>
                <w:rFonts w:ascii="Arial" w:cs="Arial" w:eastAsia="Arial" w:hAnsi="Arial"/>
                <w:sz w:val="14"/>
                <w:szCs w:val="14"/>
                <w:color w:val="auto"/>
              </w:rPr>
              <w:t>Purchase and retirement of common stock</w:t>
            </w:r>
          </w:p>
        </w:tc>
        <w:tc>
          <w:tcPr>
            <w:tcW w:w="680" w:type="dxa"/>
            <w:vAlign w:val="bottom"/>
          </w:tcPr>
          <w:p>
            <w:pPr>
              <w:spacing w:after="0"/>
              <w:rPr>
                <w:sz w:val="17"/>
                <w:szCs w:val="17"/>
                <w:color w:val="auto"/>
              </w:rPr>
            </w:pPr>
          </w:p>
        </w:tc>
        <w:tc>
          <w:tcPr>
            <w:tcW w:w="1160" w:type="dxa"/>
            <w:vAlign w:val="bottom"/>
          </w:tcPr>
          <w:p>
            <w:pPr>
              <w:jc w:val="right"/>
              <w:ind w:right="111"/>
              <w:spacing w:after="0"/>
              <w:rPr>
                <w:sz w:val="20"/>
                <w:szCs w:val="20"/>
                <w:color w:val="auto"/>
              </w:rPr>
            </w:pPr>
            <w:r>
              <w:rPr>
                <w:rFonts w:ascii="Arial" w:cs="Arial" w:eastAsia="Arial" w:hAnsi="Arial"/>
                <w:sz w:val="14"/>
                <w:szCs w:val="14"/>
                <w:color w:val="auto"/>
              </w:rPr>
              <w:t>(2.2)</w:t>
            </w:r>
          </w:p>
        </w:tc>
        <w:tc>
          <w:tcPr>
            <w:tcW w:w="10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20"/>
        </w:trPr>
        <w:tc>
          <w:tcPr>
            <w:tcW w:w="7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92"/>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680" w:type="dxa"/>
            <w:vAlign w:val="bottom"/>
            <w:tcBorders>
              <w:bottom w:val="single" w:sz="8" w:color="CCEEFF"/>
            </w:tcBorders>
            <w:shd w:val="clear" w:color="auto" w:fill="CCEEFF"/>
          </w:tcPr>
          <w:p>
            <w:pPr>
              <w:jc w:val="right"/>
              <w:ind w:right="511"/>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4"/>
                <w:szCs w:val="14"/>
                <w:color w:val="auto"/>
              </w:rPr>
              <w:t>12.5</w:t>
            </w:r>
          </w:p>
        </w:tc>
        <w:tc>
          <w:tcPr>
            <w:tcW w:w="1020" w:type="dxa"/>
            <w:vAlign w:val="bottom"/>
            <w:tcBorders>
              <w:bottom w:val="single" w:sz="8" w:color="CCEEFF"/>
            </w:tcBorders>
            <w:shd w:val="clear" w:color="auto" w:fill="CCEEFF"/>
          </w:tcPr>
          <w:p>
            <w:pPr>
              <w:jc w:val="right"/>
              <w:ind w:right="691"/>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21.1</w:t>
            </w:r>
          </w:p>
        </w:tc>
      </w:tr>
      <w:tr>
        <w:trPr>
          <w:trHeight w:val="20"/>
        </w:trPr>
        <w:tc>
          <w:tcPr>
            <w:tcW w:w="75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Borrowings and repayments of debt</w:t>
      </w:r>
    </w:p>
    <w:p>
      <w:pPr>
        <w:spacing w:after="0" w:line="213" w:lineRule="exact"/>
        <w:rPr>
          <w:sz w:val="20"/>
          <w:szCs w:val="20"/>
          <w:color w:val="auto"/>
        </w:rPr>
      </w:pPr>
    </w:p>
    <w:p>
      <w:pPr>
        <w:ind w:left="620"/>
        <w:spacing w:after="0"/>
        <w:rPr>
          <w:sz w:val="20"/>
          <w:szCs w:val="20"/>
          <w:color w:val="auto"/>
        </w:rPr>
      </w:pPr>
      <w:r>
        <w:rPr>
          <w:rFonts w:ascii="Arial" w:cs="Arial" w:eastAsia="Arial" w:hAnsi="Arial"/>
          <w:sz w:val="14"/>
          <w:szCs w:val="14"/>
          <w:color w:val="auto"/>
        </w:rPr>
        <w:t>We utilize a revolving line of credit for short-term working capital purposes. Principal payments on our credit facility are made in accordance with debt maturity schedules.</w:t>
      </w:r>
    </w:p>
    <w:p>
      <w:pPr>
        <w:spacing w:after="0" w:line="213" w:lineRule="exact"/>
        <w:rPr>
          <w:sz w:val="20"/>
          <w:szCs w:val="20"/>
          <w:color w:val="auto"/>
        </w:rPr>
      </w:pPr>
    </w:p>
    <w:p>
      <w:pPr>
        <w:jc w:val="both"/>
        <w:ind w:right="300" w:firstLine="619"/>
        <w:spacing w:after="0" w:line="264" w:lineRule="auto"/>
        <w:rPr>
          <w:sz w:val="20"/>
          <w:szCs w:val="20"/>
          <w:color w:val="auto"/>
        </w:rPr>
      </w:pPr>
      <w:r>
        <w:rPr>
          <w:rFonts w:ascii="Arial" w:cs="Arial" w:eastAsia="Arial" w:hAnsi="Arial"/>
          <w:sz w:val="14"/>
          <w:szCs w:val="14"/>
          <w:color w:val="auto"/>
        </w:rPr>
        <w:t>On April 1, 2026, we entered into an Amended and Restated Credit Agreement with Bank of America and other syndicate lenders, which amends and restates that certain credit agreement, dated as of October 11, 2018 (as amended and restated). The credit agreement provides senior secured credit facilities in an aggregate principal amount of $550 million, consisting of:</w:t>
      </w:r>
    </w:p>
    <w:p>
      <w:pPr>
        <w:spacing w:after="0" w:line="139" w:lineRule="exact"/>
        <w:rPr>
          <w:sz w:val="20"/>
          <w:szCs w:val="20"/>
          <w:color w:val="auto"/>
        </w:rPr>
      </w:pPr>
    </w:p>
    <w:p>
      <w:pPr>
        <w:ind w:left="620" w:hanging="307"/>
        <w:spacing w:after="0"/>
        <w:tabs>
          <w:tab w:leader="none" w:pos="6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 $200 million revolving facility (the “Revolving Facility”)</w:t>
      </w:r>
    </w:p>
    <w:p>
      <w:pPr>
        <w:spacing w:after="0" w:line="174" w:lineRule="exact"/>
        <w:rPr>
          <w:rFonts w:ascii="Arial" w:cs="Arial" w:eastAsia="Arial" w:hAnsi="Arial"/>
          <w:sz w:val="14"/>
          <w:szCs w:val="14"/>
          <w:color w:val="auto"/>
        </w:rPr>
      </w:pPr>
    </w:p>
    <w:p>
      <w:pPr>
        <w:ind w:left="620" w:right="100" w:hanging="307"/>
        <w:spacing w:after="0" w:line="278" w:lineRule="auto"/>
        <w:tabs>
          <w:tab w:leader="none" w:pos="616" w:val="left"/>
        </w:tabs>
        <w:numPr>
          <w:ilvl w:val="0"/>
          <w:numId w:val="19"/>
        </w:numPr>
        <w:rPr>
          <w:rFonts w:ascii="Arial" w:cs="Arial" w:eastAsia="Arial" w:hAnsi="Arial"/>
          <w:sz w:val="14"/>
          <w:szCs w:val="14"/>
          <w:color w:val="auto"/>
        </w:rPr>
      </w:pPr>
      <w:r>
        <w:rPr>
          <w:rFonts w:ascii="Arial" w:cs="Arial" w:eastAsia="Arial" w:hAnsi="Arial"/>
          <w:sz w:val="14"/>
          <w:szCs w:val="14"/>
          <w:color w:val="auto"/>
        </w:rPr>
        <w:t>a $200 million term loan facility, $150 million of which was drawn on the Calavo acquisition funding date of May 28, 2026, subsequent to the quarter ended April 30, 2026 (the “Term A-1 Facility”); and</w:t>
      </w:r>
    </w:p>
    <w:p>
      <w:pPr>
        <w:spacing w:after="0" w:line="129" w:lineRule="exact"/>
        <w:rPr>
          <w:rFonts w:ascii="Arial" w:cs="Arial" w:eastAsia="Arial" w:hAnsi="Arial"/>
          <w:sz w:val="14"/>
          <w:szCs w:val="14"/>
          <w:color w:val="auto"/>
        </w:rPr>
      </w:pPr>
    </w:p>
    <w:p>
      <w:pPr>
        <w:ind w:left="620" w:right="240" w:hanging="307"/>
        <w:spacing w:after="0" w:line="278" w:lineRule="auto"/>
        <w:tabs>
          <w:tab w:leader="none" w:pos="616" w:val="left"/>
        </w:tabs>
        <w:numPr>
          <w:ilvl w:val="0"/>
          <w:numId w:val="19"/>
        </w:numPr>
        <w:rPr>
          <w:rFonts w:ascii="Arial" w:cs="Arial" w:eastAsia="Arial" w:hAnsi="Arial"/>
          <w:sz w:val="14"/>
          <w:szCs w:val="14"/>
          <w:color w:val="auto"/>
        </w:rPr>
      </w:pPr>
      <w:r>
        <w:rPr>
          <w:rFonts w:ascii="Arial" w:cs="Arial" w:eastAsia="Arial" w:hAnsi="Arial"/>
          <w:sz w:val="14"/>
          <w:szCs w:val="14"/>
          <w:color w:val="auto"/>
        </w:rPr>
        <w:t>a $150 million term loan facility, $100 million of which was drawn on the Calavo acquisition funding date (the “Term A-2 Facility” and, together with the Term A-1 Facility, the “Term Loan Facilities”; the Term Loan Facilities together with the Revolving Facility, the “Senior Credit Facility”).</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Blueberries</w:t>
      </w:r>
    </w:p>
    <w:p>
      <w:pPr>
        <w:spacing w:after="0" w:line="213" w:lineRule="exact"/>
        <w:rPr>
          <w:sz w:val="20"/>
          <w:szCs w:val="20"/>
          <w:color w:val="auto"/>
        </w:rPr>
      </w:pPr>
    </w:p>
    <w:p>
      <w:pPr>
        <w:jc w:val="both"/>
        <w:ind w:right="60" w:firstLine="619"/>
        <w:spacing w:after="0" w:line="264" w:lineRule="auto"/>
        <w:rPr>
          <w:sz w:val="20"/>
          <w:szCs w:val="20"/>
          <w:color w:val="auto"/>
        </w:rPr>
      </w:pPr>
      <w:r>
        <w:rPr>
          <w:rFonts w:ascii="Arial" w:cs="Arial" w:eastAsia="Arial" w:hAnsi="Arial"/>
          <w:sz w:val="14"/>
          <w:szCs w:val="14"/>
          <w:color w:val="auto"/>
        </w:rPr>
        <w:t>Financing of our Blueberries segment consists of shareholder contributions and loans, as well as short-term bank borrowings, as needed. Principal payments on shareholder loans are made in accordance with loan agreements. Principal payments on finance lease obligations primarily relate to a long-term land lease, which for accounting purposes has been classified as a finance lease. Certain supply purchases are made under long-term financing arrangements with intermediaries and directly with vendors.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Purchase and retirement of common stock</w:t>
      </w:r>
    </w:p>
    <w:p>
      <w:pPr>
        <w:spacing w:after="0" w:line="200" w:lineRule="exact"/>
        <w:rPr>
          <w:sz w:val="20"/>
          <w:szCs w:val="20"/>
          <w:color w:val="auto"/>
        </w:rPr>
      </w:pPr>
    </w:p>
    <w:p>
      <w:pPr>
        <w:ind w:left="620"/>
        <w:spacing w:after="0"/>
        <w:rPr>
          <w:sz w:val="20"/>
          <w:szCs w:val="20"/>
          <w:color w:val="auto"/>
        </w:rPr>
      </w:pPr>
      <w:r>
        <w:rPr>
          <w:rFonts w:ascii="Arial" w:cs="Arial" w:eastAsia="Arial" w:hAnsi="Arial"/>
          <w:sz w:val="13"/>
          <w:szCs w:val="13"/>
          <w:color w:val="auto"/>
        </w:rPr>
        <w:t>Shares of the company’s common stock may be repurchased from time to time in the open market or privately negotiated transactions under our share repurchase program.</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For more information on our stock repurchase program, see “Item 2. Unregistered Sales of Equity Securities and Use of Proceeds” in this quarterly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840105</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Capital resources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April 30, 2026</w:t>
            </w:r>
          </w:p>
        </w:tc>
        <w:tc>
          <w:tcPr>
            <w:tcW w:w="4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October 31, 2025</w:t>
            </w:r>
          </w:p>
        </w:tc>
      </w:tr>
      <w:tr>
        <w:trPr>
          <w:trHeight w:val="196"/>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340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4"/>
                <w:szCs w:val="14"/>
                <w:color w:val="auto"/>
              </w:rPr>
              <w:t>33.0</w:t>
            </w:r>
          </w:p>
        </w:tc>
        <w:tc>
          <w:tcPr>
            <w:tcW w:w="4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64.8</w:t>
            </w:r>
          </w:p>
        </w:tc>
      </w:tr>
      <w:tr>
        <w:trPr>
          <w:trHeight w:val="199"/>
        </w:trPr>
        <w:tc>
          <w:tcPr>
            <w:tcW w:w="4660" w:type="dxa"/>
            <w:vAlign w:val="bottom"/>
          </w:tcPr>
          <w:p>
            <w:pPr>
              <w:ind w:left="20"/>
              <w:spacing w:after="0"/>
              <w:rPr>
                <w:sz w:val="20"/>
                <w:szCs w:val="20"/>
                <w:color w:val="auto"/>
              </w:rPr>
            </w:pPr>
            <w:r>
              <w:rPr>
                <w:rFonts w:ascii="Arial" w:cs="Arial" w:eastAsia="Arial" w:hAnsi="Arial"/>
                <w:sz w:val="14"/>
                <w:szCs w:val="14"/>
                <w:color w:val="auto"/>
              </w:rPr>
              <w:t>Working capital</w:t>
            </w:r>
            <w:r>
              <w:rPr>
                <w:rFonts w:ascii="Arial" w:cs="Arial" w:eastAsia="Arial" w:hAnsi="Arial"/>
                <w:sz w:val="8"/>
                <w:szCs w:val="8"/>
                <w:color w:val="auto"/>
              </w:rPr>
              <w:t>(1)</w:t>
            </w:r>
          </w:p>
        </w:tc>
        <w:tc>
          <w:tcPr>
            <w:tcW w:w="3400" w:type="dxa"/>
            <w:vAlign w:val="bottom"/>
          </w:tcPr>
          <w:p>
            <w:pPr>
              <w:spacing w:after="0"/>
              <w:rPr>
                <w:sz w:val="17"/>
                <w:szCs w:val="17"/>
                <w:color w:val="auto"/>
              </w:rPr>
            </w:pPr>
          </w:p>
        </w:tc>
        <w:tc>
          <w:tcPr>
            <w:tcW w:w="1380" w:type="dxa"/>
            <w:vAlign w:val="bottom"/>
          </w:tcPr>
          <w:p>
            <w:pPr>
              <w:jc w:val="right"/>
              <w:ind w:right="131"/>
              <w:spacing w:after="0"/>
              <w:rPr>
                <w:sz w:val="20"/>
                <w:szCs w:val="20"/>
                <w:color w:val="auto"/>
              </w:rPr>
            </w:pPr>
            <w:r>
              <w:rPr>
                <w:rFonts w:ascii="Arial" w:cs="Arial" w:eastAsia="Arial" w:hAnsi="Arial"/>
                <w:sz w:val="14"/>
                <w:szCs w:val="14"/>
                <w:color w:val="auto"/>
              </w:rPr>
              <w:t>135.1</w:t>
            </w:r>
          </w:p>
        </w:tc>
        <w:tc>
          <w:tcPr>
            <w:tcW w:w="4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127.7</w:t>
            </w:r>
          </w:p>
        </w:tc>
      </w:tr>
      <w:tr>
        <w:trPr>
          <w:trHeight w:val="20"/>
        </w:trPr>
        <w:tc>
          <w:tcPr>
            <w:tcW w:w="466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220" w:hanging="217"/>
        <w:spacing w:after="0"/>
        <w:tabs>
          <w:tab w:leader="none" w:pos="2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C</w:t>
      </w:r>
      <w:r>
        <w:rPr>
          <w:rFonts w:ascii="Arial" w:cs="Arial" w:eastAsia="Arial" w:hAnsi="Arial"/>
          <w:sz w:val="13"/>
          <w:szCs w:val="13"/>
          <w:color w:val="auto"/>
        </w:rPr>
        <w:t>urrent assets minus current liabilities.</w:t>
      </w:r>
    </w:p>
    <w:p>
      <w:pPr>
        <w:spacing w:after="0" w:line="224" w:lineRule="exact"/>
        <w:rPr>
          <w:sz w:val="20"/>
          <w:szCs w:val="20"/>
          <w:color w:val="auto"/>
        </w:rPr>
      </w:pPr>
    </w:p>
    <w:p>
      <w:pPr>
        <w:ind w:right="60" w:firstLine="619"/>
        <w:spacing w:after="0" w:line="278" w:lineRule="auto"/>
        <w:rPr>
          <w:sz w:val="20"/>
          <w:szCs w:val="20"/>
          <w:color w:val="auto"/>
        </w:rPr>
      </w:pPr>
      <w:r>
        <w:rPr>
          <w:rFonts w:ascii="Arial" w:cs="Arial" w:eastAsia="Arial" w:hAnsi="Arial"/>
          <w:sz w:val="14"/>
          <w:szCs w:val="14"/>
          <w:color w:val="auto"/>
        </w:rPr>
        <w:t>Capital resources include cash flows from operations, cash and cash equivalents, and debt financing. Our Blueberries segment may also receive capital contributions or loans from shareholders.</w:t>
      </w:r>
    </w:p>
    <w:p>
      <w:pPr>
        <w:spacing w:after="0" w:line="156" w:lineRule="exact"/>
        <w:rPr>
          <w:sz w:val="20"/>
          <w:szCs w:val="20"/>
          <w:color w:val="auto"/>
        </w:rPr>
      </w:pPr>
    </w:p>
    <w:p>
      <w:pPr>
        <w:ind w:right="100" w:firstLine="619"/>
        <w:spacing w:after="0" w:line="257" w:lineRule="auto"/>
        <w:rPr>
          <w:sz w:val="20"/>
          <w:szCs w:val="20"/>
          <w:color w:val="auto"/>
        </w:rPr>
      </w:pPr>
      <w:r>
        <w:rPr>
          <w:rFonts w:ascii="Arial" w:cs="Arial" w:eastAsia="Arial" w:hAnsi="Arial"/>
          <w:sz w:val="14"/>
          <w:szCs w:val="14"/>
          <w:color w:val="auto"/>
        </w:rPr>
        <w:t>Our syndicated credit facility with Bank of America has a total borrowing capacity of $550 million. The credit facility is comprised of two senior term loans totaling $350 million and a revolving credit agreement of $200 million. The facility also has an accordion feature which allows the company, subject to certain conditions, to increase the borrowings thereunder by up to $150 million, with applicable lender approval. Borrowings are secured by assets of the Company, including certain real property, personal property and capital stock of the Company’s subsidiaries. Borrowings under the credit facility bear interest at a spread over SOFR ranging from 1.5% to 2.5% depending on the Company’s consolidated total net leverage ratio. We pay fees on unused commitments on the credit facility.</w:t>
      </w:r>
    </w:p>
    <w:p>
      <w:pPr>
        <w:spacing w:after="0" w:line="169" w:lineRule="exact"/>
        <w:rPr>
          <w:sz w:val="20"/>
          <w:szCs w:val="20"/>
          <w:color w:val="auto"/>
        </w:rPr>
      </w:pPr>
    </w:p>
    <w:p>
      <w:pPr>
        <w:ind w:right="440" w:firstLine="619"/>
        <w:spacing w:after="0" w:line="278" w:lineRule="auto"/>
        <w:rPr>
          <w:sz w:val="20"/>
          <w:szCs w:val="20"/>
          <w:color w:val="auto"/>
        </w:rPr>
      </w:pPr>
      <w:r>
        <w:rPr>
          <w:rFonts w:ascii="Arial" w:cs="Arial" w:eastAsia="Arial" w:hAnsi="Arial"/>
          <w:sz w:val="14"/>
          <w:szCs w:val="14"/>
          <w:color w:val="auto"/>
        </w:rPr>
        <w:t>As of April 30, 2026, we were required to comply with the following financial covenants: (a) a quarterly consolidated leverage ratio of not more than 3.5 to 1.00 and (b) a quarterly consolidated fixed charge coverage ratio of not less than 1.25 to 1.00. As of April 30, 2026, we were in compliance with all such covenants of the credit facility.</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Material cash requirements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Acquisition of Calavo</w:t>
      </w:r>
    </w:p>
    <w:p>
      <w:pPr>
        <w:spacing w:after="0" w:line="213" w:lineRule="exact"/>
        <w:rPr>
          <w:sz w:val="20"/>
          <w:szCs w:val="20"/>
          <w:color w:val="auto"/>
        </w:rPr>
      </w:pPr>
    </w:p>
    <w:p>
      <w:pPr>
        <w:ind w:right="820" w:firstLine="619"/>
        <w:spacing w:after="0" w:line="278" w:lineRule="auto"/>
        <w:rPr>
          <w:sz w:val="20"/>
          <w:szCs w:val="20"/>
          <w:color w:val="auto"/>
        </w:rPr>
      </w:pPr>
      <w:r>
        <w:rPr>
          <w:rFonts w:ascii="Arial" w:cs="Arial" w:eastAsia="Arial" w:hAnsi="Arial"/>
          <w:sz w:val="14"/>
          <w:szCs w:val="14"/>
          <w:color w:val="auto"/>
        </w:rPr>
        <w:t>The approximate $465 million acquisition of Calavo was funded with a combination: $250 million of term loan facilities drawn on the closing date of May 28, 2026, approximately $197 million in shares of our common stock, and the remainder with cash on-hand.</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Capital expenditures</w:t>
      </w:r>
    </w:p>
    <w:p>
      <w:pPr>
        <w:spacing w:after="0" w:line="213" w:lineRule="exact"/>
        <w:rPr>
          <w:sz w:val="20"/>
          <w:szCs w:val="20"/>
          <w:color w:val="auto"/>
        </w:rPr>
      </w:pPr>
    </w:p>
    <w:p>
      <w:pPr>
        <w:jc w:val="both"/>
        <w:ind w:right="240" w:firstLine="619"/>
        <w:spacing w:after="0" w:line="253" w:lineRule="auto"/>
        <w:rPr>
          <w:sz w:val="20"/>
          <w:szCs w:val="20"/>
          <w:color w:val="auto"/>
        </w:rPr>
      </w:pPr>
      <w:r>
        <w:rPr>
          <w:rFonts w:ascii="Arial" w:cs="Arial" w:eastAsia="Arial" w:hAnsi="Arial"/>
          <w:sz w:val="14"/>
          <w:szCs w:val="14"/>
          <w:color w:val="auto"/>
        </w:rPr>
        <w:t>We have various capital projects in progress for farming expansion and facility improvements which we intend to fund through our operating cash flow as well as cash and cash equivalents on hand. For fiscal 2026, we expect total capital expenditures to be approximately $45 million. The spend will be allocated primarily to our International Farming and Blueberries segments. Within our International Farming segment, spend will be concentrated in Guatemala for pre-production avocado orchard maintenance. Within our Blueberries segment, spend will be concentrated on land development and plant cultivation in Peru.</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Leases</w:t>
      </w:r>
    </w:p>
    <w:p>
      <w:pPr>
        <w:spacing w:after="0" w:line="213" w:lineRule="exact"/>
        <w:rPr>
          <w:sz w:val="20"/>
          <w:szCs w:val="20"/>
          <w:color w:val="auto"/>
        </w:rPr>
      </w:pPr>
    </w:p>
    <w:p>
      <w:pPr>
        <w:ind w:right="60" w:firstLine="619"/>
        <w:spacing w:after="0" w:line="259" w:lineRule="auto"/>
        <w:rPr>
          <w:sz w:val="20"/>
          <w:szCs w:val="20"/>
          <w:color w:val="auto"/>
        </w:rPr>
      </w:pPr>
      <w:r>
        <w:rPr>
          <w:rFonts w:ascii="Arial" w:cs="Arial" w:eastAsia="Arial" w:hAnsi="Arial"/>
          <w:sz w:val="14"/>
          <w:szCs w:val="14"/>
          <w:color w:val="auto"/>
        </w:rPr>
        <w:t>We are party to various leases, the most material of which are for facilities and land. Our undiscounted cash liabilities were approximately $166.00 million as of April 30, 2026, of which, approximately $105.2 million was for long-term land leases in our International Farming and Blueberries segments.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Long-term debt</w:t>
      </w:r>
    </w:p>
    <w:p>
      <w:pPr>
        <w:spacing w:after="0" w:line="213" w:lineRule="exact"/>
        <w:rPr>
          <w:sz w:val="20"/>
          <w:szCs w:val="20"/>
          <w:color w:val="auto"/>
        </w:rPr>
      </w:pPr>
    </w:p>
    <w:p>
      <w:pPr>
        <w:ind w:right="280" w:firstLine="619"/>
        <w:spacing w:after="0" w:line="278" w:lineRule="auto"/>
        <w:rPr>
          <w:sz w:val="20"/>
          <w:szCs w:val="20"/>
          <w:color w:val="auto"/>
        </w:rPr>
      </w:pPr>
      <w:r>
        <w:rPr>
          <w:rFonts w:ascii="Arial" w:cs="Arial" w:eastAsia="Arial" w:hAnsi="Arial"/>
          <w:sz w:val="14"/>
          <w:szCs w:val="14"/>
          <w:color w:val="auto"/>
        </w:rPr>
        <w:t>As of April 30, 2026, outstanding borrowings on our syndicated debt facility totaled $120.0 million. See Note 6 to the condensed consolidated financial statements for more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accounting estimates</w:t>
      </w:r>
    </w:p>
    <w:p>
      <w:pPr>
        <w:spacing w:after="0" w:line="221" w:lineRule="exact"/>
        <w:rPr>
          <w:sz w:val="20"/>
          <w:szCs w:val="20"/>
          <w:color w:val="auto"/>
        </w:rPr>
      </w:pPr>
    </w:p>
    <w:p>
      <w:pPr>
        <w:ind w:right="100" w:firstLine="619"/>
        <w:spacing w:after="0" w:line="264" w:lineRule="auto"/>
        <w:rPr>
          <w:sz w:val="20"/>
          <w:szCs w:val="20"/>
          <w:color w:val="auto"/>
        </w:rPr>
      </w:pPr>
      <w:r>
        <w:rPr>
          <w:rFonts w:ascii="Arial" w:cs="Arial" w:eastAsia="Arial" w:hAnsi="Arial"/>
          <w:sz w:val="14"/>
          <w:szCs w:val="14"/>
          <w:color w:val="auto"/>
        </w:rPr>
        <w:t>For a discussion of our critical accounting estimates, see “Part II, Item 7. Management’s Discussion and Analysis of Financial Condition and Operations” in our Annual Report on Form 10-K for the year ended October 31, 2025, filed with the SEC on December 18, 2025. There have been no material changes to the critical accounting estimates disclosed in such Annual Report on Form 10-K.</w:t>
      </w:r>
    </w:p>
    <w:p>
      <w:pPr>
        <w:spacing w:after="0" w:line="280" w:lineRule="exact"/>
        <w:rPr>
          <w:sz w:val="20"/>
          <w:szCs w:val="20"/>
          <w:color w:val="auto"/>
        </w:rPr>
      </w:pPr>
    </w:p>
    <w:p>
      <w:pPr>
        <w:spacing w:after="0"/>
        <w:tabs>
          <w:tab w:leader="none" w:pos="1000" w:val="left"/>
        </w:tabs>
        <w:rPr>
          <w:sz w:val="20"/>
          <w:szCs w:val="20"/>
          <w:color w:val="auto"/>
        </w:rPr>
      </w:pPr>
      <w:r>
        <w:rPr>
          <w:rFonts w:ascii="Arial" w:cs="Arial" w:eastAsia="Arial" w:hAnsi="Arial"/>
          <w:sz w:val="19"/>
          <w:szCs w:val="19"/>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34" w:lineRule="exact"/>
        <w:rPr>
          <w:sz w:val="20"/>
          <w:szCs w:val="20"/>
          <w:color w:val="auto"/>
        </w:rPr>
      </w:pPr>
    </w:p>
    <w:p>
      <w:pPr>
        <w:ind w:right="100" w:firstLine="619"/>
        <w:spacing w:after="0" w:line="278" w:lineRule="auto"/>
        <w:rPr>
          <w:sz w:val="20"/>
          <w:szCs w:val="20"/>
          <w:color w:val="auto"/>
        </w:rPr>
      </w:pPr>
      <w:r>
        <w:rPr>
          <w:rFonts w:ascii="Arial" w:cs="Arial" w:eastAsia="Arial" w:hAnsi="Arial"/>
          <w:sz w:val="14"/>
          <w:szCs w:val="14"/>
          <w:color w:val="auto"/>
        </w:rPr>
        <w:t>There have been no material changes to “Part II, Item 7A. Quantitative and Qualitative Disclosures About Market Risk” in our Annual Report on Form 10-K for the year ended October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819150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251" w:lineRule="exact"/>
        <w:rPr>
          <w:sz w:val="20"/>
          <w:szCs w:val="20"/>
          <w:color w:val="auto"/>
        </w:rPr>
      </w:pPr>
    </w:p>
    <w:p>
      <w:pPr>
        <w:spacing w:after="0"/>
        <w:tabs>
          <w:tab w:leader="none" w:pos="1000" w:val="left"/>
        </w:tabs>
        <w:rPr>
          <w:sz w:val="20"/>
          <w:szCs w:val="20"/>
          <w:color w:val="auto"/>
        </w:rPr>
      </w:pPr>
      <w:r>
        <w:rPr>
          <w:rFonts w:ascii="Arial" w:cs="Arial" w:eastAsia="Arial" w:hAnsi="Arial"/>
          <w:sz w:val="19"/>
          <w:szCs w:val="19"/>
          <w:b w:val="1"/>
          <w:bCs w:val="1"/>
          <w:color w:val="auto"/>
        </w:rPr>
        <w:t>Item 4.</w:t>
      </w:r>
      <w:r>
        <w:rPr>
          <w:sz w:val="20"/>
          <w:szCs w:val="20"/>
          <w:color w:val="auto"/>
        </w:rPr>
        <w:tab/>
      </w:r>
      <w:r>
        <w:rPr>
          <w:rFonts w:ascii="Arial" w:cs="Arial" w:eastAsia="Arial" w:hAnsi="Arial"/>
          <w:sz w:val="18"/>
          <w:szCs w:val="18"/>
          <w:b w:val="1"/>
          <w:bCs w:val="1"/>
          <w:color w:val="auto"/>
        </w:rPr>
        <w:t>Controls and Procedures</w:t>
      </w:r>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Evaluation of Disclosure Controls and Procedures</w:t>
      </w:r>
    </w:p>
    <w:p>
      <w:pPr>
        <w:spacing w:after="0" w:line="221" w:lineRule="exact"/>
        <w:rPr>
          <w:sz w:val="20"/>
          <w:szCs w:val="20"/>
          <w:color w:val="auto"/>
        </w:rPr>
      </w:pPr>
    </w:p>
    <w:p>
      <w:pPr>
        <w:ind w:firstLine="619"/>
        <w:spacing w:after="0" w:line="251" w:lineRule="auto"/>
        <w:rPr>
          <w:sz w:val="20"/>
          <w:szCs w:val="20"/>
          <w:color w:val="auto"/>
        </w:rPr>
      </w:pPr>
      <w:r>
        <w:rPr>
          <w:rFonts w:ascii="Arial" w:cs="Arial" w:eastAsia="Arial" w:hAnsi="Arial"/>
          <w:sz w:val="14"/>
          <w:szCs w:val="14"/>
          <w:color w:val="auto"/>
        </w:rPr>
        <w:t>Our management, with the participation and supervision of our Chief Executive Officer and our Chief Financial Officer, have evaluated the effectiveness of our disclosure controls and procedures (as defined in Rules 13a-15(e) and 15d-15(e)) under the Securities Exchange Act of 1934, as amended (the “Exchange Act”) as of the end of the period covered by this Quarterly Report on Form 10-Q. Based on that evaluation, our Chief Executive Officer and our Chief Financial Officer have concluded that, as of the end of the period covered by this Quarterly Report on Form 10-Q, our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our Chief Financial Officer, as appropriate, to allow timely decisions regarding required disclosure.</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Changes in Internal Control Over Financial Reporting</w:t>
      </w:r>
    </w:p>
    <w:p>
      <w:pPr>
        <w:spacing w:after="0" w:line="221" w:lineRule="exact"/>
        <w:rPr>
          <w:sz w:val="20"/>
          <w:szCs w:val="20"/>
          <w:color w:val="auto"/>
        </w:rPr>
      </w:pPr>
    </w:p>
    <w:p>
      <w:pPr>
        <w:ind w:right="600" w:firstLine="619"/>
        <w:spacing w:after="0" w:line="278" w:lineRule="auto"/>
        <w:rPr>
          <w:sz w:val="20"/>
          <w:szCs w:val="20"/>
          <w:color w:val="auto"/>
        </w:rPr>
      </w:pPr>
      <w:r>
        <w:rPr>
          <w:rFonts w:ascii="Arial" w:cs="Arial" w:eastAsia="Arial" w:hAnsi="Arial"/>
          <w:sz w:val="14"/>
          <w:szCs w:val="14"/>
          <w:color w:val="auto"/>
        </w:rPr>
        <w:t>There were no changes in our internal control over financial reporting during the quarter ended April 30, 2026 that have materially affected, or are reasonably likely to materially affect, our internal control over financial reporting.</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Limitations on Effectiveness of Controls and Procedures</w:t>
      </w:r>
    </w:p>
    <w:p>
      <w:pPr>
        <w:spacing w:after="0" w:line="221" w:lineRule="exact"/>
        <w:rPr>
          <w:sz w:val="20"/>
          <w:szCs w:val="20"/>
          <w:color w:val="auto"/>
        </w:rPr>
      </w:pPr>
    </w:p>
    <w:p>
      <w:pPr>
        <w:ind w:right="220" w:firstLine="619"/>
        <w:spacing w:after="0" w:line="278" w:lineRule="auto"/>
        <w:rPr>
          <w:sz w:val="20"/>
          <w:szCs w:val="20"/>
          <w:color w:val="auto"/>
        </w:rPr>
      </w:pPr>
      <w:r>
        <w:rPr>
          <w:rFonts w:ascii="Arial" w:cs="Arial" w:eastAsia="Arial" w:hAnsi="Arial"/>
          <w:sz w:val="13"/>
          <w:szCs w:val="13"/>
          <w:color w:val="auto"/>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PART II- OTHER INFORMATION</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9"/>
          <w:szCs w:val="19"/>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34" w:lineRule="exact"/>
        <w:rPr>
          <w:sz w:val="20"/>
          <w:szCs w:val="20"/>
          <w:color w:val="auto"/>
        </w:rPr>
      </w:pPr>
    </w:p>
    <w:p>
      <w:pPr>
        <w:ind w:left="620"/>
        <w:spacing w:after="0"/>
        <w:rPr>
          <w:sz w:val="20"/>
          <w:szCs w:val="20"/>
          <w:color w:val="auto"/>
        </w:rPr>
      </w:pPr>
      <w:r>
        <w:rPr>
          <w:rFonts w:ascii="Arial" w:cs="Arial" w:eastAsia="Arial" w:hAnsi="Arial"/>
          <w:sz w:val="14"/>
          <w:szCs w:val="14"/>
          <w:color w:val="auto"/>
        </w:rPr>
        <w:t>The information required by this Item is incorporated by reference from Note 7, “Commitments and Contingencies”, which is included in Part I, Item 2 of this Form 10-Q.</w:t>
      </w:r>
    </w:p>
    <w:p>
      <w:pPr>
        <w:spacing w:after="0" w:line="199" w:lineRule="exact"/>
        <w:rPr>
          <w:sz w:val="20"/>
          <w:szCs w:val="20"/>
          <w:color w:val="auto"/>
        </w:rPr>
      </w:pPr>
    </w:p>
    <w:p>
      <w:pPr>
        <w:spacing w:after="0"/>
        <w:tabs>
          <w:tab w:leader="none" w:pos="920" w:val="left"/>
        </w:tabs>
        <w:rPr>
          <w:sz w:val="20"/>
          <w:szCs w:val="20"/>
          <w:color w:val="auto"/>
        </w:rPr>
      </w:pPr>
      <w:r>
        <w:rPr>
          <w:rFonts w:ascii="Arial" w:cs="Arial" w:eastAsia="Arial" w:hAnsi="Arial"/>
          <w:sz w:val="19"/>
          <w:szCs w:val="19"/>
          <w:b w:val="1"/>
          <w:bCs w:val="1"/>
          <w:color w:val="auto"/>
        </w:rPr>
        <w:t>Item 1A.</w:t>
      </w:r>
      <w:r>
        <w:rPr>
          <w:sz w:val="20"/>
          <w:szCs w:val="20"/>
          <w:color w:val="auto"/>
        </w:rPr>
        <w:tab/>
      </w:r>
      <w:r>
        <w:rPr>
          <w:rFonts w:ascii="Arial" w:cs="Arial" w:eastAsia="Arial" w:hAnsi="Arial"/>
          <w:sz w:val="18"/>
          <w:szCs w:val="18"/>
          <w:b w:val="1"/>
          <w:bCs w:val="1"/>
          <w:color w:val="auto"/>
        </w:rPr>
        <w:t>Risk Factors</w:t>
      </w:r>
    </w:p>
    <w:p>
      <w:pPr>
        <w:spacing w:after="0" w:line="221" w:lineRule="exact"/>
        <w:rPr>
          <w:sz w:val="20"/>
          <w:szCs w:val="20"/>
          <w:color w:val="auto"/>
        </w:rPr>
      </w:pPr>
    </w:p>
    <w:p>
      <w:pPr>
        <w:ind w:right="40" w:firstLine="619"/>
        <w:spacing w:after="0" w:line="257" w:lineRule="auto"/>
        <w:rPr>
          <w:sz w:val="20"/>
          <w:szCs w:val="20"/>
          <w:color w:val="auto"/>
        </w:rPr>
      </w:pPr>
      <w:r>
        <w:rPr>
          <w:rFonts w:ascii="Arial" w:cs="Arial" w:eastAsia="Arial" w:hAnsi="Arial"/>
          <w:sz w:val="14"/>
          <w:szCs w:val="14"/>
          <w:color w:val="auto"/>
        </w:rPr>
        <w:t>For a discussion of our risk factors, see “Part I, Item 1A. Risk Factors” in our 2025 10-K, “Part II, Item 1A. Risk Factors” in the Q1 10-Q and “Risk Factors” in our Proxy Statement/Prospectus dated March 20, 2026. The risks and uncertainties that we face are not limited to those set forth in those SEC filings. You should carefully consider the risk factors in those SEC filings, together with the other information contained in this Quarterly Report on Form 10-Q, including our financial statements and the related notes and “Management’s Discussion and Analysis of Financial Condition and Results of Operations,” before making a decision to purchase or sell shares of our common stock. Additional risks and uncertainties not presently known to us or that we currently believe to be immaterial may also adversely affect our business and the trading price of our common stock.</w:t>
      </w:r>
    </w:p>
    <w:p>
      <w:pPr>
        <w:spacing w:after="0" w:line="155" w:lineRule="exact"/>
        <w:rPr>
          <w:sz w:val="20"/>
          <w:szCs w:val="20"/>
          <w:color w:val="auto"/>
        </w:rPr>
      </w:pPr>
    </w:p>
    <w:p>
      <w:pPr>
        <w:spacing w:after="0"/>
        <w:tabs>
          <w:tab w:leader="none" w:pos="1000" w:val="left"/>
        </w:tabs>
        <w:rPr>
          <w:sz w:val="20"/>
          <w:szCs w:val="20"/>
          <w:color w:val="auto"/>
        </w:rPr>
      </w:pPr>
      <w:r>
        <w:rPr>
          <w:rFonts w:ascii="Arial" w:cs="Arial" w:eastAsia="Arial" w:hAnsi="Arial"/>
          <w:sz w:val="19"/>
          <w:szCs w:val="19"/>
          <w:b w:val="1"/>
          <w:bCs w:val="1"/>
          <w:color w:val="auto"/>
        </w:rPr>
        <w:t>Item 2.</w:t>
      </w:r>
      <w:r>
        <w:rPr>
          <w:sz w:val="20"/>
          <w:szCs w:val="20"/>
          <w:color w:val="auto"/>
        </w:rPr>
        <w:tab/>
      </w:r>
      <w:r>
        <w:rPr>
          <w:rFonts w:ascii="Arial" w:cs="Arial" w:eastAsia="Arial" w:hAnsi="Arial"/>
          <w:sz w:val="18"/>
          <w:szCs w:val="18"/>
          <w:b w:val="1"/>
          <w:bCs w:val="1"/>
          <w:color w:val="auto"/>
        </w:rPr>
        <w:t>Unregistered Sales of Equity Securities and Use of Proceeds</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repurchases of equity securities</w:t>
      </w:r>
    </w:p>
    <w:p>
      <w:pPr>
        <w:spacing w:after="0" w:line="228" w:lineRule="exact"/>
        <w:rPr>
          <w:sz w:val="20"/>
          <w:szCs w:val="20"/>
          <w:color w:val="auto"/>
        </w:rPr>
      </w:pPr>
    </w:p>
    <w:p>
      <w:pPr>
        <w:ind w:right="80" w:firstLine="619"/>
        <w:spacing w:after="0" w:line="252" w:lineRule="auto"/>
        <w:rPr>
          <w:sz w:val="20"/>
          <w:szCs w:val="20"/>
          <w:color w:val="auto"/>
        </w:rPr>
      </w:pPr>
      <w:r>
        <w:rPr>
          <w:rFonts w:ascii="Arial" w:cs="Arial" w:eastAsia="Arial" w:hAnsi="Arial"/>
          <w:sz w:val="14"/>
          <w:szCs w:val="14"/>
          <w:color w:val="auto"/>
        </w:rPr>
        <w:t>On June 3, 2026, the Board of Directors approved a stock repurchase program, which permits the Company to repurchase up to $100 million of shares of the Company’s common stock over the next 36 months, effective June 3, 2026 (the “2026 Program”). The 2026 Program replaces the Company’s previous common stock repurchase program adopted in September 2023, which would have expired in September 2026 with approximately $11.2 million remaining. The shares may be repurchased from time to time in open market or privately negotiated transactions in such quantities and at such prices as may be authorized by certain designated officers of the Company. No shares were repurchased following approval through June 8, 2026.</w:t>
      </w:r>
    </w:p>
    <w:p>
      <w:pPr>
        <w:spacing w:after="0" w:line="186" w:lineRule="exact"/>
        <w:rPr>
          <w:sz w:val="20"/>
          <w:szCs w:val="20"/>
          <w:color w:val="auto"/>
        </w:rPr>
      </w:pPr>
    </w:p>
    <w:p>
      <w:pPr>
        <w:ind w:right="120" w:firstLine="619"/>
        <w:spacing w:after="0" w:line="278" w:lineRule="auto"/>
        <w:rPr>
          <w:sz w:val="20"/>
          <w:szCs w:val="20"/>
          <w:color w:val="auto"/>
        </w:rPr>
      </w:pPr>
      <w:r>
        <w:rPr>
          <w:rFonts w:ascii="Arial" w:cs="Arial" w:eastAsia="Arial" w:hAnsi="Arial"/>
          <w:sz w:val="14"/>
          <w:szCs w:val="14"/>
          <w:color w:val="auto"/>
        </w:rPr>
        <w:t>Repurchases by us or our “affiliated purchasers” (as defined in Rule 10b-18(a)(3) of the Exchange Act) of registered equity securities during the second quarter of 2026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819150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4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020" w:type="dxa"/>
            <w:vAlign w:val="bottom"/>
          </w:tcPr>
          <w:p>
            <w:pPr>
              <w:jc w:val="right"/>
              <w:spacing w:after="0"/>
              <w:rPr>
                <w:sz w:val="20"/>
                <w:szCs w:val="20"/>
                <w:color w:val="auto"/>
              </w:rPr>
            </w:pPr>
            <w:r>
              <w:rPr>
                <w:rFonts w:ascii="Arial" w:cs="Arial" w:eastAsia="Arial" w:hAnsi="Arial"/>
                <w:sz w:val="14"/>
                <w:szCs w:val="14"/>
                <w:b w:val="1"/>
                <w:bCs w:val="1"/>
                <w:color w:val="auto"/>
              </w:rPr>
              <w:t>Approximate dollar value of</w:t>
            </w:r>
          </w:p>
        </w:tc>
        <w:tc>
          <w:tcPr>
            <w:tcW w:w="0" w:type="dxa"/>
            <w:vAlign w:val="bottom"/>
          </w:tcPr>
          <w:p>
            <w:pPr>
              <w:spacing w:after="0"/>
              <w:rPr>
                <w:sz w:val="1"/>
                <w:szCs w:val="1"/>
                <w:color w:val="auto"/>
              </w:rPr>
            </w:pPr>
          </w:p>
        </w:tc>
      </w:tr>
      <w:tr>
        <w:trPr>
          <w:trHeight w:val="168"/>
        </w:trPr>
        <w:tc>
          <w:tcPr>
            <w:tcW w:w="2480" w:type="dxa"/>
            <w:vAlign w:val="bottom"/>
          </w:tcPr>
          <w:p>
            <w:pPr>
              <w:spacing w:after="0"/>
              <w:rPr>
                <w:sz w:val="14"/>
                <w:szCs w:val="14"/>
                <w:color w:val="auto"/>
              </w:rPr>
            </w:pPr>
          </w:p>
        </w:tc>
        <w:tc>
          <w:tcPr>
            <w:tcW w:w="292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Total number of shares</w:t>
            </w:r>
          </w:p>
        </w:tc>
        <w:tc>
          <w:tcPr>
            <w:tcW w:w="1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Average price paid per</w:t>
            </w:r>
          </w:p>
        </w:tc>
        <w:tc>
          <w:tcPr>
            <w:tcW w:w="2140" w:type="dxa"/>
            <w:vAlign w:val="bottom"/>
          </w:tcPr>
          <w:p>
            <w:pPr>
              <w:jc w:val="right"/>
              <w:ind w:right="111"/>
              <w:spacing w:after="0"/>
              <w:rPr>
                <w:sz w:val="20"/>
                <w:szCs w:val="20"/>
                <w:color w:val="auto"/>
              </w:rPr>
            </w:pPr>
            <w:r>
              <w:rPr>
                <w:rFonts w:ascii="Arial" w:cs="Arial" w:eastAsia="Arial" w:hAnsi="Arial"/>
                <w:sz w:val="14"/>
                <w:szCs w:val="14"/>
                <w:b w:val="1"/>
                <w:bCs w:val="1"/>
                <w:color w:val="auto"/>
              </w:rPr>
              <w:t>Total number of shares</w:t>
            </w:r>
          </w:p>
        </w:tc>
        <w:tc>
          <w:tcPr>
            <w:tcW w:w="2020" w:type="dxa"/>
            <w:vAlign w:val="bottom"/>
          </w:tcPr>
          <w:p>
            <w:pPr>
              <w:jc w:val="right"/>
              <w:spacing w:after="0"/>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155"/>
        </w:trPr>
        <w:tc>
          <w:tcPr>
            <w:tcW w:w="2480" w:type="dxa"/>
            <w:vAlign w:val="bottom"/>
          </w:tcPr>
          <w:p>
            <w:pPr>
              <w:spacing w:after="0"/>
              <w:rPr>
                <w:sz w:val="13"/>
                <w:szCs w:val="13"/>
                <w:color w:val="auto"/>
              </w:rPr>
            </w:pPr>
          </w:p>
        </w:tc>
        <w:tc>
          <w:tcPr>
            <w:tcW w:w="292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2140" w:type="dxa"/>
            <w:vAlign w:val="bottom"/>
          </w:tcPr>
          <w:p>
            <w:pPr>
              <w:jc w:val="right"/>
              <w:ind w:right="111"/>
              <w:spacing w:after="0" w:line="155" w:lineRule="exact"/>
              <w:rPr>
                <w:sz w:val="20"/>
                <w:szCs w:val="20"/>
                <w:color w:val="auto"/>
              </w:rPr>
            </w:pPr>
            <w:r>
              <w:rPr>
                <w:rFonts w:ascii="Arial" w:cs="Arial" w:eastAsia="Arial" w:hAnsi="Arial"/>
                <w:sz w:val="14"/>
                <w:szCs w:val="14"/>
                <w:b w:val="1"/>
                <w:bCs w:val="1"/>
                <w:color w:val="auto"/>
                <w:w w:val="99"/>
              </w:rPr>
              <w:t>purchased as part of publicly</w:t>
            </w:r>
          </w:p>
        </w:tc>
        <w:tc>
          <w:tcPr>
            <w:tcW w:w="20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purchased under the plan</w:t>
            </w:r>
          </w:p>
        </w:tc>
        <w:tc>
          <w:tcPr>
            <w:tcW w:w="0" w:type="dxa"/>
            <w:vAlign w:val="bottom"/>
          </w:tcPr>
          <w:p>
            <w:pPr>
              <w:spacing w:after="0"/>
              <w:rPr>
                <w:sz w:val="1"/>
                <w:szCs w:val="1"/>
                <w:color w:val="auto"/>
              </w:rPr>
            </w:pPr>
          </w:p>
        </w:tc>
      </w:tr>
      <w:tr>
        <w:trPr>
          <w:trHeight w:val="202"/>
        </w:trPr>
        <w:tc>
          <w:tcPr>
            <w:tcW w:w="2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Period</w:t>
            </w:r>
          </w:p>
        </w:tc>
        <w:tc>
          <w:tcPr>
            <w:tcW w:w="29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purchased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w:t>
            </w:r>
          </w:p>
        </w:tc>
        <w:tc>
          <w:tcPr>
            <w:tcW w:w="21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announced plan</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193"/>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February 1-28, 2026</w:t>
            </w:r>
          </w:p>
        </w:tc>
        <w:tc>
          <w:tcPr>
            <w:tcW w:w="29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214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2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99"/>
        </w:trPr>
        <w:tc>
          <w:tcPr>
            <w:tcW w:w="2480" w:type="dxa"/>
            <w:vAlign w:val="bottom"/>
          </w:tcPr>
          <w:p>
            <w:pPr>
              <w:ind w:left="20"/>
              <w:spacing w:after="0"/>
              <w:rPr>
                <w:sz w:val="20"/>
                <w:szCs w:val="20"/>
                <w:color w:val="auto"/>
              </w:rPr>
            </w:pPr>
            <w:r>
              <w:rPr>
                <w:rFonts w:ascii="Arial" w:cs="Arial" w:eastAsia="Arial" w:hAnsi="Arial"/>
                <w:sz w:val="14"/>
                <w:szCs w:val="14"/>
                <w:color w:val="auto"/>
              </w:rPr>
              <w:t>March 1-31, 2026</w:t>
            </w:r>
          </w:p>
        </w:tc>
        <w:tc>
          <w:tcPr>
            <w:tcW w:w="2920" w:type="dxa"/>
            <w:vAlign w:val="bottom"/>
          </w:tcPr>
          <w:p>
            <w:pPr>
              <w:jc w:val="right"/>
              <w:ind w:right="151"/>
              <w:spacing w:after="0"/>
              <w:rPr>
                <w:sz w:val="20"/>
                <w:szCs w:val="20"/>
                <w:color w:val="auto"/>
              </w:rPr>
            </w:pPr>
            <w:r>
              <w:rPr>
                <w:rFonts w:ascii="Arial" w:cs="Arial" w:eastAsia="Arial" w:hAnsi="Arial"/>
                <w:sz w:val="14"/>
                <w:szCs w:val="14"/>
                <w:color w:val="auto"/>
              </w:rPr>
              <w:t>173,900</w:t>
            </w:r>
          </w:p>
        </w:tc>
        <w:tc>
          <w:tcPr>
            <w:tcW w:w="1680" w:type="dxa"/>
            <w:vAlign w:val="bottom"/>
          </w:tcPr>
          <w:p>
            <w:pPr>
              <w:jc w:val="right"/>
              <w:ind w:right="11"/>
              <w:spacing w:after="0"/>
              <w:rPr>
                <w:sz w:val="20"/>
                <w:szCs w:val="20"/>
                <w:color w:val="auto"/>
              </w:rPr>
            </w:pPr>
            <w:r>
              <w:rPr>
                <w:rFonts w:ascii="Arial" w:cs="Arial" w:eastAsia="Arial" w:hAnsi="Arial"/>
                <w:sz w:val="14"/>
                <w:szCs w:val="14"/>
                <w:color w:val="auto"/>
              </w:rPr>
              <w:t>$12.23</w:t>
            </w:r>
          </w:p>
        </w:tc>
        <w:tc>
          <w:tcPr>
            <w:tcW w:w="2140" w:type="dxa"/>
            <w:vAlign w:val="bottom"/>
          </w:tcPr>
          <w:p>
            <w:pPr>
              <w:jc w:val="right"/>
              <w:ind w:right="171"/>
              <w:spacing w:after="0"/>
              <w:rPr>
                <w:sz w:val="20"/>
                <w:szCs w:val="20"/>
                <w:color w:val="auto"/>
              </w:rPr>
            </w:pPr>
            <w:r>
              <w:rPr>
                <w:rFonts w:ascii="Arial" w:cs="Arial" w:eastAsia="Arial" w:hAnsi="Arial"/>
                <w:sz w:val="14"/>
                <w:szCs w:val="14"/>
                <w:color w:val="auto"/>
              </w:rPr>
              <w:t>173,900</w:t>
            </w:r>
          </w:p>
        </w:tc>
        <w:tc>
          <w:tcPr>
            <w:tcW w:w="2020" w:type="dxa"/>
            <w:vAlign w:val="bottom"/>
          </w:tcPr>
          <w:p>
            <w:pPr>
              <w:jc w:val="right"/>
              <w:ind w:right="11"/>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April 1-30, 2026</w:t>
            </w:r>
          </w:p>
        </w:tc>
        <w:tc>
          <w:tcPr>
            <w:tcW w:w="29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214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2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20"/>
        </w:trPr>
        <w:tc>
          <w:tcPr>
            <w:tcW w:w="2480" w:type="dxa"/>
            <w:vAlign w:val="bottom"/>
            <w:shd w:val="clear" w:color="auto" w:fill="000000"/>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tabs>
          <w:tab w:leader="none" w:pos="1000" w:val="left"/>
        </w:tabs>
        <w:rPr>
          <w:sz w:val="20"/>
          <w:szCs w:val="20"/>
          <w:color w:val="auto"/>
        </w:rPr>
      </w:pPr>
      <w:r>
        <w:rPr>
          <w:rFonts w:ascii="Arial" w:cs="Arial" w:eastAsia="Arial" w:hAnsi="Arial"/>
          <w:sz w:val="19"/>
          <w:szCs w:val="19"/>
          <w:b w:val="1"/>
          <w:bCs w:val="1"/>
          <w:color w:val="auto"/>
        </w:rPr>
        <w:t>Item 3.</w:t>
      </w:r>
      <w:r>
        <w:rPr>
          <w:sz w:val="20"/>
          <w:szCs w:val="20"/>
          <w:color w:val="auto"/>
        </w:rPr>
        <w:tab/>
      </w:r>
      <w:r>
        <w:rPr>
          <w:rFonts w:ascii="Arial" w:cs="Arial" w:eastAsia="Arial" w:hAnsi="Arial"/>
          <w:sz w:val="18"/>
          <w:szCs w:val="18"/>
          <w:b w:val="1"/>
          <w:bCs w:val="1"/>
          <w:color w:val="auto"/>
        </w:rPr>
        <w:t>Defaults Upon Senior Securities</w:t>
      </w:r>
    </w:p>
    <w:p>
      <w:pPr>
        <w:spacing w:after="0" w:line="221" w:lineRule="exact"/>
        <w:rPr>
          <w:sz w:val="20"/>
          <w:szCs w:val="20"/>
          <w:color w:val="auto"/>
        </w:rPr>
      </w:pPr>
    </w:p>
    <w:p>
      <w:pPr>
        <w:ind w:left="620"/>
        <w:spacing w:after="0"/>
        <w:rPr>
          <w:sz w:val="20"/>
          <w:szCs w:val="20"/>
          <w:color w:val="auto"/>
        </w:rPr>
      </w:pPr>
      <w:r>
        <w:rPr>
          <w:rFonts w:ascii="Arial" w:cs="Arial" w:eastAsia="Arial" w:hAnsi="Arial"/>
          <w:sz w:val="14"/>
          <w:szCs w:val="14"/>
          <w:color w:val="auto"/>
        </w:rPr>
        <w:t>None.</w:t>
      </w:r>
    </w:p>
    <w:p>
      <w:pPr>
        <w:spacing w:after="0" w:line="199" w:lineRule="exact"/>
        <w:rPr>
          <w:sz w:val="20"/>
          <w:szCs w:val="20"/>
          <w:color w:val="auto"/>
        </w:rPr>
      </w:pPr>
    </w:p>
    <w:p>
      <w:pPr>
        <w:spacing w:after="0"/>
        <w:tabs>
          <w:tab w:leader="none" w:pos="1000" w:val="left"/>
        </w:tabs>
        <w:rPr>
          <w:sz w:val="20"/>
          <w:szCs w:val="20"/>
          <w:color w:val="auto"/>
        </w:rPr>
      </w:pPr>
      <w:r>
        <w:rPr>
          <w:rFonts w:ascii="Arial" w:cs="Arial" w:eastAsia="Arial" w:hAnsi="Arial"/>
          <w:sz w:val="19"/>
          <w:szCs w:val="19"/>
          <w:b w:val="1"/>
          <w:bCs w:val="1"/>
          <w:color w:val="auto"/>
        </w:rPr>
        <w:t>Item 4.</w:t>
      </w:r>
      <w:r>
        <w:rPr>
          <w:sz w:val="20"/>
          <w:szCs w:val="20"/>
          <w:color w:val="auto"/>
        </w:rPr>
        <w:tab/>
      </w:r>
      <w:r>
        <w:rPr>
          <w:rFonts w:ascii="Arial" w:cs="Arial" w:eastAsia="Arial" w:hAnsi="Arial"/>
          <w:sz w:val="18"/>
          <w:szCs w:val="18"/>
          <w:b w:val="1"/>
          <w:bCs w:val="1"/>
          <w:color w:val="auto"/>
        </w:rPr>
        <w:t>Mine Safety Disclosures</w:t>
      </w:r>
    </w:p>
    <w:p>
      <w:pPr>
        <w:spacing w:after="0" w:line="234" w:lineRule="exact"/>
        <w:rPr>
          <w:sz w:val="20"/>
          <w:szCs w:val="20"/>
          <w:color w:val="auto"/>
        </w:rPr>
      </w:pPr>
    </w:p>
    <w:p>
      <w:pPr>
        <w:ind w:left="620"/>
        <w:spacing w:after="0"/>
        <w:rPr>
          <w:sz w:val="20"/>
          <w:szCs w:val="20"/>
          <w:color w:val="auto"/>
        </w:rPr>
      </w:pPr>
      <w:r>
        <w:rPr>
          <w:rFonts w:ascii="Arial" w:cs="Arial" w:eastAsia="Arial" w:hAnsi="Arial"/>
          <w:sz w:val="14"/>
          <w:szCs w:val="14"/>
          <w:color w:val="auto"/>
        </w:rPr>
        <w:t>None.</w:t>
      </w:r>
    </w:p>
    <w:p>
      <w:pPr>
        <w:spacing w:after="0" w:line="186" w:lineRule="exact"/>
        <w:rPr>
          <w:sz w:val="20"/>
          <w:szCs w:val="20"/>
          <w:color w:val="auto"/>
        </w:rPr>
      </w:pPr>
    </w:p>
    <w:p>
      <w:pPr>
        <w:spacing w:after="0"/>
        <w:tabs>
          <w:tab w:leader="none" w:pos="1000" w:val="left"/>
        </w:tabs>
        <w:rPr>
          <w:sz w:val="20"/>
          <w:szCs w:val="20"/>
          <w:color w:val="auto"/>
        </w:rPr>
      </w:pPr>
      <w:r>
        <w:rPr>
          <w:rFonts w:ascii="Arial" w:cs="Arial" w:eastAsia="Arial" w:hAnsi="Arial"/>
          <w:sz w:val="19"/>
          <w:szCs w:val="19"/>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34" w:lineRule="exact"/>
        <w:rPr>
          <w:sz w:val="20"/>
          <w:szCs w:val="20"/>
          <w:color w:val="auto"/>
        </w:rPr>
      </w:pPr>
    </w:p>
    <w:p>
      <w:pPr>
        <w:ind w:right="60" w:firstLine="619"/>
        <w:spacing w:after="0" w:line="278" w:lineRule="auto"/>
        <w:rPr>
          <w:sz w:val="20"/>
          <w:szCs w:val="20"/>
          <w:color w:val="auto"/>
        </w:rPr>
      </w:pPr>
      <w:r>
        <w:rPr>
          <w:rFonts w:ascii="Arial" w:cs="Arial" w:eastAsia="Arial" w:hAnsi="Arial"/>
          <w:sz w:val="14"/>
          <w:szCs w:val="14"/>
          <w:color w:val="auto"/>
        </w:rPr>
        <w:t>During the fiscal quarter ended April 30, 2026, no director or officer of the Company adopted or terminated a “Rule 10b5-1 trading arrangement” or a “non-Rule 10b5-1 trading arrangement” (in each case, as defined in Item 408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819150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620" w:type="dxa"/>
            <w:vAlign w:val="bottom"/>
          </w:tcPr>
          <w:p>
            <w:pPr>
              <w:spacing w:after="0"/>
              <w:rPr>
                <w:sz w:val="20"/>
                <w:szCs w:val="20"/>
                <w:color w:val="auto"/>
              </w:rPr>
            </w:pPr>
            <w:r>
              <w:rPr>
                <w:rFonts w:ascii="Arial" w:cs="Arial" w:eastAsia="Arial" w:hAnsi="Arial"/>
                <w:sz w:val="19"/>
                <w:szCs w:val="19"/>
                <w:b w:val="1"/>
                <w:bCs w:val="1"/>
                <w:color w:val="auto"/>
                <w:w w:val="99"/>
              </w:rPr>
              <w:t>Item 6.</w:t>
            </w:r>
          </w:p>
        </w:tc>
        <w:tc>
          <w:tcPr>
            <w:tcW w:w="7060" w:type="dxa"/>
            <w:vAlign w:val="bottom"/>
            <w:gridSpan w:val="18"/>
          </w:tcPr>
          <w:p>
            <w:pPr>
              <w:ind w:left="400"/>
              <w:spacing w:after="0"/>
              <w:rPr>
                <w:sz w:val="20"/>
                <w:szCs w:val="20"/>
                <w:color w:val="auto"/>
              </w:rPr>
            </w:pPr>
            <w:r>
              <w:rPr>
                <w:rFonts w:ascii="Arial" w:cs="Arial" w:eastAsia="Arial" w:hAnsi="Arial"/>
                <w:sz w:val="19"/>
                <w:szCs w:val="19"/>
                <w:b w:val="1"/>
                <w:bCs w:val="1"/>
                <w:color w:val="auto"/>
              </w:rPr>
              <w:t>Exhibits</w:t>
            </w:r>
          </w:p>
        </w:tc>
        <w:tc>
          <w:tcPr>
            <w:tcW w:w="6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4"/>
        </w:trPr>
        <w:tc>
          <w:tcPr>
            <w:tcW w:w="620" w:type="dxa"/>
            <w:vAlign w:val="bottom"/>
          </w:tcPr>
          <w:p>
            <w:pPr>
              <w:spacing w:after="0"/>
              <w:rPr>
                <w:sz w:val="24"/>
                <w:szCs w:val="24"/>
                <w:color w:val="auto"/>
              </w:rPr>
            </w:pPr>
          </w:p>
        </w:tc>
        <w:tc>
          <w:tcPr>
            <w:tcW w:w="7060" w:type="dxa"/>
            <w:vAlign w:val="bottom"/>
            <w:gridSpan w:val="18"/>
          </w:tcPr>
          <w:p>
            <w:pPr>
              <w:spacing w:after="0"/>
              <w:rPr>
                <w:sz w:val="20"/>
                <w:szCs w:val="20"/>
                <w:color w:val="auto"/>
              </w:rPr>
            </w:pPr>
            <w:r>
              <w:rPr>
                <w:rFonts w:ascii="Arial" w:cs="Arial" w:eastAsia="Arial" w:hAnsi="Arial"/>
                <w:sz w:val="14"/>
                <w:szCs w:val="14"/>
                <w:color w:val="auto"/>
              </w:rPr>
              <w:t>The documents set forth are filed herewith or incorporated herein by reference.</w:t>
            </w:r>
          </w:p>
        </w:tc>
        <w:tc>
          <w:tcPr>
            <w:tcW w:w="6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540" w:type="dxa"/>
            <w:vAlign w:val="bottom"/>
            <w:gridSpan w:val="11"/>
          </w:tcPr>
          <w:p>
            <w:pPr>
              <w:ind w:left="220"/>
              <w:spacing w:after="0"/>
              <w:rPr>
                <w:sz w:val="20"/>
                <w:szCs w:val="20"/>
                <w:color w:val="auto"/>
              </w:rPr>
            </w:pPr>
            <w:r>
              <w:rPr>
                <w:rFonts w:ascii="Arial" w:cs="Arial" w:eastAsia="Arial" w:hAnsi="Arial"/>
                <w:sz w:val="17"/>
                <w:szCs w:val="17"/>
                <w:b w:val="1"/>
                <w:bCs w:val="1"/>
                <w:color w:val="auto"/>
              </w:rPr>
              <w:t>INDEX</w:t>
            </w:r>
          </w:p>
        </w:tc>
        <w:tc>
          <w:tcPr>
            <w:tcW w:w="6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6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700" w:type="dxa"/>
            <w:vAlign w:val="bottom"/>
          </w:tcPr>
          <w:p>
            <w:pPr>
              <w:ind w:left="140"/>
              <w:spacing w:after="0"/>
              <w:rPr>
                <w:sz w:val="20"/>
                <w:szCs w:val="20"/>
                <w:color w:val="auto"/>
              </w:rPr>
            </w:pPr>
            <w:r>
              <w:rPr>
                <w:rFonts w:ascii="Arial" w:cs="Arial" w:eastAsia="Arial" w:hAnsi="Arial"/>
                <w:sz w:val="12"/>
                <w:szCs w:val="12"/>
                <w:b w:val="1"/>
                <w:bCs w:val="1"/>
                <w:color w:val="auto"/>
              </w:rPr>
              <w:t>Incorporated by Reference</w:t>
            </w: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Exhibit No.</w:t>
            </w: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vMerge w:val="restart"/>
          </w:tcPr>
          <w:p>
            <w:pPr>
              <w:ind w:left="460"/>
              <w:spacing w:after="0"/>
              <w:rPr>
                <w:sz w:val="20"/>
                <w:szCs w:val="20"/>
                <w:color w:val="auto"/>
              </w:rPr>
            </w:pPr>
            <w:r>
              <w:rPr>
                <w:rFonts w:ascii="Arial" w:cs="Arial" w:eastAsia="Arial" w:hAnsi="Arial"/>
                <w:sz w:val="12"/>
                <w:szCs w:val="12"/>
                <w:b w:val="1"/>
                <w:bCs w:val="1"/>
                <w:color w:val="auto"/>
                <w:w w:val="93"/>
              </w:rPr>
              <w:t>Fi</w:t>
            </w:r>
          </w:p>
        </w:tc>
        <w:tc>
          <w:tcPr>
            <w:tcW w:w="0" w:type="dxa"/>
            <w:vAlign w:val="bottom"/>
          </w:tcPr>
          <w:p>
            <w:pPr>
              <w:spacing w:after="0"/>
              <w:rPr>
                <w:sz w:val="1"/>
                <w:szCs w:val="1"/>
                <w:color w:val="auto"/>
              </w:rPr>
            </w:pPr>
          </w:p>
        </w:tc>
      </w:tr>
      <w:tr>
        <w:trPr>
          <w:trHeight w:val="130"/>
        </w:trPr>
        <w:tc>
          <w:tcPr>
            <w:tcW w:w="6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380" w:type="dxa"/>
            <w:vAlign w:val="bottom"/>
            <w:gridSpan w:val="14"/>
          </w:tcPr>
          <w:p>
            <w:pPr>
              <w:ind w:left="740"/>
              <w:spacing w:after="0"/>
              <w:rPr>
                <w:sz w:val="20"/>
                <w:szCs w:val="20"/>
                <w:color w:val="auto"/>
              </w:rPr>
            </w:pPr>
            <w:r>
              <w:rPr>
                <w:rFonts w:ascii="Arial" w:cs="Arial" w:eastAsia="Arial" w:hAnsi="Arial"/>
                <w:sz w:val="12"/>
                <w:szCs w:val="12"/>
                <w:b w:val="1"/>
                <w:bCs w:val="1"/>
                <w:color w:val="auto"/>
              </w:rPr>
              <w:t>Exhibit Description</w:t>
            </w: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w w:val="99"/>
              </w:rPr>
              <w:t>Form</w:t>
            </w:r>
          </w:p>
        </w:tc>
        <w:tc>
          <w:tcPr>
            <w:tcW w:w="1700" w:type="dxa"/>
            <w:vAlign w:val="bottom"/>
          </w:tcPr>
          <w:p>
            <w:pPr>
              <w:ind w:left="640"/>
              <w:spacing w:after="0"/>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Number</w:t>
            </w:r>
          </w:p>
        </w:tc>
        <w:tc>
          <w:tcPr>
            <w:tcW w:w="580" w:type="dxa"/>
            <w:vAlign w:val="bottom"/>
          </w:tcPr>
          <w:p>
            <w:pPr>
              <w:ind w:left="360"/>
              <w:spacing w:after="0"/>
              <w:rPr>
                <w:sz w:val="20"/>
                <w:szCs w:val="20"/>
                <w:color w:val="auto"/>
              </w:rPr>
            </w:pPr>
            <w:r>
              <w:rPr>
                <w:rFonts w:ascii="Arial" w:cs="Arial" w:eastAsia="Arial" w:hAnsi="Arial"/>
                <w:sz w:val="12"/>
                <w:szCs w:val="12"/>
                <w:b w:val="1"/>
                <w:bCs w:val="1"/>
                <w:color w:val="auto"/>
                <w:w w:val="99"/>
              </w:rPr>
              <w:t>Her</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1000" w:type="dxa"/>
            <w:vAlign w:val="bottom"/>
            <w:shd w:val="clear" w:color="auto" w:fill="CCEEFF"/>
          </w:tcPr>
          <w:p>
            <w:pPr>
              <w:jc w:val="center"/>
              <w:ind w:right="37"/>
              <w:spacing w:after="0" w:line="135" w:lineRule="exact"/>
              <w:rPr>
                <w:sz w:val="20"/>
                <w:szCs w:val="20"/>
                <w:color w:val="auto"/>
              </w:rPr>
            </w:pPr>
            <w:r>
              <w:rPr>
                <w:rFonts w:ascii="Arial" w:cs="Arial" w:eastAsia="Arial" w:hAnsi="Arial"/>
                <w:sz w:val="12"/>
                <w:szCs w:val="12"/>
                <w:color w:val="auto"/>
              </w:rPr>
              <w:t>2.1</w:t>
            </w:r>
          </w:p>
        </w:tc>
        <w:tc>
          <w:tcPr>
            <w:tcW w:w="6060" w:type="dxa"/>
            <w:vAlign w:val="bottom"/>
            <w:gridSpan w:val="17"/>
            <w:shd w:val="clear" w:color="auto" w:fill="CCEEFF"/>
          </w:tcPr>
          <w:p>
            <w:pPr>
              <w:spacing w:after="0" w:line="135" w:lineRule="exact"/>
              <w:rPr>
                <w:rFonts w:ascii="Arial" w:cs="Arial" w:eastAsia="Arial" w:hAnsi="Arial"/>
                <w:sz w:val="12"/>
                <w:szCs w:val="12"/>
                <w:color w:val="auto"/>
              </w:rPr>
            </w:pPr>
            <w:hyperlink r:id="rId56">
              <w:r>
                <w:rPr>
                  <w:rFonts w:ascii="Arial" w:cs="Arial" w:eastAsia="Arial" w:hAnsi="Arial"/>
                  <w:sz w:val="12"/>
                  <w:szCs w:val="12"/>
                  <w:color w:val="auto"/>
                </w:rPr>
                <w:t>Agreement and Plan of Merger, dated as of January 14, 2026, by and among Parent, Merger Sub I, Merger Sub</w:t>
              </w:r>
            </w:hyperlink>
          </w:p>
        </w:tc>
        <w:tc>
          <w:tcPr>
            <w:tcW w:w="6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rPr>
              <w:t>8-K</w:t>
            </w:r>
          </w:p>
        </w:tc>
        <w:tc>
          <w:tcPr>
            <w:tcW w:w="1700" w:type="dxa"/>
            <w:vAlign w:val="bottom"/>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rPr>
              <w:t>1/14/2026</w:t>
            </w:r>
          </w:p>
        </w:tc>
        <w:tc>
          <w:tcPr>
            <w:tcW w:w="740" w:type="dxa"/>
            <w:vAlign w:val="bottom"/>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95"/>
              </w:rPr>
              <w:t>2.1</w:t>
            </w: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20" w:type="dxa"/>
            <w:vAlign w:val="bottom"/>
          </w:tcPr>
          <w:p>
            <w:pPr>
              <w:spacing w:after="0"/>
              <w:rPr>
                <w:sz w:val="10"/>
                <w:szCs w:val="10"/>
                <w:color w:val="auto"/>
              </w:rPr>
            </w:pPr>
          </w:p>
        </w:tc>
        <w:tc>
          <w:tcPr>
            <w:tcW w:w="1000" w:type="dxa"/>
            <w:vAlign w:val="bottom"/>
            <w:tcBorders>
              <w:top w:val="single" w:sz="8" w:color="CCEEFF"/>
            </w:tcBorders>
            <w:shd w:val="clear" w:color="auto" w:fill="CCEEFF"/>
          </w:tcPr>
          <w:p>
            <w:pPr>
              <w:spacing w:after="0"/>
              <w:rPr>
                <w:sz w:val="10"/>
                <w:szCs w:val="10"/>
                <w:color w:val="auto"/>
              </w:rPr>
            </w:pPr>
          </w:p>
        </w:tc>
        <w:tc>
          <w:tcPr>
            <w:tcW w:w="5940" w:type="dxa"/>
            <w:vAlign w:val="bottom"/>
            <w:tcBorders>
              <w:top w:val="single" w:sz="8" w:color="auto"/>
            </w:tcBorders>
            <w:gridSpan w:val="16"/>
            <w:shd w:val="clear" w:color="auto" w:fill="CCEEFF"/>
          </w:tcPr>
          <w:p>
            <w:pPr>
              <w:spacing w:after="0" w:line="122" w:lineRule="exact"/>
              <w:rPr>
                <w:rFonts w:ascii="Arial" w:cs="Arial" w:eastAsia="Arial" w:hAnsi="Arial"/>
                <w:sz w:val="12"/>
                <w:szCs w:val="12"/>
                <w:color w:val="auto"/>
              </w:rPr>
            </w:pPr>
            <w:hyperlink r:id="rId56">
              <w:r>
                <w:rPr>
                  <w:rFonts w:ascii="Arial" w:cs="Arial" w:eastAsia="Arial" w:hAnsi="Arial"/>
                  <w:sz w:val="12"/>
                  <w:szCs w:val="12"/>
                  <w:color w:val="auto"/>
                </w:rPr>
                <w:t>II and the Company</w:t>
              </w:r>
            </w:hyperlink>
          </w:p>
        </w:tc>
        <w:tc>
          <w:tcPr>
            <w:tcW w:w="1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CCEEFF"/>
            </w:tcBorders>
            <w:shd w:val="clear" w:color="auto" w:fill="CCEEFF"/>
          </w:tcPr>
          <w:p>
            <w:pPr>
              <w:spacing w:after="0"/>
              <w:rPr>
                <w:sz w:val="10"/>
                <w:szCs w:val="10"/>
                <w:color w:val="auto"/>
              </w:rPr>
            </w:pPr>
          </w:p>
        </w:tc>
        <w:tc>
          <w:tcPr>
            <w:tcW w:w="170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620" w:type="dxa"/>
            <w:vAlign w:val="bottom"/>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auto"/>
            </w:tcBorders>
            <w:shd w:val="clear" w:color="auto" w:fill="CCEEFF"/>
          </w:tcPr>
          <w:p>
            <w:pPr>
              <w:spacing w:after="0"/>
              <w:rPr>
                <w:sz w:val="2"/>
                <w:szCs w:val="2"/>
                <w:color w:val="auto"/>
              </w:rPr>
            </w:pPr>
          </w:p>
        </w:tc>
        <w:tc>
          <w:tcPr>
            <w:tcW w:w="820" w:type="dxa"/>
            <w:vAlign w:val="bottom"/>
            <w:tcBorders>
              <w:top w:val="single" w:sz="8" w:color="auto"/>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620" w:type="dxa"/>
            <w:vAlign w:val="bottom"/>
          </w:tcPr>
          <w:p>
            <w:pPr>
              <w:spacing w:after="0"/>
              <w:rPr>
                <w:sz w:val="12"/>
                <w:szCs w:val="12"/>
                <w:color w:val="auto"/>
              </w:rPr>
            </w:pPr>
          </w:p>
        </w:tc>
        <w:tc>
          <w:tcPr>
            <w:tcW w:w="1000" w:type="dxa"/>
            <w:vAlign w:val="bottom"/>
          </w:tcPr>
          <w:p>
            <w:pPr>
              <w:jc w:val="center"/>
              <w:ind w:right="37"/>
              <w:spacing w:after="0"/>
              <w:rPr>
                <w:sz w:val="20"/>
                <w:szCs w:val="20"/>
                <w:color w:val="auto"/>
              </w:rPr>
            </w:pPr>
            <w:r>
              <w:rPr>
                <w:rFonts w:ascii="Arial" w:cs="Arial" w:eastAsia="Arial" w:hAnsi="Arial"/>
                <w:sz w:val="12"/>
                <w:szCs w:val="12"/>
                <w:color w:val="auto"/>
              </w:rPr>
              <w:t>3.1</w:t>
            </w:r>
          </w:p>
        </w:tc>
        <w:tc>
          <w:tcPr>
            <w:tcW w:w="6060" w:type="dxa"/>
            <w:vAlign w:val="bottom"/>
            <w:gridSpan w:val="17"/>
          </w:tcPr>
          <w:p>
            <w:pPr>
              <w:spacing w:after="0"/>
              <w:rPr>
                <w:rFonts w:ascii="Arial" w:cs="Arial" w:eastAsia="Arial" w:hAnsi="Arial"/>
                <w:sz w:val="12"/>
                <w:szCs w:val="12"/>
                <w:color w:val="auto"/>
              </w:rPr>
            </w:pPr>
            <w:hyperlink r:id="rId57">
              <w:r>
                <w:rPr>
                  <w:rFonts w:ascii="Arial" w:cs="Arial" w:eastAsia="Arial" w:hAnsi="Arial"/>
                  <w:sz w:val="12"/>
                  <w:szCs w:val="12"/>
                  <w:color w:val="auto"/>
                </w:rPr>
                <w:t>Amended and Restated Certificate of Incorporation</w:t>
              </w:r>
            </w:hyperlink>
          </w:p>
        </w:tc>
        <w:tc>
          <w:tcPr>
            <w:tcW w:w="640" w:type="dxa"/>
            <w:vAlign w:val="bottom"/>
          </w:tcPr>
          <w:p>
            <w:pPr>
              <w:jc w:val="center"/>
              <w:spacing w:after="0"/>
              <w:rPr>
                <w:sz w:val="20"/>
                <w:szCs w:val="20"/>
                <w:color w:val="auto"/>
              </w:rPr>
            </w:pPr>
            <w:r>
              <w:rPr>
                <w:rFonts w:ascii="Arial" w:cs="Arial" w:eastAsia="Arial" w:hAnsi="Arial"/>
                <w:sz w:val="12"/>
                <w:szCs w:val="12"/>
                <w:color w:val="auto"/>
              </w:rPr>
              <w:t>8-K</w:t>
            </w:r>
          </w:p>
        </w:tc>
        <w:tc>
          <w:tcPr>
            <w:tcW w:w="1700" w:type="dxa"/>
            <w:vAlign w:val="bottom"/>
          </w:tcPr>
          <w:p>
            <w:pPr>
              <w:jc w:val="center"/>
              <w:ind w:right="100"/>
              <w:spacing w:after="0"/>
              <w:rPr>
                <w:sz w:val="20"/>
                <w:szCs w:val="20"/>
                <w:color w:val="auto"/>
              </w:rPr>
            </w:pPr>
            <w:r>
              <w:rPr>
                <w:rFonts w:ascii="Arial" w:cs="Arial" w:eastAsia="Arial" w:hAnsi="Arial"/>
                <w:sz w:val="12"/>
                <w:szCs w:val="12"/>
                <w:color w:val="auto"/>
              </w:rPr>
              <w:t>10/7/2020</w:t>
            </w:r>
          </w:p>
        </w:tc>
        <w:tc>
          <w:tcPr>
            <w:tcW w:w="740" w:type="dxa"/>
            <w:vAlign w:val="bottom"/>
          </w:tcPr>
          <w:p>
            <w:pPr>
              <w:jc w:val="center"/>
              <w:ind w:right="160"/>
              <w:spacing w:after="0"/>
              <w:rPr>
                <w:sz w:val="20"/>
                <w:szCs w:val="20"/>
                <w:color w:val="auto"/>
              </w:rPr>
            </w:pPr>
            <w:r>
              <w:rPr>
                <w:rFonts w:ascii="Arial" w:cs="Arial" w:eastAsia="Arial" w:hAnsi="Arial"/>
                <w:sz w:val="12"/>
                <w:szCs w:val="12"/>
                <w:color w:val="auto"/>
                <w:w w:val="95"/>
              </w:rPr>
              <w:t>3.2</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620" w:type="dxa"/>
            <w:vAlign w:val="bottom"/>
          </w:tcPr>
          <w:p>
            <w:pPr>
              <w:spacing w:after="0"/>
              <w:rPr>
                <w:sz w:val="12"/>
                <w:szCs w:val="12"/>
                <w:color w:val="auto"/>
              </w:rPr>
            </w:pPr>
          </w:p>
        </w:tc>
        <w:tc>
          <w:tcPr>
            <w:tcW w:w="1000" w:type="dxa"/>
            <w:vAlign w:val="bottom"/>
            <w:shd w:val="clear" w:color="auto" w:fill="CCEEFF"/>
          </w:tcPr>
          <w:p>
            <w:pPr>
              <w:jc w:val="center"/>
              <w:ind w:right="37"/>
              <w:spacing w:after="0"/>
              <w:rPr>
                <w:sz w:val="20"/>
                <w:szCs w:val="20"/>
                <w:color w:val="auto"/>
              </w:rPr>
            </w:pPr>
            <w:r>
              <w:rPr>
                <w:rFonts w:ascii="Arial" w:cs="Arial" w:eastAsia="Arial" w:hAnsi="Arial"/>
                <w:sz w:val="12"/>
                <w:szCs w:val="12"/>
                <w:color w:val="auto"/>
              </w:rPr>
              <w:t>3.2</w:t>
            </w:r>
          </w:p>
        </w:tc>
        <w:tc>
          <w:tcPr>
            <w:tcW w:w="6060" w:type="dxa"/>
            <w:vAlign w:val="bottom"/>
            <w:gridSpan w:val="17"/>
            <w:shd w:val="clear" w:color="auto" w:fill="CCEEFF"/>
          </w:tcPr>
          <w:p>
            <w:pPr>
              <w:spacing w:after="0"/>
              <w:rPr>
                <w:rFonts w:ascii="Arial" w:cs="Arial" w:eastAsia="Arial" w:hAnsi="Arial"/>
                <w:sz w:val="12"/>
                <w:szCs w:val="12"/>
                <w:color w:val="auto"/>
              </w:rPr>
            </w:pPr>
            <w:hyperlink r:id="rId58">
              <w:r>
                <w:rPr>
                  <w:rFonts w:ascii="Arial" w:cs="Arial" w:eastAsia="Arial" w:hAnsi="Arial"/>
                  <w:sz w:val="12"/>
                  <w:szCs w:val="12"/>
                  <w:color w:val="auto"/>
                </w:rPr>
                <w:t>Amendment to Amended and Restated Certificate of Incorporation</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10-Q</w:t>
            </w:r>
          </w:p>
        </w:tc>
        <w:tc>
          <w:tcPr>
            <w:tcW w:w="1700" w:type="dxa"/>
            <w:vAlign w:val="bottom"/>
            <w:shd w:val="clear" w:color="auto" w:fill="CCEEFF"/>
          </w:tcPr>
          <w:p>
            <w:pPr>
              <w:jc w:val="center"/>
              <w:ind w:right="100"/>
              <w:spacing w:after="0"/>
              <w:rPr>
                <w:sz w:val="20"/>
                <w:szCs w:val="20"/>
                <w:color w:val="auto"/>
              </w:rPr>
            </w:pPr>
            <w:r>
              <w:rPr>
                <w:rFonts w:ascii="Arial" w:cs="Arial" w:eastAsia="Arial" w:hAnsi="Arial"/>
                <w:sz w:val="12"/>
                <w:szCs w:val="12"/>
                <w:color w:val="auto"/>
                <w:w w:val="98"/>
              </w:rPr>
              <w:t>6/8/2024</w:t>
            </w:r>
          </w:p>
        </w:tc>
        <w:tc>
          <w:tcPr>
            <w:tcW w:w="740" w:type="dxa"/>
            <w:vAlign w:val="bottom"/>
            <w:shd w:val="clear" w:color="auto" w:fill="CCEEFF"/>
          </w:tcPr>
          <w:p>
            <w:pPr>
              <w:jc w:val="center"/>
              <w:ind w:right="160"/>
              <w:spacing w:after="0"/>
              <w:rPr>
                <w:sz w:val="20"/>
                <w:szCs w:val="20"/>
                <w:color w:val="auto"/>
              </w:rPr>
            </w:pPr>
            <w:r>
              <w:rPr>
                <w:rFonts w:ascii="Arial" w:cs="Arial" w:eastAsia="Arial" w:hAnsi="Arial"/>
                <w:sz w:val="12"/>
                <w:szCs w:val="12"/>
                <w:color w:val="auto"/>
                <w:w w:val="95"/>
              </w:rPr>
              <w:t>3.2</w:t>
            </w: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0" w:type="dxa"/>
            <w:vAlign w:val="bottom"/>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auto"/>
            </w:tcBorders>
            <w:shd w:val="clear" w:color="auto" w:fill="CCEEFF"/>
          </w:tcPr>
          <w:p>
            <w:pPr>
              <w:spacing w:after="0"/>
              <w:rPr>
                <w:sz w:val="2"/>
                <w:szCs w:val="2"/>
                <w:color w:val="auto"/>
              </w:rPr>
            </w:pPr>
          </w:p>
        </w:tc>
        <w:tc>
          <w:tcPr>
            <w:tcW w:w="820" w:type="dxa"/>
            <w:vAlign w:val="bottom"/>
            <w:tcBorders>
              <w:top w:val="single" w:sz="8" w:color="auto"/>
            </w:tcBorders>
            <w:shd w:val="clear" w:color="auto" w:fill="CCEEFF"/>
          </w:tcPr>
          <w:p>
            <w:pPr>
              <w:spacing w:after="0"/>
              <w:rPr>
                <w:sz w:val="2"/>
                <w:szCs w:val="2"/>
                <w:color w:val="auto"/>
              </w:rPr>
            </w:pPr>
          </w:p>
        </w:tc>
        <w:tc>
          <w:tcPr>
            <w:tcW w:w="640" w:type="dxa"/>
            <w:vAlign w:val="bottom"/>
            <w:tcBorders>
              <w:top w:val="single" w:sz="8" w:color="auto"/>
            </w:tcBorders>
            <w:shd w:val="clear" w:color="auto" w:fill="CCEEFF"/>
          </w:tcPr>
          <w:p>
            <w:pPr>
              <w:spacing w:after="0"/>
              <w:rPr>
                <w:sz w:val="2"/>
                <w:szCs w:val="2"/>
                <w:color w:val="auto"/>
              </w:rPr>
            </w:pPr>
          </w:p>
        </w:tc>
        <w:tc>
          <w:tcPr>
            <w:tcW w:w="860" w:type="dxa"/>
            <w:vAlign w:val="bottom"/>
            <w:tcBorders>
              <w:top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CCEEFF"/>
          </w:tcPr>
          <w:p>
            <w:pPr>
              <w:spacing w:after="0"/>
              <w:rPr>
                <w:sz w:val="2"/>
                <w:szCs w:val="2"/>
                <w:color w:val="auto"/>
              </w:rPr>
            </w:pPr>
          </w:p>
        </w:tc>
        <w:tc>
          <w:tcPr>
            <w:tcW w:w="820" w:type="dxa"/>
            <w:vAlign w:val="bottom"/>
            <w:tcBorders>
              <w:top w:val="single" w:sz="8" w:color="auto"/>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620" w:type="dxa"/>
            <w:vAlign w:val="bottom"/>
          </w:tcPr>
          <w:p>
            <w:pPr>
              <w:spacing w:after="0"/>
              <w:rPr>
                <w:sz w:val="12"/>
                <w:szCs w:val="12"/>
                <w:color w:val="auto"/>
              </w:rPr>
            </w:pPr>
          </w:p>
        </w:tc>
        <w:tc>
          <w:tcPr>
            <w:tcW w:w="1000" w:type="dxa"/>
            <w:vAlign w:val="bottom"/>
          </w:tcPr>
          <w:p>
            <w:pPr>
              <w:jc w:val="center"/>
              <w:ind w:right="37"/>
              <w:spacing w:after="0"/>
              <w:rPr>
                <w:sz w:val="20"/>
                <w:szCs w:val="20"/>
                <w:color w:val="auto"/>
              </w:rPr>
            </w:pPr>
            <w:r>
              <w:rPr>
                <w:rFonts w:ascii="Arial" w:cs="Arial" w:eastAsia="Arial" w:hAnsi="Arial"/>
                <w:sz w:val="12"/>
                <w:szCs w:val="12"/>
                <w:color w:val="auto"/>
              </w:rPr>
              <w:t>3.3</w:t>
            </w:r>
          </w:p>
        </w:tc>
        <w:tc>
          <w:tcPr>
            <w:tcW w:w="6060" w:type="dxa"/>
            <w:vAlign w:val="bottom"/>
            <w:gridSpan w:val="17"/>
          </w:tcPr>
          <w:p>
            <w:pPr>
              <w:spacing w:after="0"/>
              <w:rPr>
                <w:rFonts w:ascii="Arial" w:cs="Arial" w:eastAsia="Arial" w:hAnsi="Arial"/>
                <w:sz w:val="12"/>
                <w:szCs w:val="12"/>
                <w:color w:val="auto"/>
              </w:rPr>
            </w:pPr>
            <w:hyperlink r:id="rId59">
              <w:r>
                <w:rPr>
                  <w:rFonts w:ascii="Arial" w:cs="Arial" w:eastAsia="Arial" w:hAnsi="Arial"/>
                  <w:sz w:val="12"/>
                  <w:szCs w:val="12"/>
                  <w:color w:val="auto"/>
                </w:rPr>
                <w:t>Certificate of Designations of Series A Junior Participating Preferred Stock</w:t>
              </w:r>
            </w:hyperlink>
          </w:p>
        </w:tc>
        <w:tc>
          <w:tcPr>
            <w:tcW w:w="640" w:type="dxa"/>
            <w:vAlign w:val="bottom"/>
          </w:tcPr>
          <w:p>
            <w:pPr>
              <w:jc w:val="center"/>
              <w:spacing w:after="0"/>
              <w:rPr>
                <w:sz w:val="20"/>
                <w:szCs w:val="20"/>
                <w:color w:val="auto"/>
              </w:rPr>
            </w:pPr>
            <w:r>
              <w:rPr>
                <w:rFonts w:ascii="Arial" w:cs="Arial" w:eastAsia="Arial" w:hAnsi="Arial"/>
                <w:sz w:val="12"/>
                <w:szCs w:val="12"/>
                <w:color w:val="auto"/>
              </w:rPr>
              <w:t>8-K</w:t>
            </w:r>
          </w:p>
        </w:tc>
        <w:tc>
          <w:tcPr>
            <w:tcW w:w="1700" w:type="dxa"/>
            <w:vAlign w:val="bottom"/>
          </w:tcPr>
          <w:p>
            <w:pPr>
              <w:jc w:val="center"/>
              <w:ind w:right="100"/>
              <w:spacing w:after="0"/>
              <w:rPr>
                <w:sz w:val="20"/>
                <w:szCs w:val="20"/>
                <w:color w:val="auto"/>
              </w:rPr>
            </w:pPr>
            <w:r>
              <w:rPr>
                <w:rFonts w:ascii="Arial" w:cs="Arial" w:eastAsia="Arial" w:hAnsi="Arial"/>
                <w:sz w:val="12"/>
                <w:szCs w:val="12"/>
                <w:color w:val="auto"/>
              </w:rPr>
              <w:t>1/22/2026</w:t>
            </w:r>
          </w:p>
        </w:tc>
        <w:tc>
          <w:tcPr>
            <w:tcW w:w="740" w:type="dxa"/>
            <w:vAlign w:val="bottom"/>
          </w:tcPr>
          <w:p>
            <w:pPr>
              <w:jc w:val="center"/>
              <w:ind w:right="160"/>
              <w:spacing w:after="0"/>
              <w:rPr>
                <w:sz w:val="20"/>
                <w:szCs w:val="20"/>
                <w:color w:val="auto"/>
              </w:rPr>
            </w:pPr>
            <w:r>
              <w:rPr>
                <w:rFonts w:ascii="Arial" w:cs="Arial" w:eastAsia="Arial" w:hAnsi="Arial"/>
                <w:sz w:val="12"/>
                <w:szCs w:val="12"/>
                <w:color w:val="auto"/>
                <w:w w:val="95"/>
              </w:rPr>
              <w:t>3.1</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20" w:type="dxa"/>
            <w:vAlign w:val="bottom"/>
          </w:tcPr>
          <w:p>
            <w:pPr>
              <w:spacing w:after="0"/>
              <w:rPr>
                <w:sz w:val="15"/>
                <w:szCs w:val="15"/>
                <w:color w:val="auto"/>
              </w:rPr>
            </w:pPr>
          </w:p>
        </w:tc>
        <w:tc>
          <w:tcPr>
            <w:tcW w:w="1000" w:type="dxa"/>
            <w:vAlign w:val="bottom"/>
            <w:tcBorders>
              <w:bottom w:val="single" w:sz="8" w:color="CCEEFF"/>
            </w:tcBorders>
            <w:shd w:val="clear" w:color="auto" w:fill="CCEEFF"/>
          </w:tcPr>
          <w:p>
            <w:pPr>
              <w:jc w:val="center"/>
              <w:ind w:right="37"/>
              <w:spacing w:after="0"/>
              <w:rPr>
                <w:sz w:val="20"/>
                <w:szCs w:val="20"/>
                <w:color w:val="auto"/>
              </w:rPr>
            </w:pPr>
            <w:r>
              <w:rPr>
                <w:rFonts w:ascii="Arial" w:cs="Arial" w:eastAsia="Arial" w:hAnsi="Arial"/>
                <w:sz w:val="12"/>
                <w:szCs w:val="12"/>
                <w:color w:val="auto"/>
              </w:rPr>
              <w:t>3.4</w:t>
            </w:r>
          </w:p>
        </w:tc>
        <w:tc>
          <w:tcPr>
            <w:tcW w:w="1680" w:type="dxa"/>
            <w:vAlign w:val="bottom"/>
            <w:tcBorders>
              <w:bottom w:val="single" w:sz="8" w:color="auto"/>
            </w:tcBorders>
            <w:gridSpan w:val="3"/>
            <w:shd w:val="clear" w:color="auto" w:fill="CCEEFF"/>
          </w:tcPr>
          <w:p>
            <w:pPr>
              <w:spacing w:after="0"/>
              <w:rPr>
                <w:rFonts w:ascii="Arial" w:cs="Arial" w:eastAsia="Arial" w:hAnsi="Arial"/>
                <w:sz w:val="12"/>
                <w:szCs w:val="12"/>
                <w:color w:val="auto"/>
                <w:w w:val="99"/>
              </w:rPr>
            </w:pPr>
            <w:hyperlink r:id="rId60">
              <w:r>
                <w:rPr>
                  <w:rFonts w:ascii="Arial" w:cs="Arial" w:eastAsia="Arial" w:hAnsi="Arial"/>
                  <w:sz w:val="12"/>
                  <w:szCs w:val="12"/>
                  <w:color w:val="auto"/>
                  <w:w w:val="99"/>
                </w:rPr>
                <w:t>Amended and Restated Bylaws</w:t>
              </w:r>
            </w:hyperlink>
          </w:p>
        </w:tc>
        <w:tc>
          <w:tcPr>
            <w:tcW w:w="4380" w:type="dxa"/>
            <w:vAlign w:val="bottom"/>
            <w:tcBorders>
              <w:bottom w:val="single" w:sz="8" w:color="CCEEFF"/>
            </w:tcBorders>
            <w:gridSpan w:val="14"/>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rPr>
              <w:t>8-K</w:t>
            </w:r>
          </w:p>
        </w:tc>
        <w:tc>
          <w:tcPr>
            <w:tcW w:w="1700" w:type="dxa"/>
            <w:vAlign w:val="bottom"/>
            <w:tcBorders>
              <w:bottom w:val="single" w:sz="8" w:color="CCEEFF"/>
            </w:tcBorders>
            <w:shd w:val="clear" w:color="auto" w:fill="CCEEFF"/>
          </w:tcPr>
          <w:p>
            <w:pPr>
              <w:jc w:val="center"/>
              <w:ind w:right="100"/>
              <w:spacing w:after="0"/>
              <w:rPr>
                <w:sz w:val="20"/>
                <w:szCs w:val="20"/>
                <w:color w:val="auto"/>
              </w:rPr>
            </w:pPr>
            <w:r>
              <w:rPr>
                <w:rFonts w:ascii="Arial" w:cs="Arial" w:eastAsia="Arial" w:hAnsi="Arial"/>
                <w:sz w:val="12"/>
                <w:szCs w:val="12"/>
                <w:color w:val="auto"/>
              </w:rPr>
              <w:t>10/7/2020</w:t>
            </w:r>
          </w:p>
        </w:tc>
        <w:tc>
          <w:tcPr>
            <w:tcW w:w="740" w:type="dxa"/>
            <w:vAlign w:val="bottom"/>
            <w:tcBorders>
              <w:bottom w:val="single" w:sz="8" w:color="CCEEFF"/>
            </w:tcBorders>
            <w:shd w:val="clear" w:color="auto" w:fill="CCEEFF"/>
          </w:tcPr>
          <w:p>
            <w:pPr>
              <w:jc w:val="center"/>
              <w:ind w:right="160"/>
              <w:spacing w:after="0"/>
              <w:rPr>
                <w:sz w:val="20"/>
                <w:szCs w:val="20"/>
                <w:color w:val="auto"/>
              </w:rPr>
            </w:pPr>
            <w:r>
              <w:rPr>
                <w:rFonts w:ascii="Arial" w:cs="Arial" w:eastAsia="Arial" w:hAnsi="Arial"/>
                <w:sz w:val="12"/>
                <w:szCs w:val="12"/>
                <w:color w:val="auto"/>
                <w:w w:val="95"/>
              </w:rPr>
              <w:t>3.2</w:t>
            </w:r>
          </w:p>
        </w:tc>
        <w:tc>
          <w:tcPr>
            <w:tcW w:w="5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20" w:type="dxa"/>
            <w:vAlign w:val="bottom"/>
          </w:tcPr>
          <w:p>
            <w:pPr>
              <w:spacing w:after="0"/>
              <w:rPr>
                <w:sz w:val="12"/>
                <w:szCs w:val="12"/>
                <w:color w:val="auto"/>
              </w:rPr>
            </w:pPr>
          </w:p>
        </w:tc>
        <w:tc>
          <w:tcPr>
            <w:tcW w:w="1000" w:type="dxa"/>
            <w:vAlign w:val="bottom"/>
          </w:tcPr>
          <w:p>
            <w:pPr>
              <w:jc w:val="center"/>
              <w:ind w:right="37"/>
              <w:spacing w:after="0"/>
              <w:rPr>
                <w:sz w:val="20"/>
                <w:szCs w:val="20"/>
                <w:color w:val="auto"/>
              </w:rPr>
            </w:pPr>
            <w:r>
              <w:rPr>
                <w:rFonts w:ascii="Arial" w:cs="Arial" w:eastAsia="Arial" w:hAnsi="Arial"/>
                <w:sz w:val="12"/>
                <w:szCs w:val="12"/>
                <w:color w:val="auto"/>
              </w:rPr>
              <w:t>4.1</w:t>
            </w:r>
          </w:p>
        </w:tc>
        <w:tc>
          <w:tcPr>
            <w:tcW w:w="6060" w:type="dxa"/>
            <w:vAlign w:val="bottom"/>
            <w:gridSpan w:val="17"/>
          </w:tcPr>
          <w:p>
            <w:pPr>
              <w:spacing w:after="0"/>
              <w:rPr>
                <w:rFonts w:ascii="Arial" w:cs="Arial" w:eastAsia="Arial" w:hAnsi="Arial"/>
                <w:sz w:val="12"/>
                <w:szCs w:val="12"/>
                <w:color w:val="auto"/>
              </w:rPr>
            </w:pPr>
            <w:hyperlink r:id="rId61">
              <w:r>
                <w:rPr>
                  <w:rFonts w:ascii="Arial" w:cs="Arial" w:eastAsia="Arial" w:hAnsi="Arial"/>
                  <w:sz w:val="12"/>
                  <w:szCs w:val="12"/>
                  <w:color w:val="auto"/>
                </w:rPr>
                <w:t>Rights Agreement, dated as of January 21, 2026, between Mission Produce, Inc. and Equiniti Trust Company,</w:t>
              </w:r>
            </w:hyperlink>
          </w:p>
        </w:tc>
        <w:tc>
          <w:tcPr>
            <w:tcW w:w="640" w:type="dxa"/>
            <w:vAlign w:val="bottom"/>
          </w:tcPr>
          <w:p>
            <w:pPr>
              <w:jc w:val="center"/>
              <w:spacing w:after="0"/>
              <w:rPr>
                <w:sz w:val="20"/>
                <w:szCs w:val="20"/>
                <w:color w:val="auto"/>
              </w:rPr>
            </w:pPr>
            <w:r>
              <w:rPr>
                <w:rFonts w:ascii="Arial" w:cs="Arial" w:eastAsia="Arial" w:hAnsi="Arial"/>
                <w:sz w:val="12"/>
                <w:szCs w:val="12"/>
                <w:color w:val="auto"/>
              </w:rPr>
              <w:t>8-K</w:t>
            </w:r>
          </w:p>
        </w:tc>
        <w:tc>
          <w:tcPr>
            <w:tcW w:w="1700" w:type="dxa"/>
            <w:vAlign w:val="bottom"/>
          </w:tcPr>
          <w:p>
            <w:pPr>
              <w:jc w:val="center"/>
              <w:ind w:right="100"/>
              <w:spacing w:after="0"/>
              <w:rPr>
                <w:sz w:val="20"/>
                <w:szCs w:val="20"/>
                <w:color w:val="auto"/>
              </w:rPr>
            </w:pPr>
            <w:r>
              <w:rPr>
                <w:rFonts w:ascii="Arial" w:cs="Arial" w:eastAsia="Arial" w:hAnsi="Arial"/>
                <w:sz w:val="12"/>
                <w:szCs w:val="12"/>
                <w:color w:val="auto"/>
              </w:rPr>
              <w:t>1/22/2026</w:t>
            </w:r>
          </w:p>
        </w:tc>
        <w:tc>
          <w:tcPr>
            <w:tcW w:w="740" w:type="dxa"/>
            <w:vAlign w:val="bottom"/>
          </w:tcPr>
          <w:p>
            <w:pPr>
              <w:jc w:val="center"/>
              <w:ind w:right="160"/>
              <w:spacing w:after="0"/>
              <w:rPr>
                <w:sz w:val="20"/>
                <w:szCs w:val="20"/>
                <w:color w:val="auto"/>
              </w:rPr>
            </w:pPr>
            <w:r>
              <w:rPr>
                <w:rFonts w:ascii="Arial" w:cs="Arial" w:eastAsia="Arial" w:hAnsi="Arial"/>
                <w:sz w:val="12"/>
                <w:szCs w:val="12"/>
                <w:color w:val="auto"/>
                <w:w w:val="95"/>
              </w:rPr>
              <w:t>4.1</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820" w:type="dxa"/>
            <w:vAlign w:val="bottom"/>
            <w:tcBorders>
              <w:top w:val="single" w:sz="8" w:color="auto"/>
            </w:tcBorders>
            <w:gridSpan w:val="15"/>
          </w:tcPr>
          <w:p>
            <w:pPr>
              <w:spacing w:after="0" w:line="122" w:lineRule="exact"/>
              <w:rPr>
                <w:rFonts w:ascii="Arial" w:cs="Arial" w:eastAsia="Arial" w:hAnsi="Arial"/>
                <w:sz w:val="12"/>
                <w:szCs w:val="12"/>
                <w:color w:val="auto"/>
              </w:rPr>
            </w:pPr>
            <w:hyperlink r:id="rId61">
              <w:r>
                <w:rPr>
                  <w:rFonts w:ascii="Arial" w:cs="Arial" w:eastAsia="Arial" w:hAnsi="Arial"/>
                  <w:sz w:val="12"/>
                  <w:szCs w:val="12"/>
                  <w:color w:val="auto"/>
                </w:rPr>
                <w:t>LLC</w:t>
              </w:r>
            </w:hyperlink>
          </w:p>
        </w:tc>
        <w:tc>
          <w:tcPr>
            <w:tcW w:w="240" w:type="dxa"/>
            <w:vAlign w:val="bottom"/>
            <w:gridSpan w:val="2"/>
          </w:tcPr>
          <w:p>
            <w:pPr>
              <w:spacing w:after="0"/>
              <w:rPr>
                <w:sz w:val="10"/>
                <w:szCs w:val="10"/>
                <w:color w:val="auto"/>
              </w:rPr>
            </w:pPr>
          </w:p>
        </w:tc>
        <w:tc>
          <w:tcPr>
            <w:tcW w:w="6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620" w:type="dxa"/>
            <w:vAlign w:val="bottom"/>
          </w:tcPr>
          <w:p>
            <w:pPr>
              <w:spacing w:after="0"/>
              <w:rPr>
                <w:sz w:val="12"/>
                <w:szCs w:val="12"/>
                <w:color w:val="auto"/>
              </w:rPr>
            </w:pPr>
          </w:p>
        </w:tc>
        <w:tc>
          <w:tcPr>
            <w:tcW w:w="1000" w:type="dxa"/>
            <w:vAlign w:val="bottom"/>
            <w:shd w:val="clear" w:color="auto" w:fill="CCEEFF"/>
          </w:tcPr>
          <w:p>
            <w:pPr>
              <w:jc w:val="center"/>
              <w:ind w:right="57"/>
              <w:spacing w:after="0"/>
              <w:rPr>
                <w:sz w:val="20"/>
                <w:szCs w:val="20"/>
                <w:color w:val="auto"/>
              </w:rPr>
            </w:pPr>
            <w:r>
              <w:rPr>
                <w:rFonts w:ascii="Arial" w:cs="Arial" w:eastAsia="Arial" w:hAnsi="Arial"/>
                <w:sz w:val="12"/>
                <w:szCs w:val="12"/>
                <w:color w:val="auto"/>
              </w:rPr>
              <w:t>10.1</w:t>
            </w:r>
          </w:p>
        </w:tc>
        <w:tc>
          <w:tcPr>
            <w:tcW w:w="6060" w:type="dxa"/>
            <w:vAlign w:val="bottom"/>
            <w:gridSpan w:val="17"/>
            <w:shd w:val="clear" w:color="auto" w:fill="CCEEFF"/>
          </w:tcPr>
          <w:p>
            <w:pPr>
              <w:spacing w:after="0"/>
              <w:rPr>
                <w:rFonts w:ascii="Arial" w:cs="Arial" w:eastAsia="Arial" w:hAnsi="Arial"/>
                <w:sz w:val="12"/>
                <w:szCs w:val="12"/>
                <w:color w:val="auto"/>
              </w:rPr>
            </w:pPr>
            <w:hyperlink r:id="rId62">
              <w:r>
                <w:rPr>
                  <w:rFonts w:ascii="Arial" w:cs="Arial" w:eastAsia="Arial" w:hAnsi="Arial"/>
                  <w:sz w:val="12"/>
                  <w:szCs w:val="12"/>
                  <w:color w:val="auto"/>
                </w:rPr>
                <w:t>Credit Agreement, dated as of April 1, 2026, by and among Mission Produce, Inc., as borrower, certain direct</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8-K</w:t>
            </w:r>
          </w:p>
        </w:tc>
        <w:tc>
          <w:tcPr>
            <w:tcW w:w="1700" w:type="dxa"/>
            <w:vAlign w:val="bottom"/>
            <w:shd w:val="clear" w:color="auto" w:fill="CCEEFF"/>
          </w:tcPr>
          <w:p>
            <w:pPr>
              <w:jc w:val="center"/>
              <w:ind w:right="100"/>
              <w:spacing w:after="0"/>
              <w:rPr>
                <w:sz w:val="20"/>
                <w:szCs w:val="20"/>
                <w:color w:val="auto"/>
              </w:rPr>
            </w:pPr>
            <w:r>
              <w:rPr>
                <w:rFonts w:ascii="Arial" w:cs="Arial" w:eastAsia="Arial" w:hAnsi="Arial"/>
                <w:sz w:val="12"/>
                <w:szCs w:val="12"/>
                <w:color w:val="auto"/>
                <w:w w:val="98"/>
              </w:rPr>
              <w:t>4/1/2026</w:t>
            </w:r>
          </w:p>
        </w:tc>
        <w:tc>
          <w:tcPr>
            <w:tcW w:w="740" w:type="dxa"/>
            <w:vAlign w:val="bottom"/>
            <w:shd w:val="clear" w:color="auto" w:fill="CCEEFF"/>
          </w:tcPr>
          <w:p>
            <w:pPr>
              <w:jc w:val="center"/>
              <w:ind w:right="160"/>
              <w:spacing w:after="0"/>
              <w:rPr>
                <w:sz w:val="20"/>
                <w:szCs w:val="20"/>
                <w:color w:val="auto"/>
              </w:rPr>
            </w:pPr>
            <w:r>
              <w:rPr>
                <w:rFonts w:ascii="Arial" w:cs="Arial" w:eastAsia="Arial" w:hAnsi="Arial"/>
                <w:sz w:val="12"/>
                <w:szCs w:val="12"/>
                <w:color w:val="auto"/>
              </w:rPr>
              <w:t>10.1</w:t>
            </w: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20" w:type="dxa"/>
            <w:vAlign w:val="bottom"/>
          </w:tcPr>
          <w:p>
            <w:pPr>
              <w:spacing w:after="0"/>
              <w:rPr>
                <w:sz w:val="10"/>
                <w:szCs w:val="10"/>
                <w:color w:val="auto"/>
              </w:rPr>
            </w:pPr>
          </w:p>
        </w:tc>
        <w:tc>
          <w:tcPr>
            <w:tcW w:w="1000" w:type="dxa"/>
            <w:vAlign w:val="bottom"/>
            <w:tcBorders>
              <w:top w:val="single" w:sz="8" w:color="CCEEFF"/>
              <w:bottom w:val="single" w:sz="8" w:color="CCEEFF"/>
            </w:tcBorders>
            <w:shd w:val="clear" w:color="auto" w:fill="CCEEFF"/>
          </w:tcPr>
          <w:p>
            <w:pPr>
              <w:spacing w:after="0"/>
              <w:rPr>
                <w:sz w:val="10"/>
                <w:szCs w:val="10"/>
                <w:color w:val="auto"/>
              </w:rPr>
            </w:pPr>
          </w:p>
        </w:tc>
        <w:tc>
          <w:tcPr>
            <w:tcW w:w="5780" w:type="dxa"/>
            <w:vAlign w:val="bottom"/>
            <w:tcBorders>
              <w:top w:val="single" w:sz="8" w:color="auto"/>
              <w:bottom w:val="single" w:sz="8" w:color="auto"/>
            </w:tcBorders>
            <w:gridSpan w:val="13"/>
            <w:shd w:val="clear" w:color="auto" w:fill="CCEEFF"/>
          </w:tcPr>
          <w:p>
            <w:pPr>
              <w:spacing w:after="0" w:line="122" w:lineRule="exact"/>
              <w:rPr>
                <w:rFonts w:ascii="Arial" w:cs="Arial" w:eastAsia="Arial" w:hAnsi="Arial"/>
                <w:sz w:val="12"/>
                <w:szCs w:val="12"/>
                <w:color w:val="auto"/>
                <w:w w:val="99"/>
              </w:rPr>
            </w:pPr>
            <w:hyperlink r:id="rId62">
              <w:r>
                <w:rPr>
                  <w:rFonts w:ascii="Arial" w:cs="Arial" w:eastAsia="Arial" w:hAnsi="Arial"/>
                  <w:sz w:val="12"/>
                  <w:szCs w:val="12"/>
                  <w:color w:val="auto"/>
                  <w:w w:val="99"/>
                </w:rPr>
                <w:t>and indirect subsidiaries of the Company, as guarantors, Bank of America, N.A., as administrative agent, and</w:t>
              </w:r>
            </w:hyperlink>
          </w:p>
        </w:tc>
        <w:tc>
          <w:tcPr>
            <w:tcW w:w="20" w:type="dxa"/>
            <w:vAlign w:val="bottom"/>
            <w:tcBorders>
              <w:top w:val="single" w:sz="8" w:color="CCEEFF"/>
              <w:bottom w:val="single" w:sz="8" w:color="auto"/>
            </w:tcBorders>
            <w:shd w:val="clear" w:color="auto" w:fill="CCEEFF"/>
          </w:tcPr>
          <w:p>
            <w:pPr>
              <w:spacing w:after="0"/>
              <w:rPr>
                <w:sz w:val="10"/>
                <w:szCs w:val="10"/>
                <w:color w:val="auto"/>
              </w:rPr>
            </w:pPr>
          </w:p>
        </w:tc>
        <w:tc>
          <w:tcPr>
            <w:tcW w:w="260" w:type="dxa"/>
            <w:vAlign w:val="bottom"/>
            <w:tcBorders>
              <w:top w:val="single" w:sz="8" w:color="CCEEFF"/>
              <w:bottom w:val="single" w:sz="8" w:color="CCEEFF"/>
            </w:tcBorders>
            <w:gridSpan w:val="3"/>
            <w:shd w:val="clear" w:color="auto" w:fill="CCEEFF"/>
          </w:tcPr>
          <w:p>
            <w:pPr>
              <w:spacing w:after="0"/>
              <w:rPr>
                <w:sz w:val="10"/>
                <w:szCs w:val="10"/>
                <w:color w:val="auto"/>
              </w:rPr>
            </w:pPr>
          </w:p>
        </w:tc>
        <w:tc>
          <w:tcPr>
            <w:tcW w:w="640" w:type="dxa"/>
            <w:vAlign w:val="bottom"/>
            <w:tcBorders>
              <w:top w:val="single" w:sz="8" w:color="CCEEFF"/>
              <w:bottom w:val="single" w:sz="8" w:color="CCEEFF"/>
            </w:tcBorders>
            <w:shd w:val="clear" w:color="auto" w:fill="CCEEFF"/>
          </w:tcPr>
          <w:p>
            <w:pPr>
              <w:spacing w:after="0"/>
              <w:rPr>
                <w:sz w:val="10"/>
                <w:szCs w:val="10"/>
                <w:color w:val="auto"/>
              </w:rPr>
            </w:pPr>
          </w:p>
        </w:tc>
        <w:tc>
          <w:tcPr>
            <w:tcW w:w="1700" w:type="dxa"/>
            <w:vAlign w:val="bottom"/>
            <w:tcBorders>
              <w:top w:val="single" w:sz="8" w:color="CCEEFF"/>
              <w:bottom w:val="single" w:sz="8" w:color="CCEEFF"/>
            </w:tcBorders>
            <w:shd w:val="clear" w:color="auto" w:fill="CCEEFF"/>
          </w:tcPr>
          <w:p>
            <w:pPr>
              <w:spacing w:after="0"/>
              <w:rPr>
                <w:sz w:val="10"/>
                <w:szCs w:val="10"/>
                <w:color w:val="auto"/>
              </w:rPr>
            </w:pPr>
          </w:p>
        </w:tc>
        <w:tc>
          <w:tcPr>
            <w:tcW w:w="740" w:type="dxa"/>
            <w:vAlign w:val="bottom"/>
            <w:tcBorders>
              <w:top w:val="single" w:sz="8" w:color="CCEEFF"/>
              <w:bottom w:val="single" w:sz="8" w:color="CCEEFF"/>
            </w:tcBorders>
            <w:shd w:val="clear" w:color="auto" w:fill="CCEEFF"/>
          </w:tcPr>
          <w:p>
            <w:pPr>
              <w:spacing w:after="0"/>
              <w:rPr>
                <w:sz w:val="10"/>
                <w:szCs w:val="10"/>
                <w:color w:val="auto"/>
              </w:rPr>
            </w:pPr>
          </w:p>
        </w:tc>
        <w:tc>
          <w:tcPr>
            <w:tcW w:w="580" w:type="dxa"/>
            <w:vAlign w:val="bottom"/>
            <w:tcBorders>
              <w:top w:val="single" w:sz="8" w:color="CCEEFF"/>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620" w:type="dxa"/>
            <w:vAlign w:val="bottom"/>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2540" w:type="dxa"/>
            <w:vAlign w:val="bottom"/>
            <w:tcBorders>
              <w:bottom w:val="single" w:sz="8" w:color="auto"/>
            </w:tcBorders>
            <w:gridSpan w:val="4"/>
            <w:shd w:val="clear" w:color="auto" w:fill="CCEEFF"/>
          </w:tcPr>
          <w:p>
            <w:pPr>
              <w:spacing w:after="0" w:line="122" w:lineRule="exact"/>
              <w:rPr>
                <w:rFonts w:ascii="Arial" w:cs="Arial" w:eastAsia="Arial" w:hAnsi="Arial"/>
                <w:sz w:val="12"/>
                <w:szCs w:val="12"/>
                <w:color w:val="auto"/>
                <w:w w:val="99"/>
              </w:rPr>
            </w:pPr>
            <w:hyperlink r:id="rId62">
              <w:r>
                <w:rPr>
                  <w:rFonts w:ascii="Arial" w:cs="Arial" w:eastAsia="Arial" w:hAnsi="Arial"/>
                  <w:sz w:val="12"/>
                  <w:szCs w:val="12"/>
                  <w:color w:val="auto"/>
                  <w:w w:val="99"/>
                </w:rPr>
                <w:t>the other lenders from time to time party thereto</w:t>
              </w:r>
            </w:hyperlink>
          </w:p>
        </w:tc>
        <w:tc>
          <w:tcPr>
            <w:tcW w:w="3260" w:type="dxa"/>
            <w:vAlign w:val="bottom"/>
            <w:tcBorders>
              <w:bottom w:val="single" w:sz="8" w:color="CCEEFF"/>
            </w:tcBorders>
            <w:gridSpan w:val="10"/>
            <w:shd w:val="clear" w:color="auto" w:fill="CCEEFF"/>
          </w:tcPr>
          <w:p>
            <w:pPr>
              <w:spacing w:after="0"/>
              <w:rPr>
                <w:sz w:val="14"/>
                <w:szCs w:val="14"/>
                <w:color w:val="auto"/>
              </w:rPr>
            </w:pPr>
          </w:p>
        </w:tc>
        <w:tc>
          <w:tcPr>
            <w:tcW w:w="260" w:type="dxa"/>
            <w:vAlign w:val="bottom"/>
            <w:tcBorders>
              <w:bottom w:val="single" w:sz="8" w:color="CCEEFF"/>
            </w:tcBorders>
            <w:gridSpan w:val="3"/>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7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0" w:type="dxa"/>
            <w:vAlign w:val="bottom"/>
          </w:tcPr>
          <w:p>
            <w:pPr>
              <w:spacing w:after="0"/>
              <w:rPr>
                <w:sz w:val="12"/>
                <w:szCs w:val="12"/>
                <w:color w:val="auto"/>
              </w:rPr>
            </w:pPr>
          </w:p>
        </w:tc>
        <w:tc>
          <w:tcPr>
            <w:tcW w:w="1000" w:type="dxa"/>
            <w:vAlign w:val="bottom"/>
          </w:tcPr>
          <w:p>
            <w:pPr>
              <w:jc w:val="center"/>
              <w:ind w:right="57"/>
              <w:spacing w:after="0"/>
              <w:rPr>
                <w:sz w:val="20"/>
                <w:szCs w:val="20"/>
                <w:color w:val="auto"/>
              </w:rPr>
            </w:pPr>
            <w:r>
              <w:rPr>
                <w:rFonts w:ascii="Arial" w:cs="Arial" w:eastAsia="Arial" w:hAnsi="Arial"/>
                <w:sz w:val="12"/>
                <w:szCs w:val="12"/>
                <w:color w:val="auto"/>
                <w:w w:val="99"/>
              </w:rPr>
              <w:t>31.1*</w:t>
            </w:r>
          </w:p>
        </w:tc>
        <w:tc>
          <w:tcPr>
            <w:tcW w:w="6060" w:type="dxa"/>
            <w:vAlign w:val="bottom"/>
            <w:gridSpan w:val="17"/>
          </w:tcPr>
          <w:p>
            <w:pPr>
              <w:spacing w:after="0"/>
              <w:rPr>
                <w:sz w:val="20"/>
                <w:szCs w:val="20"/>
                <w:color w:val="auto"/>
              </w:rPr>
            </w:pPr>
            <w:r>
              <w:rPr>
                <w:rFonts w:ascii="Arial" w:cs="Arial" w:eastAsia="Arial" w:hAnsi="Arial"/>
                <w:sz w:val="12"/>
                <w:szCs w:val="12"/>
                <w:color w:val="auto"/>
              </w:rPr>
              <w:t>Certification of Principal Executive Officer Pursuant to Rules 13a-14(a) and 15d-14(a) under the Securities</w:t>
            </w:r>
          </w:p>
        </w:tc>
        <w:tc>
          <w:tcPr>
            <w:tcW w:w="6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40" w:type="dxa"/>
            <w:vAlign w:val="bottom"/>
            <w:tcBorders>
              <w:top w:val="single" w:sz="8" w:color="auto"/>
            </w:tcBorders>
            <w:gridSpan w:val="12"/>
          </w:tcPr>
          <w:p>
            <w:pPr>
              <w:spacing w:after="0" w:line="122" w:lineRule="exact"/>
              <w:rPr>
                <w:sz w:val="20"/>
                <w:szCs w:val="20"/>
                <w:color w:val="auto"/>
              </w:rPr>
            </w:pPr>
            <w:r>
              <w:rPr>
                <w:rFonts w:ascii="Arial" w:cs="Arial" w:eastAsia="Arial" w:hAnsi="Arial"/>
                <w:sz w:val="12"/>
                <w:szCs w:val="12"/>
                <w:color w:val="auto"/>
              </w:rPr>
              <w:t>Exchange Act of 1934, as Adopted Pursuant to Section 302 of the Sarbanes-Oxley Act of 2002</w:t>
            </w:r>
          </w:p>
        </w:tc>
        <w:tc>
          <w:tcPr>
            <w:tcW w:w="420" w:type="dxa"/>
            <w:vAlign w:val="bottom"/>
            <w:gridSpan w:val="5"/>
          </w:tcPr>
          <w:p>
            <w:pPr>
              <w:spacing w:after="0"/>
              <w:rPr>
                <w:sz w:val="10"/>
                <w:szCs w:val="10"/>
                <w:color w:val="auto"/>
              </w:rPr>
            </w:pPr>
          </w:p>
        </w:tc>
        <w:tc>
          <w:tcPr>
            <w:tcW w:w="6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620" w:type="dxa"/>
            <w:vAlign w:val="bottom"/>
          </w:tcPr>
          <w:p>
            <w:pPr>
              <w:spacing w:after="0"/>
              <w:rPr>
                <w:sz w:val="12"/>
                <w:szCs w:val="12"/>
                <w:color w:val="auto"/>
              </w:rPr>
            </w:pPr>
          </w:p>
        </w:tc>
        <w:tc>
          <w:tcPr>
            <w:tcW w:w="1000" w:type="dxa"/>
            <w:vAlign w:val="bottom"/>
            <w:shd w:val="clear" w:color="auto" w:fill="CCEEFF"/>
          </w:tcPr>
          <w:p>
            <w:pPr>
              <w:jc w:val="center"/>
              <w:ind w:right="57"/>
              <w:spacing w:after="0"/>
              <w:rPr>
                <w:sz w:val="20"/>
                <w:szCs w:val="20"/>
                <w:color w:val="auto"/>
              </w:rPr>
            </w:pPr>
            <w:r>
              <w:rPr>
                <w:rFonts w:ascii="Arial" w:cs="Arial" w:eastAsia="Arial" w:hAnsi="Arial"/>
                <w:sz w:val="12"/>
                <w:szCs w:val="12"/>
                <w:color w:val="auto"/>
                <w:w w:val="99"/>
              </w:rPr>
              <w:t>31.2*</w:t>
            </w:r>
          </w:p>
        </w:tc>
        <w:tc>
          <w:tcPr>
            <w:tcW w:w="6060" w:type="dxa"/>
            <w:vAlign w:val="bottom"/>
            <w:gridSpan w:val="17"/>
            <w:shd w:val="clear" w:color="auto" w:fill="CCEEFF"/>
          </w:tcPr>
          <w:p>
            <w:pPr>
              <w:spacing w:after="0"/>
              <w:rPr>
                <w:sz w:val="20"/>
                <w:szCs w:val="20"/>
                <w:color w:val="auto"/>
              </w:rPr>
            </w:pPr>
            <w:r>
              <w:rPr>
                <w:rFonts w:ascii="Arial" w:cs="Arial" w:eastAsia="Arial" w:hAnsi="Arial"/>
                <w:sz w:val="12"/>
                <w:szCs w:val="12"/>
                <w:color w:val="auto"/>
              </w:rPr>
              <w:t>Certification of Principal Financial Officer Pursuant to Rules 13a-14(a) and 15d-14(a) under the Securities</w:t>
            </w:r>
          </w:p>
        </w:tc>
        <w:tc>
          <w:tcPr>
            <w:tcW w:w="64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20" w:type="dxa"/>
            <w:vAlign w:val="bottom"/>
          </w:tcPr>
          <w:p>
            <w:pPr>
              <w:spacing w:after="0"/>
              <w:rPr>
                <w:sz w:val="13"/>
                <w:szCs w:val="13"/>
                <w:color w:val="auto"/>
              </w:rPr>
            </w:pPr>
          </w:p>
        </w:tc>
        <w:tc>
          <w:tcPr>
            <w:tcW w:w="1000" w:type="dxa"/>
            <w:vAlign w:val="bottom"/>
            <w:tcBorders>
              <w:top w:val="single" w:sz="8" w:color="CCEEFF"/>
              <w:bottom w:val="single" w:sz="8" w:color="CCEEFF"/>
            </w:tcBorders>
            <w:shd w:val="clear" w:color="auto" w:fill="CCEEFF"/>
          </w:tcPr>
          <w:p>
            <w:pPr>
              <w:spacing w:after="0"/>
              <w:rPr>
                <w:sz w:val="13"/>
                <w:szCs w:val="13"/>
                <w:color w:val="auto"/>
              </w:rPr>
            </w:pPr>
          </w:p>
        </w:tc>
        <w:tc>
          <w:tcPr>
            <w:tcW w:w="5040" w:type="dxa"/>
            <w:vAlign w:val="bottom"/>
            <w:tcBorders>
              <w:top w:val="single" w:sz="8" w:color="auto"/>
              <w:bottom w:val="single" w:sz="8" w:color="auto"/>
            </w:tcBorders>
            <w:gridSpan w:val="8"/>
            <w:shd w:val="clear" w:color="auto" w:fill="CCEEFF"/>
          </w:tcPr>
          <w:p>
            <w:pPr>
              <w:spacing w:after="0" w:line="122" w:lineRule="exact"/>
              <w:rPr>
                <w:sz w:val="20"/>
                <w:szCs w:val="20"/>
                <w:color w:val="auto"/>
              </w:rPr>
            </w:pPr>
            <w:r>
              <w:rPr>
                <w:rFonts w:ascii="Arial" w:cs="Arial" w:eastAsia="Arial" w:hAnsi="Arial"/>
                <w:sz w:val="12"/>
                <w:szCs w:val="12"/>
                <w:color w:val="auto"/>
                <w:w w:val="99"/>
              </w:rPr>
              <w:t>Exchange Act of 1934, as Adopted Pursuant to Section 302 of the Sarbanes-Oxley Act of 2002</w:t>
            </w:r>
          </w:p>
        </w:tc>
        <w:tc>
          <w:tcPr>
            <w:tcW w:w="560" w:type="dxa"/>
            <w:vAlign w:val="bottom"/>
            <w:tcBorders>
              <w:top w:val="single" w:sz="8" w:color="auto"/>
              <w:bottom w:val="single" w:sz="8" w:color="CCEEFF"/>
            </w:tcBorders>
            <w:gridSpan w:val="3"/>
            <w:shd w:val="clear" w:color="auto" w:fill="CCEEFF"/>
          </w:tcPr>
          <w:p>
            <w:pPr>
              <w:spacing w:after="0"/>
              <w:rPr>
                <w:sz w:val="13"/>
                <w:szCs w:val="13"/>
                <w:color w:val="auto"/>
              </w:rPr>
            </w:pPr>
          </w:p>
        </w:tc>
        <w:tc>
          <w:tcPr>
            <w:tcW w:w="460" w:type="dxa"/>
            <w:vAlign w:val="bottom"/>
            <w:tcBorders>
              <w:top w:val="single" w:sz="8" w:color="CCEEFF"/>
              <w:bottom w:val="single" w:sz="8" w:color="CCEEFF"/>
            </w:tcBorders>
            <w:gridSpan w:val="6"/>
            <w:shd w:val="clear" w:color="auto" w:fill="CCEEFF"/>
          </w:tcPr>
          <w:p>
            <w:pPr>
              <w:spacing w:after="0"/>
              <w:rPr>
                <w:sz w:val="13"/>
                <w:szCs w:val="13"/>
                <w:color w:val="auto"/>
              </w:rPr>
            </w:pPr>
          </w:p>
        </w:tc>
        <w:tc>
          <w:tcPr>
            <w:tcW w:w="640" w:type="dxa"/>
            <w:vAlign w:val="bottom"/>
            <w:tcBorders>
              <w:top w:val="single" w:sz="8" w:color="CCEEFF"/>
              <w:bottom w:val="single" w:sz="8" w:color="CCEEFF"/>
            </w:tcBorders>
            <w:shd w:val="clear" w:color="auto" w:fill="CCEEFF"/>
          </w:tcPr>
          <w:p>
            <w:pPr>
              <w:spacing w:after="0"/>
              <w:rPr>
                <w:sz w:val="13"/>
                <w:szCs w:val="13"/>
                <w:color w:val="auto"/>
              </w:rPr>
            </w:pPr>
          </w:p>
        </w:tc>
        <w:tc>
          <w:tcPr>
            <w:tcW w:w="1700" w:type="dxa"/>
            <w:vAlign w:val="bottom"/>
            <w:tcBorders>
              <w:top w:val="single" w:sz="8" w:color="CCEEFF"/>
              <w:bottom w:val="single" w:sz="8" w:color="CCEEFF"/>
            </w:tcBorders>
            <w:shd w:val="clear" w:color="auto" w:fill="CCEEFF"/>
          </w:tcPr>
          <w:p>
            <w:pPr>
              <w:spacing w:after="0"/>
              <w:rPr>
                <w:sz w:val="13"/>
                <w:szCs w:val="13"/>
                <w:color w:val="auto"/>
              </w:rPr>
            </w:pPr>
          </w:p>
        </w:tc>
        <w:tc>
          <w:tcPr>
            <w:tcW w:w="740" w:type="dxa"/>
            <w:vAlign w:val="bottom"/>
            <w:tcBorders>
              <w:top w:val="single" w:sz="8" w:color="CCEEFF"/>
              <w:bottom w:val="single" w:sz="8" w:color="CCEEFF"/>
            </w:tcBorders>
            <w:shd w:val="clear" w:color="auto" w:fill="CCEEFF"/>
          </w:tcPr>
          <w:p>
            <w:pPr>
              <w:spacing w:after="0"/>
              <w:rPr>
                <w:sz w:val="13"/>
                <w:szCs w:val="13"/>
                <w:color w:val="auto"/>
              </w:rPr>
            </w:pPr>
          </w:p>
        </w:tc>
        <w:tc>
          <w:tcPr>
            <w:tcW w:w="5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20" w:type="dxa"/>
            <w:vAlign w:val="bottom"/>
          </w:tcPr>
          <w:p>
            <w:pPr>
              <w:spacing w:after="0"/>
              <w:rPr>
                <w:sz w:val="12"/>
                <w:szCs w:val="12"/>
                <w:color w:val="auto"/>
              </w:rPr>
            </w:pPr>
          </w:p>
        </w:tc>
        <w:tc>
          <w:tcPr>
            <w:tcW w:w="1000" w:type="dxa"/>
            <w:vAlign w:val="bottom"/>
          </w:tcPr>
          <w:p>
            <w:pPr>
              <w:jc w:val="center"/>
              <w:ind w:right="57"/>
              <w:spacing w:after="0"/>
              <w:rPr>
                <w:sz w:val="20"/>
                <w:szCs w:val="20"/>
                <w:color w:val="auto"/>
              </w:rPr>
            </w:pPr>
            <w:r>
              <w:rPr>
                <w:rFonts w:ascii="Arial" w:cs="Arial" w:eastAsia="Arial" w:hAnsi="Arial"/>
                <w:sz w:val="12"/>
                <w:szCs w:val="12"/>
                <w:color w:val="auto"/>
                <w:w w:val="99"/>
              </w:rPr>
              <w:t>32.1*</w:t>
            </w:r>
          </w:p>
        </w:tc>
        <w:tc>
          <w:tcPr>
            <w:tcW w:w="6060" w:type="dxa"/>
            <w:vAlign w:val="bottom"/>
            <w:gridSpan w:val="17"/>
          </w:tcPr>
          <w:p>
            <w:pPr>
              <w:spacing w:after="0"/>
              <w:rPr>
                <w:sz w:val="20"/>
                <w:szCs w:val="20"/>
                <w:color w:val="auto"/>
              </w:rPr>
            </w:pPr>
            <w:r>
              <w:rPr>
                <w:rFonts w:ascii="Arial" w:cs="Arial" w:eastAsia="Arial" w:hAnsi="Arial"/>
                <w:sz w:val="12"/>
                <w:szCs w:val="12"/>
                <w:color w:val="auto"/>
              </w:rPr>
              <w:t>Certification of Chief Executive Officer pursuant to Section 906 of the Sarbanes-Oxley Act of 2002</w:t>
            </w:r>
          </w:p>
        </w:tc>
        <w:tc>
          <w:tcPr>
            <w:tcW w:w="6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620" w:type="dxa"/>
            <w:vAlign w:val="bottom"/>
          </w:tcPr>
          <w:p>
            <w:pPr>
              <w:spacing w:after="0"/>
              <w:rPr>
                <w:sz w:val="12"/>
                <w:szCs w:val="12"/>
                <w:color w:val="auto"/>
              </w:rPr>
            </w:pPr>
          </w:p>
        </w:tc>
        <w:tc>
          <w:tcPr>
            <w:tcW w:w="1000" w:type="dxa"/>
            <w:vAlign w:val="bottom"/>
            <w:shd w:val="clear" w:color="auto" w:fill="CCEEFF"/>
          </w:tcPr>
          <w:p>
            <w:pPr>
              <w:jc w:val="center"/>
              <w:ind w:right="57"/>
              <w:spacing w:after="0"/>
              <w:rPr>
                <w:sz w:val="20"/>
                <w:szCs w:val="20"/>
                <w:color w:val="auto"/>
              </w:rPr>
            </w:pPr>
            <w:r>
              <w:rPr>
                <w:rFonts w:ascii="Arial" w:cs="Arial" w:eastAsia="Arial" w:hAnsi="Arial"/>
                <w:sz w:val="12"/>
                <w:szCs w:val="12"/>
                <w:color w:val="auto"/>
                <w:w w:val="99"/>
              </w:rPr>
              <w:t>32.2*</w:t>
            </w:r>
          </w:p>
        </w:tc>
        <w:tc>
          <w:tcPr>
            <w:tcW w:w="6060" w:type="dxa"/>
            <w:vAlign w:val="bottom"/>
            <w:gridSpan w:val="17"/>
            <w:shd w:val="clear" w:color="auto" w:fill="CCEEFF"/>
          </w:tcPr>
          <w:p>
            <w:pPr>
              <w:spacing w:after="0"/>
              <w:rPr>
                <w:sz w:val="20"/>
                <w:szCs w:val="20"/>
                <w:color w:val="auto"/>
              </w:rPr>
            </w:pPr>
            <w:r>
              <w:rPr>
                <w:rFonts w:ascii="Arial" w:cs="Arial" w:eastAsia="Arial" w:hAnsi="Arial"/>
                <w:sz w:val="12"/>
                <w:szCs w:val="12"/>
                <w:color w:val="auto"/>
              </w:rPr>
              <w:t>Certification of Chief Financial Officer pursuant to Section 906 of the Sarbanes-Oxley Act of 2002</w:t>
            </w:r>
          </w:p>
        </w:tc>
        <w:tc>
          <w:tcPr>
            <w:tcW w:w="64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0" w:type="dxa"/>
            <w:vAlign w:val="bottom"/>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auto"/>
            </w:tcBorders>
            <w:shd w:val="clear" w:color="auto" w:fill="CCEEFF"/>
          </w:tcPr>
          <w:p>
            <w:pPr>
              <w:spacing w:after="0"/>
              <w:rPr>
                <w:sz w:val="2"/>
                <w:szCs w:val="2"/>
                <w:color w:val="auto"/>
              </w:rPr>
            </w:pPr>
          </w:p>
        </w:tc>
        <w:tc>
          <w:tcPr>
            <w:tcW w:w="820" w:type="dxa"/>
            <w:vAlign w:val="bottom"/>
            <w:tcBorders>
              <w:top w:val="single" w:sz="8" w:color="auto"/>
            </w:tcBorders>
            <w:shd w:val="clear" w:color="auto" w:fill="CCEEFF"/>
          </w:tcPr>
          <w:p>
            <w:pPr>
              <w:spacing w:after="0"/>
              <w:rPr>
                <w:sz w:val="2"/>
                <w:szCs w:val="2"/>
                <w:color w:val="auto"/>
              </w:rPr>
            </w:pPr>
          </w:p>
        </w:tc>
        <w:tc>
          <w:tcPr>
            <w:tcW w:w="640" w:type="dxa"/>
            <w:vAlign w:val="bottom"/>
            <w:tcBorders>
              <w:top w:val="single" w:sz="8" w:color="auto"/>
            </w:tcBorders>
            <w:shd w:val="clear" w:color="auto" w:fill="CCEEFF"/>
          </w:tcPr>
          <w:p>
            <w:pPr>
              <w:spacing w:after="0"/>
              <w:rPr>
                <w:sz w:val="2"/>
                <w:szCs w:val="2"/>
                <w:color w:val="auto"/>
              </w:rPr>
            </w:pPr>
          </w:p>
        </w:tc>
        <w:tc>
          <w:tcPr>
            <w:tcW w:w="860" w:type="dxa"/>
            <w:vAlign w:val="bottom"/>
            <w:tcBorders>
              <w:top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CCEEFF"/>
          </w:tcPr>
          <w:p>
            <w:pPr>
              <w:spacing w:after="0"/>
              <w:rPr>
                <w:sz w:val="2"/>
                <w:szCs w:val="2"/>
                <w:color w:val="auto"/>
              </w:rPr>
            </w:pPr>
          </w:p>
        </w:tc>
        <w:tc>
          <w:tcPr>
            <w:tcW w:w="820" w:type="dxa"/>
            <w:vAlign w:val="bottom"/>
            <w:tcBorders>
              <w:top w:val="single" w:sz="8" w:color="auto"/>
            </w:tcBorders>
            <w:shd w:val="clear" w:color="auto" w:fill="CCEEFF"/>
          </w:tcPr>
          <w:p>
            <w:pPr>
              <w:spacing w:after="0"/>
              <w:rPr>
                <w:sz w:val="2"/>
                <w:szCs w:val="2"/>
                <w:color w:val="auto"/>
              </w:rPr>
            </w:pPr>
          </w:p>
        </w:tc>
        <w:tc>
          <w:tcPr>
            <w:tcW w:w="420" w:type="dxa"/>
            <w:vAlign w:val="bottom"/>
            <w:tcBorders>
              <w:top w:val="single" w:sz="8" w:color="auto"/>
            </w:tcBorders>
            <w:shd w:val="clear" w:color="auto" w:fill="CCEEFF"/>
          </w:tcPr>
          <w:p>
            <w:pPr>
              <w:spacing w:after="0"/>
              <w:rPr>
                <w:sz w:val="2"/>
                <w:szCs w:val="2"/>
                <w:color w:val="auto"/>
              </w:rPr>
            </w:pPr>
          </w:p>
        </w:tc>
        <w:tc>
          <w:tcPr>
            <w:tcW w:w="1100" w:type="dxa"/>
            <w:vAlign w:val="bottom"/>
            <w:tcBorders>
              <w:top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ind w:left="1620" w:right="3920" w:hanging="654"/>
        <w:spacing w:after="0" w:line="258" w:lineRule="auto"/>
        <w:tabs>
          <w:tab w:leader="none" w:pos="16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following financial statements from the Company's Quarterly Report on Form 10-Q for the quarter ended April 30, 2026 formatted in Inline XBRL: (i) Condensed Consolidated Balance Sheets, (ii) Condensed Consolidated Statements of Operations, (iii) Condensed Consolidated Statements of Comprehensive (Loss) Income (iv) Condensed Consolidated Statements of Changes in Equity, (v) Condensed Consolidated Statements of Cash Flows, and (vi) Notes to Consolidated Financial Statements, tagged as blocks of text and including detailed tags.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10795</wp:posOffset>
            </wp:positionV>
            <wp:extent cx="6805930" cy="1225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6805930" cy="122555"/>
                    </a:xfrm>
                    <a:prstGeom prst="rect">
                      <a:avLst/>
                    </a:prstGeom>
                    <a:noFill/>
                  </pic:spPr>
                </pic:pic>
              </a:graphicData>
            </a:graphic>
          </wp:anchor>
        </w:drawing>
      </w:r>
    </w:p>
    <w:p>
      <w:pPr>
        <w:spacing w:after="0" w:line="5" w:lineRule="exact"/>
        <w:rPr>
          <w:sz w:val="20"/>
          <w:szCs w:val="20"/>
          <w:color w:val="auto"/>
        </w:rPr>
      </w:pPr>
    </w:p>
    <w:p>
      <w:pPr>
        <w:ind w:left="1620" w:hanging="654"/>
        <w:spacing w:after="0"/>
        <w:tabs>
          <w:tab w:leader="none" w:pos="1620" w:val="left"/>
        </w:tabs>
        <w:numPr>
          <w:ilvl w:val="1"/>
          <w:numId w:val="22"/>
        </w:numPr>
        <w:rPr>
          <w:rFonts w:ascii="Arial" w:cs="Arial" w:eastAsia="Arial" w:hAnsi="Arial"/>
          <w:sz w:val="12"/>
          <w:szCs w:val="12"/>
          <w:color w:val="auto"/>
        </w:rPr>
      </w:pPr>
      <w:r>
        <w:rPr>
          <w:rFonts w:ascii="Arial" w:cs="Arial" w:eastAsia="Arial" w:hAnsi="Arial"/>
          <w:sz w:val="12"/>
          <w:szCs w:val="12"/>
          <w:color w:val="auto"/>
        </w:rPr>
        <w:t>Cover Page Interactive Data File (formatted as Inline XBRL and contained in Exhibit 101)</w:t>
      </w:r>
    </w:p>
    <w:p>
      <w:pPr>
        <w:spacing w:after="0" w:line="184" w:lineRule="exact"/>
        <w:rPr>
          <w:rFonts w:ascii="Arial" w:cs="Arial" w:eastAsia="Arial" w:hAnsi="Arial"/>
          <w:sz w:val="12"/>
          <w:szCs w:val="12"/>
          <w:color w:val="auto"/>
        </w:rPr>
      </w:pPr>
    </w:p>
    <w:p>
      <w:pPr>
        <w:ind w:left="440" w:right="180" w:hanging="81"/>
        <w:spacing w:after="0" w:line="282" w:lineRule="auto"/>
        <w:rPr>
          <w:rFonts w:ascii="Arial" w:cs="Arial" w:eastAsia="Arial" w:hAnsi="Arial"/>
          <w:sz w:val="12"/>
          <w:szCs w:val="12"/>
          <w:color w:val="auto"/>
        </w:rPr>
      </w:pPr>
      <w:r>
        <w:rPr>
          <w:rFonts w:ascii="Arial" w:cs="Arial" w:eastAsia="Arial" w:hAnsi="Arial"/>
          <w:sz w:val="12"/>
          <w:szCs w:val="12"/>
          <w:color w:val="auto"/>
        </w:rPr>
        <w:t>* These certifications are being furnished solely to accompany this quarterly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-292100</wp:posOffset>
            </wp:positionV>
            <wp:extent cx="68059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374" w:lineRule="exact"/>
        <w:rPr>
          <w:sz w:val="20"/>
          <w:szCs w:val="20"/>
          <w:color w:val="auto"/>
        </w:rPr>
      </w:pPr>
    </w:p>
    <w:p>
      <w:pPr>
        <w:jc w:val="center"/>
        <w:ind w:right="100"/>
        <w:spacing w:after="0"/>
        <w:rPr>
          <w:sz w:val="20"/>
          <w:szCs w:val="20"/>
          <w:color w:val="auto"/>
        </w:rPr>
      </w:pPr>
      <w:r>
        <w:rPr>
          <w:rFonts w:ascii="Arial" w:cs="Arial" w:eastAsia="Arial" w:hAnsi="Arial"/>
          <w:sz w:val="19"/>
          <w:szCs w:val="19"/>
          <w:b w:val="1"/>
          <w:bCs w:val="1"/>
          <w:color w:val="auto"/>
        </w:rPr>
        <w:t>SIGNATURES</w:t>
      </w:r>
    </w:p>
    <w:p>
      <w:pPr>
        <w:spacing w:after="0" w:line="234" w:lineRule="exact"/>
        <w:rPr>
          <w:sz w:val="20"/>
          <w:szCs w:val="20"/>
          <w:color w:val="auto"/>
        </w:rPr>
      </w:pPr>
    </w:p>
    <w:p>
      <w:pPr>
        <w:ind w:right="300" w:firstLine="619"/>
        <w:spacing w:after="0" w:line="278"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quarterly report to be signed on its behalf by the undersigned, thereunto duly authorized, on June 8, 2026.</w:t>
      </w:r>
    </w:p>
    <w:p>
      <w:pPr>
        <w:spacing w:after="0" w:line="200" w:lineRule="exact"/>
        <w:rPr>
          <w:sz w:val="20"/>
          <w:szCs w:val="20"/>
          <w:color w:val="auto"/>
        </w:rPr>
      </w:pPr>
    </w:p>
    <w:p>
      <w:pPr>
        <w:spacing w:after="0" w:line="297" w:lineRule="exact"/>
        <w:rPr>
          <w:sz w:val="20"/>
          <w:szCs w:val="20"/>
          <w:color w:val="auto"/>
        </w:rPr>
      </w:pPr>
    </w:p>
    <w:p>
      <w:pPr>
        <w:ind w:left="8060"/>
        <w:spacing w:after="0"/>
        <w:rPr>
          <w:sz w:val="20"/>
          <w:szCs w:val="20"/>
          <w:color w:val="auto"/>
        </w:rPr>
      </w:pPr>
      <w:r>
        <w:rPr>
          <w:rFonts w:ascii="Arial" w:cs="Arial" w:eastAsia="Arial" w:hAnsi="Arial"/>
          <w:sz w:val="15"/>
          <w:szCs w:val="15"/>
          <w:b w:val="1"/>
          <w:bCs w:val="1"/>
          <w:color w:val="auto"/>
        </w:rPr>
        <w:t>MISSION PRODUCE, INC.</w:t>
      </w:r>
    </w:p>
    <w:p>
      <w:pPr>
        <w:spacing w:after="0" w:line="200" w:lineRule="exact"/>
        <w:rPr>
          <w:sz w:val="20"/>
          <w:szCs w:val="20"/>
          <w:color w:val="auto"/>
        </w:rPr>
      </w:pPr>
    </w:p>
    <w:p>
      <w:pPr>
        <w:spacing w:after="0" w:line="318" w:lineRule="exact"/>
        <w:rPr>
          <w:sz w:val="20"/>
          <w:szCs w:val="20"/>
          <w:color w:val="auto"/>
        </w:rPr>
      </w:pPr>
    </w:p>
    <w:p>
      <w:pPr>
        <w:ind w:left="8320"/>
        <w:spacing w:after="0"/>
        <w:rPr>
          <w:sz w:val="20"/>
          <w:szCs w:val="20"/>
          <w:color w:val="auto"/>
        </w:rPr>
      </w:pPr>
      <w:r>
        <w:rPr>
          <w:rFonts w:ascii="Arial" w:cs="Arial" w:eastAsia="Arial" w:hAnsi="Arial"/>
          <w:sz w:val="14"/>
          <w:szCs w:val="14"/>
          <w:color w:val="auto"/>
        </w:rPr>
        <w:t>/s/ John M. Pawlowski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4283710</wp:posOffset>
            </wp:positionH>
            <wp:positionV relativeFrom="paragraph">
              <wp:posOffset>17145</wp:posOffset>
            </wp:positionV>
            <wp:extent cx="28568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2856865" cy="8255"/>
                    </a:xfrm>
                    <a:prstGeom prst="rect">
                      <a:avLst/>
                    </a:prstGeom>
                    <a:noFill/>
                  </pic:spPr>
                </pic:pic>
              </a:graphicData>
            </a:graphic>
          </wp:anchor>
        </w:drawing>
      </w:r>
    </w:p>
    <w:p>
      <w:pPr>
        <w:spacing w:after="0" w:line="38" w:lineRule="exact"/>
        <w:rPr>
          <w:sz w:val="20"/>
          <w:szCs w:val="20"/>
          <w:color w:val="auto"/>
        </w:rPr>
      </w:pPr>
    </w:p>
    <w:p>
      <w:pPr>
        <w:ind w:left="8420"/>
        <w:spacing w:after="0"/>
        <w:rPr>
          <w:sz w:val="20"/>
          <w:szCs w:val="20"/>
          <w:color w:val="auto"/>
        </w:rPr>
      </w:pPr>
      <w:r>
        <w:rPr>
          <w:rFonts w:ascii="Arial" w:cs="Arial" w:eastAsia="Arial" w:hAnsi="Arial"/>
          <w:sz w:val="14"/>
          <w:szCs w:val="14"/>
          <w:color w:val="auto"/>
        </w:rPr>
        <w:t>John M. Pawlowski</w:t>
      </w:r>
    </w:p>
    <w:p>
      <w:pPr>
        <w:spacing w:after="0" w:line="45" w:lineRule="exact"/>
        <w:rPr>
          <w:sz w:val="20"/>
          <w:szCs w:val="20"/>
          <w:color w:val="auto"/>
        </w:rPr>
      </w:pPr>
    </w:p>
    <w:p>
      <w:pPr>
        <w:ind w:left="7860"/>
        <w:spacing w:after="0"/>
        <w:rPr>
          <w:sz w:val="20"/>
          <w:szCs w:val="20"/>
          <w:color w:val="auto"/>
        </w:rPr>
      </w:pPr>
      <w:r>
        <w:rPr>
          <w:rFonts w:ascii="Arial" w:cs="Arial" w:eastAsia="Arial" w:hAnsi="Arial"/>
          <w:sz w:val="14"/>
          <w:szCs w:val="14"/>
          <w:i w:val="1"/>
          <w:iCs w:val="1"/>
          <w:color w:val="auto"/>
        </w:rPr>
        <w:t>President and Chief Executive Officer</w:t>
      </w:r>
    </w:p>
    <w:p>
      <w:pPr>
        <w:spacing w:after="0" w:line="290" w:lineRule="exact"/>
        <w:rPr>
          <w:sz w:val="20"/>
          <w:szCs w:val="20"/>
          <w:color w:val="auto"/>
        </w:rPr>
      </w:pPr>
    </w:p>
    <w:p>
      <w:pPr>
        <w:ind w:left="8460"/>
        <w:spacing w:after="0"/>
        <w:rPr>
          <w:sz w:val="20"/>
          <w:szCs w:val="20"/>
          <w:color w:val="auto"/>
        </w:rPr>
      </w:pPr>
      <w:r>
        <w:rPr>
          <w:rFonts w:ascii="Arial" w:cs="Arial" w:eastAsia="Arial" w:hAnsi="Arial"/>
          <w:sz w:val="14"/>
          <w:szCs w:val="14"/>
          <w:color w:val="auto"/>
        </w:rPr>
        <w:t>/s/ Bryan E. Giles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4283710</wp:posOffset>
            </wp:positionH>
            <wp:positionV relativeFrom="paragraph">
              <wp:posOffset>17145</wp:posOffset>
            </wp:positionV>
            <wp:extent cx="28568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2856865" cy="8255"/>
                    </a:xfrm>
                    <a:prstGeom prst="rect">
                      <a:avLst/>
                    </a:prstGeom>
                    <a:noFill/>
                  </pic:spPr>
                </pic:pic>
              </a:graphicData>
            </a:graphic>
          </wp:anchor>
        </w:drawing>
      </w:r>
    </w:p>
    <w:p>
      <w:pPr>
        <w:spacing w:after="0" w:line="38" w:lineRule="exact"/>
        <w:rPr>
          <w:sz w:val="20"/>
          <w:szCs w:val="20"/>
          <w:color w:val="auto"/>
        </w:rPr>
      </w:pPr>
    </w:p>
    <w:p>
      <w:pPr>
        <w:ind w:left="8560"/>
        <w:spacing w:after="0"/>
        <w:rPr>
          <w:sz w:val="20"/>
          <w:szCs w:val="20"/>
          <w:color w:val="auto"/>
        </w:rPr>
      </w:pPr>
      <w:r>
        <w:rPr>
          <w:rFonts w:ascii="Arial" w:cs="Arial" w:eastAsia="Arial" w:hAnsi="Arial"/>
          <w:sz w:val="14"/>
          <w:szCs w:val="14"/>
          <w:color w:val="auto"/>
        </w:rPr>
        <w:t>Bryan E. Giles</w:t>
      </w:r>
    </w:p>
    <w:p>
      <w:pPr>
        <w:spacing w:after="0" w:line="45" w:lineRule="exact"/>
        <w:rPr>
          <w:sz w:val="20"/>
          <w:szCs w:val="20"/>
          <w:color w:val="auto"/>
        </w:rPr>
      </w:pPr>
    </w:p>
    <w:p>
      <w:pPr>
        <w:ind w:left="8320"/>
        <w:spacing w:after="0"/>
        <w:rPr>
          <w:sz w:val="20"/>
          <w:szCs w:val="20"/>
          <w:color w:val="auto"/>
        </w:rPr>
      </w:pPr>
      <w:r>
        <w:rPr>
          <w:rFonts w:ascii="Arial" w:cs="Arial" w:eastAsia="Arial" w:hAnsi="Arial"/>
          <w:sz w:val="14"/>
          <w:szCs w:val="14"/>
          <w:i w:val="1"/>
          <w:iCs w:val="1"/>
          <w:color w:val="auto"/>
        </w:rPr>
        <w:t>Chief Financial Officer</w:t>
      </w:r>
    </w:p>
    <w:p>
      <w:pPr>
        <w:sectPr>
          <w:pgSz w:w="11900" w:h="16838" w:orient="portrait"/>
          <w:cols w:equalWidth="0" w:num="1">
            <w:col w:w="11340"/>
          </w:cols>
          <w:pgMar w:left="320" w:top="1440" w:right="239" w:bottom="1440" w:gutter="0" w:footer="0" w:header="0"/>
        </w:sectPr>
      </w:pPr>
    </w:p>
    <w:bookmarkStart w:id="34" w:name="page35"/>
    <w:bookmarkEnd w:id="34"/>
    <w:p>
      <w:pPr>
        <w:spacing w:after="0"/>
        <w:rPr>
          <w:sz w:val="20"/>
          <w:szCs w:val="20"/>
          <w:color w:val="auto"/>
        </w:rPr>
      </w:pPr>
      <w:r>
        <w:rPr>
          <w:rFonts w:ascii="Arial" w:cs="Arial" w:eastAsia="Arial" w:hAnsi="Arial"/>
          <w:sz w:val="19"/>
          <w:szCs w:val="19"/>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CERTIFICATION OF CHIEF EXECUTIVE OFFICER</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302 OF THE SARBANES-OXLEY ACT OF 2002</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I, John M. Pawlowski, certify that:</w:t>
      </w:r>
    </w:p>
    <w:p>
      <w:pPr>
        <w:spacing w:after="0" w:line="213" w:lineRule="exact"/>
        <w:rPr>
          <w:sz w:val="20"/>
          <w:szCs w:val="20"/>
          <w:color w:val="auto"/>
        </w:rPr>
      </w:pPr>
    </w:p>
    <w:p>
      <w:pPr>
        <w:ind w:left="620" w:hanging="307"/>
        <w:spacing w:after="0"/>
        <w:tabs>
          <w:tab w:leader="none" w:pos="6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Mission Produce, Inc.;</w:t>
      </w:r>
    </w:p>
    <w:p>
      <w:pPr>
        <w:spacing w:after="0" w:line="212" w:lineRule="exact"/>
        <w:rPr>
          <w:rFonts w:ascii="Arial" w:cs="Arial" w:eastAsia="Arial" w:hAnsi="Arial"/>
          <w:sz w:val="14"/>
          <w:szCs w:val="14"/>
          <w:color w:val="auto"/>
        </w:rPr>
      </w:pPr>
    </w:p>
    <w:p>
      <w:pPr>
        <w:ind w:left="620" w:hanging="307"/>
        <w:spacing w:after="0" w:line="259" w:lineRule="auto"/>
        <w:tabs>
          <w:tab w:leader="none" w:pos="618" w:val="left"/>
        </w:tabs>
        <w:numPr>
          <w:ilvl w:val="0"/>
          <w:numId w:val="23"/>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4"/>
          <w:szCs w:val="14"/>
          <w:color w:val="auto"/>
        </w:rPr>
      </w:pPr>
    </w:p>
    <w:p>
      <w:pPr>
        <w:ind w:left="620" w:right="60" w:hanging="307"/>
        <w:spacing w:after="0" w:line="278" w:lineRule="auto"/>
        <w:tabs>
          <w:tab w:leader="none" w:pos="618" w:val="left"/>
        </w:tabs>
        <w:numPr>
          <w:ilvl w:val="0"/>
          <w:numId w:val="23"/>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4"/>
          <w:szCs w:val="14"/>
          <w:color w:val="auto"/>
        </w:rPr>
      </w:pPr>
    </w:p>
    <w:p>
      <w:pPr>
        <w:ind w:left="620" w:right="240" w:hanging="307"/>
        <w:spacing w:after="0" w:line="278" w:lineRule="auto"/>
        <w:tabs>
          <w:tab w:leader="none" w:pos="618"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rFonts w:ascii="Arial" w:cs="Arial" w:eastAsia="Arial" w:hAnsi="Arial"/>
          <w:sz w:val="14"/>
          <w:szCs w:val="14"/>
          <w:color w:val="auto"/>
        </w:rPr>
      </w:pPr>
    </w:p>
    <w:p>
      <w:pPr>
        <w:ind w:left="1240" w:hanging="309"/>
        <w:spacing w:after="0" w:line="264" w:lineRule="auto"/>
        <w:tabs>
          <w:tab w:leader="none" w:pos="1227" w:val="left"/>
        </w:tabs>
        <w:numPr>
          <w:ilvl w:val="1"/>
          <w:numId w:val="23"/>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Arial" w:cs="Arial" w:eastAsia="Arial" w:hAnsi="Arial"/>
          <w:sz w:val="14"/>
          <w:szCs w:val="14"/>
          <w:color w:val="auto"/>
        </w:rPr>
      </w:pPr>
    </w:p>
    <w:p>
      <w:pPr>
        <w:ind w:left="1240" w:right="200" w:hanging="309"/>
        <w:spacing w:after="0" w:line="254" w:lineRule="auto"/>
        <w:tabs>
          <w:tab w:leader="none" w:pos="1227" w:val="left"/>
        </w:tabs>
        <w:numPr>
          <w:ilvl w:val="1"/>
          <w:numId w:val="23"/>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14"/>
          <w:szCs w:val="14"/>
          <w:color w:val="auto"/>
        </w:rPr>
      </w:pPr>
    </w:p>
    <w:p>
      <w:pPr>
        <w:ind w:left="1240" w:right="520" w:hanging="309"/>
        <w:spacing w:after="0" w:line="278" w:lineRule="auto"/>
        <w:tabs>
          <w:tab w:leader="none" w:pos="1233" w:val="left"/>
        </w:tabs>
        <w:numPr>
          <w:ilvl w:val="1"/>
          <w:numId w:val="23"/>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4"/>
          <w:szCs w:val="14"/>
          <w:color w:val="auto"/>
        </w:rPr>
      </w:pPr>
    </w:p>
    <w:p>
      <w:pPr>
        <w:ind w:left="1240" w:right="20" w:hanging="309"/>
        <w:spacing w:after="0" w:line="254" w:lineRule="auto"/>
        <w:tabs>
          <w:tab w:leader="none" w:pos="1227" w:val="left"/>
        </w:tabs>
        <w:numPr>
          <w:ilvl w:val="1"/>
          <w:numId w:val="23"/>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Arial" w:cs="Arial" w:eastAsia="Arial" w:hAnsi="Arial"/>
          <w:sz w:val="14"/>
          <w:szCs w:val="14"/>
          <w:color w:val="auto"/>
        </w:rPr>
      </w:pPr>
    </w:p>
    <w:p>
      <w:pPr>
        <w:ind w:left="620" w:right="120" w:hanging="307"/>
        <w:spacing w:after="0" w:line="278" w:lineRule="auto"/>
        <w:tabs>
          <w:tab w:leader="none" w:pos="618"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4"/>
          <w:szCs w:val="14"/>
          <w:color w:val="auto"/>
        </w:rPr>
      </w:pPr>
    </w:p>
    <w:p>
      <w:pPr>
        <w:ind w:left="1240" w:right="280" w:hanging="309"/>
        <w:spacing w:after="0" w:line="278" w:lineRule="auto"/>
        <w:tabs>
          <w:tab w:leader="none" w:pos="1227" w:val="left"/>
        </w:tabs>
        <w:numPr>
          <w:ilvl w:val="1"/>
          <w:numId w:val="23"/>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4"/>
          <w:szCs w:val="14"/>
          <w:color w:val="auto"/>
        </w:rPr>
      </w:pPr>
    </w:p>
    <w:p>
      <w:pPr>
        <w:ind w:left="1240" w:right="500" w:hanging="309"/>
        <w:spacing w:after="0" w:line="278" w:lineRule="auto"/>
        <w:tabs>
          <w:tab w:leader="none" w:pos="1227" w:val="left"/>
        </w:tabs>
        <w:numPr>
          <w:ilvl w:val="1"/>
          <w:numId w:val="23"/>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2" w:lineRule="exact"/>
        <w:rPr>
          <w:sz w:val="20"/>
          <w:szCs w:val="20"/>
          <w:color w:val="auto"/>
        </w:rPr>
      </w:pPr>
    </w:p>
    <w:p>
      <w:pPr>
        <w:ind w:left="8160"/>
        <w:spacing w:after="0"/>
        <w:rPr>
          <w:sz w:val="20"/>
          <w:szCs w:val="20"/>
          <w:color w:val="auto"/>
        </w:rPr>
      </w:pPr>
      <w:r>
        <w:rPr>
          <w:rFonts w:ascii="Arial" w:cs="Arial" w:eastAsia="Arial" w:hAnsi="Arial"/>
          <w:sz w:val="14"/>
          <w:szCs w:val="14"/>
          <w:color w:val="auto"/>
        </w:rPr>
        <w:t>/s/ John M. Pawlowski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4086860</wp:posOffset>
            </wp:positionH>
            <wp:positionV relativeFrom="paragraph">
              <wp:posOffset>25400</wp:posOffset>
            </wp:positionV>
            <wp:extent cx="30537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3053715" cy="8255"/>
                    </a:xfrm>
                    <a:prstGeom prst="rect">
                      <a:avLst/>
                    </a:prstGeom>
                    <a:noFill/>
                  </pic:spPr>
                </pic:pic>
              </a:graphicData>
            </a:graphic>
          </wp:anchor>
        </w:drawing>
      </w:r>
    </w:p>
    <w:p>
      <w:pPr>
        <w:spacing w:after="0" w:line="51" w:lineRule="exact"/>
        <w:rPr>
          <w:sz w:val="20"/>
          <w:szCs w:val="20"/>
          <w:color w:val="auto"/>
        </w:rPr>
      </w:pPr>
    </w:p>
    <w:p>
      <w:pPr>
        <w:ind w:left="8260"/>
        <w:spacing w:after="0"/>
        <w:rPr>
          <w:sz w:val="20"/>
          <w:szCs w:val="20"/>
          <w:color w:val="auto"/>
        </w:rPr>
      </w:pPr>
      <w:r>
        <w:rPr>
          <w:rFonts w:ascii="Arial" w:cs="Arial" w:eastAsia="Arial" w:hAnsi="Arial"/>
          <w:sz w:val="14"/>
          <w:szCs w:val="14"/>
          <w:color w:val="auto"/>
        </w:rPr>
        <w:t>John M. Pawlowski</w:t>
      </w:r>
    </w:p>
    <w:p>
      <w:pPr>
        <w:spacing w:after="0" w:line="58" w:lineRule="exact"/>
        <w:rPr>
          <w:sz w:val="20"/>
          <w:szCs w:val="20"/>
          <w:color w:val="auto"/>
        </w:rPr>
      </w:pPr>
    </w:p>
    <w:p>
      <w:pPr>
        <w:ind w:left="7700"/>
        <w:spacing w:after="0"/>
        <w:rPr>
          <w:sz w:val="20"/>
          <w:szCs w:val="20"/>
          <w:color w:val="auto"/>
        </w:rPr>
      </w:pPr>
      <w:r>
        <w:rPr>
          <w:rFonts w:ascii="Arial" w:cs="Arial" w:eastAsia="Arial" w:hAnsi="Arial"/>
          <w:sz w:val="14"/>
          <w:szCs w:val="14"/>
          <w:color w:val="auto"/>
        </w:rPr>
        <w:t>President and Chief Executive Officer</w:t>
      </w: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color w:val="auto"/>
        </w:rPr>
        <w:t>Date: June 8, 2026</w:t>
      </w:r>
    </w:p>
    <w:p>
      <w:pPr>
        <w:sectPr>
          <w:pgSz w:w="11900" w:h="16838" w:orient="portrait"/>
          <w:cols w:equalWidth="0" w:num="1">
            <w:col w:w="11220"/>
          </w:cols>
          <w:pgMar w:left="320" w:top="118" w:right="359" w:bottom="1440" w:gutter="0" w:footer="0" w:header="0"/>
        </w:sectPr>
      </w:pPr>
    </w:p>
    <w:bookmarkStart w:id="35" w:name="page36"/>
    <w:bookmarkEnd w:id="35"/>
    <w:p>
      <w:pPr>
        <w:spacing w:after="0"/>
        <w:rPr>
          <w:sz w:val="20"/>
          <w:szCs w:val="20"/>
          <w:color w:val="auto"/>
        </w:rPr>
      </w:pPr>
      <w:r>
        <w:rPr>
          <w:rFonts w:ascii="Arial" w:cs="Arial" w:eastAsia="Arial" w:hAnsi="Arial"/>
          <w:sz w:val="19"/>
          <w:szCs w:val="19"/>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CERTIFICATION OF CHIEF FINANCIAL OFFICER</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302 OF THE SARBANES-OXLEY ACT OF 2002</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I, Bryan E. Giles, certify that:</w:t>
      </w:r>
    </w:p>
    <w:p>
      <w:pPr>
        <w:spacing w:after="0" w:line="213" w:lineRule="exact"/>
        <w:rPr>
          <w:sz w:val="20"/>
          <w:szCs w:val="20"/>
          <w:color w:val="auto"/>
        </w:rPr>
      </w:pPr>
    </w:p>
    <w:p>
      <w:pPr>
        <w:ind w:left="620" w:hanging="307"/>
        <w:spacing w:after="0"/>
        <w:tabs>
          <w:tab w:leader="none" w:pos="6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Mission Produce, Inc.;</w:t>
      </w:r>
    </w:p>
    <w:p>
      <w:pPr>
        <w:spacing w:after="0" w:line="212" w:lineRule="exact"/>
        <w:rPr>
          <w:rFonts w:ascii="Arial" w:cs="Arial" w:eastAsia="Arial" w:hAnsi="Arial"/>
          <w:sz w:val="14"/>
          <w:szCs w:val="14"/>
          <w:color w:val="auto"/>
        </w:rPr>
      </w:pPr>
    </w:p>
    <w:p>
      <w:pPr>
        <w:ind w:left="620" w:hanging="307"/>
        <w:spacing w:after="0" w:line="259" w:lineRule="auto"/>
        <w:tabs>
          <w:tab w:leader="none" w:pos="618" w:val="left"/>
        </w:tabs>
        <w:numPr>
          <w:ilvl w:val="0"/>
          <w:numId w:val="24"/>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4"/>
          <w:szCs w:val="14"/>
          <w:color w:val="auto"/>
        </w:rPr>
      </w:pPr>
    </w:p>
    <w:p>
      <w:pPr>
        <w:ind w:left="620" w:right="60" w:hanging="307"/>
        <w:spacing w:after="0" w:line="278" w:lineRule="auto"/>
        <w:tabs>
          <w:tab w:leader="none" w:pos="618" w:val="left"/>
        </w:tabs>
        <w:numPr>
          <w:ilvl w:val="0"/>
          <w:numId w:val="24"/>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4"/>
          <w:szCs w:val="14"/>
          <w:color w:val="auto"/>
        </w:rPr>
      </w:pPr>
    </w:p>
    <w:p>
      <w:pPr>
        <w:ind w:left="620" w:right="240" w:hanging="307"/>
        <w:spacing w:after="0" w:line="278" w:lineRule="auto"/>
        <w:tabs>
          <w:tab w:leader="none" w:pos="618"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rFonts w:ascii="Arial" w:cs="Arial" w:eastAsia="Arial" w:hAnsi="Arial"/>
          <w:sz w:val="14"/>
          <w:szCs w:val="14"/>
          <w:color w:val="auto"/>
        </w:rPr>
      </w:pPr>
    </w:p>
    <w:p>
      <w:pPr>
        <w:ind w:left="1240" w:hanging="309"/>
        <w:spacing w:after="0" w:line="264" w:lineRule="auto"/>
        <w:tabs>
          <w:tab w:leader="none" w:pos="1227" w:val="left"/>
        </w:tabs>
        <w:numPr>
          <w:ilvl w:val="1"/>
          <w:numId w:val="24"/>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Arial" w:cs="Arial" w:eastAsia="Arial" w:hAnsi="Arial"/>
          <w:sz w:val="14"/>
          <w:szCs w:val="14"/>
          <w:color w:val="auto"/>
        </w:rPr>
      </w:pPr>
    </w:p>
    <w:p>
      <w:pPr>
        <w:ind w:left="1240" w:right="200" w:hanging="309"/>
        <w:spacing w:after="0" w:line="254" w:lineRule="auto"/>
        <w:tabs>
          <w:tab w:leader="none" w:pos="1227" w:val="left"/>
        </w:tabs>
        <w:numPr>
          <w:ilvl w:val="1"/>
          <w:numId w:val="24"/>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14"/>
          <w:szCs w:val="14"/>
          <w:color w:val="auto"/>
        </w:rPr>
      </w:pPr>
    </w:p>
    <w:p>
      <w:pPr>
        <w:ind w:left="1240" w:right="520" w:hanging="309"/>
        <w:spacing w:after="0" w:line="278" w:lineRule="auto"/>
        <w:tabs>
          <w:tab w:leader="none" w:pos="1233" w:val="left"/>
        </w:tabs>
        <w:numPr>
          <w:ilvl w:val="1"/>
          <w:numId w:val="24"/>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4"/>
          <w:szCs w:val="14"/>
          <w:color w:val="auto"/>
        </w:rPr>
      </w:pPr>
    </w:p>
    <w:p>
      <w:pPr>
        <w:ind w:left="1240" w:right="20" w:hanging="309"/>
        <w:spacing w:after="0" w:line="254" w:lineRule="auto"/>
        <w:tabs>
          <w:tab w:leader="none" w:pos="1227" w:val="left"/>
        </w:tabs>
        <w:numPr>
          <w:ilvl w:val="1"/>
          <w:numId w:val="24"/>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Arial" w:cs="Arial" w:eastAsia="Arial" w:hAnsi="Arial"/>
          <w:sz w:val="14"/>
          <w:szCs w:val="14"/>
          <w:color w:val="auto"/>
        </w:rPr>
      </w:pPr>
    </w:p>
    <w:p>
      <w:pPr>
        <w:ind w:left="620" w:right="120" w:hanging="307"/>
        <w:spacing w:after="0" w:line="278" w:lineRule="auto"/>
        <w:tabs>
          <w:tab w:leader="none" w:pos="618"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4"/>
          <w:szCs w:val="14"/>
          <w:color w:val="auto"/>
        </w:rPr>
      </w:pPr>
    </w:p>
    <w:p>
      <w:pPr>
        <w:ind w:left="1240" w:right="280" w:hanging="309"/>
        <w:spacing w:after="0" w:line="278" w:lineRule="auto"/>
        <w:tabs>
          <w:tab w:leader="none" w:pos="1227" w:val="left"/>
        </w:tabs>
        <w:numPr>
          <w:ilvl w:val="1"/>
          <w:numId w:val="24"/>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4"/>
          <w:szCs w:val="14"/>
          <w:color w:val="auto"/>
        </w:rPr>
      </w:pPr>
    </w:p>
    <w:p>
      <w:pPr>
        <w:ind w:left="1240" w:right="500" w:hanging="309"/>
        <w:spacing w:after="0" w:line="278" w:lineRule="auto"/>
        <w:tabs>
          <w:tab w:leader="none" w:pos="1227" w:val="left"/>
        </w:tabs>
        <w:numPr>
          <w:ilvl w:val="1"/>
          <w:numId w:val="24"/>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2" w:lineRule="exact"/>
        <w:rPr>
          <w:sz w:val="20"/>
          <w:szCs w:val="20"/>
          <w:color w:val="auto"/>
        </w:rPr>
      </w:pPr>
    </w:p>
    <w:p>
      <w:pPr>
        <w:ind w:left="8320"/>
        <w:spacing w:after="0"/>
        <w:rPr>
          <w:sz w:val="20"/>
          <w:szCs w:val="20"/>
          <w:color w:val="auto"/>
        </w:rPr>
      </w:pPr>
      <w:r>
        <w:rPr>
          <w:rFonts w:ascii="Arial" w:cs="Arial" w:eastAsia="Arial" w:hAnsi="Arial"/>
          <w:sz w:val="14"/>
          <w:szCs w:val="14"/>
          <w:color w:val="auto"/>
        </w:rPr>
        <w:t>/s/ Bryan E. Giles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4086860</wp:posOffset>
            </wp:positionH>
            <wp:positionV relativeFrom="paragraph">
              <wp:posOffset>25400</wp:posOffset>
            </wp:positionV>
            <wp:extent cx="30537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3053715" cy="8255"/>
                    </a:xfrm>
                    <a:prstGeom prst="rect">
                      <a:avLst/>
                    </a:prstGeom>
                    <a:noFill/>
                  </pic:spPr>
                </pic:pic>
              </a:graphicData>
            </a:graphic>
          </wp:anchor>
        </w:drawing>
      </w:r>
    </w:p>
    <w:p>
      <w:pPr>
        <w:spacing w:after="0" w:line="51" w:lineRule="exact"/>
        <w:rPr>
          <w:sz w:val="20"/>
          <w:szCs w:val="20"/>
          <w:color w:val="auto"/>
        </w:rPr>
      </w:pPr>
    </w:p>
    <w:p>
      <w:pPr>
        <w:ind w:left="8400"/>
        <w:spacing w:after="0"/>
        <w:rPr>
          <w:sz w:val="20"/>
          <w:szCs w:val="20"/>
          <w:color w:val="auto"/>
        </w:rPr>
      </w:pPr>
      <w:r>
        <w:rPr>
          <w:rFonts w:ascii="Arial" w:cs="Arial" w:eastAsia="Arial" w:hAnsi="Arial"/>
          <w:sz w:val="14"/>
          <w:szCs w:val="14"/>
          <w:color w:val="auto"/>
        </w:rPr>
        <w:t>Bryan E. Giles</w:t>
      </w:r>
    </w:p>
    <w:p>
      <w:pPr>
        <w:spacing w:after="0" w:line="58" w:lineRule="exact"/>
        <w:rPr>
          <w:sz w:val="20"/>
          <w:szCs w:val="20"/>
          <w:color w:val="auto"/>
        </w:rPr>
      </w:pPr>
    </w:p>
    <w:p>
      <w:pPr>
        <w:ind w:left="8160"/>
        <w:spacing w:after="0"/>
        <w:rPr>
          <w:sz w:val="20"/>
          <w:szCs w:val="20"/>
          <w:color w:val="auto"/>
        </w:rPr>
      </w:pPr>
      <w:r>
        <w:rPr>
          <w:rFonts w:ascii="Arial" w:cs="Arial" w:eastAsia="Arial" w:hAnsi="Arial"/>
          <w:sz w:val="14"/>
          <w:szCs w:val="14"/>
          <w:color w:val="auto"/>
        </w:rPr>
        <w:t>Chief Financial Officer</w:t>
      </w: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color w:val="auto"/>
        </w:rPr>
        <w:t>Date: June 8, 2026</w:t>
      </w:r>
    </w:p>
    <w:p>
      <w:pPr>
        <w:sectPr>
          <w:pgSz w:w="11900" w:h="16838" w:orient="portrait"/>
          <w:cols w:equalWidth="0" w:num="1">
            <w:col w:w="11220"/>
          </w:cols>
          <w:pgMar w:left="320" w:top="118" w:right="359" w:bottom="1440" w:gutter="0" w:footer="0" w:header="0"/>
        </w:sectPr>
      </w:pPr>
    </w:p>
    <w:bookmarkStart w:id="36" w:name="page37"/>
    <w:bookmarkEnd w:id="36"/>
    <w:p>
      <w:pPr>
        <w:spacing w:after="0"/>
        <w:rPr>
          <w:sz w:val="20"/>
          <w:szCs w:val="20"/>
          <w:color w:val="auto"/>
        </w:rPr>
      </w:pPr>
      <w:r>
        <w:rPr>
          <w:rFonts w:ascii="Arial" w:cs="Arial" w:eastAsia="Arial" w:hAnsi="Arial"/>
          <w:sz w:val="19"/>
          <w:szCs w:val="19"/>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CERTIFICATION OF CHIEF EXECUTIVE OFFICER</w:t>
      </w:r>
    </w:p>
    <w:p>
      <w:pPr>
        <w:spacing w:after="0" w:line="62"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20" w:firstLine="619"/>
        <w:spacing w:after="0" w:line="278" w:lineRule="auto"/>
        <w:rPr>
          <w:sz w:val="20"/>
          <w:szCs w:val="20"/>
          <w:color w:val="auto"/>
        </w:rPr>
      </w:pPr>
      <w:r>
        <w:rPr>
          <w:rFonts w:ascii="Arial" w:cs="Arial" w:eastAsia="Arial" w:hAnsi="Arial"/>
          <w:sz w:val="14"/>
          <w:szCs w:val="14"/>
          <w:color w:val="auto"/>
        </w:rPr>
        <w:t>Pursuant to 18 U.S.C. Section 1350, as created by Section 906 of the Sarbanes-Oxley Act of 2002, the undersigned officer of Mission Produce, Inc. (the “Company”) hereby certifies, to the best of his knowledge, that:</w:t>
      </w:r>
    </w:p>
    <w:p>
      <w:pPr>
        <w:spacing w:after="0" w:line="168" w:lineRule="exact"/>
        <w:rPr>
          <w:sz w:val="20"/>
          <w:szCs w:val="20"/>
          <w:color w:val="auto"/>
        </w:rPr>
      </w:pPr>
    </w:p>
    <w:p>
      <w:pPr>
        <w:ind w:left="620" w:hanging="307"/>
        <w:spacing w:after="0" w:line="259" w:lineRule="auto"/>
        <w:tabs>
          <w:tab w:leader="none" w:pos="613"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Quarterly Report on Form 10-Q of the Company for the quarter ended April 30, 2026 (the “Report”) fully complies with the requirements of Section 13(a) or Section 15(d), as applicable, of the Securities Exchange Act of 1934, as amended; and</w:t>
      </w:r>
    </w:p>
    <w:p>
      <w:pPr>
        <w:spacing w:after="0" w:line="181" w:lineRule="exact"/>
        <w:rPr>
          <w:rFonts w:ascii="Arial" w:cs="Arial" w:eastAsia="Arial" w:hAnsi="Arial"/>
          <w:sz w:val="14"/>
          <w:szCs w:val="14"/>
          <w:color w:val="auto"/>
        </w:rPr>
      </w:pPr>
    </w:p>
    <w:p>
      <w:pPr>
        <w:ind w:left="620" w:hanging="307"/>
        <w:spacing w:after="0"/>
        <w:tabs>
          <w:tab w:leader="none" w:pos="6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8160"/>
        <w:spacing w:after="0"/>
        <w:rPr>
          <w:sz w:val="20"/>
          <w:szCs w:val="20"/>
          <w:color w:val="auto"/>
        </w:rPr>
      </w:pPr>
      <w:r>
        <w:rPr>
          <w:rFonts w:ascii="Arial" w:cs="Arial" w:eastAsia="Arial" w:hAnsi="Arial"/>
          <w:sz w:val="14"/>
          <w:szCs w:val="14"/>
          <w:color w:val="auto"/>
        </w:rPr>
        <w:t>/s/ John M. Pawlowski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4086860</wp:posOffset>
            </wp:positionH>
            <wp:positionV relativeFrom="paragraph">
              <wp:posOffset>25400</wp:posOffset>
            </wp:positionV>
            <wp:extent cx="30537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3053715" cy="8255"/>
                    </a:xfrm>
                    <a:prstGeom prst="rect">
                      <a:avLst/>
                    </a:prstGeom>
                    <a:noFill/>
                  </pic:spPr>
                </pic:pic>
              </a:graphicData>
            </a:graphic>
          </wp:anchor>
        </w:drawing>
      </w:r>
    </w:p>
    <w:p>
      <w:pPr>
        <w:spacing w:after="0" w:line="51" w:lineRule="exact"/>
        <w:rPr>
          <w:sz w:val="20"/>
          <w:szCs w:val="20"/>
          <w:color w:val="auto"/>
        </w:rPr>
      </w:pPr>
    </w:p>
    <w:p>
      <w:pPr>
        <w:ind w:left="8260"/>
        <w:spacing w:after="0"/>
        <w:rPr>
          <w:sz w:val="20"/>
          <w:szCs w:val="20"/>
          <w:color w:val="auto"/>
        </w:rPr>
      </w:pPr>
      <w:r>
        <w:rPr>
          <w:rFonts w:ascii="Arial" w:cs="Arial" w:eastAsia="Arial" w:hAnsi="Arial"/>
          <w:sz w:val="14"/>
          <w:szCs w:val="14"/>
          <w:color w:val="auto"/>
        </w:rPr>
        <w:t>John M. Pawlowski</w:t>
      </w:r>
    </w:p>
    <w:p>
      <w:pPr>
        <w:spacing w:after="0" w:line="58" w:lineRule="exact"/>
        <w:rPr>
          <w:sz w:val="20"/>
          <w:szCs w:val="20"/>
          <w:color w:val="auto"/>
        </w:rPr>
      </w:pPr>
    </w:p>
    <w:p>
      <w:pPr>
        <w:ind w:left="7700"/>
        <w:spacing w:after="0"/>
        <w:rPr>
          <w:sz w:val="20"/>
          <w:szCs w:val="20"/>
          <w:color w:val="auto"/>
        </w:rPr>
      </w:pPr>
      <w:r>
        <w:rPr>
          <w:rFonts w:ascii="Arial" w:cs="Arial" w:eastAsia="Arial" w:hAnsi="Arial"/>
          <w:sz w:val="14"/>
          <w:szCs w:val="14"/>
          <w:color w:val="auto"/>
        </w:rPr>
        <w:t>President and Chief Executive Officer</w:t>
      </w: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color w:val="auto"/>
        </w:rPr>
        <w:t>Date: June 8, 2026</w:t>
      </w:r>
    </w:p>
    <w:p>
      <w:pPr>
        <w:sectPr>
          <w:pgSz w:w="11900" w:h="16838" w:orient="portrait"/>
          <w:cols w:equalWidth="0" w:num="1">
            <w:col w:w="11100"/>
          </w:cols>
          <w:pgMar w:left="320" w:top="118" w:right="479" w:bottom="1440" w:gutter="0" w:footer="0" w:header="0"/>
        </w:sectPr>
      </w:pPr>
    </w:p>
    <w:bookmarkStart w:id="37" w:name="page38"/>
    <w:bookmarkEnd w:id="37"/>
    <w:p>
      <w:pPr>
        <w:spacing w:after="0"/>
        <w:rPr>
          <w:sz w:val="20"/>
          <w:szCs w:val="20"/>
          <w:color w:val="auto"/>
        </w:rPr>
      </w:pPr>
      <w:r>
        <w:rPr>
          <w:rFonts w:ascii="Arial" w:cs="Arial" w:eastAsia="Arial" w:hAnsi="Arial"/>
          <w:sz w:val="19"/>
          <w:szCs w:val="19"/>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CERTIFICATION OF CHIEF FINANCIAL OFFICER</w:t>
      </w:r>
    </w:p>
    <w:p>
      <w:pPr>
        <w:spacing w:after="0" w:line="62"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PURSUANT TO SECTION 906 OF THE SARBANES-OXLEY ACT OF 2002</w:t>
      </w:r>
    </w:p>
    <w:p>
      <w:pPr>
        <w:spacing w:after="0" w:line="228" w:lineRule="exact"/>
        <w:rPr>
          <w:sz w:val="20"/>
          <w:szCs w:val="20"/>
          <w:color w:val="auto"/>
        </w:rPr>
      </w:pPr>
    </w:p>
    <w:p>
      <w:pPr>
        <w:ind w:right="20" w:firstLine="619"/>
        <w:spacing w:after="0" w:line="278" w:lineRule="auto"/>
        <w:rPr>
          <w:sz w:val="20"/>
          <w:szCs w:val="20"/>
          <w:color w:val="auto"/>
        </w:rPr>
      </w:pPr>
      <w:r>
        <w:rPr>
          <w:rFonts w:ascii="Arial" w:cs="Arial" w:eastAsia="Arial" w:hAnsi="Arial"/>
          <w:sz w:val="14"/>
          <w:szCs w:val="14"/>
          <w:color w:val="auto"/>
        </w:rPr>
        <w:t>Pursuant to 18 U.S.C. Section 1350, as created by Section 906 of the Sarbanes-Oxley Act of 2002, the undersigned officer of Mission Produce, Inc. (the “Company”) hereby certifies, to the best of his knowledge, that:</w:t>
      </w:r>
    </w:p>
    <w:p>
      <w:pPr>
        <w:spacing w:after="0" w:line="168" w:lineRule="exact"/>
        <w:rPr>
          <w:sz w:val="20"/>
          <w:szCs w:val="20"/>
          <w:color w:val="auto"/>
        </w:rPr>
      </w:pPr>
    </w:p>
    <w:p>
      <w:pPr>
        <w:ind w:left="620" w:hanging="307"/>
        <w:spacing w:after="0" w:line="259" w:lineRule="auto"/>
        <w:tabs>
          <w:tab w:leader="none" w:pos="613"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Quarterly Report on Form 10-Q of the Company for the quarter ended April 30, 2026 (the “Report”) fully complies with the requirements of Section 13(a) or Section 15(d), as applicable, of the Securities Exchange Act of 1934, as amended; and</w:t>
      </w:r>
    </w:p>
    <w:p>
      <w:pPr>
        <w:spacing w:after="0" w:line="181" w:lineRule="exact"/>
        <w:rPr>
          <w:rFonts w:ascii="Arial" w:cs="Arial" w:eastAsia="Arial" w:hAnsi="Arial"/>
          <w:sz w:val="14"/>
          <w:szCs w:val="14"/>
          <w:color w:val="auto"/>
        </w:rPr>
      </w:pPr>
    </w:p>
    <w:p>
      <w:pPr>
        <w:ind w:left="620" w:hanging="307"/>
        <w:spacing w:after="0"/>
        <w:tabs>
          <w:tab w:leader="none" w:pos="6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8320"/>
        <w:spacing w:after="0"/>
        <w:rPr>
          <w:sz w:val="20"/>
          <w:szCs w:val="20"/>
          <w:color w:val="auto"/>
        </w:rPr>
      </w:pPr>
      <w:r>
        <w:rPr>
          <w:rFonts w:ascii="Arial" w:cs="Arial" w:eastAsia="Arial" w:hAnsi="Arial"/>
          <w:sz w:val="14"/>
          <w:szCs w:val="14"/>
          <w:color w:val="auto"/>
        </w:rPr>
        <w:t>/s/ Bryan E. Giles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4086860</wp:posOffset>
            </wp:positionH>
            <wp:positionV relativeFrom="paragraph">
              <wp:posOffset>25400</wp:posOffset>
            </wp:positionV>
            <wp:extent cx="30537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3053715" cy="8255"/>
                    </a:xfrm>
                    <a:prstGeom prst="rect">
                      <a:avLst/>
                    </a:prstGeom>
                    <a:noFill/>
                  </pic:spPr>
                </pic:pic>
              </a:graphicData>
            </a:graphic>
          </wp:anchor>
        </w:drawing>
      </w:r>
    </w:p>
    <w:p>
      <w:pPr>
        <w:spacing w:after="0" w:line="51" w:lineRule="exact"/>
        <w:rPr>
          <w:sz w:val="20"/>
          <w:szCs w:val="20"/>
          <w:color w:val="auto"/>
        </w:rPr>
      </w:pPr>
    </w:p>
    <w:p>
      <w:pPr>
        <w:ind w:left="8400"/>
        <w:spacing w:after="0"/>
        <w:rPr>
          <w:sz w:val="20"/>
          <w:szCs w:val="20"/>
          <w:color w:val="auto"/>
        </w:rPr>
      </w:pPr>
      <w:r>
        <w:rPr>
          <w:rFonts w:ascii="Arial" w:cs="Arial" w:eastAsia="Arial" w:hAnsi="Arial"/>
          <w:sz w:val="14"/>
          <w:szCs w:val="14"/>
          <w:color w:val="auto"/>
        </w:rPr>
        <w:t>Bryan E. Giles</w:t>
      </w:r>
    </w:p>
    <w:p>
      <w:pPr>
        <w:spacing w:after="0" w:line="58" w:lineRule="exact"/>
        <w:rPr>
          <w:sz w:val="20"/>
          <w:szCs w:val="20"/>
          <w:color w:val="auto"/>
        </w:rPr>
      </w:pPr>
    </w:p>
    <w:p>
      <w:pPr>
        <w:ind w:left="8160"/>
        <w:spacing w:after="0"/>
        <w:rPr>
          <w:sz w:val="20"/>
          <w:szCs w:val="20"/>
          <w:color w:val="auto"/>
        </w:rPr>
      </w:pPr>
      <w:r>
        <w:rPr>
          <w:rFonts w:ascii="Arial" w:cs="Arial" w:eastAsia="Arial" w:hAnsi="Arial"/>
          <w:sz w:val="14"/>
          <w:szCs w:val="14"/>
          <w:color w:val="auto"/>
        </w:rPr>
        <w:t>Chief Financial Officer</w:t>
      </w: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color w:val="auto"/>
        </w:rPr>
        <w:t>Date: June 8, 2026</w:t>
      </w:r>
    </w:p>
    <w:sectPr>
      <w:pgSz w:w="11900" w:h="16838" w:orient="portrait"/>
      <w:cols w:equalWidth="0" w:num="1">
        <w:col w:w="11100"/>
      </w:cols>
      <w:pgMar w:left="320" w:top="118"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5"/>
    </w:lvl>
  </w:abstractNum>
  <w:abstractNum w:abstractNumId="5">
    <w:nsid w:val="6B68079A"/>
    <w:multiLevelType w:val="hybridMultilevel"/>
    <w:lvl w:ilvl="0">
      <w:lvlJc w:val="left"/>
      <w:lvlText w:val="%1."/>
      <w:numFmt w:val="decimal"/>
      <w:start w:val="6"/>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1."/>
      <w:numFmt w:val="decimal"/>
      <w:start w:val="7"/>
    </w:lvl>
  </w:abstractNum>
  <w:abstractNum w:abstractNumId="8">
    <w:nsid w:val="519B500D"/>
    <w:multiLevelType w:val="hybridMultilevel"/>
    <w:lvl w:ilvl="0">
      <w:lvlJc w:val="left"/>
      <w:lvlText w:val="%1."/>
      <w:numFmt w:val="decimal"/>
      <w:start w:val="8"/>
    </w:lvl>
  </w:abstractNum>
  <w:abstractNum w:abstractNumId="9">
    <w:nsid w:val="431BD7B7"/>
    <w:multiLevelType w:val="hybridMultilevel"/>
    <w:lvl w:ilvl="0">
      <w:lvlJc w:val="left"/>
      <w:lvlText w:val="%1."/>
      <w:numFmt w:val="decimal"/>
      <w:start w:val="9"/>
    </w:lvl>
  </w:abstractNum>
  <w:abstractNum w:abstractNumId="10">
    <w:nsid w:val="3F2DBA31"/>
    <w:multiLevelType w:val="hybridMultilevel"/>
    <w:lvl w:ilvl="0">
      <w:lvlJc w:val="left"/>
      <w:lvlText w:val="%1."/>
      <w:numFmt w:val="decimal"/>
      <w:start w:val="1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decimal"/>
      <w:start w:val="12"/>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1)"/>
      <w:numFmt w:val="decimal"/>
      <w:start w:val="1"/>
    </w:lvl>
    <w:lvl w:ilvl="1">
      <w:lvlJc w:val="left"/>
      <w:lvlText w:val="•"/>
      <w:numFmt w:val="bullet"/>
      <w:start w:val="1"/>
    </w:lvl>
  </w:abstractNum>
  <w:abstractNum w:abstractNumId="15">
    <w:nsid w:val="628C895D"/>
    <w:multiLevelType w:val="hybridMultilevel"/>
    <w:lvl w:ilvl="0">
      <w:lvlJc w:val="left"/>
      <w:lvlText w:val="%1."/>
      <w:numFmt w:val="decimal"/>
      <w:start w:val="13"/>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decimal"/>
      <w:start w:val="101"/>
    </w:lvl>
  </w:abstractNum>
  <w:abstractNum w:abstractNumId="21">
    <w:nsid w:val="75A2A8D4"/>
    <w:multiLevelType w:val="hybridMultilevel"/>
    <w:lvl w:ilvl="0">
      <w:lvlJc w:val="left"/>
      <w:lvlText w:val="*"/>
      <w:numFmt w:val="bullet"/>
      <w:start w:val="1"/>
    </w:lvl>
    <w:lvl w:ilvl="1">
      <w:lvlJc w:val="left"/>
      <w:lvlText w:val="%2"/>
      <w:numFmt w:val="decimal"/>
      <w:start w:val="104"/>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lowerRoman"/>
      <w:start w:val="1"/>
    </w:lvl>
  </w:abstractNum>
  <w:abstractNum w:abstractNumId="25">
    <w:nsid w:val="B03E0C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56" Type="http://schemas.openxmlformats.org/officeDocument/2006/relationships/hyperlink" Target="https://www.sec.gov/Archives/edgar/data/1802974/000119312526013366/d47538dex21.htm" TargetMode="External"/><Relationship Id="rId57" Type="http://schemas.openxmlformats.org/officeDocument/2006/relationships/hyperlink" Target="https://www.sec.gov/Archives/edgar/data/1802974/000119312520265099/d32849dex31.htm" TargetMode="External"/><Relationship Id="rId58" Type="http://schemas.openxmlformats.org/officeDocument/2006/relationships/hyperlink" Target="https://www.sec.gov/Archives/edgar/data/1802974/000180297424000028/ex32amendmenttoamendedandr.htm" TargetMode="External"/><Relationship Id="rId59" Type="http://schemas.openxmlformats.org/officeDocument/2006/relationships/hyperlink" Target="https://www.sec.gov/Archives/edgar/data/1802974/000119312526019420/d66727dex31.htm" TargetMode="External"/><Relationship Id="rId60" Type="http://schemas.openxmlformats.org/officeDocument/2006/relationships/hyperlink" Target="https://www.sec.gov/Archives/edgar/data/1802974/000119312520265099/d32849dex32.htm" TargetMode="External"/><Relationship Id="rId61" Type="http://schemas.openxmlformats.org/officeDocument/2006/relationships/hyperlink" Target="https://www.sec.gov/Archives/edgar/data/1802974/000119312526019420/d66727dex41.htm" TargetMode="External"/><Relationship Id="rId62" Type="http://schemas.openxmlformats.org/officeDocument/2006/relationships/hyperlink" Target="https://www.sec.gov/Archives/edgar/data/1802974/000119312526138164/d27813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2026-06-08T15:26:55Z</dcterms:created>
  <dcterms:modified xsi:type="dcterms:W3CDTF">2026-06-08T15:26:55Z</dcterms:modified>
</cp:coreProperties>
</file>